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71637">
      <w:pPr>
        <w:pStyle w:val="5"/>
        <w:spacing w:line="720" w:lineRule="auto"/>
        <w:rPr>
          <w:rFonts w:hint="eastAsia" w:ascii="宋体" w:hAnsi="宋体" w:cs="宋体"/>
          <w:b/>
          <w:bCs/>
          <w:color w:val="auto"/>
          <w:sz w:val="72"/>
          <w:szCs w:val="72"/>
          <w:highlight w:val="none"/>
        </w:rPr>
      </w:pPr>
    </w:p>
    <w:p w14:paraId="082C41F1">
      <w:pPr>
        <w:pStyle w:val="5"/>
        <w:spacing w:line="720" w:lineRule="auto"/>
        <w:jc w:val="center"/>
        <w:rPr>
          <w:rFonts w:hint="eastAsia" w:ascii="宋体" w:hAnsi="宋体" w:cs="宋体"/>
          <w:b/>
          <w:bCs/>
          <w:color w:val="auto"/>
          <w:sz w:val="36"/>
          <w:szCs w:val="36"/>
          <w:highlight w:val="none"/>
        </w:rPr>
      </w:pPr>
      <w:r>
        <w:rPr>
          <w:rFonts w:hint="eastAsia" w:ascii="宋体" w:hAnsi="宋体" w:cs="宋体"/>
          <w:b/>
          <w:bCs/>
          <w:color w:val="auto"/>
          <w:sz w:val="72"/>
          <w:szCs w:val="72"/>
          <w:highlight w:val="none"/>
        </w:rPr>
        <w:t>公开招标文件</w:t>
      </w:r>
    </w:p>
    <w:p w14:paraId="4AA5B4AB">
      <w:pPr>
        <w:pStyle w:val="5"/>
        <w:spacing w:line="360" w:lineRule="auto"/>
        <w:jc w:val="center"/>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项目名称:</w:t>
      </w:r>
      <w:r>
        <w:rPr>
          <w:rFonts w:hint="eastAsia" w:ascii="宋体" w:hAnsi="宋体" w:cs="宋体"/>
          <w:b/>
          <w:color w:val="auto"/>
          <w:sz w:val="30"/>
          <w:szCs w:val="30"/>
          <w:highlight w:val="none"/>
          <w:lang w:eastAsia="zh-CN"/>
        </w:rPr>
        <w:t>2026年柳州市市场监督管理局自治区转移食品抽样检测服务项目（重）</w:t>
      </w:r>
    </w:p>
    <w:p w14:paraId="7AA70772">
      <w:pPr>
        <w:pStyle w:val="5"/>
        <w:spacing w:line="360" w:lineRule="auto"/>
        <w:ind w:firstLine="1506" w:firstLineChars="500"/>
        <w:rPr>
          <w:rFonts w:hint="eastAsia" w:ascii="宋体" w:hAnsi="宋体" w:cs="宋体"/>
          <w:b/>
          <w:color w:val="auto"/>
          <w:sz w:val="30"/>
          <w:szCs w:val="30"/>
          <w:highlight w:val="none"/>
        </w:rPr>
      </w:pPr>
    </w:p>
    <w:p w14:paraId="21518707">
      <w:pPr>
        <w:pStyle w:val="5"/>
        <w:spacing w:line="360" w:lineRule="auto"/>
        <w:ind w:firstLine="1506" w:firstLineChars="500"/>
        <w:rPr>
          <w:rFonts w:hint="eastAsia" w:ascii="宋体" w:hAnsi="宋体" w:cs="宋体"/>
          <w:b/>
          <w:color w:val="auto"/>
          <w:sz w:val="30"/>
          <w:szCs w:val="30"/>
          <w:highlight w:val="none"/>
        </w:rPr>
      </w:pPr>
    </w:p>
    <w:p w14:paraId="6634B3C6">
      <w:pPr>
        <w:pStyle w:val="5"/>
        <w:spacing w:line="360" w:lineRule="auto"/>
        <w:ind w:firstLine="1506" w:firstLineChars="500"/>
        <w:rPr>
          <w:rFonts w:hint="eastAsia" w:ascii="宋体" w:hAnsi="宋体" w:cs="宋体"/>
          <w:b/>
          <w:color w:val="auto"/>
          <w:sz w:val="30"/>
          <w:szCs w:val="30"/>
          <w:highlight w:val="none"/>
        </w:rPr>
      </w:pPr>
    </w:p>
    <w:p w14:paraId="60F85DCD">
      <w:pPr>
        <w:pStyle w:val="5"/>
        <w:spacing w:line="360" w:lineRule="auto"/>
        <w:ind w:firstLine="1506" w:firstLineChars="500"/>
        <w:rPr>
          <w:rFonts w:hint="eastAsia" w:ascii="宋体" w:hAnsi="宋体" w:eastAsia="宋体" w:cs="宋体"/>
          <w:b/>
          <w:color w:val="auto"/>
          <w:sz w:val="36"/>
          <w:highlight w:val="none"/>
          <w:lang w:eastAsia="zh-CN"/>
        </w:rPr>
      </w:pPr>
      <w:r>
        <w:rPr>
          <w:rFonts w:hint="eastAsia" w:ascii="宋体" w:hAnsi="宋体" w:cs="宋体"/>
          <w:b/>
          <w:color w:val="auto"/>
          <w:sz w:val="30"/>
          <w:szCs w:val="30"/>
          <w:highlight w:val="none"/>
        </w:rPr>
        <w:t>项目编号:LZZC2026-G3-990359-GXYC</w:t>
      </w:r>
    </w:p>
    <w:p w14:paraId="3926FFC9">
      <w:pPr>
        <w:snapToGrid w:val="0"/>
        <w:spacing w:line="360" w:lineRule="auto"/>
        <w:ind w:firstLine="1774" w:firstLineChars="589"/>
        <w:rPr>
          <w:rFonts w:hint="eastAsia" w:ascii="宋体" w:hAnsi="宋体" w:cs="宋体"/>
          <w:b/>
          <w:color w:val="auto"/>
          <w:sz w:val="30"/>
          <w:szCs w:val="30"/>
          <w:highlight w:val="none"/>
        </w:rPr>
      </w:pPr>
    </w:p>
    <w:p w14:paraId="1D6CDAA9">
      <w:pPr>
        <w:snapToGrid w:val="0"/>
        <w:spacing w:line="360" w:lineRule="auto"/>
        <w:ind w:firstLine="1774" w:firstLineChars="589"/>
        <w:rPr>
          <w:rFonts w:hint="eastAsia" w:ascii="宋体" w:hAnsi="宋体" w:cs="宋体"/>
          <w:bCs/>
          <w:color w:val="auto"/>
          <w:sz w:val="32"/>
          <w:highlight w:val="none"/>
        </w:rPr>
      </w:pPr>
      <w:r>
        <w:rPr>
          <w:rFonts w:hint="eastAsia" w:ascii="宋体" w:hAnsi="宋体" w:cs="宋体"/>
          <w:b/>
          <w:color w:val="auto"/>
          <w:sz w:val="30"/>
          <w:szCs w:val="30"/>
          <w:highlight w:val="none"/>
        </w:rPr>
        <w:t xml:space="preserve">         </w:t>
      </w:r>
      <w:r>
        <w:rPr>
          <w:rFonts w:hint="eastAsia" w:ascii="宋体" w:hAnsi="宋体" w:cs="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235585</wp:posOffset>
                </wp:positionV>
                <wp:extent cx="5143500" cy="0"/>
                <wp:effectExtent l="0" t="6350" r="0" b="6350"/>
                <wp:wrapNone/>
                <wp:docPr id="10" name="直线 9"/>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2700">
                          <a:solidFill>
                            <a:srgbClr val="000000"/>
                          </a:solidFill>
                          <a:round/>
                        </a:ln>
                        <a:effectLst/>
                      </wps:spPr>
                      <wps:bodyPr/>
                    </wps:wsp>
                  </a:graphicData>
                </a:graphic>
              </wp:anchor>
            </w:drawing>
          </mc:Choice>
          <mc:Fallback>
            <w:pict>
              <v:line id="直线 9" o:spid="_x0000_s1026" o:spt="20" style="position:absolute;left:0pt;margin-left:36pt;margin-top:18.55pt;height:0pt;width:405pt;z-index:251659264;mso-width-relative:page;mso-height-relative:page;" filled="f" stroked="t" coordsize="21600,21600" o:gfxdata="UEsDBAoAAAAAAIdO4kAAAAAAAAAAAAAAAAAEAAAAZHJzL1BLAwQUAAAACACHTuJA0zkPddYAAAAI&#10;AQAADwAAAGRycy9kb3ducmV2LnhtbE2PzU7DMBCE70i8g7VI3KiTIBErxOkBVFUgLm2RuG7jJQ7E&#10;6zR2f3h7XHGgx50ZzX5Tz09uEAeaQu9ZQz7LQBC33vTcaXjfLO4UiBCRDQ6eScMPBZg311c1VsYf&#10;eUWHdexEKuFQoQYb41hJGVpLDsPMj8TJ+/STw5jOqZNmwmMqd4MssuxBOuw5fbA40pOl9nu9dxrw&#10;ebmKH6p4LfsX+/a1WeyWVu20vr3Js0cQkU7xPwxn/IQOTWLa+j2bIAYNZZGmRA33ZQ4i+Uqdhe2f&#10;IJtaXg5ofgFQSwMEFAAAAAgAh07iQM6NUSjaAQAAsQMAAA4AAABkcnMvZTJvRG9jLnhtbK1TwXLT&#10;MBC9M8M/aHQndgKF1hOnh2TKpUBmWj5gI8uxBkmrkZTY+RZ+gxMXPqe/wUpOQgmXHvBBo9Xuvt33&#10;dj2/HYxme+mDQlvz6aTkTFqBjbLbmn99vHtzzVmIYBvQaGXNDzLw28XrV/PeVXKGHepGekYgNlS9&#10;q3kXo6uKIohOGggTdNKSs0VvIJLpt0XjoSd0o4tZWb4vevSN8yhkCPS6Gp38iOhfAohtq4RcodgZ&#10;aeOI6qWGSJRCp1zgi9xt20oRv7RtkJHpmhPTmE8qQvdNOovFHKqtB9cpcWwBXtLCBScDylLRM9QK&#10;IrCdV/9AGSU8BmzjRKApRiJZEWIxLS+0eejAycyFpA7uLHr4f7Di837tmWpoE0gSC4Ym/vT9x9PP&#10;X+wmidO7UFHM0q59oicG++DuUXwLzOKyA7uVucnHg6PEacoo/kpJRnBUYtN/woZiYBcxKzW03iRI&#10;0oANeSCH80DkEJmgx6vpu7dXJTUmTr4CqlOi8yF+lGhYutRcK5u0ggr29yGmRqA6haRni3dK6zxv&#10;bVlP3c4+EHRyBdSqSd5s+O1mqT3bQ1qZ/GVaF2Eed7YZq2ib8mTetmPpE+1RwA02h7U/aUOTzM0d&#10;ty6tynM7K/jnT1v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M5D3XWAAAACAEAAA8AAAAAAAAA&#10;AQAgAAAAIgAAAGRycy9kb3ducmV2LnhtbFBLAQIUABQAAAAIAIdO4kDOjVEo2gEAALEDAAAOAAAA&#10;AAAAAAEAIAAAACUBAABkcnMvZTJvRG9jLnhtbFBLBQYAAAAABgAGAFkBAABxBQAAAAA=&#10;">
                <v:fill on="f" focussize="0,0"/>
                <v:stroke weight="1pt" color="#000000" joinstyle="round"/>
                <v:imagedata o:title=""/>
                <o:lock v:ext="edit" aspectratio="f"/>
              </v:line>
            </w:pict>
          </mc:Fallback>
        </mc:AlternateContent>
      </w:r>
    </w:p>
    <w:p w14:paraId="00E774C0">
      <w:pPr>
        <w:snapToGrid w:val="0"/>
        <w:spacing w:line="720" w:lineRule="auto"/>
        <w:ind w:firstLine="803" w:firstLineChars="250"/>
        <w:rPr>
          <w:rFonts w:hint="eastAsia" w:ascii="宋体" w:hAnsi="宋体" w:cs="宋体"/>
          <w:b/>
          <w:bCs/>
          <w:color w:val="auto"/>
          <w:sz w:val="32"/>
          <w:highlight w:val="none"/>
        </w:rPr>
      </w:pPr>
    </w:p>
    <w:p w14:paraId="7182B875">
      <w:pPr>
        <w:snapToGrid w:val="0"/>
        <w:spacing w:line="720" w:lineRule="auto"/>
        <w:ind w:firstLine="803" w:firstLineChars="250"/>
        <w:rPr>
          <w:rFonts w:hint="eastAsia" w:ascii="宋体" w:hAnsi="宋体" w:cs="宋体"/>
          <w:b/>
          <w:bCs/>
          <w:color w:val="auto"/>
          <w:sz w:val="32"/>
          <w:highlight w:val="none"/>
        </w:rPr>
      </w:pPr>
      <w:r>
        <w:rPr>
          <w:rFonts w:hint="eastAsia" w:ascii="宋体" w:hAnsi="宋体" w:cs="宋体"/>
          <w:b/>
          <w:bCs/>
          <w:color w:val="auto"/>
          <w:sz w:val="32"/>
          <w:highlight w:val="none"/>
        </w:rPr>
        <w:t>采购单位：柳州市市场监督管理局</w:t>
      </w:r>
    </w:p>
    <w:p w14:paraId="26568F8F">
      <w:pPr>
        <w:snapToGrid w:val="0"/>
        <w:spacing w:line="720" w:lineRule="auto"/>
        <w:ind w:firstLine="803" w:firstLineChars="250"/>
        <w:rPr>
          <w:rFonts w:hint="eastAsia" w:ascii="宋体" w:hAnsi="宋体" w:cs="宋体"/>
          <w:b/>
          <w:bCs/>
          <w:color w:val="auto"/>
          <w:sz w:val="32"/>
          <w:highlight w:val="none"/>
        </w:rPr>
      </w:pPr>
      <w:r>
        <w:rPr>
          <w:rFonts w:hint="eastAsia" w:ascii="宋体" w:hAnsi="宋体" w:cs="宋体"/>
          <w:b/>
          <w:bCs/>
          <w:color w:val="auto"/>
          <w:sz w:val="32"/>
          <w:highlight w:val="none"/>
        </w:rPr>
        <w:t>采购代理机构：广西远潮管理</w:t>
      </w:r>
      <w:bookmarkStart w:id="116" w:name="_GoBack"/>
      <w:bookmarkEnd w:id="116"/>
      <w:r>
        <w:rPr>
          <w:rFonts w:hint="eastAsia" w:ascii="宋体" w:hAnsi="宋体" w:cs="宋体"/>
          <w:b/>
          <w:bCs/>
          <w:color w:val="auto"/>
          <w:sz w:val="32"/>
          <w:highlight w:val="none"/>
        </w:rPr>
        <w:t>咨询股份有限公司</w:t>
      </w:r>
    </w:p>
    <w:p w14:paraId="14305826">
      <w:pPr>
        <w:spacing w:line="720" w:lineRule="auto"/>
        <w:ind w:firstLine="1606" w:firstLineChars="500"/>
        <w:rPr>
          <w:rFonts w:hint="eastAsia" w:ascii="宋体" w:hAnsi="宋体" w:cs="宋体"/>
          <w:b/>
          <w:bCs/>
          <w:color w:val="auto"/>
          <w:sz w:val="32"/>
          <w:highlight w:val="none"/>
        </w:rPr>
      </w:pPr>
    </w:p>
    <w:p w14:paraId="7B6F1501">
      <w:pPr>
        <w:spacing w:line="72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2026年</w:t>
      </w:r>
      <w:r>
        <w:rPr>
          <w:rFonts w:hint="eastAsia" w:ascii="宋体" w:hAnsi="宋体" w:cs="宋体"/>
          <w:b/>
          <w:color w:val="auto"/>
          <w:sz w:val="30"/>
          <w:szCs w:val="30"/>
          <w:highlight w:val="none"/>
          <w:lang w:val="en-US" w:eastAsia="zh-CN"/>
        </w:rPr>
        <w:t xml:space="preserve">   </w:t>
      </w:r>
      <w:r>
        <w:rPr>
          <w:rFonts w:hint="eastAsia" w:ascii="宋体" w:hAnsi="宋体" w:cs="宋体"/>
          <w:b/>
          <w:color w:val="auto"/>
          <w:sz w:val="30"/>
          <w:szCs w:val="30"/>
          <w:highlight w:val="none"/>
        </w:rPr>
        <w:t>月</w:t>
      </w:r>
    </w:p>
    <w:p w14:paraId="1E45228E">
      <w:pPr>
        <w:pStyle w:val="25"/>
        <w:spacing w:before="120" w:after="120" w:line="720" w:lineRule="auto"/>
        <w:jc w:val="center"/>
        <w:rPr>
          <w:rFonts w:hint="eastAsia" w:hAnsi="宋体" w:cs="宋体"/>
          <w:color w:val="auto"/>
          <w:sz w:val="44"/>
          <w:szCs w:val="44"/>
          <w:highlight w:val="none"/>
        </w:rPr>
        <w:sectPr>
          <w:headerReference r:id="rId4" w:type="first"/>
          <w:footerReference r:id="rId6" w:type="first"/>
          <w:headerReference r:id="rId3" w:type="even"/>
          <w:footerReference r:id="rId5" w:type="even"/>
          <w:pgSz w:w="11906" w:h="16838"/>
          <w:pgMar w:top="567" w:right="851" w:bottom="567" w:left="1134" w:header="340" w:footer="340" w:gutter="0"/>
          <w:pgBorders>
            <w:top w:val="none" w:sz="0" w:space="0"/>
            <w:left w:val="none" w:sz="0" w:space="0"/>
            <w:bottom w:val="none" w:sz="0" w:space="0"/>
            <w:right w:val="none" w:sz="0" w:space="0"/>
          </w:pgBorders>
          <w:pgNumType w:start="1"/>
          <w:cols w:space="720" w:num="1"/>
          <w:titlePg/>
          <w:docGrid w:linePitch="312" w:charSpace="0"/>
        </w:sectPr>
      </w:pPr>
    </w:p>
    <w:p w14:paraId="0D7CCB38">
      <w:pPr>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目  录</w:t>
      </w:r>
    </w:p>
    <w:p w14:paraId="07D89C21">
      <w:pPr>
        <w:spacing w:line="400" w:lineRule="exact"/>
        <w:jc w:val="center"/>
        <w:rPr>
          <w:rFonts w:hint="eastAsia" w:ascii="宋体" w:hAnsi="宋体" w:cs="宋体"/>
          <w:b/>
          <w:color w:val="auto"/>
          <w:sz w:val="44"/>
          <w:szCs w:val="44"/>
          <w:highlight w:val="none"/>
        </w:rPr>
      </w:pPr>
    </w:p>
    <w:p w14:paraId="7CDDA908">
      <w:pPr>
        <w:pStyle w:val="33"/>
        <w:tabs>
          <w:tab w:val="right" w:leader="dot" w:pos="9638"/>
          <w:tab w:val="clear" w:pos="8398"/>
        </w:tabs>
        <w:rPr>
          <w:color w:val="auto"/>
          <w:highlight w:val="none"/>
        </w:rPr>
      </w:pPr>
      <w:r>
        <w:rPr>
          <w:rFonts w:hint="eastAsia" w:cs="宋体"/>
          <w:b w:val="0"/>
          <w:color w:val="auto"/>
          <w:highlight w:val="none"/>
        </w:rPr>
        <w:fldChar w:fldCharType="begin"/>
      </w:r>
      <w:r>
        <w:rPr>
          <w:rFonts w:hint="eastAsia" w:cs="宋体"/>
          <w:b w:val="0"/>
          <w:color w:val="auto"/>
          <w:highlight w:val="none"/>
        </w:rPr>
        <w:instrText xml:space="preserve"> TOC \o "1-2" \h \z \u </w:instrText>
      </w:r>
      <w:r>
        <w:rPr>
          <w:rFonts w:hint="eastAsia" w:cs="宋体"/>
          <w:b w:val="0"/>
          <w:color w:val="auto"/>
          <w:highlight w:val="none"/>
        </w:rPr>
        <w:fldChar w:fldCharType="separate"/>
      </w:r>
      <w:r>
        <w:rPr>
          <w:rFonts w:hint="eastAsia" w:cs="宋体"/>
          <w:color w:val="auto"/>
          <w:highlight w:val="none"/>
        </w:rPr>
        <w:fldChar w:fldCharType="begin"/>
      </w:r>
      <w:r>
        <w:rPr>
          <w:rFonts w:hint="eastAsia" w:cs="宋体"/>
          <w:color w:val="auto"/>
          <w:highlight w:val="none"/>
        </w:rPr>
        <w:instrText xml:space="preserve"> HYPERLINK \l _Toc28908 </w:instrText>
      </w:r>
      <w:r>
        <w:rPr>
          <w:rFonts w:hint="eastAsia" w:cs="宋体"/>
          <w:color w:val="auto"/>
          <w:highlight w:val="none"/>
        </w:rPr>
        <w:fldChar w:fldCharType="separate"/>
      </w:r>
      <w:r>
        <w:rPr>
          <w:rFonts w:hint="eastAsia" w:cs="宋体"/>
          <w:bCs w:val="0"/>
          <w:color w:val="auto"/>
          <w:szCs w:val="32"/>
          <w:highlight w:val="none"/>
        </w:rPr>
        <w:t xml:space="preserve">第一章 </w:t>
      </w:r>
      <w:r>
        <w:rPr>
          <w:rFonts w:hint="eastAsia"/>
          <w:color w:val="auto"/>
          <w:highlight w:val="none"/>
        </w:rPr>
        <w:t>公开招标公告</w:t>
      </w:r>
      <w:r>
        <w:rPr>
          <w:color w:val="auto"/>
          <w:highlight w:val="none"/>
        </w:rPr>
        <w:tab/>
      </w:r>
      <w:r>
        <w:rPr>
          <w:color w:val="auto"/>
          <w:highlight w:val="none"/>
        </w:rPr>
        <w:fldChar w:fldCharType="begin"/>
      </w:r>
      <w:r>
        <w:rPr>
          <w:color w:val="auto"/>
          <w:highlight w:val="none"/>
        </w:rPr>
        <w:instrText xml:space="preserve"> PAGEREF _Toc28908 \h </w:instrText>
      </w:r>
      <w:r>
        <w:rPr>
          <w:color w:val="auto"/>
          <w:highlight w:val="none"/>
        </w:rPr>
        <w:fldChar w:fldCharType="separate"/>
      </w:r>
      <w:r>
        <w:rPr>
          <w:color w:val="auto"/>
          <w:highlight w:val="none"/>
        </w:rPr>
        <w:t>3</w:t>
      </w:r>
      <w:r>
        <w:rPr>
          <w:color w:val="auto"/>
          <w:highlight w:val="none"/>
        </w:rPr>
        <w:fldChar w:fldCharType="end"/>
      </w:r>
      <w:r>
        <w:rPr>
          <w:rFonts w:hint="eastAsia" w:cs="宋体"/>
          <w:color w:val="auto"/>
          <w:highlight w:val="none"/>
        </w:rPr>
        <w:fldChar w:fldCharType="end"/>
      </w:r>
    </w:p>
    <w:p w14:paraId="35AFBEDE">
      <w:pPr>
        <w:pStyle w:val="33"/>
        <w:tabs>
          <w:tab w:val="right" w:leader="dot" w:pos="9638"/>
          <w:tab w:val="clear" w:pos="8398"/>
        </w:tabs>
        <w:ind w:firstLine="241"/>
        <w:rPr>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_Toc4341 </w:instrText>
      </w:r>
      <w:r>
        <w:rPr>
          <w:rFonts w:hint="eastAsia" w:cs="宋体"/>
          <w:color w:val="auto"/>
          <w:highlight w:val="none"/>
        </w:rPr>
        <w:fldChar w:fldCharType="separate"/>
      </w:r>
      <w:r>
        <w:rPr>
          <w:rFonts w:hint="eastAsia"/>
          <w:color w:val="auto"/>
          <w:highlight w:val="none"/>
        </w:rPr>
        <w:t>第二章</w:t>
      </w:r>
      <w:r>
        <w:rPr>
          <w:color w:val="auto"/>
          <w:highlight w:val="none"/>
        </w:rPr>
        <w:t xml:space="preserve">  </w:t>
      </w:r>
      <w:r>
        <w:rPr>
          <w:rFonts w:hint="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_Toc4341 \h </w:instrText>
      </w:r>
      <w:r>
        <w:rPr>
          <w:color w:val="auto"/>
          <w:highlight w:val="none"/>
        </w:rPr>
        <w:fldChar w:fldCharType="separate"/>
      </w:r>
      <w:r>
        <w:rPr>
          <w:color w:val="auto"/>
          <w:highlight w:val="none"/>
        </w:rPr>
        <w:t>7</w:t>
      </w:r>
      <w:r>
        <w:rPr>
          <w:color w:val="auto"/>
          <w:highlight w:val="none"/>
        </w:rPr>
        <w:fldChar w:fldCharType="end"/>
      </w:r>
      <w:r>
        <w:rPr>
          <w:rFonts w:hint="eastAsia" w:cs="宋体"/>
          <w:color w:val="auto"/>
          <w:highlight w:val="none"/>
        </w:rPr>
        <w:fldChar w:fldCharType="end"/>
      </w:r>
    </w:p>
    <w:p w14:paraId="1FAD82A1">
      <w:pPr>
        <w:pStyle w:val="33"/>
        <w:tabs>
          <w:tab w:val="right" w:leader="dot" w:pos="9638"/>
          <w:tab w:val="clear" w:pos="8398"/>
        </w:tabs>
        <w:ind w:firstLine="241"/>
        <w:rPr>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_Toc2994 </w:instrText>
      </w:r>
      <w:r>
        <w:rPr>
          <w:rFonts w:hint="eastAsia" w:cs="宋体"/>
          <w:color w:val="auto"/>
          <w:highlight w:val="none"/>
        </w:rPr>
        <w:fldChar w:fldCharType="separate"/>
      </w:r>
      <w:r>
        <w:rPr>
          <w:rFonts w:hint="eastAsia"/>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_Toc2994 \h </w:instrText>
      </w:r>
      <w:r>
        <w:rPr>
          <w:color w:val="auto"/>
          <w:highlight w:val="none"/>
        </w:rPr>
        <w:fldChar w:fldCharType="separate"/>
      </w:r>
      <w:r>
        <w:rPr>
          <w:color w:val="auto"/>
          <w:highlight w:val="none"/>
        </w:rPr>
        <w:t>52</w:t>
      </w:r>
      <w:r>
        <w:rPr>
          <w:color w:val="auto"/>
          <w:highlight w:val="none"/>
        </w:rPr>
        <w:fldChar w:fldCharType="end"/>
      </w:r>
      <w:r>
        <w:rPr>
          <w:rFonts w:hint="eastAsia" w:cs="宋体"/>
          <w:color w:val="auto"/>
          <w:highlight w:val="none"/>
        </w:rPr>
        <w:fldChar w:fldCharType="end"/>
      </w:r>
    </w:p>
    <w:p w14:paraId="006C4181">
      <w:pPr>
        <w:pStyle w:val="33"/>
        <w:tabs>
          <w:tab w:val="right" w:leader="dot" w:pos="9638"/>
          <w:tab w:val="clear" w:pos="8398"/>
        </w:tabs>
        <w:ind w:firstLine="241"/>
        <w:rPr>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_Toc2655 </w:instrText>
      </w:r>
      <w:r>
        <w:rPr>
          <w:rFonts w:hint="eastAsia" w:cs="宋体"/>
          <w:color w:val="auto"/>
          <w:highlight w:val="none"/>
        </w:rPr>
        <w:fldChar w:fldCharType="separate"/>
      </w:r>
      <w:r>
        <w:rPr>
          <w:rFonts w:hint="eastAsia"/>
          <w:color w:val="auto"/>
          <w:highlight w:val="none"/>
        </w:rPr>
        <w:t>第四章  评标办法及评分标准</w:t>
      </w:r>
      <w:r>
        <w:rPr>
          <w:color w:val="auto"/>
          <w:highlight w:val="none"/>
        </w:rPr>
        <w:tab/>
      </w:r>
      <w:r>
        <w:rPr>
          <w:color w:val="auto"/>
          <w:highlight w:val="none"/>
        </w:rPr>
        <w:fldChar w:fldCharType="begin"/>
      </w:r>
      <w:r>
        <w:rPr>
          <w:color w:val="auto"/>
          <w:highlight w:val="none"/>
        </w:rPr>
        <w:instrText xml:space="preserve"> PAGEREF _Toc2655 \h </w:instrText>
      </w:r>
      <w:r>
        <w:rPr>
          <w:color w:val="auto"/>
          <w:highlight w:val="none"/>
        </w:rPr>
        <w:fldChar w:fldCharType="separate"/>
      </w:r>
      <w:r>
        <w:rPr>
          <w:color w:val="auto"/>
          <w:highlight w:val="none"/>
        </w:rPr>
        <w:t>71</w:t>
      </w:r>
      <w:r>
        <w:rPr>
          <w:color w:val="auto"/>
          <w:highlight w:val="none"/>
        </w:rPr>
        <w:fldChar w:fldCharType="end"/>
      </w:r>
      <w:r>
        <w:rPr>
          <w:rFonts w:hint="eastAsia" w:cs="宋体"/>
          <w:color w:val="auto"/>
          <w:highlight w:val="none"/>
        </w:rPr>
        <w:fldChar w:fldCharType="end"/>
      </w:r>
    </w:p>
    <w:p w14:paraId="49A3FBD6">
      <w:pPr>
        <w:pStyle w:val="33"/>
        <w:tabs>
          <w:tab w:val="right" w:leader="dot" w:pos="9638"/>
          <w:tab w:val="clear" w:pos="8398"/>
        </w:tabs>
        <w:ind w:firstLine="241"/>
        <w:rPr>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_Toc858 </w:instrText>
      </w:r>
      <w:r>
        <w:rPr>
          <w:rFonts w:hint="eastAsia" w:cs="宋体"/>
          <w:color w:val="auto"/>
          <w:highlight w:val="none"/>
        </w:rPr>
        <w:fldChar w:fldCharType="separate"/>
      </w:r>
      <w:r>
        <w:rPr>
          <w:rFonts w:hint="eastAsia"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_Toc858 \h </w:instrText>
      </w:r>
      <w:r>
        <w:rPr>
          <w:color w:val="auto"/>
          <w:highlight w:val="none"/>
        </w:rPr>
        <w:fldChar w:fldCharType="separate"/>
      </w:r>
      <w:r>
        <w:rPr>
          <w:color w:val="auto"/>
          <w:highlight w:val="none"/>
        </w:rPr>
        <w:t>75</w:t>
      </w:r>
      <w:r>
        <w:rPr>
          <w:color w:val="auto"/>
          <w:highlight w:val="none"/>
        </w:rPr>
        <w:fldChar w:fldCharType="end"/>
      </w:r>
      <w:r>
        <w:rPr>
          <w:rFonts w:hint="eastAsia" w:cs="宋体"/>
          <w:color w:val="auto"/>
          <w:highlight w:val="none"/>
        </w:rPr>
        <w:fldChar w:fldCharType="end"/>
      </w:r>
    </w:p>
    <w:p w14:paraId="4D921AAF">
      <w:pPr>
        <w:pStyle w:val="33"/>
        <w:tabs>
          <w:tab w:val="right" w:leader="dot" w:pos="9638"/>
          <w:tab w:val="clear" w:pos="8398"/>
        </w:tabs>
        <w:ind w:firstLine="241"/>
        <w:rPr>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_Toc13395 </w:instrText>
      </w:r>
      <w:r>
        <w:rPr>
          <w:rFonts w:hint="eastAsia" w:cs="宋体"/>
          <w:color w:val="auto"/>
          <w:highlight w:val="none"/>
        </w:rPr>
        <w:fldChar w:fldCharType="separate"/>
      </w:r>
      <w:r>
        <w:rPr>
          <w:rFonts w:hint="eastAsia"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_Toc13395 \h </w:instrText>
      </w:r>
      <w:r>
        <w:rPr>
          <w:color w:val="auto"/>
          <w:highlight w:val="none"/>
        </w:rPr>
        <w:fldChar w:fldCharType="separate"/>
      </w:r>
      <w:r>
        <w:rPr>
          <w:color w:val="auto"/>
          <w:highlight w:val="none"/>
        </w:rPr>
        <w:t>81</w:t>
      </w:r>
      <w:r>
        <w:rPr>
          <w:color w:val="auto"/>
          <w:highlight w:val="none"/>
        </w:rPr>
        <w:fldChar w:fldCharType="end"/>
      </w:r>
      <w:r>
        <w:rPr>
          <w:rFonts w:hint="eastAsia" w:cs="宋体"/>
          <w:color w:val="auto"/>
          <w:highlight w:val="none"/>
        </w:rPr>
        <w:fldChar w:fldCharType="end"/>
      </w:r>
    </w:p>
    <w:p w14:paraId="1E844856">
      <w:pPr>
        <w:tabs>
          <w:tab w:val="right" w:leader="dot" w:pos="8789"/>
        </w:tabs>
        <w:snapToGrid w:val="0"/>
        <w:spacing w:line="480" w:lineRule="auto"/>
        <w:rPr>
          <w:rFonts w:hint="eastAsia" w:ascii="宋体" w:hAnsi="宋体" w:cs="宋体"/>
          <w:color w:val="auto"/>
          <w:sz w:val="24"/>
          <w:highlight w:val="none"/>
        </w:rPr>
      </w:pPr>
      <w:r>
        <w:rPr>
          <w:rFonts w:hint="eastAsia" w:ascii="宋体" w:hAnsi="宋体" w:cs="宋体"/>
          <w:color w:val="auto"/>
          <w:highlight w:val="none"/>
        </w:rPr>
        <w:fldChar w:fldCharType="end"/>
      </w:r>
    </w:p>
    <w:p w14:paraId="45135A7C">
      <w:pPr>
        <w:spacing w:before="120" w:beforeLines="50" w:line="480" w:lineRule="exact"/>
        <w:rPr>
          <w:rFonts w:hint="eastAsia" w:ascii="宋体" w:hAnsi="宋体" w:cs="宋体"/>
          <w:color w:val="auto"/>
          <w:sz w:val="30"/>
          <w:highlight w:val="none"/>
        </w:rPr>
      </w:pPr>
    </w:p>
    <w:p w14:paraId="50B6062F">
      <w:pPr>
        <w:rPr>
          <w:rFonts w:hint="eastAsia" w:ascii="宋体" w:hAnsi="宋体" w:cs="宋体"/>
          <w:color w:val="auto"/>
          <w:highlight w:val="none"/>
        </w:rPr>
      </w:pPr>
    </w:p>
    <w:p w14:paraId="24791D15">
      <w:pPr>
        <w:spacing w:before="120" w:beforeLines="50" w:line="480" w:lineRule="exact"/>
        <w:rPr>
          <w:rFonts w:hint="eastAsia" w:ascii="宋体" w:hAnsi="宋体" w:cs="宋体"/>
          <w:color w:val="auto"/>
          <w:sz w:val="30"/>
          <w:highlight w:val="none"/>
        </w:rPr>
      </w:pPr>
    </w:p>
    <w:p w14:paraId="64D0F7E3">
      <w:pPr>
        <w:spacing w:before="120" w:beforeLines="50" w:line="480" w:lineRule="exact"/>
        <w:rPr>
          <w:rFonts w:hint="eastAsia" w:ascii="宋体" w:hAnsi="宋体" w:cs="宋体"/>
          <w:color w:val="auto"/>
          <w:sz w:val="30"/>
          <w:highlight w:val="none"/>
        </w:rPr>
      </w:pPr>
    </w:p>
    <w:p w14:paraId="2264D8FA">
      <w:pPr>
        <w:pStyle w:val="17"/>
        <w:rPr>
          <w:rFonts w:hint="eastAsia" w:ascii="宋体" w:hAnsi="宋体" w:cs="宋体"/>
          <w:b/>
          <w:bCs/>
          <w:color w:val="auto"/>
          <w:highlight w:val="none"/>
        </w:rPr>
      </w:pPr>
      <w:bookmarkStart w:id="0" w:name="_Toc254970489"/>
      <w:bookmarkStart w:id="1" w:name="_Toc254970630"/>
    </w:p>
    <w:p w14:paraId="236FAB8F">
      <w:pPr>
        <w:pStyle w:val="3"/>
        <w:numPr>
          <w:ilvl w:val="0"/>
          <w:numId w:val="3"/>
        </w:numPr>
        <w:jc w:val="center"/>
        <w:rPr>
          <w:rFonts w:hint="eastAsia" w:hAnsi="宋体" w:cs="宋体"/>
          <w:b w:val="0"/>
          <w:bCs w:val="0"/>
          <w:color w:val="auto"/>
          <w:szCs w:val="32"/>
          <w:highlight w:val="none"/>
        </w:rPr>
      </w:pPr>
      <w:r>
        <w:rPr>
          <w:rFonts w:hint="eastAsia" w:hAnsi="宋体" w:cs="宋体"/>
          <w:b w:val="0"/>
          <w:bCs w:val="0"/>
          <w:color w:val="auto"/>
          <w:highlight w:val="none"/>
        </w:rPr>
        <w:br w:type="page"/>
      </w:r>
      <w:bookmarkEnd w:id="0"/>
      <w:bookmarkEnd w:id="1"/>
      <w:bookmarkStart w:id="2" w:name="_Toc20062740"/>
      <w:bookmarkStart w:id="3" w:name="_Toc15241"/>
      <w:bookmarkStart w:id="4" w:name="_Toc32416830"/>
      <w:r>
        <w:rPr>
          <w:rFonts w:hint="eastAsia"/>
          <w:color w:val="auto"/>
          <w:highlight w:val="none"/>
        </w:rPr>
        <w:t xml:space="preserve"> </w:t>
      </w:r>
      <w:bookmarkStart w:id="5" w:name="_Toc28908"/>
      <w:r>
        <w:rPr>
          <w:rFonts w:hint="eastAsia"/>
          <w:color w:val="auto"/>
          <w:highlight w:val="none"/>
        </w:rPr>
        <w:t>公开招标公告</w:t>
      </w:r>
      <w:bookmarkEnd w:id="2"/>
      <w:bookmarkEnd w:id="3"/>
      <w:bookmarkEnd w:id="4"/>
      <w:bookmarkEnd w:id="5"/>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0"/>
      </w:tblGrid>
      <w:tr w14:paraId="35E7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800" w:type="dxa"/>
            <w:noWrap w:val="0"/>
            <w:vAlign w:val="top"/>
          </w:tcPr>
          <w:p w14:paraId="5A4086DA">
            <w:pPr>
              <w:pStyle w:val="42"/>
              <w:spacing w:line="360" w:lineRule="auto"/>
              <w:rPr>
                <w:rFonts w:hint="eastAsia" w:cs="宋体"/>
                <w:color w:val="auto"/>
                <w:highlight w:val="none"/>
              </w:rPr>
            </w:pPr>
            <w:r>
              <w:rPr>
                <w:rFonts w:hint="eastAsia" w:cs="宋体"/>
                <w:color w:val="auto"/>
                <w:highlight w:val="none"/>
              </w:rPr>
              <w:t>项目概况:</w:t>
            </w:r>
            <w:r>
              <w:rPr>
                <w:rFonts w:hint="eastAsia" w:cs="宋体"/>
                <w:b/>
                <w:bCs/>
                <w:color w:val="auto"/>
                <w:highlight w:val="none"/>
                <w:lang w:eastAsia="zh-CN"/>
              </w:rPr>
              <w:t>2026年柳州市市场监督管理局自治区转移食品抽样检测服务项目（重）</w:t>
            </w:r>
            <w:r>
              <w:rPr>
                <w:rFonts w:hint="eastAsia" w:cs="宋体"/>
                <w:color w:val="auto"/>
                <w:highlight w:val="none"/>
              </w:rPr>
              <w:t>招标项目的潜在投标人应在广西政府采购云平台（https://www.gcy.zfcg.gxzf.gov.cn/）获取招标文件，并于</w:t>
            </w:r>
            <w:r>
              <w:rPr>
                <w:rFonts w:hint="eastAsia" w:cs="宋体"/>
                <w:color w:val="auto"/>
                <w:highlight w:val="none"/>
                <w:lang w:eastAsia="zh-CN"/>
              </w:rPr>
              <w:t>2026年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r>
              <w:rPr>
                <w:rFonts w:hint="eastAsia" w:cs="宋体"/>
                <w:color w:val="auto"/>
                <w:highlight w:val="none"/>
              </w:rPr>
              <w:t>09:20（北京时间）前递交投标文件。</w:t>
            </w:r>
          </w:p>
        </w:tc>
      </w:tr>
    </w:tbl>
    <w:p w14:paraId="4B406A65">
      <w:pPr>
        <w:pStyle w:val="42"/>
        <w:spacing w:before="0" w:beforeAutospacing="0" w:after="0" w:afterAutospacing="0" w:line="360" w:lineRule="auto"/>
        <w:rPr>
          <w:rFonts w:hint="eastAsia" w:cs="宋体"/>
          <w:color w:val="auto"/>
          <w:highlight w:val="none"/>
        </w:rPr>
      </w:pPr>
      <w:r>
        <w:rPr>
          <w:rStyle w:val="51"/>
          <w:rFonts w:hint="eastAsia" w:cs="宋体"/>
          <w:color w:val="auto"/>
          <w:highlight w:val="none"/>
        </w:rPr>
        <w:t>一、项目基本情况</w:t>
      </w:r>
    </w:p>
    <w:p w14:paraId="7EA5CCD9">
      <w:pPr>
        <w:pStyle w:val="42"/>
        <w:spacing w:before="0" w:beforeAutospacing="0" w:after="0" w:afterAutospacing="0" w:line="360" w:lineRule="auto"/>
        <w:jc w:val="both"/>
        <w:rPr>
          <w:rFonts w:hint="eastAsia" w:eastAsia="宋体" w:cs="宋体"/>
          <w:color w:val="auto"/>
          <w:highlight w:val="none"/>
          <w:lang w:eastAsia="zh-CN"/>
        </w:rPr>
      </w:pPr>
      <w:r>
        <w:rPr>
          <w:rFonts w:hint="eastAsia" w:cs="宋体"/>
          <w:color w:val="auto"/>
          <w:highlight w:val="none"/>
        </w:rPr>
        <w:t>项目编号：LZZC2026-G3-990359-GXYC</w:t>
      </w:r>
    </w:p>
    <w:p w14:paraId="73EA6CE0">
      <w:pPr>
        <w:pStyle w:val="42"/>
        <w:spacing w:before="0" w:beforeAutospacing="0" w:after="0" w:afterAutospacing="0" w:line="360" w:lineRule="auto"/>
        <w:jc w:val="both"/>
        <w:rPr>
          <w:rFonts w:hint="eastAsia" w:eastAsia="宋体" w:cs="宋体"/>
          <w:color w:val="auto"/>
          <w:highlight w:val="none"/>
          <w:lang w:eastAsia="zh-CN"/>
        </w:rPr>
      </w:pPr>
      <w:r>
        <w:rPr>
          <w:rFonts w:hint="eastAsia" w:cs="宋体"/>
          <w:color w:val="auto"/>
          <w:highlight w:val="none"/>
        </w:rPr>
        <w:t>项目名称：</w:t>
      </w:r>
      <w:r>
        <w:rPr>
          <w:rFonts w:hint="eastAsia" w:cs="宋体"/>
          <w:color w:val="auto"/>
          <w:highlight w:val="none"/>
          <w:lang w:eastAsia="zh-CN"/>
        </w:rPr>
        <w:t>2026年柳州市市场监督管理局自治区转移食品抽样检测服务项目（重）</w:t>
      </w:r>
    </w:p>
    <w:p w14:paraId="436EF162">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预算总金额（元）：</w:t>
      </w:r>
      <w:r>
        <w:rPr>
          <w:rFonts w:hint="eastAsia" w:cs="宋体"/>
          <w:color w:val="auto"/>
          <w:highlight w:val="none"/>
          <w:shd w:val="clear" w:color="auto" w:fill="auto"/>
        </w:rPr>
        <w:t>352400.00</w:t>
      </w:r>
      <w:r>
        <w:rPr>
          <w:rFonts w:hint="eastAsia" w:cs="宋体"/>
          <w:color w:val="auto"/>
          <w:highlight w:val="none"/>
        </w:rPr>
        <w:t xml:space="preserve"> </w:t>
      </w:r>
    </w:p>
    <w:p w14:paraId="26B2DB3D">
      <w:pPr>
        <w:pStyle w:val="42"/>
        <w:shd w:val="clear" w:color="auto" w:fill="auto"/>
        <w:spacing w:before="0" w:beforeAutospacing="0" w:after="0" w:afterAutospacing="0" w:line="360" w:lineRule="auto"/>
        <w:jc w:val="both"/>
        <w:rPr>
          <w:rFonts w:hint="eastAsia" w:cs="宋体"/>
          <w:color w:val="auto"/>
          <w:highlight w:val="none"/>
          <w:shd w:val="clear" w:color="auto" w:fill="auto"/>
        </w:rPr>
      </w:pPr>
      <w:r>
        <w:rPr>
          <w:rFonts w:hint="eastAsia" w:cs="宋体"/>
          <w:color w:val="auto"/>
          <w:highlight w:val="none"/>
          <w:shd w:val="clear" w:color="auto" w:fill="auto"/>
        </w:rPr>
        <w:t>采购需求：</w:t>
      </w:r>
    </w:p>
    <w:p w14:paraId="68917AF0">
      <w:pPr>
        <w:pStyle w:val="42"/>
        <w:shd w:val="clear" w:color="auto" w:fill="auto"/>
        <w:spacing w:before="0" w:beforeAutospacing="0" w:after="0" w:afterAutospacing="0" w:line="360" w:lineRule="auto"/>
        <w:jc w:val="both"/>
        <w:rPr>
          <w:rFonts w:hint="eastAsia" w:eastAsia="宋体" w:cs="宋体"/>
          <w:b/>
          <w:bCs/>
          <w:color w:val="auto"/>
          <w:highlight w:val="none"/>
          <w:shd w:val="clear" w:color="auto" w:fill="auto"/>
          <w:lang w:eastAsia="zh-CN"/>
        </w:rPr>
      </w:pPr>
      <w:r>
        <w:rPr>
          <w:rFonts w:hint="eastAsia" w:cs="宋体"/>
          <w:b/>
          <w:bCs/>
          <w:color w:val="auto"/>
          <w:highlight w:val="none"/>
          <w:shd w:val="clear" w:color="auto" w:fill="auto"/>
        </w:rPr>
        <w:t>标项</w:t>
      </w:r>
      <w:r>
        <w:rPr>
          <w:rFonts w:hint="eastAsia" w:cs="宋体"/>
          <w:b/>
          <w:bCs/>
          <w:color w:val="auto"/>
          <w:highlight w:val="none"/>
          <w:shd w:val="clear" w:color="auto" w:fill="auto"/>
          <w:lang w:val="en-US" w:eastAsia="zh-CN"/>
        </w:rPr>
        <w:t>一</w:t>
      </w:r>
    </w:p>
    <w:p w14:paraId="7CA0ADC4">
      <w:pPr>
        <w:pStyle w:val="42"/>
        <w:shd w:val="clear" w:color="auto" w:fill="auto"/>
        <w:spacing w:before="0" w:beforeAutospacing="0" w:after="0" w:afterAutospacing="0" w:line="360" w:lineRule="auto"/>
        <w:jc w:val="both"/>
        <w:rPr>
          <w:rFonts w:hint="eastAsia" w:eastAsia="宋体" w:cs="宋体"/>
          <w:color w:val="auto"/>
          <w:highlight w:val="none"/>
          <w:shd w:val="clear" w:color="auto" w:fill="auto"/>
          <w:lang w:eastAsia="zh-CN"/>
        </w:rPr>
      </w:pPr>
      <w:r>
        <w:rPr>
          <w:rFonts w:hint="eastAsia" w:cs="宋体"/>
          <w:color w:val="auto"/>
          <w:highlight w:val="none"/>
          <w:shd w:val="clear" w:color="auto" w:fill="auto"/>
        </w:rPr>
        <w:t>标项名称:</w:t>
      </w:r>
      <w:r>
        <w:rPr>
          <w:rFonts w:hint="eastAsia" w:cs="宋体"/>
          <w:color w:val="auto"/>
          <w:highlight w:val="none"/>
          <w:shd w:val="clear" w:color="auto" w:fill="auto"/>
          <w:lang w:eastAsia="zh-CN"/>
        </w:rPr>
        <w:t>2026年柳州市市场监督管理局自治区转移食品抽样检测服务项目（重）</w:t>
      </w:r>
    </w:p>
    <w:p w14:paraId="09D4A2FD">
      <w:pPr>
        <w:pStyle w:val="42"/>
        <w:shd w:val="clear" w:color="auto" w:fill="auto"/>
        <w:spacing w:before="0" w:beforeAutospacing="0" w:after="0" w:afterAutospacing="0" w:line="360" w:lineRule="auto"/>
        <w:jc w:val="both"/>
        <w:rPr>
          <w:rFonts w:hint="eastAsia" w:cs="宋体"/>
          <w:color w:val="auto"/>
          <w:highlight w:val="none"/>
          <w:shd w:val="clear" w:color="auto" w:fill="auto"/>
        </w:rPr>
      </w:pPr>
      <w:r>
        <w:rPr>
          <w:rFonts w:hint="eastAsia" w:cs="宋体"/>
          <w:color w:val="auto"/>
          <w:highlight w:val="none"/>
          <w:shd w:val="clear" w:color="auto" w:fill="auto"/>
        </w:rPr>
        <w:t>数量:1</w:t>
      </w:r>
    </w:p>
    <w:p w14:paraId="28018D65">
      <w:pPr>
        <w:pStyle w:val="42"/>
        <w:shd w:val="clear" w:color="auto" w:fill="auto"/>
        <w:spacing w:before="0" w:beforeAutospacing="0" w:after="0" w:afterAutospacing="0" w:line="360" w:lineRule="auto"/>
        <w:jc w:val="both"/>
        <w:rPr>
          <w:rFonts w:cs="宋体"/>
          <w:color w:val="auto"/>
          <w:highlight w:val="none"/>
          <w:shd w:val="clear" w:color="auto" w:fill="auto"/>
        </w:rPr>
      </w:pPr>
      <w:r>
        <w:rPr>
          <w:rFonts w:hint="eastAsia" w:cs="宋体"/>
          <w:color w:val="auto"/>
          <w:highlight w:val="none"/>
          <w:shd w:val="clear" w:color="auto" w:fill="auto"/>
        </w:rPr>
        <w:t>预算金额（元）:352400.00</w:t>
      </w:r>
    </w:p>
    <w:p w14:paraId="415E6162">
      <w:pPr>
        <w:pStyle w:val="42"/>
        <w:shd w:val="clear" w:color="auto" w:fill="auto"/>
        <w:spacing w:before="0" w:beforeAutospacing="0" w:after="0" w:afterAutospacing="0" w:line="360" w:lineRule="auto"/>
        <w:jc w:val="both"/>
        <w:rPr>
          <w:rFonts w:hint="eastAsia" w:cs="宋体"/>
          <w:color w:val="auto"/>
          <w:highlight w:val="none"/>
        </w:rPr>
      </w:pPr>
      <w:r>
        <w:rPr>
          <w:rFonts w:hint="eastAsia" w:cs="宋体"/>
          <w:color w:val="auto"/>
          <w:highlight w:val="none"/>
          <w:shd w:val="clear" w:color="auto" w:fill="auto"/>
        </w:rPr>
        <w:t>简要规格描述或项目基本概况介绍、</w:t>
      </w:r>
      <w:r>
        <w:rPr>
          <w:rFonts w:hint="eastAsia" w:cs="宋体"/>
          <w:color w:val="auto"/>
          <w:highlight w:val="none"/>
        </w:rPr>
        <w:t>用途：普通食品和食用农产品不少于416批次，具体详见《招标文件》第二章采购需求。</w:t>
      </w:r>
    </w:p>
    <w:p w14:paraId="53F73F09">
      <w:pPr>
        <w:pStyle w:val="42"/>
        <w:shd w:val="clear" w:color="auto" w:fill="auto"/>
        <w:spacing w:before="0" w:beforeAutospacing="0" w:after="0" w:afterAutospacing="0" w:line="360" w:lineRule="auto"/>
        <w:jc w:val="both"/>
        <w:rPr>
          <w:rFonts w:hint="eastAsia" w:cs="宋体"/>
          <w:color w:val="auto"/>
          <w:highlight w:val="none"/>
        </w:rPr>
      </w:pPr>
      <w:r>
        <w:rPr>
          <w:rFonts w:hint="eastAsia" w:cs="宋体"/>
          <w:color w:val="auto"/>
          <w:highlight w:val="none"/>
        </w:rPr>
        <w:t>最高限价（如有）：352400.00</w:t>
      </w:r>
    </w:p>
    <w:p w14:paraId="5E4D8C45">
      <w:pPr>
        <w:pStyle w:val="42"/>
        <w:shd w:val="clear" w:color="auto" w:fill="auto"/>
        <w:spacing w:before="0" w:beforeAutospacing="0" w:after="0" w:afterAutospacing="0" w:line="360" w:lineRule="auto"/>
        <w:jc w:val="both"/>
        <w:rPr>
          <w:rFonts w:hint="eastAsia" w:cs="宋体"/>
          <w:color w:val="auto"/>
          <w:highlight w:val="none"/>
        </w:rPr>
      </w:pPr>
      <w:r>
        <w:rPr>
          <w:rFonts w:hint="eastAsia" w:cs="宋体"/>
          <w:color w:val="auto"/>
          <w:highlight w:val="none"/>
        </w:rPr>
        <w:t>合同履行期限：2026年7月至2026年11月30日。</w:t>
      </w:r>
    </w:p>
    <w:p w14:paraId="403CB97A">
      <w:pPr>
        <w:pStyle w:val="42"/>
        <w:shd w:val="clear" w:color="auto" w:fill="auto"/>
        <w:spacing w:before="0" w:beforeAutospacing="0" w:after="0" w:afterAutospacing="0" w:line="360" w:lineRule="auto"/>
        <w:jc w:val="both"/>
        <w:rPr>
          <w:rFonts w:hint="eastAsia" w:cs="宋体"/>
          <w:color w:val="auto"/>
          <w:highlight w:val="none"/>
        </w:rPr>
      </w:pPr>
      <w:r>
        <w:rPr>
          <w:rFonts w:hint="eastAsia" w:cs="宋体"/>
          <w:color w:val="auto"/>
          <w:highlight w:val="none"/>
        </w:rPr>
        <w:t>本标项（否）接受联合体投标</w:t>
      </w:r>
    </w:p>
    <w:p w14:paraId="18BC195C">
      <w:pPr>
        <w:pStyle w:val="42"/>
        <w:shd w:val="clear" w:color="auto" w:fill="auto"/>
        <w:spacing w:before="0" w:beforeAutospacing="0" w:after="0" w:afterAutospacing="0" w:line="360" w:lineRule="auto"/>
        <w:jc w:val="both"/>
        <w:rPr>
          <w:rFonts w:hint="eastAsia" w:cs="宋体"/>
          <w:color w:val="auto"/>
          <w:highlight w:val="none"/>
        </w:rPr>
      </w:pPr>
      <w:r>
        <w:rPr>
          <w:rFonts w:hint="eastAsia" w:cs="宋体"/>
          <w:b/>
          <w:bCs/>
          <w:color w:val="auto"/>
          <w:highlight w:val="none"/>
        </w:rPr>
        <w:t>备注：</w:t>
      </w:r>
      <w:r>
        <w:rPr>
          <w:rFonts w:hint="eastAsia" w:cs="宋体"/>
          <w:color w:val="auto"/>
          <w:highlight w:val="none"/>
        </w:rPr>
        <w:t>本项目为线上电子招标项目，采用远程异地评标，有意向参与本项目的供应商应当做好参与全流程电子招投标交易的充分准备。</w:t>
      </w:r>
    </w:p>
    <w:p w14:paraId="1951A589">
      <w:pPr>
        <w:pStyle w:val="42"/>
        <w:shd w:val="clear" w:color="auto" w:fill="auto"/>
        <w:spacing w:before="0" w:beforeAutospacing="0" w:after="0" w:afterAutospacing="0" w:line="360" w:lineRule="auto"/>
        <w:jc w:val="both"/>
        <w:rPr>
          <w:rStyle w:val="51"/>
          <w:rFonts w:hint="eastAsia" w:cs="宋体"/>
          <w:b/>
          <w:bCs/>
          <w:color w:val="auto"/>
          <w:highlight w:val="none"/>
        </w:rPr>
      </w:pPr>
      <w:r>
        <w:rPr>
          <w:rStyle w:val="51"/>
          <w:rFonts w:hint="eastAsia" w:cs="宋体"/>
          <w:b/>
          <w:bCs/>
          <w:color w:val="auto"/>
          <w:highlight w:val="none"/>
        </w:rPr>
        <w:t>本项目是</w:t>
      </w:r>
      <w:r>
        <w:rPr>
          <w:rStyle w:val="51"/>
          <w:rFonts w:hint="eastAsia" w:cs="宋体"/>
          <w:b/>
          <w:bCs/>
          <w:color w:val="auto"/>
          <w:highlight w:val="none"/>
          <w:lang w:eastAsia="zh-CN"/>
        </w:rPr>
        <w:t>2026年柳州市市场监督管理局自治区转移食品抽样检测服务项目</w:t>
      </w:r>
      <w:r>
        <w:rPr>
          <w:rStyle w:val="51"/>
          <w:rFonts w:hint="eastAsia" w:cs="宋体"/>
          <w:b/>
          <w:bCs/>
          <w:color w:val="auto"/>
          <w:highlight w:val="none"/>
          <w:lang w:val="en-US" w:eastAsia="zh-CN"/>
        </w:rPr>
        <w:t>分标10</w:t>
      </w:r>
      <w:r>
        <w:rPr>
          <w:rStyle w:val="51"/>
          <w:rFonts w:hint="eastAsia" w:cs="宋体"/>
          <w:b/>
          <w:bCs/>
          <w:color w:val="auto"/>
          <w:highlight w:val="none"/>
        </w:rPr>
        <w:t>，属于重新招标</w:t>
      </w:r>
      <w:r>
        <w:rPr>
          <w:rStyle w:val="51"/>
          <w:rFonts w:hint="eastAsia" w:cs="宋体"/>
          <w:b/>
          <w:bCs/>
          <w:color w:val="auto"/>
          <w:highlight w:val="none"/>
          <w:lang w:eastAsia="zh-CN"/>
        </w:rPr>
        <w:t>。2026年柳州市市场监督管理局自治区转移食品抽样检测服务项目</w:t>
      </w:r>
      <w:r>
        <w:rPr>
          <w:rStyle w:val="51"/>
          <w:rFonts w:hint="eastAsia" w:cs="宋体"/>
          <w:b/>
          <w:bCs/>
          <w:color w:val="auto"/>
          <w:highlight w:val="none"/>
          <w:lang w:val="en-US" w:eastAsia="zh-CN"/>
        </w:rPr>
        <w:t>1-9标段的中标单位不推荐为本项目中标候选人</w:t>
      </w:r>
      <w:r>
        <w:rPr>
          <w:rStyle w:val="51"/>
          <w:rFonts w:hint="eastAsia" w:cs="宋体"/>
          <w:b/>
          <w:bCs/>
          <w:color w:val="auto"/>
          <w:highlight w:val="none"/>
        </w:rPr>
        <w:t>。</w:t>
      </w:r>
    </w:p>
    <w:p w14:paraId="626B708A">
      <w:pPr>
        <w:pStyle w:val="42"/>
        <w:shd w:val="clear" w:color="auto" w:fill="auto"/>
        <w:spacing w:before="0" w:beforeAutospacing="0" w:after="0" w:afterAutospacing="0" w:line="360" w:lineRule="auto"/>
        <w:jc w:val="both"/>
        <w:rPr>
          <w:rFonts w:hint="eastAsia" w:cs="宋体"/>
          <w:color w:val="auto"/>
          <w:highlight w:val="none"/>
        </w:rPr>
      </w:pPr>
      <w:r>
        <w:rPr>
          <w:rStyle w:val="51"/>
          <w:rFonts w:hint="eastAsia" w:cs="宋体"/>
          <w:color w:val="auto"/>
          <w:highlight w:val="none"/>
        </w:rPr>
        <w:t>二、申请人的资格要求：</w:t>
      </w:r>
    </w:p>
    <w:p w14:paraId="1B07BE45">
      <w:pPr>
        <w:pStyle w:val="42"/>
        <w:shd w:val="clear" w:color="auto" w:fill="auto"/>
        <w:spacing w:before="0" w:beforeAutospacing="0" w:after="0" w:afterAutospacing="0" w:line="360" w:lineRule="auto"/>
        <w:jc w:val="both"/>
        <w:rPr>
          <w:rFonts w:hint="eastAsia" w:cs="宋体"/>
          <w:color w:val="auto"/>
          <w:highlight w:val="none"/>
        </w:rPr>
      </w:pPr>
      <w:r>
        <w:rPr>
          <w:rFonts w:hint="eastAsia" w:cs="宋体"/>
          <w:color w:val="auto"/>
          <w:highlight w:val="none"/>
        </w:rPr>
        <w:t>1.满足《中华人民共和国政府采购法》第二十二条规定；</w:t>
      </w:r>
    </w:p>
    <w:p w14:paraId="4729795E">
      <w:pPr>
        <w:pStyle w:val="98"/>
        <w:shd w:val="clear" w:color="auto" w:fill="auto"/>
        <w:spacing w:after="0" w:afterLines="0" w:line="360" w:lineRule="auto"/>
        <w:ind w:firstLine="0" w:firstLineChars="0"/>
        <w:rPr>
          <w:rFonts w:hint="eastAsia" w:ascii="宋体" w:hAnsi="宋体" w:cs="宋体"/>
          <w:color w:val="auto"/>
          <w:szCs w:val="24"/>
          <w:highlight w:val="none"/>
        </w:rPr>
      </w:pPr>
      <w:r>
        <w:rPr>
          <w:rFonts w:hint="eastAsia" w:ascii="宋体" w:hAnsi="宋体" w:cs="宋体"/>
          <w:color w:val="auto"/>
          <w:szCs w:val="24"/>
          <w:highlight w:val="none"/>
        </w:rPr>
        <w:t>2.落实政府采购政策需满足的资格要求：本项目属于专门面向中小企业采购的项目，监狱企业、残疾人福利单位视同小型、微型企业；中小企业须符合本项目采购标的所属行业对应的中小企业划分标准。</w:t>
      </w:r>
    </w:p>
    <w:p w14:paraId="3999406C">
      <w:pPr>
        <w:shd w:val="clear" w:color="auto" w:fill="auto"/>
        <w:spacing w:line="360" w:lineRule="auto"/>
        <w:rPr>
          <w:rFonts w:hint="eastAsia" w:ascii="宋体" w:hAnsi="宋体" w:cs="宋体"/>
          <w:color w:val="auto"/>
          <w:sz w:val="24"/>
          <w:highlight w:val="none"/>
        </w:rPr>
      </w:pPr>
      <w:r>
        <w:rPr>
          <w:rFonts w:hint="eastAsia" w:ascii="宋体" w:hAnsi="宋体" w:cs="宋体"/>
          <w:color w:val="auto"/>
          <w:sz w:val="24"/>
          <w:highlight w:val="none"/>
        </w:rPr>
        <w:t>3.本项目的特定资格要求：投标人须具备省级或省级以上市场监督管理部门颁发有效的《检验检测机构质质认定证书》，并在人员、设备等方面具有相应检测能力。</w:t>
      </w:r>
    </w:p>
    <w:p w14:paraId="797F8A4C">
      <w:pPr>
        <w:shd w:val="clear" w:color="auto" w:fill="auto"/>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4.本项目不允许分包</w:t>
      </w:r>
    </w:p>
    <w:p w14:paraId="2EEA2F22">
      <w:pPr>
        <w:pStyle w:val="42"/>
        <w:shd w:val="clear" w:color="auto" w:fill="auto"/>
        <w:spacing w:before="0" w:beforeAutospacing="0" w:after="0" w:afterAutospacing="0" w:line="360" w:lineRule="auto"/>
        <w:jc w:val="both"/>
        <w:rPr>
          <w:rFonts w:hint="eastAsia" w:cs="宋体"/>
          <w:color w:val="auto"/>
          <w:highlight w:val="none"/>
        </w:rPr>
      </w:pPr>
      <w:r>
        <w:rPr>
          <w:rStyle w:val="51"/>
          <w:rFonts w:hint="eastAsia" w:cs="宋体"/>
          <w:color w:val="auto"/>
          <w:highlight w:val="none"/>
        </w:rPr>
        <w:t>三、获取招标文件</w:t>
      </w:r>
      <w:r>
        <w:rPr>
          <w:rFonts w:hint="eastAsia" w:cs="宋体"/>
          <w:color w:val="auto"/>
          <w:highlight w:val="none"/>
        </w:rPr>
        <w:t> </w:t>
      </w:r>
    </w:p>
    <w:p w14:paraId="0BA9D7C8">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时间：2026年</w:t>
      </w:r>
      <w:r>
        <w:rPr>
          <w:rFonts w:hint="eastAsia" w:cs="宋体"/>
          <w:color w:val="auto"/>
          <w:highlight w:val="none"/>
          <w:lang w:val="en-US" w:eastAsia="zh-CN"/>
        </w:rPr>
        <w:t xml:space="preserve">   </w:t>
      </w:r>
      <w:r>
        <w:rPr>
          <w:rFonts w:hint="eastAsia" w:cs="宋体"/>
          <w:color w:val="auto"/>
          <w:highlight w:val="none"/>
        </w:rPr>
        <w:t>月</w:t>
      </w:r>
      <w:r>
        <w:rPr>
          <w:rFonts w:hint="eastAsia" w:cs="宋体"/>
          <w:color w:val="auto"/>
          <w:highlight w:val="none"/>
          <w:lang w:val="en-US" w:eastAsia="zh-CN"/>
        </w:rPr>
        <w:t xml:space="preserve">   </w:t>
      </w:r>
      <w:r>
        <w:rPr>
          <w:rFonts w:hint="eastAsia" w:cs="宋体"/>
          <w:color w:val="auto"/>
          <w:highlight w:val="none"/>
        </w:rPr>
        <w:t>日至2026年</w:t>
      </w:r>
      <w:r>
        <w:rPr>
          <w:rFonts w:hint="eastAsia" w:cs="宋体"/>
          <w:color w:val="auto"/>
          <w:highlight w:val="none"/>
          <w:lang w:val="en-US" w:eastAsia="zh-CN"/>
        </w:rPr>
        <w:t xml:space="preserve">   </w:t>
      </w:r>
      <w:r>
        <w:rPr>
          <w:rFonts w:hint="eastAsia" w:cs="宋体"/>
          <w:color w:val="auto"/>
          <w:highlight w:val="none"/>
        </w:rPr>
        <w:t>月</w:t>
      </w:r>
      <w:r>
        <w:rPr>
          <w:rFonts w:hint="eastAsia" w:cs="宋体"/>
          <w:color w:val="auto"/>
          <w:highlight w:val="none"/>
          <w:lang w:val="en-US" w:eastAsia="zh-CN"/>
        </w:rPr>
        <w:t xml:space="preserve">   </w:t>
      </w:r>
      <w:r>
        <w:rPr>
          <w:rFonts w:hint="eastAsia" w:cs="宋体"/>
          <w:color w:val="auto"/>
          <w:highlight w:val="none"/>
        </w:rPr>
        <w:t>日，00:00:00至12:00:00 ，下午12:00:00至23:59:59（北京时间，法定节假日除外）</w:t>
      </w:r>
    </w:p>
    <w:p w14:paraId="2D200D2D">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地点（网址）：广西政府采购云平台（https://www.gcy.zfcg.gxzf.gov.cn/）方式：网上下载。本项目不发放纸质文件，供应商应自行在广西政府采购云平台（https://www.gcy.zfcg.gxzf.gov.cn/）下载招标文件（操作路径：登录广西政府采购云平台-项目采购-获取采购文件-找到本项目-点击“申请获取采购文件”），电子投标文件制作需要基于广西政府采购云平台获取的招标文件编制。</w:t>
      </w:r>
    </w:p>
    <w:p w14:paraId="04AD9C73">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售价（元）：0 </w:t>
      </w:r>
    </w:p>
    <w:p w14:paraId="3377436A">
      <w:pPr>
        <w:pStyle w:val="42"/>
        <w:spacing w:before="0" w:beforeAutospacing="0" w:after="0" w:afterAutospacing="0" w:line="360" w:lineRule="auto"/>
        <w:jc w:val="both"/>
        <w:rPr>
          <w:rFonts w:hint="eastAsia" w:cs="宋体"/>
          <w:color w:val="auto"/>
          <w:highlight w:val="none"/>
        </w:rPr>
      </w:pPr>
      <w:r>
        <w:rPr>
          <w:rStyle w:val="51"/>
          <w:rFonts w:hint="eastAsia" w:cs="宋体"/>
          <w:color w:val="auto"/>
          <w:highlight w:val="none"/>
        </w:rPr>
        <w:t>四、提交投标文件截止时间、开标时间和地点</w:t>
      </w:r>
    </w:p>
    <w:p w14:paraId="1F4A57F1">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提交投标文件截止时间：</w:t>
      </w:r>
      <w:r>
        <w:rPr>
          <w:rFonts w:hint="eastAsia" w:cs="宋体"/>
          <w:color w:val="auto"/>
          <w:highlight w:val="none"/>
          <w:lang w:eastAsia="zh-CN"/>
        </w:rPr>
        <w:t>2026年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r>
        <w:rPr>
          <w:rFonts w:hint="eastAsia" w:cs="宋体"/>
          <w:color w:val="auto"/>
          <w:highlight w:val="none"/>
        </w:rPr>
        <w:t>09:20（北京时间）</w:t>
      </w:r>
    </w:p>
    <w:p w14:paraId="0E0CEA3F">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投标地点（网址）：广西政府采购云平台（https://www.gcy.zfcg.gxzf.gov.cn/）（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p w14:paraId="556DA523">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开标时间：</w:t>
      </w:r>
      <w:r>
        <w:rPr>
          <w:rFonts w:hint="eastAsia" w:cs="宋体"/>
          <w:color w:val="auto"/>
          <w:highlight w:val="none"/>
          <w:lang w:eastAsia="zh-CN"/>
        </w:rPr>
        <w:t>2026年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r>
        <w:rPr>
          <w:rFonts w:hint="eastAsia" w:cs="宋体"/>
          <w:color w:val="auto"/>
          <w:highlight w:val="none"/>
        </w:rPr>
        <w:t>09:20</w:t>
      </w:r>
    </w:p>
    <w:p w14:paraId="52698E5A">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开标地点：广西政府采购云平台（https://www.gcy.zfcg.gxzf.gov.cn/）</w:t>
      </w:r>
    </w:p>
    <w:p w14:paraId="4692CC8A">
      <w:pPr>
        <w:pStyle w:val="42"/>
        <w:spacing w:before="0" w:beforeAutospacing="0" w:after="0" w:afterAutospacing="0" w:line="360" w:lineRule="auto"/>
        <w:jc w:val="both"/>
        <w:rPr>
          <w:rFonts w:hint="eastAsia" w:cs="宋体"/>
          <w:color w:val="auto"/>
          <w:highlight w:val="none"/>
        </w:rPr>
      </w:pPr>
      <w:r>
        <w:rPr>
          <w:rStyle w:val="51"/>
          <w:rFonts w:hint="eastAsia" w:cs="宋体"/>
          <w:color w:val="auto"/>
          <w:highlight w:val="none"/>
        </w:rPr>
        <w:t>五、公告期限</w:t>
      </w:r>
      <w:r>
        <w:rPr>
          <w:rFonts w:hint="eastAsia" w:cs="宋体"/>
          <w:color w:val="auto"/>
          <w:highlight w:val="none"/>
        </w:rPr>
        <w:t> </w:t>
      </w:r>
    </w:p>
    <w:p w14:paraId="2583756E">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自本公告发布之日起5个工作日。</w:t>
      </w:r>
    </w:p>
    <w:p w14:paraId="2D5544B7">
      <w:pPr>
        <w:pStyle w:val="42"/>
        <w:spacing w:before="0" w:beforeAutospacing="0" w:after="0" w:afterAutospacing="0" w:line="360" w:lineRule="auto"/>
        <w:jc w:val="both"/>
        <w:rPr>
          <w:rFonts w:hint="eastAsia" w:cs="宋体"/>
          <w:color w:val="auto"/>
          <w:highlight w:val="none"/>
        </w:rPr>
      </w:pPr>
      <w:r>
        <w:rPr>
          <w:rStyle w:val="51"/>
          <w:rFonts w:hint="eastAsia" w:cs="宋体"/>
          <w:color w:val="auto"/>
          <w:highlight w:val="none"/>
        </w:rPr>
        <w:t>六、其他补充事宜</w:t>
      </w:r>
    </w:p>
    <w:p w14:paraId="0766BF0D">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D997B0B">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2.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994C19B">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3.本项目需要落实的政府采购政策：</w:t>
      </w:r>
    </w:p>
    <w:p w14:paraId="18D2D553">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（1）政府采购促进中小企业发展。</w:t>
      </w:r>
    </w:p>
    <w:p w14:paraId="0AF37709">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（2）政府采购促进残疾人就业政策。</w:t>
      </w:r>
    </w:p>
    <w:p w14:paraId="711FAF3E">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（3）政府采购支持监狱企业发展。</w:t>
      </w:r>
    </w:p>
    <w:p w14:paraId="3E47568F">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4.投标注意事项：</w:t>
      </w:r>
    </w:p>
    <w:p w14:paraId="60507D9B">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1）投标文件提交方式：本项目为全流程电子化政府采购项目，通过广西政府采购云平台（https://www.gcy.zfcg.gxzf.gov.cn/）实行在线电子投标，供应商应先安装“广西政府采购云平台新版客户端”（广西政府采购云平台新版客户端下载地址：https://sitecdn.zcycdn.com/zcy-client/bidding-client-new/official/guangxi/GuangXiSetup.exe），并按照本项目招标文件和广西政府采购云平台新版客户端的要求编制、加密后在投标截止时间前通过网络上传至广西政府采购云平台，供应商在广西政府采购云平台提交电子版投标文件时，请填写参加远程开标活动经办人联系方式。</w:t>
      </w:r>
    </w:p>
    <w:p w14:paraId="1200310B">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（2）供应商应及时熟悉掌握电子标系统操作指南并及时完成CA申领和绑定（见广西壮族自治区政府采购网—办事服务—下载专区-CA证书申请操作指南）。</w:t>
      </w:r>
    </w:p>
    <w:p w14:paraId="1A75AABE">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71D1F71A">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（4）为确保网上操作合法、有效和安全，请投标人确保在电子投标过程中能够对相关数据电文进行加密和使用电子签章，妥善保管CA数字证书并使用有效的CA数字证书参与整个采购活动。</w:t>
      </w:r>
    </w:p>
    <w:p w14:paraId="46861576">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5DD05C2C">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5.CA证书在线解密：供应商投标时，需携带制作投标文件时用来加密的有效数字证书（CA认证）登录广西政府采购云平台电子开标大厅现场按规定时间对加密的投标文件进行解密，否则后果自负。</w:t>
      </w:r>
    </w:p>
    <w:p w14:paraId="0B8CE2B7">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6.若对项目采购电子交易系统操作有疑问，可登录广西政府采购云平台（https://www.gcy.zfcg.gxzf.gov.cn/），点击右侧咨询小采，获取采小蜜智能服务管家帮助，或拨打服务热线95763获取热线服务帮助。</w:t>
      </w:r>
    </w:p>
    <w:p w14:paraId="3C856B67">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7.监督部门：柳州市财政局，联系电话：0772-2830320</w:t>
      </w:r>
    </w:p>
    <w:p w14:paraId="3E2E7942">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8.招标公告发布媒体：中国政府采购网、广西壮族自治区政府采购网、柳州市政府采购网。</w:t>
      </w:r>
    </w:p>
    <w:p w14:paraId="7AD0E4C2">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9.本项目不设投标保证金。</w:t>
      </w:r>
    </w:p>
    <w:p w14:paraId="5F202C8E">
      <w:pPr>
        <w:pStyle w:val="42"/>
        <w:spacing w:before="0" w:beforeAutospacing="0" w:after="0" w:afterAutospacing="0" w:line="360" w:lineRule="auto"/>
        <w:jc w:val="both"/>
        <w:rPr>
          <w:rFonts w:hint="eastAsia" w:cs="宋体"/>
          <w:color w:val="auto"/>
          <w:highlight w:val="none"/>
        </w:rPr>
      </w:pPr>
      <w:r>
        <w:rPr>
          <w:rStyle w:val="51"/>
          <w:rFonts w:hint="eastAsia" w:cs="宋体"/>
          <w:color w:val="auto"/>
          <w:highlight w:val="none"/>
        </w:rPr>
        <w:t>七、对本次采购提出询问，请按以下方式联系</w:t>
      </w:r>
    </w:p>
    <w:p w14:paraId="1BFEDF71">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1.采购人信息</w:t>
      </w:r>
    </w:p>
    <w:p w14:paraId="4FF338F6">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名   称：柳州市市场监督管理局</w:t>
      </w:r>
    </w:p>
    <w:p w14:paraId="466D0B4C">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 xml:space="preserve">地   址：广西壮族自治区柳州市城中区潭中东路1号 </w:t>
      </w:r>
    </w:p>
    <w:p w14:paraId="6392392B">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项目联系人：陆建明</w:t>
      </w:r>
    </w:p>
    <w:p w14:paraId="1708EC42">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项目联系方式：0772-2636925</w:t>
      </w:r>
    </w:p>
    <w:p w14:paraId="43F318F1">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2.采购代理机构信息</w:t>
      </w:r>
    </w:p>
    <w:p w14:paraId="5D71F4C3">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名   称：广西远潮管理咨询股份有限公司</w:t>
      </w:r>
    </w:p>
    <w:p w14:paraId="54CDEEF9">
      <w:pPr>
        <w:pStyle w:val="42"/>
        <w:spacing w:before="0" w:beforeAutospacing="0" w:after="0" w:afterAutospacing="0" w:line="360" w:lineRule="auto"/>
        <w:jc w:val="both"/>
        <w:rPr>
          <w:rFonts w:hint="eastAsia" w:eastAsia="宋体" w:cs="宋体"/>
          <w:color w:val="auto"/>
          <w:highlight w:val="none"/>
          <w:lang w:eastAsia="zh-CN"/>
        </w:rPr>
      </w:pPr>
      <w:r>
        <w:rPr>
          <w:rFonts w:hint="eastAsia" w:cs="宋体"/>
          <w:color w:val="auto"/>
          <w:highlight w:val="none"/>
        </w:rPr>
        <w:t xml:space="preserve">地   址： </w:t>
      </w:r>
      <w:r>
        <w:rPr>
          <w:rFonts w:hint="eastAsia" w:cs="宋体"/>
          <w:color w:val="auto"/>
          <w:highlight w:val="none"/>
          <w:lang w:eastAsia="zh-CN"/>
        </w:rPr>
        <w:t>柳州市东环大道228号双福雅苑1栋13-5</w:t>
      </w:r>
    </w:p>
    <w:p w14:paraId="15597BFF">
      <w:pPr>
        <w:pStyle w:val="42"/>
        <w:spacing w:before="0" w:beforeAutospacing="0" w:after="0" w:afterAutospacing="0" w:line="360" w:lineRule="auto"/>
        <w:jc w:val="both"/>
        <w:rPr>
          <w:rFonts w:hint="eastAsia" w:eastAsia="宋体" w:cs="宋体"/>
          <w:color w:val="auto"/>
          <w:highlight w:val="none"/>
          <w:lang w:eastAsia="zh-CN"/>
        </w:rPr>
      </w:pPr>
      <w:r>
        <w:rPr>
          <w:rFonts w:hint="eastAsia" w:cs="宋体"/>
          <w:color w:val="auto"/>
          <w:highlight w:val="none"/>
        </w:rPr>
        <w:t>项目联系人：</w:t>
      </w:r>
      <w:r>
        <w:rPr>
          <w:rFonts w:hint="eastAsia" w:cs="宋体"/>
          <w:color w:val="auto"/>
          <w:highlight w:val="none"/>
          <w:lang w:val="en-US" w:eastAsia="zh-CN"/>
        </w:rPr>
        <w:t>张工</w:t>
      </w:r>
    </w:p>
    <w:p w14:paraId="193530D3">
      <w:pPr>
        <w:pStyle w:val="42"/>
        <w:spacing w:before="0" w:beforeAutospacing="0" w:after="0" w:afterAutospacing="0" w:line="360" w:lineRule="auto"/>
        <w:jc w:val="both"/>
        <w:rPr>
          <w:rFonts w:hint="eastAsia" w:cs="宋体"/>
          <w:color w:val="auto"/>
          <w:highlight w:val="none"/>
        </w:rPr>
      </w:pPr>
      <w:r>
        <w:rPr>
          <w:rFonts w:hint="eastAsia" w:cs="宋体"/>
          <w:color w:val="auto"/>
          <w:highlight w:val="none"/>
        </w:rPr>
        <w:t>项目联系方式：0772-2567662</w:t>
      </w:r>
    </w:p>
    <w:p w14:paraId="1AC99DC1">
      <w:pPr>
        <w:pStyle w:val="3"/>
        <w:jc w:val="center"/>
        <w:rPr>
          <w:color w:val="auto"/>
          <w:szCs w:val="30"/>
          <w:highlight w:val="none"/>
        </w:rPr>
      </w:pPr>
      <w:r>
        <w:rPr>
          <w:rFonts w:hint="eastAsia" w:ascii="宋体" w:hAnsi="宋体" w:cs="宋体"/>
          <w:color w:val="auto"/>
          <w:highlight w:val="none"/>
        </w:rPr>
        <w:br w:type="page"/>
      </w:r>
      <w:bookmarkStart w:id="6" w:name="_Toc4341"/>
      <w:r>
        <w:rPr>
          <w:rFonts w:hint="eastAsia"/>
          <w:color w:val="auto"/>
          <w:highlight w:val="none"/>
        </w:rPr>
        <w:t>第二章</w:t>
      </w:r>
      <w:r>
        <w:rPr>
          <w:color w:val="auto"/>
          <w:highlight w:val="none"/>
        </w:rPr>
        <w:t xml:space="preserve">  </w:t>
      </w:r>
      <w:r>
        <w:rPr>
          <w:rFonts w:hint="eastAsia"/>
          <w:color w:val="auto"/>
          <w:highlight w:val="none"/>
        </w:rPr>
        <w:t>采购需求</w:t>
      </w:r>
      <w:bookmarkEnd w:id="6"/>
    </w:p>
    <w:p w14:paraId="471AE438">
      <w:pPr>
        <w:spacing w:line="480" w:lineRule="auto"/>
        <w:rPr>
          <w:rFonts w:hint="eastAsia" w:hAnsi="宋体"/>
          <w:color w:val="auto"/>
          <w:highlight w:val="none"/>
        </w:rPr>
      </w:pPr>
      <w:r>
        <w:rPr>
          <w:rFonts w:hint="eastAsia" w:hAnsi="宋体"/>
          <w:color w:val="auto"/>
          <w:highlight w:val="none"/>
        </w:rPr>
        <w:t>说明：</w:t>
      </w:r>
    </w:p>
    <w:p w14:paraId="29C4EC57">
      <w:pPr>
        <w:spacing w:line="480" w:lineRule="auto"/>
        <w:ind w:firstLine="424" w:firstLineChars="202"/>
        <w:rPr>
          <w:rFonts w:hint="eastAsia" w:hAnsi="宋体"/>
          <w:color w:val="auto"/>
          <w:highlight w:val="none"/>
        </w:rPr>
      </w:pPr>
      <w:r>
        <w:rPr>
          <w:rFonts w:hint="eastAsia" w:hAnsi="宋体"/>
          <w:color w:val="auto"/>
          <w:highlight w:val="none"/>
        </w:rPr>
        <w:t>1.本招标文件所称中小企业必须符合《政府采购促进中小企业发展管理办法》</w:t>
      </w:r>
      <w:r>
        <w:rPr>
          <w:rStyle w:val="179"/>
          <w:rFonts w:hint="eastAsia" w:hAnsi="宋体"/>
          <w:color w:val="auto"/>
          <w:highlight w:val="none"/>
        </w:rPr>
        <w:t>（财库</w:t>
      </w:r>
      <w:r>
        <w:rPr>
          <w:rStyle w:val="179"/>
          <w:rFonts w:hAnsi="宋体"/>
          <w:color w:val="auto"/>
          <w:highlight w:val="none"/>
        </w:rPr>
        <w:t>〔</w:t>
      </w:r>
      <w:r>
        <w:rPr>
          <w:rStyle w:val="179"/>
          <w:rFonts w:hint="eastAsia" w:hAnsi="宋体"/>
          <w:color w:val="auto"/>
          <w:highlight w:val="none"/>
        </w:rPr>
        <w:t>2020</w:t>
      </w:r>
      <w:r>
        <w:rPr>
          <w:rStyle w:val="179"/>
          <w:rFonts w:hAnsi="宋体"/>
          <w:color w:val="auto"/>
          <w:highlight w:val="none"/>
        </w:rPr>
        <w:t>〕</w:t>
      </w:r>
      <w:r>
        <w:rPr>
          <w:rStyle w:val="179"/>
          <w:rFonts w:hint="eastAsia" w:hAnsi="宋体"/>
          <w:color w:val="auto"/>
          <w:highlight w:val="none"/>
        </w:rPr>
        <w:t>46号）</w:t>
      </w:r>
      <w:r>
        <w:rPr>
          <w:rFonts w:hint="eastAsia" w:hAnsi="宋体"/>
          <w:color w:val="auto"/>
          <w:highlight w:val="none"/>
        </w:rPr>
        <w:t>第二条规定。</w:t>
      </w:r>
      <w:r>
        <w:rPr>
          <w:rFonts w:hAnsi="宋体"/>
          <w:color w:val="auto"/>
          <w:highlight w:val="none"/>
        </w:rPr>
        <w:t>按照《财政部、司法部关于政府采购支持监狱企业发展有关问题的通知》（财库〔2014〕68号）之规定，监狱企业视同小型、微型企业。</w:t>
      </w:r>
      <w:r>
        <w:rPr>
          <w:rFonts w:hint="eastAsia" w:hAnsi="宋体"/>
          <w:bCs/>
          <w:color w:val="auto"/>
          <w:highlight w:val="none"/>
        </w:rPr>
        <w:t>按照《财政部 民政部 中国残疾人联合会关于促进残疾人就业政府采购政策的通知》（财库〔2017〕141号）之规定，残疾人福利性单位视同小型、微型企业。</w:t>
      </w:r>
    </w:p>
    <w:p w14:paraId="61DA01EB">
      <w:pPr>
        <w:spacing w:line="480" w:lineRule="auto"/>
        <w:ind w:firstLine="424" w:firstLineChars="202"/>
        <w:rPr>
          <w:rFonts w:hint="eastAsia" w:hAnsi="宋体"/>
          <w:color w:val="auto"/>
          <w:highlight w:val="none"/>
        </w:rPr>
      </w:pPr>
      <w:r>
        <w:rPr>
          <w:rFonts w:hint="eastAsia" w:hAnsi="宋体"/>
          <w:color w:val="auto"/>
          <w:highlight w:val="none"/>
        </w:rPr>
        <w:t>2.小型和微型企业产品的价格给予20%的扣除，用扣除后的价格参与评审，具体扣除比例请以第四章《评标办法及评分标准》的规定为准。</w:t>
      </w:r>
    </w:p>
    <w:p w14:paraId="75592F22">
      <w:pPr>
        <w:spacing w:line="480" w:lineRule="auto"/>
        <w:ind w:firstLine="424" w:firstLineChars="202"/>
        <w:rPr>
          <w:rFonts w:hint="eastAsia" w:hAnsi="宋体"/>
          <w:color w:val="auto"/>
          <w:highlight w:val="none"/>
        </w:rPr>
      </w:pPr>
      <w:r>
        <w:rPr>
          <w:rFonts w:hint="eastAsia" w:hAnsi="宋体"/>
          <w:color w:val="auto"/>
          <w:highlight w:val="none"/>
        </w:rPr>
        <w:t>3.小型、微型企业提供中型企业制造的货物</w:t>
      </w:r>
      <w:r>
        <w:rPr>
          <w:rFonts w:hint="eastAsia" w:hAnsi="宋体"/>
          <w:color w:val="auto"/>
          <w:highlight w:val="none"/>
          <w:lang w:val="en-US" w:eastAsia="zh-CN"/>
        </w:rPr>
        <w:t>/服务</w:t>
      </w:r>
      <w:r>
        <w:rPr>
          <w:rFonts w:hint="eastAsia" w:hAnsi="宋体"/>
          <w:color w:val="auto"/>
          <w:highlight w:val="none"/>
        </w:rPr>
        <w:t>的，视同为中型企业。</w:t>
      </w:r>
    </w:p>
    <w:p w14:paraId="7E190212">
      <w:pPr>
        <w:spacing w:line="480" w:lineRule="auto"/>
        <w:ind w:firstLine="424" w:firstLineChars="202"/>
        <w:rPr>
          <w:rFonts w:hint="eastAsia" w:hAnsi="宋体"/>
          <w:color w:val="auto"/>
          <w:highlight w:val="none"/>
        </w:rPr>
      </w:pPr>
      <w:r>
        <w:rPr>
          <w:rFonts w:hint="eastAsia" w:hAnsi="宋体"/>
          <w:color w:val="auto"/>
          <w:highlight w:val="none"/>
        </w:rPr>
        <w:t>4.小型、微型企业提供大型企业制造的货物</w:t>
      </w:r>
      <w:r>
        <w:rPr>
          <w:rFonts w:hint="eastAsia" w:hAnsi="宋体"/>
          <w:color w:val="auto"/>
          <w:highlight w:val="none"/>
          <w:lang w:val="en-US" w:eastAsia="zh-CN"/>
        </w:rPr>
        <w:t>/服务</w:t>
      </w:r>
      <w:r>
        <w:rPr>
          <w:rFonts w:hint="eastAsia" w:hAnsi="宋体"/>
          <w:color w:val="auto"/>
          <w:highlight w:val="none"/>
        </w:rPr>
        <w:t>的，视同为大型企业。</w:t>
      </w:r>
    </w:p>
    <w:p w14:paraId="65EE948A">
      <w:pPr>
        <w:spacing w:line="480" w:lineRule="auto"/>
        <w:ind w:firstLine="424" w:firstLineChars="202"/>
        <w:rPr>
          <w:rFonts w:hint="eastAsia" w:hAnsi="宋体"/>
          <w:b/>
          <w:color w:val="auto"/>
          <w:highlight w:val="none"/>
        </w:rPr>
      </w:pPr>
      <w:r>
        <w:rPr>
          <w:rFonts w:hint="eastAsia" w:hAnsi="宋体"/>
          <w:color w:val="auto"/>
          <w:highlight w:val="none"/>
        </w:rPr>
        <w:t>5.</w:t>
      </w:r>
      <w:r>
        <w:rPr>
          <w:rFonts w:hint="eastAsia" w:hAnsi="宋体"/>
          <w:b/>
          <w:color w:val="auto"/>
          <w:highlight w:val="none"/>
        </w:rPr>
        <w:t>根据财库〔2019〕9号及财库〔2019〕19号文件规定，节能产品政府采购品目清单内标注“★”的品目，属于政府强制采购节能产品。若采购货物属于以上品目清单的产品时，投标人的投标货物必须使用政府强制采购的节能产品，投标人必须在投标文件中提供由国家确定的认证机构出具的处于有效期之内的节能产品认证证书复印件（加盖投标人公章或自然人加盖手指指印），否则相应投标无效。</w:t>
      </w:r>
    </w:p>
    <w:p w14:paraId="5ECA9728">
      <w:pPr>
        <w:spacing w:line="480" w:lineRule="auto"/>
        <w:ind w:firstLine="424" w:firstLineChars="202"/>
        <w:rPr>
          <w:rFonts w:hint="eastAsia" w:hAnsi="宋体"/>
          <w:color w:val="auto"/>
          <w:highlight w:val="none"/>
        </w:rPr>
      </w:pPr>
      <w:r>
        <w:rPr>
          <w:rFonts w:hint="eastAsia" w:hAnsi="宋体"/>
          <w:color w:val="auto"/>
          <w:highlight w:val="none"/>
        </w:rPr>
        <w:t>6.供应商必须自行为其投标产品侵犯其他供应商或专利人的专利成果承担相应法律责任；同时，具有产品专利的供应商应在其投标文件中提供与其自有产品专利相关的有效证明材料，否则，不能就其产品的专利在本项目投标过程中被侵权问题提出异议。</w:t>
      </w:r>
    </w:p>
    <w:p w14:paraId="4B4F5082">
      <w:pPr>
        <w:spacing w:line="480" w:lineRule="auto"/>
        <w:ind w:firstLine="424" w:firstLineChars="202"/>
        <w:rPr>
          <w:rFonts w:hint="eastAsia" w:hAnsi="宋体"/>
          <w:color w:val="auto"/>
          <w:highlight w:val="none"/>
        </w:rPr>
      </w:pPr>
      <w:r>
        <w:rPr>
          <w:rFonts w:hint="eastAsia" w:hAnsi="宋体"/>
          <w:color w:val="auto"/>
          <w:highlight w:val="none"/>
        </w:rPr>
        <w:t>7.本一览表的品牌型号、技术参数及其性能（配置）仅起参考作用，投标人可选用其他品牌型号替代，但这些替代的品牌型号要实质上相当于或优于参考品牌型号及其技术参数性能（配置）要求；</w:t>
      </w:r>
    </w:p>
    <w:p w14:paraId="1C88F036">
      <w:pPr>
        <w:spacing w:line="480" w:lineRule="auto"/>
        <w:ind w:firstLine="424" w:firstLineChars="202"/>
        <w:rPr>
          <w:rFonts w:hint="eastAsia" w:hAnsi="宋体"/>
          <w:color w:val="auto"/>
          <w:highlight w:val="none"/>
        </w:rPr>
      </w:pPr>
      <w:r>
        <w:rPr>
          <w:rFonts w:hint="eastAsia" w:hAnsi="宋体"/>
          <w:color w:val="auto"/>
          <w:highlight w:val="none"/>
        </w:rPr>
        <w:t>8.本一览表中参考品牌型号规格及技术参数不明确或有误的，或投标人选用其他品牌型号替代的，请以详细、正确的品牌型号、技术参数（配置）同时填写投标报价表和技术规格偏离表。</w:t>
      </w:r>
    </w:p>
    <w:p w14:paraId="58F4EC54">
      <w:pPr>
        <w:tabs>
          <w:tab w:val="left" w:pos="3930"/>
        </w:tabs>
        <w:spacing w:line="440" w:lineRule="exact"/>
        <w:ind w:firstLine="446" w:firstLineChars="202"/>
        <w:rPr>
          <w:rFonts w:hint="default" w:hAnsi="宋体" w:eastAsia="宋体"/>
          <w:b/>
          <w:bCs/>
          <w:color w:val="auto"/>
          <w:highlight w:val="none"/>
          <w:lang w:val="en-US" w:eastAsia="zh-CN"/>
        </w:rPr>
      </w:pPr>
      <w:r>
        <w:rPr>
          <w:rFonts w:hint="eastAsia" w:ascii="宋体" w:hAnsi="宋体" w:eastAsia="宋体" w:cs="宋体"/>
          <w:b/>
          <w:bCs/>
          <w:color w:val="auto"/>
          <w:sz w:val="22"/>
          <w:szCs w:val="22"/>
          <w:highlight w:val="none"/>
          <w:lang w:val="en-US" w:eastAsia="zh-CN"/>
        </w:rPr>
        <w:t>9.采购标的对应的中小企业划准所属行业名称:其他未列明行业</w:t>
      </w:r>
    </w:p>
    <w:p w14:paraId="04C5D12E">
      <w:pPr>
        <w:tabs>
          <w:tab w:val="left" w:pos="3930"/>
        </w:tabs>
        <w:spacing w:line="440" w:lineRule="exact"/>
        <w:ind w:firstLine="426" w:firstLineChars="202"/>
        <w:rPr>
          <w:rFonts w:hint="eastAsia" w:hAnsi="宋体"/>
          <w:b/>
          <w:color w:val="auto"/>
          <w:highlight w:val="none"/>
        </w:rPr>
      </w:pPr>
      <w:r>
        <w:rPr>
          <w:rFonts w:hint="eastAsia" w:hAnsi="宋体"/>
          <w:b/>
          <w:color w:val="auto"/>
          <w:highlight w:val="none"/>
        </w:rPr>
        <w:br w:type="page"/>
      </w:r>
      <w:r>
        <w:rPr>
          <w:rFonts w:hint="eastAsia" w:hAnsi="宋体"/>
          <w:b/>
          <w:color w:val="auto"/>
          <w:highlight w:val="none"/>
        </w:rPr>
        <w:t>一、概述</w:t>
      </w:r>
    </w:p>
    <w:p w14:paraId="1FDAD6FF">
      <w:pPr>
        <w:pStyle w:val="5"/>
        <w:widowControl/>
        <w:kinsoku w:val="0"/>
        <w:autoSpaceDE w:val="0"/>
        <w:autoSpaceDN w:val="0"/>
        <w:adjustRightInd w:val="0"/>
        <w:snapToGrid w:val="0"/>
        <w:spacing w:before="187" w:line="360" w:lineRule="auto"/>
        <w:ind w:firstLine="420" w:firstLineChars="200"/>
        <w:jc w:val="left"/>
        <w:textAlignment w:val="baseline"/>
        <w:rPr>
          <w:rFonts w:hint="eastAsia" w:ascii="宋体" w:hAnsi="宋体"/>
          <w:color w:val="auto"/>
          <w:kern w:val="2"/>
          <w:sz w:val="21"/>
          <w:szCs w:val="21"/>
          <w:highlight w:val="none"/>
        </w:rPr>
      </w:pPr>
      <w:r>
        <w:rPr>
          <w:rFonts w:hint="eastAsia" w:ascii="宋体" w:hAnsi="宋体"/>
          <w:color w:val="auto"/>
          <w:kern w:val="2"/>
          <w:sz w:val="21"/>
          <w:szCs w:val="21"/>
          <w:highlight w:val="none"/>
        </w:rPr>
        <w:t>项目基本概况介绍：本项目为自治区转移支付柳州市2026年任务量，包括但不限于柳州市市场监督管理局下达的《2026年柳州市食品安全抽检计划的通知》（柳市监办法〔2026〕9号）等文件中明确的任务，在全市范围内开展粮食加工品、食用油（油脂及其制品）、调味品、肉制品、乳制品、饮料、方便食品、饼干、罐头、冷冻饮品、速冻食品、薯类和膨化食品、糖果制品、茶叶及相关制品、酒类、蔬菜制品、水果制品、炒货食品及坚果制品、蛋制品、可可及焙烤咖啡产品、食糖、水产制品、淀粉及淀粉制品、糕点、豆制品、蜂产品、食盐、餐饮食品、保健食品、食用农产品和食品添加剂等的抽检任务，全年抽检、监测等总批次数</w:t>
      </w:r>
      <w:r>
        <w:rPr>
          <w:rFonts w:hint="eastAsia" w:ascii="宋体" w:hAnsi="宋体"/>
          <w:color w:val="auto"/>
          <w:kern w:val="2"/>
          <w:sz w:val="21"/>
          <w:szCs w:val="21"/>
          <w:highlight w:val="none"/>
          <w:lang w:val="en-US" w:eastAsia="zh-CN"/>
        </w:rPr>
        <w:t>不少于</w:t>
      </w:r>
      <w:r>
        <w:rPr>
          <w:rFonts w:hint="eastAsia" w:ascii="宋体" w:hAnsi="宋体"/>
          <w:color w:val="auto"/>
          <w:kern w:val="2"/>
          <w:sz w:val="21"/>
          <w:szCs w:val="21"/>
          <w:highlight w:val="none"/>
        </w:rPr>
        <w:t>416批次。</w:t>
      </w:r>
    </w:p>
    <w:p w14:paraId="05EF4170">
      <w:pPr>
        <w:pStyle w:val="5"/>
        <w:widowControl/>
        <w:kinsoku w:val="0"/>
        <w:autoSpaceDE w:val="0"/>
        <w:autoSpaceDN w:val="0"/>
        <w:adjustRightInd w:val="0"/>
        <w:snapToGrid w:val="0"/>
        <w:spacing w:before="187" w:line="360" w:lineRule="auto"/>
        <w:ind w:left="23" w:firstLine="497"/>
        <w:jc w:val="left"/>
        <w:textAlignment w:val="baseline"/>
        <w:rPr>
          <w:rFonts w:hint="eastAsia" w:ascii="宋体" w:hAnsi="宋体"/>
          <w:color w:val="auto"/>
          <w:kern w:val="2"/>
          <w:sz w:val="21"/>
          <w:szCs w:val="21"/>
          <w:highlight w:val="none"/>
        </w:rPr>
      </w:pPr>
      <w:r>
        <w:rPr>
          <w:rFonts w:hint="eastAsia" w:ascii="宋体" w:hAnsi="宋体"/>
          <w:color w:val="auto"/>
          <w:kern w:val="2"/>
          <w:sz w:val="21"/>
          <w:szCs w:val="21"/>
          <w:highlight w:val="none"/>
        </w:rPr>
        <w:t>本项目预算金额：35.24万元人民币（针对</w:t>
      </w:r>
      <w:r>
        <w:rPr>
          <w:rFonts w:hint="eastAsia" w:ascii="宋体" w:hAnsi="宋体"/>
          <w:color w:val="auto"/>
          <w:kern w:val="2"/>
          <w:sz w:val="21"/>
          <w:szCs w:val="21"/>
          <w:highlight w:val="none"/>
          <w:lang w:val="en-US" w:eastAsia="zh-CN"/>
        </w:rPr>
        <w:t>中</w:t>
      </w:r>
      <w:r>
        <w:rPr>
          <w:rFonts w:hint="eastAsia" w:ascii="宋体" w:hAnsi="宋体"/>
          <w:color w:val="auto"/>
          <w:kern w:val="2"/>
          <w:sz w:val="21"/>
          <w:szCs w:val="21"/>
          <w:highlight w:val="none"/>
        </w:rPr>
        <w:t>小型企业）。</w:t>
      </w:r>
    </w:p>
    <w:p w14:paraId="7AB1A812">
      <w:pPr>
        <w:pStyle w:val="5"/>
        <w:widowControl/>
        <w:kinsoku w:val="0"/>
        <w:autoSpaceDE w:val="0"/>
        <w:autoSpaceDN w:val="0"/>
        <w:adjustRightInd w:val="0"/>
        <w:snapToGrid w:val="0"/>
        <w:spacing w:before="35" w:line="360" w:lineRule="auto"/>
        <w:ind w:firstLine="422" w:firstLineChars="200"/>
        <w:jc w:val="left"/>
        <w:textAlignment w:val="baseline"/>
        <w:rPr>
          <w:rFonts w:hint="eastAsia" w:ascii="宋体" w:hAnsi="宋体"/>
          <w:b/>
          <w:bCs/>
          <w:color w:val="auto"/>
          <w:kern w:val="2"/>
          <w:sz w:val="21"/>
          <w:szCs w:val="21"/>
          <w:highlight w:val="none"/>
        </w:rPr>
      </w:pPr>
      <w:r>
        <w:rPr>
          <w:rFonts w:hint="eastAsia" w:ascii="宋体" w:hAnsi="宋体"/>
          <w:b/>
          <w:bCs/>
          <w:color w:val="auto"/>
          <w:kern w:val="2"/>
          <w:sz w:val="21"/>
          <w:szCs w:val="21"/>
          <w:highlight w:val="none"/>
        </w:rPr>
        <w:t>最高限价：</w:t>
      </w:r>
    </w:p>
    <w:tbl>
      <w:tblPr>
        <w:tblStyle w:val="48"/>
        <w:tblW w:w="91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985"/>
        <w:gridCol w:w="2201"/>
        <w:gridCol w:w="3212"/>
      </w:tblGrid>
      <w:tr w14:paraId="08D54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25" w:type="dxa"/>
            <w:noWrap w:val="0"/>
            <w:vAlign w:val="top"/>
          </w:tcPr>
          <w:p w14:paraId="5714DB80">
            <w:pPr>
              <w:pStyle w:val="132"/>
              <w:widowControl/>
              <w:kinsoku w:val="0"/>
              <w:autoSpaceDE w:val="0"/>
              <w:autoSpaceDN w:val="0"/>
              <w:adjustRightInd w:val="0"/>
              <w:snapToGrid w:val="0"/>
              <w:spacing w:before="78" w:line="360" w:lineRule="auto"/>
              <w:jc w:val="center"/>
              <w:textAlignment w:val="baseline"/>
              <w:rPr>
                <w:rFonts w:hint="eastAsia" w:eastAsia="宋体"/>
                <w:color w:val="auto"/>
                <w:sz w:val="20"/>
                <w:szCs w:val="20"/>
                <w:highlight w:val="none"/>
                <w:lang w:eastAsia="zh-CN"/>
              </w:rPr>
            </w:pPr>
            <w:r>
              <w:rPr>
                <w:rFonts w:hint="eastAsia"/>
                <w:color w:val="auto"/>
                <w:spacing w:val="-7"/>
                <w:sz w:val="20"/>
                <w:szCs w:val="20"/>
                <w:highlight w:val="none"/>
                <w:lang w:val="en-US" w:eastAsia="zh-CN"/>
              </w:rPr>
              <w:t>序号</w:t>
            </w:r>
          </w:p>
        </w:tc>
        <w:tc>
          <w:tcPr>
            <w:tcW w:w="2985" w:type="dxa"/>
            <w:noWrap w:val="0"/>
            <w:vAlign w:val="top"/>
          </w:tcPr>
          <w:p w14:paraId="6DEE9AEB">
            <w:pPr>
              <w:pStyle w:val="132"/>
              <w:widowControl/>
              <w:kinsoku w:val="0"/>
              <w:autoSpaceDE w:val="0"/>
              <w:autoSpaceDN w:val="0"/>
              <w:adjustRightInd w:val="0"/>
              <w:snapToGrid w:val="0"/>
              <w:spacing w:before="119" w:line="360" w:lineRule="auto"/>
              <w:ind w:left="806" w:right="30" w:hanging="689"/>
              <w:textAlignment w:val="baseline"/>
              <w:rPr>
                <w:rFonts w:hint="eastAsia"/>
                <w:color w:val="auto"/>
                <w:sz w:val="20"/>
                <w:szCs w:val="20"/>
                <w:highlight w:val="none"/>
              </w:rPr>
            </w:pPr>
            <w:r>
              <w:rPr>
                <w:rFonts w:hint="eastAsia"/>
                <w:color w:val="auto"/>
                <w:spacing w:val="-4"/>
                <w:sz w:val="20"/>
                <w:szCs w:val="20"/>
                <w:highlight w:val="none"/>
              </w:rPr>
              <w:t>各预算金额（元）</w:t>
            </w:r>
            <w:r>
              <w:rPr>
                <w:rFonts w:hint="eastAsia"/>
                <w:color w:val="auto"/>
                <w:spacing w:val="-8"/>
                <w:sz w:val="20"/>
                <w:szCs w:val="20"/>
                <w:highlight w:val="none"/>
              </w:rPr>
              <w:t>固定总价</w:t>
            </w:r>
          </w:p>
        </w:tc>
        <w:tc>
          <w:tcPr>
            <w:tcW w:w="2201" w:type="dxa"/>
            <w:noWrap w:val="0"/>
            <w:vAlign w:val="top"/>
          </w:tcPr>
          <w:p w14:paraId="117A555E">
            <w:pPr>
              <w:pStyle w:val="132"/>
              <w:widowControl/>
              <w:kinsoku w:val="0"/>
              <w:autoSpaceDE w:val="0"/>
              <w:autoSpaceDN w:val="0"/>
              <w:adjustRightInd w:val="0"/>
              <w:snapToGrid w:val="0"/>
              <w:spacing w:before="118" w:line="360" w:lineRule="auto"/>
              <w:jc w:val="center"/>
              <w:textAlignment w:val="baseline"/>
              <w:rPr>
                <w:rFonts w:hint="eastAsia"/>
                <w:color w:val="auto"/>
                <w:sz w:val="20"/>
                <w:szCs w:val="20"/>
                <w:highlight w:val="none"/>
              </w:rPr>
            </w:pPr>
            <w:r>
              <w:rPr>
                <w:rFonts w:hint="eastAsia"/>
                <w:color w:val="auto"/>
                <w:spacing w:val="-2"/>
                <w:sz w:val="20"/>
                <w:szCs w:val="20"/>
                <w:highlight w:val="none"/>
              </w:rPr>
              <w:t>单批次最高限价</w:t>
            </w:r>
            <w:r>
              <w:rPr>
                <w:rFonts w:hint="eastAsia"/>
                <w:color w:val="auto"/>
                <w:spacing w:val="-7"/>
                <w:sz w:val="20"/>
                <w:szCs w:val="20"/>
                <w:highlight w:val="none"/>
              </w:rPr>
              <w:t>（元）</w:t>
            </w:r>
          </w:p>
        </w:tc>
        <w:tc>
          <w:tcPr>
            <w:tcW w:w="3212" w:type="dxa"/>
            <w:noWrap w:val="0"/>
            <w:vAlign w:val="top"/>
          </w:tcPr>
          <w:p w14:paraId="063084F4">
            <w:pPr>
              <w:pStyle w:val="132"/>
              <w:widowControl/>
              <w:kinsoku w:val="0"/>
              <w:autoSpaceDE w:val="0"/>
              <w:autoSpaceDN w:val="0"/>
              <w:adjustRightInd w:val="0"/>
              <w:snapToGrid w:val="0"/>
              <w:spacing w:before="119" w:line="360" w:lineRule="auto"/>
              <w:ind w:left="291"/>
              <w:textAlignment w:val="baseline"/>
              <w:rPr>
                <w:rFonts w:hint="eastAsia"/>
                <w:color w:val="auto"/>
                <w:sz w:val="20"/>
                <w:szCs w:val="20"/>
                <w:highlight w:val="none"/>
              </w:rPr>
            </w:pPr>
            <w:r>
              <w:rPr>
                <w:rFonts w:hint="eastAsia"/>
                <w:color w:val="auto"/>
                <w:spacing w:val="-1"/>
                <w:sz w:val="20"/>
                <w:szCs w:val="20"/>
                <w:highlight w:val="none"/>
              </w:rPr>
              <w:t>所投的抽检批次数</w:t>
            </w:r>
            <w:r>
              <w:rPr>
                <w:rFonts w:hint="eastAsia"/>
                <w:color w:val="auto"/>
                <w:spacing w:val="-7"/>
                <w:sz w:val="20"/>
                <w:szCs w:val="20"/>
                <w:highlight w:val="none"/>
              </w:rPr>
              <w:t>（次）</w:t>
            </w:r>
          </w:p>
        </w:tc>
      </w:tr>
      <w:tr w14:paraId="21B10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25" w:type="dxa"/>
            <w:noWrap w:val="0"/>
            <w:vAlign w:val="top"/>
          </w:tcPr>
          <w:p w14:paraId="6A2F281C">
            <w:pPr>
              <w:pStyle w:val="132"/>
              <w:spacing w:before="155" w:line="184" w:lineRule="auto"/>
              <w:ind w:left="225"/>
              <w:rPr>
                <w:rFonts w:hint="eastAsia" w:eastAsia="宋体"/>
                <w:color w:val="auto"/>
                <w:spacing w:val="-2"/>
                <w:sz w:val="20"/>
                <w:szCs w:val="20"/>
                <w:highlight w:val="none"/>
                <w:lang w:val="en-US" w:eastAsia="zh-CN"/>
              </w:rPr>
            </w:pPr>
            <w:r>
              <w:rPr>
                <w:rFonts w:hint="eastAsia"/>
                <w:color w:val="auto"/>
                <w:spacing w:val="-2"/>
                <w:sz w:val="20"/>
                <w:szCs w:val="20"/>
                <w:highlight w:val="none"/>
                <w:lang w:val="en-US" w:eastAsia="zh-CN"/>
              </w:rPr>
              <w:t>1</w:t>
            </w:r>
          </w:p>
        </w:tc>
        <w:tc>
          <w:tcPr>
            <w:tcW w:w="2985" w:type="dxa"/>
            <w:noWrap w:val="0"/>
            <w:vAlign w:val="top"/>
          </w:tcPr>
          <w:p w14:paraId="412C5406">
            <w:pPr>
              <w:pStyle w:val="132"/>
              <w:spacing w:before="156" w:line="183" w:lineRule="auto"/>
              <w:ind w:left="946"/>
              <w:rPr>
                <w:color w:val="auto"/>
                <w:spacing w:val="-4"/>
                <w:sz w:val="20"/>
                <w:szCs w:val="20"/>
                <w:highlight w:val="none"/>
              </w:rPr>
            </w:pPr>
            <w:r>
              <w:rPr>
                <w:rFonts w:hint="eastAsia"/>
                <w:color w:val="auto"/>
                <w:spacing w:val="-4"/>
                <w:sz w:val="20"/>
                <w:szCs w:val="20"/>
                <w:highlight w:val="none"/>
              </w:rPr>
              <w:t>352400</w:t>
            </w:r>
          </w:p>
        </w:tc>
        <w:tc>
          <w:tcPr>
            <w:tcW w:w="2201" w:type="dxa"/>
            <w:noWrap w:val="0"/>
            <w:vAlign w:val="top"/>
          </w:tcPr>
          <w:p w14:paraId="4A5A6E39">
            <w:pPr>
              <w:pStyle w:val="132"/>
              <w:spacing w:before="156" w:line="183" w:lineRule="auto"/>
              <w:ind w:left="946"/>
              <w:rPr>
                <w:rFonts w:hint="eastAsia"/>
                <w:color w:val="auto"/>
                <w:spacing w:val="-4"/>
                <w:sz w:val="20"/>
                <w:szCs w:val="20"/>
                <w:highlight w:val="none"/>
              </w:rPr>
            </w:pPr>
            <w:r>
              <w:rPr>
                <w:rFonts w:hint="eastAsia"/>
                <w:color w:val="auto"/>
                <w:spacing w:val="-4"/>
                <w:sz w:val="20"/>
                <w:szCs w:val="20"/>
                <w:highlight w:val="none"/>
              </w:rPr>
              <w:t>847</w:t>
            </w:r>
          </w:p>
        </w:tc>
        <w:tc>
          <w:tcPr>
            <w:tcW w:w="3212" w:type="dxa"/>
            <w:noWrap w:val="0"/>
            <w:vAlign w:val="top"/>
          </w:tcPr>
          <w:p w14:paraId="2B746DF0">
            <w:pPr>
              <w:pStyle w:val="132"/>
              <w:spacing w:before="156" w:line="183" w:lineRule="auto"/>
              <w:ind w:left="946"/>
              <w:rPr>
                <w:color w:val="auto"/>
                <w:spacing w:val="-4"/>
                <w:sz w:val="20"/>
                <w:szCs w:val="20"/>
                <w:highlight w:val="none"/>
              </w:rPr>
            </w:pPr>
            <w:r>
              <w:rPr>
                <w:rFonts w:hint="eastAsia"/>
                <w:color w:val="auto"/>
                <w:spacing w:val="-4"/>
                <w:sz w:val="20"/>
                <w:szCs w:val="20"/>
                <w:highlight w:val="none"/>
              </w:rPr>
              <w:t>不少于416</w:t>
            </w:r>
          </w:p>
        </w:tc>
      </w:tr>
    </w:tbl>
    <w:p w14:paraId="1DD70AB4">
      <w:pPr>
        <w:pStyle w:val="5"/>
        <w:widowControl/>
        <w:kinsoku w:val="0"/>
        <w:autoSpaceDE w:val="0"/>
        <w:autoSpaceDN w:val="0"/>
        <w:adjustRightInd w:val="0"/>
        <w:snapToGrid w:val="0"/>
        <w:spacing w:before="115" w:line="360" w:lineRule="auto"/>
        <w:ind w:right="283" w:firstLine="440" w:firstLineChars="200"/>
        <w:textAlignment w:val="baseline"/>
        <w:rPr>
          <w:rFonts w:hint="eastAsia" w:ascii="宋体" w:hAnsi="宋体" w:cs="宋体"/>
          <w:color w:val="auto"/>
          <w:spacing w:val="0"/>
          <w:sz w:val="22"/>
          <w:szCs w:val="22"/>
          <w:highlight w:val="none"/>
        </w:rPr>
      </w:pPr>
      <w:bookmarkStart w:id="7" w:name="_Toc11720"/>
      <w:r>
        <w:rPr>
          <w:rFonts w:hint="eastAsia" w:ascii="宋体" w:hAnsi="宋体" w:cs="宋体"/>
          <w:color w:val="auto"/>
          <w:spacing w:val="0"/>
          <w:sz w:val="22"/>
          <w:szCs w:val="22"/>
          <w:highlight w:val="none"/>
        </w:rPr>
        <w:t>合同履行期限：2026年7月至2026年11月30日。</w:t>
      </w:r>
      <w:bookmarkEnd w:id="7"/>
    </w:p>
    <w:p w14:paraId="2769B841">
      <w:pPr>
        <w:rPr>
          <w:rStyle w:val="129"/>
          <w:rFonts w:ascii="宋体" w:hAnsi="宋体"/>
          <w:color w:val="auto"/>
          <w:highlight w:val="none"/>
        </w:rPr>
      </w:pPr>
    </w:p>
    <w:tbl>
      <w:tblPr>
        <w:tblStyle w:val="48"/>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7"/>
        <w:gridCol w:w="2584"/>
        <w:gridCol w:w="135"/>
        <w:gridCol w:w="850"/>
        <w:gridCol w:w="4466"/>
      </w:tblGrid>
      <w:tr w14:paraId="7830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9002" w:type="dxa"/>
            <w:gridSpan w:val="5"/>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471DC275">
            <w:pPr>
              <w:spacing w:line="360" w:lineRule="auto"/>
              <w:rPr>
                <w:rFonts w:hint="eastAsia" w:hAnsi="宋体" w:cs="宋体"/>
                <w:b/>
                <w:bCs/>
                <w:color w:val="auto"/>
                <w:highlight w:val="none"/>
              </w:rPr>
            </w:pPr>
            <w:r>
              <w:rPr>
                <w:rFonts w:hint="eastAsia" w:hAnsi="宋体" w:cs="宋体"/>
                <w:b/>
                <w:bCs/>
                <w:color w:val="auto"/>
                <w:highlight w:val="none"/>
              </w:rPr>
              <w:t>▲一、项目要求及技术需求</w:t>
            </w:r>
          </w:p>
        </w:tc>
      </w:tr>
      <w:tr w14:paraId="5E62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0AA99C4B">
            <w:pPr>
              <w:spacing w:line="360" w:lineRule="auto"/>
              <w:jc w:val="center"/>
              <w:rPr>
                <w:rFonts w:hint="eastAsia" w:hAnsi="宋体" w:cs="宋体"/>
                <w:b/>
                <w:color w:val="auto"/>
                <w:kern w:val="0"/>
                <w:highlight w:val="none"/>
              </w:rPr>
            </w:pPr>
            <w:r>
              <w:rPr>
                <w:rFonts w:hint="eastAsia" w:hAnsi="宋体" w:cs="宋体"/>
                <w:b/>
                <w:color w:val="auto"/>
                <w:kern w:val="0"/>
                <w:highlight w:val="none"/>
              </w:rPr>
              <w:t>序号</w:t>
            </w:r>
          </w:p>
        </w:tc>
        <w:tc>
          <w:tcPr>
            <w:tcW w:w="2719" w:type="dxa"/>
            <w:gridSpan w:val="2"/>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4844A0B0">
            <w:pPr>
              <w:snapToGrid w:val="0"/>
              <w:spacing w:line="360" w:lineRule="auto"/>
              <w:jc w:val="center"/>
              <w:rPr>
                <w:rFonts w:hint="eastAsia" w:hAnsi="宋体" w:cs="宋体"/>
                <w:b/>
                <w:color w:val="auto"/>
                <w:highlight w:val="none"/>
              </w:rPr>
            </w:pPr>
            <w:r>
              <w:rPr>
                <w:rFonts w:hint="eastAsia" w:hAnsi="宋体" w:cs="宋体"/>
                <w:b/>
                <w:color w:val="auto"/>
                <w:highlight w:val="none"/>
              </w:rPr>
              <w:t>采购内容</w:t>
            </w:r>
          </w:p>
        </w:tc>
        <w:tc>
          <w:tcPr>
            <w:tcW w:w="850"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59B692F6">
            <w:pPr>
              <w:spacing w:line="360" w:lineRule="auto"/>
              <w:jc w:val="center"/>
              <w:rPr>
                <w:rFonts w:hint="eastAsia" w:hAnsi="宋体" w:cs="宋体"/>
                <w:b/>
                <w:color w:val="auto"/>
                <w:kern w:val="0"/>
                <w:highlight w:val="none"/>
              </w:rPr>
            </w:pPr>
            <w:r>
              <w:rPr>
                <w:rFonts w:hint="eastAsia" w:hAnsi="宋体" w:cs="宋体"/>
                <w:b/>
                <w:color w:val="auto"/>
                <w:kern w:val="0"/>
                <w:highlight w:val="none"/>
              </w:rPr>
              <w:t>数量</w:t>
            </w:r>
          </w:p>
        </w:tc>
        <w:tc>
          <w:tcPr>
            <w:tcW w:w="4466"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5D4C1E21">
            <w:pPr>
              <w:spacing w:line="360" w:lineRule="auto"/>
              <w:jc w:val="center"/>
              <w:rPr>
                <w:rFonts w:hint="eastAsia" w:hAnsi="宋体" w:cs="宋体"/>
                <w:b/>
                <w:bCs/>
                <w:color w:val="auto"/>
                <w:highlight w:val="none"/>
              </w:rPr>
            </w:pPr>
            <w:r>
              <w:rPr>
                <w:rFonts w:hint="eastAsia" w:hAnsi="宋体" w:cs="宋体"/>
                <w:b/>
                <w:bCs/>
                <w:color w:val="auto"/>
                <w:highlight w:val="none"/>
              </w:rPr>
              <w:t>项目要求及技术需求</w:t>
            </w:r>
          </w:p>
        </w:tc>
      </w:tr>
      <w:tr w14:paraId="2C12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4925D0C3">
            <w:pPr>
              <w:spacing w:line="360" w:lineRule="auto"/>
              <w:jc w:val="center"/>
              <w:rPr>
                <w:rFonts w:hint="eastAsia" w:hAnsi="宋体" w:cs="宋体"/>
                <w:color w:val="auto"/>
                <w:kern w:val="0"/>
                <w:highlight w:val="none"/>
              </w:rPr>
            </w:pPr>
            <w:r>
              <w:rPr>
                <w:rFonts w:hint="eastAsia" w:hAnsi="宋体" w:cs="宋体"/>
                <w:color w:val="auto"/>
                <w:kern w:val="0"/>
                <w:highlight w:val="none"/>
              </w:rPr>
              <w:t>1</w:t>
            </w:r>
          </w:p>
        </w:tc>
        <w:tc>
          <w:tcPr>
            <w:tcW w:w="2719" w:type="dxa"/>
            <w:gridSpan w:val="2"/>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5F318145">
            <w:pPr>
              <w:snapToGrid w:val="0"/>
              <w:spacing w:line="360" w:lineRule="auto"/>
              <w:jc w:val="center"/>
              <w:rPr>
                <w:rFonts w:hint="eastAsia" w:hAnsi="宋体" w:eastAsia="宋体" w:cs="宋体"/>
                <w:color w:val="auto"/>
                <w:highlight w:val="none"/>
                <w:lang w:eastAsia="zh-CN"/>
              </w:rPr>
            </w:pPr>
            <w:r>
              <w:rPr>
                <w:rFonts w:hint="eastAsia" w:hAnsi="宋体" w:cs="宋体"/>
                <w:color w:val="auto"/>
                <w:highlight w:val="none"/>
                <w:lang w:eastAsia="zh-CN"/>
              </w:rPr>
              <w:t>2026年柳州市市场监督管理局自治区转移食品抽样检测服务项目（重）</w:t>
            </w:r>
          </w:p>
        </w:tc>
        <w:tc>
          <w:tcPr>
            <w:tcW w:w="850"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773F82FA">
            <w:pPr>
              <w:spacing w:line="360" w:lineRule="auto"/>
              <w:jc w:val="center"/>
              <w:rPr>
                <w:rFonts w:hint="eastAsia" w:hAnsi="宋体" w:cs="宋体"/>
                <w:b/>
                <w:color w:val="auto"/>
                <w:kern w:val="0"/>
                <w:highlight w:val="none"/>
              </w:rPr>
            </w:pPr>
            <w:r>
              <w:rPr>
                <w:rFonts w:hint="eastAsia" w:hAnsi="宋体" w:cs="宋体"/>
                <w:color w:val="auto"/>
                <w:kern w:val="0"/>
                <w:highlight w:val="none"/>
              </w:rPr>
              <w:t>1项</w:t>
            </w:r>
          </w:p>
        </w:tc>
        <w:tc>
          <w:tcPr>
            <w:tcW w:w="4466"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14:paraId="7D3E4354">
            <w:pPr>
              <w:numPr>
                <w:ilvl w:val="0"/>
                <w:numId w:val="0"/>
              </w:numPr>
              <w:spacing w:line="360" w:lineRule="auto"/>
              <w:rPr>
                <w:rFonts w:hint="eastAsia" w:hAnsi="宋体" w:cs="宋体"/>
                <w:color w:val="auto"/>
                <w:kern w:val="0"/>
                <w:highlight w:val="none"/>
              </w:rPr>
            </w:pPr>
            <w:r>
              <w:rPr>
                <w:rFonts w:hint="eastAsia" w:hAnsi="宋体" w:cs="宋体"/>
                <w:color w:val="auto"/>
                <w:kern w:val="0"/>
                <w:sz w:val="21"/>
                <w:szCs w:val="24"/>
                <w:highlight w:val="none"/>
                <w:lang w:val="en-US" w:eastAsia="zh-CN" w:bidi="ar-SA"/>
              </w:rPr>
              <w:t>1.</w:t>
            </w:r>
            <w:r>
              <w:rPr>
                <w:rFonts w:hint="eastAsia" w:hAnsi="宋体" w:cs="宋体"/>
                <w:color w:val="auto"/>
                <w:kern w:val="0"/>
                <w:highlight w:val="none"/>
              </w:rPr>
              <w:t>需提供的抽检服务品种及项目详见招标文件第二章</w:t>
            </w:r>
            <w:r>
              <w:rPr>
                <w:rFonts w:hint="eastAsia" w:hAnsi="宋体" w:cs="宋体"/>
                <w:color w:val="auto"/>
                <w:kern w:val="0"/>
                <w:highlight w:val="none"/>
                <w:lang w:val="en-US" w:eastAsia="zh-CN"/>
              </w:rPr>
              <w:t xml:space="preserve"> </w:t>
            </w:r>
            <w:r>
              <w:rPr>
                <w:rFonts w:hint="eastAsia" w:hAnsi="宋体" w:cs="宋体"/>
                <w:color w:val="auto"/>
                <w:kern w:val="0"/>
                <w:highlight w:val="none"/>
              </w:rPr>
              <w:t>采购需求：附件1。</w:t>
            </w:r>
          </w:p>
          <w:p w14:paraId="20035276">
            <w:pPr>
              <w:spacing w:line="360" w:lineRule="auto"/>
              <w:rPr>
                <w:rFonts w:hint="eastAsia" w:hAnsi="宋体" w:cs="宋体"/>
                <w:color w:val="auto"/>
                <w:kern w:val="0"/>
                <w:highlight w:val="none"/>
              </w:rPr>
            </w:pPr>
            <w:r>
              <w:rPr>
                <w:rFonts w:hint="eastAsia" w:hAnsi="宋体" w:cs="宋体"/>
                <w:color w:val="auto"/>
                <w:kern w:val="0"/>
                <w:highlight w:val="none"/>
              </w:rPr>
              <w:t>2.抽检批次的下限数量：</w:t>
            </w:r>
          </w:p>
          <w:p w14:paraId="6F647D90">
            <w:pPr>
              <w:spacing w:line="360" w:lineRule="auto"/>
              <w:rPr>
                <w:rFonts w:hint="eastAsia" w:hAnsi="宋体" w:cs="宋体"/>
                <w:color w:val="auto"/>
                <w:kern w:val="0"/>
                <w:highlight w:val="none"/>
              </w:rPr>
            </w:pPr>
            <w:r>
              <w:rPr>
                <w:rFonts w:hint="eastAsia" w:ascii="宋体" w:hAnsi="宋体" w:cs="宋体"/>
                <w:color w:val="auto"/>
                <w:kern w:val="0"/>
                <w:highlight w:val="none"/>
              </w:rPr>
              <w:t>普通食品和食用农产品不少于416批次</w:t>
            </w:r>
            <w:r>
              <w:rPr>
                <w:rFonts w:hint="eastAsia" w:hAnsi="宋体" w:cs="宋体"/>
                <w:color w:val="auto"/>
                <w:kern w:val="0"/>
                <w:highlight w:val="none"/>
              </w:rPr>
              <w:t>。</w:t>
            </w:r>
          </w:p>
          <w:p w14:paraId="17137C4F">
            <w:pPr>
              <w:spacing w:line="360" w:lineRule="auto"/>
              <w:rPr>
                <w:rFonts w:hint="eastAsia" w:hAnsi="宋体" w:cs="宋体"/>
                <w:color w:val="auto"/>
                <w:kern w:val="0"/>
                <w:highlight w:val="none"/>
              </w:rPr>
            </w:pPr>
            <w:r>
              <w:rPr>
                <w:rFonts w:hint="eastAsia" w:hAnsi="宋体" w:cs="宋体"/>
                <w:color w:val="auto"/>
                <w:kern w:val="0"/>
                <w:highlight w:val="none"/>
              </w:rPr>
              <w:t>3.报价相关费用（包括检测费、样品购置费、样本抽样、差旅费、邮寄费、人工费、税金等），费用包干。</w:t>
            </w:r>
          </w:p>
        </w:tc>
      </w:tr>
      <w:tr w14:paraId="0C69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9002" w:type="dxa"/>
            <w:gridSpan w:val="5"/>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6381A83D">
            <w:pPr>
              <w:spacing w:line="360" w:lineRule="auto"/>
              <w:rPr>
                <w:rFonts w:hint="eastAsia" w:hAnsi="宋体" w:cs="宋体"/>
                <w:b/>
                <w:color w:val="auto"/>
                <w:highlight w:val="none"/>
              </w:rPr>
            </w:pPr>
            <w:r>
              <w:rPr>
                <w:rFonts w:hint="eastAsia" w:hAnsi="宋体" w:cs="宋体"/>
                <w:b/>
                <w:bCs/>
                <w:color w:val="auto"/>
                <w:highlight w:val="none"/>
              </w:rPr>
              <w:t>▲二、商务要求</w:t>
            </w:r>
          </w:p>
        </w:tc>
      </w:tr>
      <w:tr w14:paraId="2FC2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6E2C3988">
            <w:pPr>
              <w:spacing w:line="360" w:lineRule="auto"/>
              <w:jc w:val="center"/>
              <w:rPr>
                <w:rFonts w:hint="eastAsia" w:hAnsi="宋体" w:cs="宋体"/>
                <w:color w:val="auto"/>
                <w:highlight w:val="none"/>
              </w:rPr>
            </w:pPr>
            <w:r>
              <w:rPr>
                <w:rFonts w:hint="eastAsia" w:hAnsi="宋体" w:cs="宋体"/>
                <w:color w:val="auto"/>
                <w:highlight w:val="none"/>
              </w:rPr>
              <w:t>服务期限</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1719E12">
            <w:pPr>
              <w:spacing w:line="360" w:lineRule="auto"/>
              <w:rPr>
                <w:rFonts w:hint="eastAsia" w:hAnsi="宋体" w:cs="宋体"/>
                <w:color w:val="auto"/>
                <w:highlight w:val="none"/>
              </w:rPr>
            </w:pPr>
            <w:r>
              <w:rPr>
                <w:rFonts w:hint="eastAsia" w:hAnsi="宋体" w:cs="宋体"/>
                <w:color w:val="auto"/>
                <w:kern w:val="0"/>
                <w:highlight w:val="none"/>
              </w:rPr>
              <w:t>合同履行期限：2026年7月至2026年11月30日。</w:t>
            </w:r>
          </w:p>
        </w:tc>
      </w:tr>
      <w:tr w14:paraId="1BB1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3AD67C81">
            <w:pPr>
              <w:spacing w:line="360" w:lineRule="auto"/>
              <w:jc w:val="center"/>
              <w:rPr>
                <w:rFonts w:hint="eastAsia" w:hAnsi="宋体" w:cs="宋体"/>
                <w:color w:val="auto"/>
                <w:highlight w:val="none"/>
              </w:rPr>
            </w:pPr>
            <w:r>
              <w:rPr>
                <w:rFonts w:hint="eastAsia" w:hAnsi="宋体" w:cs="宋体"/>
                <w:color w:val="auto"/>
                <w:highlight w:val="none"/>
              </w:rPr>
              <w:t>服务地点</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F72F544">
            <w:pPr>
              <w:spacing w:line="360" w:lineRule="auto"/>
              <w:rPr>
                <w:rFonts w:hint="eastAsia" w:hAnsi="宋体" w:cs="宋体"/>
                <w:color w:val="auto"/>
                <w:highlight w:val="none"/>
              </w:rPr>
            </w:pPr>
            <w:r>
              <w:rPr>
                <w:rFonts w:hint="eastAsia" w:hAnsi="宋体" w:cs="宋体"/>
                <w:color w:val="auto"/>
                <w:kern w:val="0"/>
                <w:highlight w:val="none"/>
              </w:rPr>
              <w:t>柳州市范围柳州市市场监督管理局</w:t>
            </w:r>
            <w:r>
              <w:rPr>
                <w:rFonts w:hint="eastAsia" w:hAnsi="宋体" w:cs="宋体"/>
                <w:color w:val="auto"/>
                <w:highlight w:val="none"/>
              </w:rPr>
              <w:t>指定地点。</w:t>
            </w:r>
          </w:p>
        </w:tc>
      </w:tr>
      <w:tr w14:paraId="70CC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09CEADE5">
            <w:pPr>
              <w:spacing w:line="360" w:lineRule="auto"/>
              <w:jc w:val="center"/>
              <w:rPr>
                <w:rFonts w:hint="eastAsia" w:hAnsi="宋体" w:cs="宋体"/>
                <w:color w:val="auto"/>
                <w:kern w:val="0"/>
                <w:highlight w:val="none"/>
              </w:rPr>
            </w:pPr>
            <w:r>
              <w:rPr>
                <w:rFonts w:hint="eastAsia" w:hAnsi="宋体" w:cs="宋体"/>
                <w:color w:val="auto"/>
                <w:kern w:val="0"/>
                <w:highlight w:val="none"/>
              </w:rPr>
              <w:t>任务委托</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8866775">
            <w:pPr>
              <w:spacing w:line="360" w:lineRule="auto"/>
              <w:rPr>
                <w:rFonts w:hint="eastAsia" w:hAnsi="宋体" w:cs="宋体"/>
                <w:color w:val="auto"/>
                <w:kern w:val="0"/>
                <w:highlight w:val="none"/>
              </w:rPr>
            </w:pPr>
            <w:r>
              <w:rPr>
                <w:rFonts w:hint="eastAsia" w:hAnsi="宋体" w:cs="宋体"/>
                <w:color w:val="auto"/>
                <w:kern w:val="0"/>
                <w:highlight w:val="none"/>
              </w:rPr>
              <w:t>预算金额为固定总价，抽检批次下限数量不低于对应的批次。</w:t>
            </w:r>
          </w:p>
        </w:tc>
      </w:tr>
      <w:tr w14:paraId="7D27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300380A4">
            <w:pPr>
              <w:spacing w:line="360" w:lineRule="auto"/>
              <w:jc w:val="center"/>
              <w:rPr>
                <w:rFonts w:hint="eastAsia" w:hAnsi="宋体" w:cs="宋体"/>
                <w:color w:val="auto"/>
                <w:kern w:val="0"/>
                <w:highlight w:val="none"/>
              </w:rPr>
            </w:pPr>
            <w:r>
              <w:rPr>
                <w:rFonts w:hint="eastAsia" w:hAnsi="宋体" w:cs="宋体"/>
                <w:color w:val="auto"/>
                <w:kern w:val="0"/>
                <w:highlight w:val="none"/>
              </w:rPr>
              <w:t>付款条件</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F519804">
            <w:pPr>
              <w:spacing w:line="360" w:lineRule="auto"/>
              <w:rPr>
                <w:rFonts w:hint="eastAsia" w:hAnsi="宋体" w:cs="宋体"/>
                <w:color w:val="auto"/>
                <w:highlight w:val="none"/>
              </w:rPr>
            </w:pPr>
            <w:r>
              <w:rPr>
                <w:rFonts w:hint="eastAsia" w:hAnsi="宋体" w:cs="宋体"/>
                <w:color w:val="auto"/>
                <w:kern w:val="0"/>
                <w:highlight w:val="none"/>
              </w:rPr>
              <w:t>财政性资金按财政国库集中支付规定程序办理，合同签订后10个工作日内，采购人向中标人支付合同金额的50%，待全部检测项目完成后，中标人开具全额发票给采购人, 采购人收到发票后10个工作日内向中标人支付剩余合同金额的5</w:t>
            </w:r>
            <w:r>
              <w:rPr>
                <w:rFonts w:hint="eastAsia" w:ascii="宋体" w:hAnsi="宋体" w:cs="宋体"/>
                <w:color w:val="auto"/>
                <w:kern w:val="0"/>
                <w:highlight w:val="none"/>
              </w:rPr>
              <w:t>0%。</w:t>
            </w:r>
          </w:p>
        </w:tc>
      </w:tr>
      <w:tr w14:paraId="4B77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425AF6EE">
            <w:pPr>
              <w:spacing w:line="360" w:lineRule="auto"/>
              <w:jc w:val="center"/>
              <w:rPr>
                <w:rFonts w:hint="eastAsia" w:hAnsi="宋体" w:cs="宋体"/>
                <w:color w:val="auto"/>
                <w:kern w:val="0"/>
                <w:highlight w:val="none"/>
              </w:rPr>
            </w:pPr>
            <w:r>
              <w:rPr>
                <w:rFonts w:hint="eastAsia" w:hAnsi="宋体" w:cs="宋体"/>
                <w:color w:val="auto"/>
                <w:kern w:val="0"/>
                <w:highlight w:val="none"/>
              </w:rPr>
              <w:t>其他商务要求</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0C1CF4E4">
            <w:pPr>
              <w:spacing w:line="360" w:lineRule="auto"/>
              <w:ind w:firstLine="420" w:firstLineChars="200"/>
              <w:rPr>
                <w:rFonts w:hint="eastAsia" w:hAnsi="宋体" w:cs="宋体"/>
                <w:bCs/>
                <w:color w:val="auto"/>
                <w:kern w:val="0"/>
                <w:highlight w:val="none"/>
              </w:rPr>
            </w:pPr>
            <w:r>
              <w:rPr>
                <w:rFonts w:hint="eastAsia" w:hAnsi="宋体" w:cs="宋体"/>
                <w:bCs/>
                <w:color w:val="auto"/>
                <w:kern w:val="0"/>
                <w:highlight w:val="none"/>
              </w:rPr>
              <w:t>1.质保期及有效期：按国家及行业有关标准执行。</w:t>
            </w:r>
          </w:p>
          <w:p w14:paraId="1C2D0154">
            <w:pPr>
              <w:spacing w:line="360" w:lineRule="auto"/>
              <w:ind w:firstLine="420" w:firstLineChars="200"/>
              <w:rPr>
                <w:rFonts w:hint="eastAsia" w:hAnsi="宋体" w:cs="宋体"/>
                <w:bCs/>
                <w:color w:val="auto"/>
                <w:kern w:val="0"/>
                <w:highlight w:val="none"/>
              </w:rPr>
            </w:pPr>
            <w:r>
              <w:rPr>
                <w:rFonts w:hint="eastAsia" w:hAnsi="宋体" w:cs="宋体"/>
                <w:bCs/>
                <w:color w:val="auto"/>
                <w:kern w:val="0"/>
                <w:highlight w:val="none"/>
              </w:rPr>
              <w:t>2.中标人服务质量和标准必须符合采购人需求，如不满足需求，采购人有权选择其他入围本次定点服务的中标人的检测服务，在价格不变前提下无条件提供相同品质的检测服务。</w:t>
            </w:r>
          </w:p>
          <w:p w14:paraId="767EF98A">
            <w:pPr>
              <w:spacing w:line="360" w:lineRule="auto"/>
              <w:ind w:firstLine="420" w:firstLineChars="200"/>
              <w:rPr>
                <w:rFonts w:hint="eastAsia" w:hAnsi="宋体" w:cs="宋体"/>
                <w:bCs/>
                <w:color w:val="auto"/>
                <w:kern w:val="0"/>
                <w:highlight w:val="none"/>
              </w:rPr>
            </w:pPr>
            <w:r>
              <w:rPr>
                <w:rFonts w:hint="eastAsia" w:hAnsi="宋体" w:cs="宋体"/>
                <w:bCs/>
                <w:color w:val="auto"/>
                <w:kern w:val="0"/>
                <w:highlight w:val="none"/>
              </w:rPr>
              <w:t>3.中标人应按照采购人实际需要提供检测服务，如实际的采购数量与估算数量不相符的，应以采购人实际采购数量为准，中标人不得以采购人的实际采购数量与估算数量不相符而要求采购人赔偿损失或不按要求提供服务。</w:t>
            </w:r>
          </w:p>
          <w:p w14:paraId="0A7887DC">
            <w:pPr>
              <w:spacing w:line="360" w:lineRule="auto"/>
              <w:ind w:firstLine="420" w:firstLineChars="200"/>
              <w:rPr>
                <w:rFonts w:hint="eastAsia" w:hAnsi="宋体" w:cs="宋体"/>
                <w:bCs/>
                <w:color w:val="auto"/>
                <w:kern w:val="0"/>
                <w:highlight w:val="none"/>
              </w:rPr>
            </w:pPr>
            <w:r>
              <w:rPr>
                <w:rFonts w:hint="eastAsia" w:hAnsi="宋体" w:cs="宋体"/>
                <w:bCs/>
                <w:color w:val="auto"/>
                <w:kern w:val="0"/>
                <w:highlight w:val="none"/>
              </w:rPr>
              <w:t>4.为了避免投标人使用虚假服务承诺、虚假报价投标套取中标，要求各投标供应商必须用真实的检测内容、数据，不得使用偏离自身检测服务质量标准进行投标。</w:t>
            </w:r>
          </w:p>
          <w:p w14:paraId="058C5B27">
            <w:pPr>
              <w:spacing w:line="360" w:lineRule="auto"/>
              <w:ind w:firstLine="420" w:firstLineChars="200"/>
              <w:rPr>
                <w:rFonts w:hint="eastAsia" w:hAnsi="宋体" w:cs="宋体"/>
                <w:bCs/>
                <w:color w:val="auto"/>
                <w:kern w:val="0"/>
                <w:highlight w:val="none"/>
              </w:rPr>
            </w:pPr>
            <w:r>
              <w:rPr>
                <w:rFonts w:hint="eastAsia" w:hAnsi="宋体" w:cs="宋体"/>
                <w:bCs/>
                <w:color w:val="auto"/>
                <w:kern w:val="0"/>
                <w:highlight w:val="none"/>
              </w:rPr>
              <w:t>5.服务期内，附件中所列检测类项要求为可能检测的内容，只有在采购人需要时才购买；附件中所列检测类项未列入的检测所需的内容也有可能购买，以采购人发出的实际采购清单为准。</w:t>
            </w:r>
          </w:p>
          <w:p w14:paraId="50443252">
            <w:pPr>
              <w:spacing w:line="360" w:lineRule="auto"/>
              <w:ind w:firstLine="420" w:firstLineChars="200"/>
              <w:rPr>
                <w:rFonts w:hint="eastAsia" w:hAnsi="宋体" w:cs="宋体"/>
                <w:bCs/>
                <w:color w:val="auto"/>
                <w:kern w:val="0"/>
                <w:highlight w:val="none"/>
              </w:rPr>
            </w:pPr>
            <w:r>
              <w:rPr>
                <w:rFonts w:hint="eastAsia" w:hAnsi="宋体" w:cs="宋体"/>
                <w:bCs/>
                <w:color w:val="auto"/>
                <w:kern w:val="0"/>
                <w:highlight w:val="none"/>
              </w:rPr>
              <w:t>6.附件中所列检测类项的质量和所引用标准必须符合采购人实验需求，如不满足需求，中标人必须无条件重新进行检测；附件中所列检测类项当出现</w:t>
            </w:r>
            <w:r>
              <w:rPr>
                <w:rFonts w:hAnsi="宋体" w:cs="宋体"/>
                <w:bCs/>
                <w:color w:val="auto"/>
                <w:kern w:val="0"/>
                <w:highlight w:val="none"/>
              </w:rPr>
              <w:t>2</w:t>
            </w:r>
            <w:r>
              <w:rPr>
                <w:rFonts w:hint="eastAsia" w:hAnsi="宋体" w:cs="宋体"/>
                <w:bCs/>
                <w:color w:val="auto"/>
                <w:kern w:val="0"/>
                <w:highlight w:val="none"/>
              </w:rPr>
              <w:t>次不满足采购人实验需求或检测有误时，中标人必须免费重新进行检测。</w:t>
            </w:r>
          </w:p>
        </w:tc>
      </w:tr>
      <w:tr w14:paraId="4AA5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0B1B219D">
            <w:pPr>
              <w:spacing w:line="360" w:lineRule="auto"/>
              <w:jc w:val="center"/>
              <w:rPr>
                <w:rFonts w:hint="eastAsia" w:hAnsi="宋体" w:cs="宋体"/>
                <w:color w:val="auto"/>
                <w:highlight w:val="none"/>
              </w:rPr>
            </w:pPr>
            <w:r>
              <w:rPr>
                <w:rFonts w:hint="eastAsia" w:hAnsi="宋体" w:cs="宋体"/>
                <w:color w:val="auto"/>
                <w:highlight w:val="none"/>
              </w:rPr>
              <w:t>报价要求</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3C1549BF">
            <w:pPr>
              <w:pStyle w:val="132"/>
              <w:spacing w:before="120" w:beforeLines="50" w:after="120" w:afterLines="50" w:line="360" w:lineRule="auto"/>
              <w:rPr>
                <w:rFonts w:hint="eastAsia" w:ascii="Times New Roman"/>
                <w:color w:val="auto"/>
                <w:kern w:val="0"/>
                <w:sz w:val="21"/>
                <w:szCs w:val="24"/>
                <w:highlight w:val="none"/>
              </w:rPr>
            </w:pPr>
            <w:r>
              <w:rPr>
                <w:rFonts w:hint="eastAsia" w:ascii="Times New Roman"/>
                <w:color w:val="auto"/>
                <w:kern w:val="0"/>
                <w:sz w:val="21"/>
                <w:szCs w:val="24"/>
                <w:highlight w:val="none"/>
              </w:rPr>
              <w:t>报价方式：固定总价（服务总价），服务批次不固定。</w:t>
            </w:r>
          </w:p>
          <w:p w14:paraId="667EDC9E">
            <w:pPr>
              <w:pStyle w:val="132"/>
              <w:spacing w:before="120" w:beforeLines="50" w:after="120" w:afterLines="50" w:line="360" w:lineRule="auto"/>
              <w:rPr>
                <w:rFonts w:hint="eastAsia" w:ascii="Times New Roman"/>
                <w:color w:val="auto"/>
                <w:kern w:val="0"/>
                <w:sz w:val="21"/>
                <w:szCs w:val="24"/>
                <w:highlight w:val="none"/>
              </w:rPr>
            </w:pPr>
            <w:r>
              <w:rPr>
                <w:rFonts w:hint="eastAsia" w:ascii="Times New Roman"/>
                <w:color w:val="auto"/>
                <w:kern w:val="0"/>
                <w:sz w:val="21"/>
                <w:szCs w:val="24"/>
                <w:highlight w:val="none"/>
              </w:rPr>
              <w:t>报价货币：人民币</w:t>
            </w:r>
          </w:p>
          <w:p w14:paraId="4FB21A5F">
            <w:pPr>
              <w:pStyle w:val="132"/>
              <w:spacing w:before="120" w:beforeLines="50" w:after="120" w:afterLines="50" w:line="360" w:lineRule="auto"/>
              <w:rPr>
                <w:rFonts w:hint="eastAsia" w:ascii="Times New Roman"/>
                <w:color w:val="auto"/>
                <w:kern w:val="0"/>
                <w:sz w:val="21"/>
                <w:szCs w:val="24"/>
                <w:highlight w:val="none"/>
              </w:rPr>
            </w:pPr>
            <w:r>
              <w:rPr>
                <w:rFonts w:hint="eastAsia" w:ascii="Times New Roman"/>
                <w:color w:val="auto"/>
                <w:kern w:val="0"/>
                <w:sz w:val="21"/>
                <w:szCs w:val="24"/>
                <w:highlight w:val="none"/>
              </w:rPr>
              <w:t>注：</w:t>
            </w:r>
          </w:p>
          <w:p w14:paraId="4E46AA45">
            <w:pPr>
              <w:pStyle w:val="132"/>
              <w:spacing w:before="120" w:beforeLines="50" w:after="120" w:afterLines="50" w:line="360" w:lineRule="auto"/>
              <w:rPr>
                <w:rFonts w:hint="eastAsia" w:ascii="Times New Roman"/>
                <w:color w:val="auto"/>
                <w:kern w:val="0"/>
                <w:sz w:val="21"/>
                <w:szCs w:val="24"/>
                <w:highlight w:val="none"/>
              </w:rPr>
            </w:pPr>
            <w:r>
              <w:rPr>
                <w:rFonts w:hint="eastAsia" w:ascii="Times New Roman"/>
                <w:color w:val="auto"/>
                <w:kern w:val="0"/>
                <w:sz w:val="21"/>
                <w:szCs w:val="24"/>
                <w:highlight w:val="none"/>
              </w:rPr>
              <w:t>①签订合同总金额为预算金额。</w:t>
            </w:r>
          </w:p>
          <w:p w14:paraId="00D5785C">
            <w:pPr>
              <w:pStyle w:val="132"/>
              <w:spacing w:before="120" w:beforeLines="50" w:after="120" w:afterLines="50" w:line="360" w:lineRule="auto"/>
              <w:ind w:hanging="2"/>
              <w:rPr>
                <w:rFonts w:hint="eastAsia" w:ascii="Times New Roman"/>
                <w:color w:val="auto"/>
                <w:kern w:val="0"/>
                <w:sz w:val="21"/>
                <w:szCs w:val="24"/>
                <w:highlight w:val="none"/>
              </w:rPr>
            </w:pPr>
            <w:r>
              <w:rPr>
                <w:rFonts w:hint="eastAsia" w:ascii="Times New Roman"/>
                <w:color w:val="auto"/>
                <w:kern w:val="0"/>
                <w:sz w:val="21"/>
                <w:szCs w:val="24"/>
                <w:highlight w:val="none"/>
              </w:rPr>
              <w:t>②结合自身能力对以上进行单批次报价，不得超过最高限价。</w:t>
            </w:r>
          </w:p>
          <w:p w14:paraId="456EE487">
            <w:pPr>
              <w:spacing w:before="120" w:beforeLines="50" w:after="120" w:afterLines="50" w:line="360" w:lineRule="auto"/>
              <w:rPr>
                <w:rFonts w:hint="eastAsia" w:hAnsi="宋体" w:cs="宋体"/>
                <w:color w:val="auto"/>
                <w:kern w:val="0"/>
                <w:highlight w:val="none"/>
              </w:rPr>
            </w:pPr>
            <w:r>
              <w:rPr>
                <w:rFonts w:hint="eastAsia" w:hAnsi="宋体" w:cs="宋体"/>
                <w:color w:val="auto"/>
                <w:kern w:val="0"/>
                <w:highlight w:val="none"/>
              </w:rPr>
              <w:t>③任务批次数不固定，签订的任务批次数=预算金额</w:t>
            </w:r>
            <w:r>
              <w:rPr>
                <w:rFonts w:hint="eastAsia" w:hAnsi="宋体" w:cs="宋体"/>
                <w:color w:val="auto"/>
                <w:kern w:val="0"/>
                <w:highlight w:val="none"/>
                <w:lang w:val="en-US" w:eastAsia="zh-CN"/>
              </w:rPr>
              <w:t>单价</w:t>
            </w:r>
            <w:r>
              <w:rPr>
                <w:rFonts w:hint="eastAsia" w:hAnsi="宋体" w:cs="宋体"/>
                <w:color w:val="auto"/>
                <w:kern w:val="0"/>
                <w:highlight w:val="none"/>
              </w:rPr>
              <w:t>/中标单价，若不能整除的向上取整数。</w:t>
            </w:r>
          </w:p>
          <w:p w14:paraId="7D2EFFDB">
            <w:pPr>
              <w:pStyle w:val="132"/>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ind w:firstLine="420" w:firstLineChars="200"/>
              <w:textAlignment w:val="auto"/>
              <w:rPr>
                <w:rFonts w:hint="eastAsia" w:ascii="Times New Roman"/>
                <w:color w:val="auto"/>
                <w:kern w:val="0"/>
                <w:sz w:val="21"/>
                <w:szCs w:val="24"/>
                <w:highlight w:val="none"/>
              </w:rPr>
            </w:pPr>
            <w:r>
              <w:rPr>
                <w:rFonts w:hint="eastAsia" w:ascii="Times New Roman"/>
                <w:color w:val="auto"/>
                <w:kern w:val="0"/>
                <w:sz w:val="21"/>
                <w:szCs w:val="24"/>
                <w:highlight w:val="none"/>
              </w:rPr>
              <w:t>1.投标报价应遵照由广西壮族自治区物价局和广西壮族自治区财政厅发布的《关于正式核定全区产品质量检测收费项目和收费标准的通知》（桂价费〔2013〕16号）的规定。</w:t>
            </w:r>
          </w:p>
          <w:p w14:paraId="3C883E3B">
            <w:pPr>
              <w:spacing w:before="120" w:beforeLines="50" w:after="120" w:afterLines="50" w:line="360" w:lineRule="auto"/>
              <w:ind w:firstLine="420" w:firstLineChars="200"/>
              <w:rPr>
                <w:rFonts w:hint="eastAsia" w:hAnsi="宋体" w:cs="宋体"/>
                <w:color w:val="auto"/>
                <w:highlight w:val="none"/>
              </w:rPr>
            </w:pPr>
            <w:r>
              <w:rPr>
                <w:rFonts w:hint="eastAsia" w:hAnsi="宋体"/>
                <w:bCs/>
                <w:color w:val="auto"/>
                <w:highlight w:val="none"/>
              </w:rPr>
              <w:t>2.</w:t>
            </w:r>
            <w:r>
              <w:rPr>
                <w:rFonts w:hint="eastAsia" w:hAnsi="宋体"/>
                <w:color w:val="auto"/>
                <w:highlight w:val="none"/>
              </w:rPr>
              <w:t>投标人须在投标报价明细表的附表：《投标人可以承检的食品安全抽检品种及项目表》中，注明是否具备各抽检项目的检测资质，每个“食品细类（四级）”的“抽检项目”中所列所有项目必须全部满足方为具备该“食品细类（四级）”项的检测资质，如有缺项，视为不具备该“食品细类（四级）”项的检测资质。</w:t>
            </w:r>
          </w:p>
          <w:p w14:paraId="206CBF73">
            <w:pPr>
              <w:spacing w:before="120" w:beforeLines="50" w:after="120" w:afterLines="50" w:line="360" w:lineRule="auto"/>
              <w:ind w:firstLine="420" w:firstLineChars="200"/>
              <w:rPr>
                <w:rFonts w:hint="eastAsia" w:hAnsi="宋体" w:cs="宋体"/>
                <w:color w:val="auto"/>
                <w:highlight w:val="none"/>
              </w:rPr>
            </w:pPr>
            <w:r>
              <w:rPr>
                <w:rFonts w:hint="eastAsia" w:hAnsi="宋体" w:cs="宋体"/>
                <w:bCs/>
                <w:color w:val="auto"/>
                <w:highlight w:val="none"/>
              </w:rPr>
              <w:t>3.</w:t>
            </w:r>
            <w:r>
              <w:rPr>
                <w:rFonts w:hint="eastAsia" w:hAnsi="宋体"/>
                <w:color w:val="auto"/>
                <w:highlight w:val="none"/>
              </w:rPr>
              <w:t>报价明细表的</w:t>
            </w:r>
            <w:r>
              <w:rPr>
                <w:rFonts w:hint="eastAsia" w:hAnsi="宋体" w:cs="宋体"/>
                <w:color w:val="auto"/>
                <w:highlight w:val="none"/>
              </w:rPr>
              <w:t>附表格式须依照招标文件的格式，表格中的项目不得更改，投标人须根据单位具备的检测资质情况在是否具备检测资质一栏中相应的“</w:t>
            </w:r>
            <w:r>
              <w:rPr>
                <w:rFonts w:hint="eastAsia" w:hAnsi="宋体"/>
                <w:color w:val="auto"/>
                <w:highlight w:val="none"/>
              </w:rPr>
              <w:t>□</w:t>
            </w:r>
            <w:r>
              <w:rPr>
                <w:rFonts w:hint="eastAsia" w:hAnsi="宋体" w:cs="宋体"/>
                <w:color w:val="auto"/>
                <w:highlight w:val="none"/>
              </w:rPr>
              <w:t>”</w:t>
            </w:r>
            <w:r>
              <w:rPr>
                <w:rFonts w:hint="eastAsia" w:hAnsi="宋体"/>
                <w:bCs/>
                <w:color w:val="auto"/>
                <w:highlight w:val="none"/>
              </w:rPr>
              <w:t>中涂黑或打勾</w:t>
            </w:r>
            <w:r>
              <w:rPr>
                <w:rFonts w:hint="eastAsia" w:hAnsi="宋体" w:cs="宋体"/>
                <w:bCs/>
                <w:color w:val="auto"/>
                <w:kern w:val="0"/>
                <w:highlight w:val="none"/>
              </w:rPr>
              <w:t>。</w:t>
            </w:r>
          </w:p>
        </w:tc>
      </w:tr>
      <w:tr w14:paraId="4662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65E2E44F">
            <w:pPr>
              <w:spacing w:line="360" w:lineRule="auto"/>
              <w:jc w:val="center"/>
              <w:rPr>
                <w:rFonts w:hint="eastAsia" w:hAnsi="宋体" w:cs="宋体"/>
                <w:color w:val="auto"/>
                <w:highlight w:val="none"/>
              </w:rPr>
            </w:pPr>
            <w:r>
              <w:rPr>
                <w:rFonts w:hint="eastAsia" w:hAnsi="宋体" w:cs="宋体"/>
                <w:color w:val="auto"/>
                <w:highlight w:val="none"/>
              </w:rPr>
              <w:t>工作要求</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EEB662E">
            <w:pPr>
              <w:pStyle w:val="5"/>
              <w:spacing w:before="179" w:line="360" w:lineRule="auto"/>
              <w:ind w:right="11" w:firstLine="420" w:firstLineChars="200"/>
              <w:rPr>
                <w:rFonts w:hint="eastAsia" w:ascii="宋体"/>
                <w:color w:val="auto"/>
                <w:kern w:val="2"/>
                <w:sz w:val="21"/>
                <w:szCs w:val="21"/>
                <w:highlight w:val="none"/>
                <w:lang w:val="en-US" w:eastAsia="zh-CN"/>
              </w:rPr>
            </w:pPr>
            <w:r>
              <w:rPr>
                <w:rFonts w:hint="eastAsia" w:ascii="宋体"/>
                <w:color w:val="auto"/>
                <w:kern w:val="2"/>
                <w:sz w:val="21"/>
                <w:szCs w:val="21"/>
                <w:highlight w:val="none"/>
                <w:lang w:val="en-US" w:eastAsia="zh-CN"/>
              </w:rPr>
              <w:t>1.投标人必须依据国家市场监督管理总局制定的《食品安全抽样检验管理办法》等有关规定，开展食品抽检任务。同时严格按照《中华人民共和国食品安全法》的规定购买抽取的样品，不得向企业和个人收取检验费和其他任何费用。</w:t>
            </w:r>
          </w:p>
          <w:p w14:paraId="04A50103">
            <w:pPr>
              <w:pStyle w:val="5"/>
              <w:spacing w:before="32" w:line="360" w:lineRule="auto"/>
              <w:ind w:right="11" w:firstLine="420" w:firstLineChars="200"/>
              <w:jc w:val="left"/>
              <w:rPr>
                <w:rFonts w:hint="eastAsia" w:ascii="宋体"/>
                <w:color w:val="auto"/>
                <w:kern w:val="2"/>
                <w:sz w:val="21"/>
                <w:szCs w:val="21"/>
                <w:highlight w:val="none"/>
                <w:lang w:val="en-US" w:eastAsia="zh-CN"/>
              </w:rPr>
            </w:pPr>
            <w:r>
              <w:rPr>
                <w:rFonts w:hint="eastAsia" w:ascii="宋体"/>
                <w:color w:val="auto"/>
                <w:kern w:val="2"/>
                <w:sz w:val="21"/>
                <w:szCs w:val="21"/>
                <w:highlight w:val="none"/>
                <w:lang w:val="en-US" w:eastAsia="zh-CN"/>
              </w:rPr>
              <w:t>2.投标人应根据</w:t>
            </w:r>
            <w:r>
              <w:rPr>
                <w:rFonts w:hint="eastAsia" w:ascii="宋体" w:hAnsi="Times New Roman" w:eastAsia="宋体" w:cs="Times New Roman"/>
                <w:color w:val="auto"/>
                <w:kern w:val="2"/>
                <w:sz w:val="21"/>
                <w:szCs w:val="21"/>
                <w:highlight w:val="none"/>
                <w:lang w:val="en-US" w:eastAsia="zh-CN"/>
              </w:rPr>
              <w:t>柳州市市场监督管理局</w:t>
            </w:r>
            <w:r>
              <w:rPr>
                <w:rFonts w:hint="eastAsia" w:ascii="宋体"/>
                <w:color w:val="auto"/>
                <w:kern w:val="2"/>
                <w:sz w:val="21"/>
                <w:szCs w:val="21"/>
                <w:highlight w:val="none"/>
                <w:lang w:val="en-US" w:eastAsia="zh-CN"/>
              </w:rPr>
              <w:t>食品安全抽检计划安排，按照抽样、检测、检验结果确认、检验结论通知、复检、备样移交、结果报送等工作环节，按时完成投标包内所分配的抽检任务。</w:t>
            </w:r>
          </w:p>
          <w:p w14:paraId="40C12FFF">
            <w:pPr>
              <w:pStyle w:val="5"/>
              <w:spacing w:before="33" w:line="360" w:lineRule="auto"/>
              <w:ind w:right="11" w:firstLine="420" w:firstLineChars="200"/>
              <w:jc w:val="left"/>
              <w:rPr>
                <w:rFonts w:hint="eastAsia" w:ascii="宋体"/>
                <w:color w:val="auto"/>
                <w:kern w:val="2"/>
                <w:sz w:val="21"/>
                <w:szCs w:val="21"/>
                <w:highlight w:val="none"/>
                <w:lang w:val="en-US" w:eastAsia="zh-CN"/>
              </w:rPr>
            </w:pPr>
            <w:r>
              <w:rPr>
                <w:rFonts w:hint="eastAsia" w:ascii="宋体"/>
                <w:color w:val="auto"/>
                <w:kern w:val="2"/>
                <w:sz w:val="21"/>
                <w:szCs w:val="21"/>
                <w:highlight w:val="none"/>
                <w:lang w:val="en-US" w:eastAsia="zh-CN"/>
              </w:rPr>
              <w:t>3.投标人应落实采购人关于食用农产品陪同抽样等要求,并按时完成指定生产企业和（或）抽样区域的抽检任务。</w:t>
            </w:r>
          </w:p>
          <w:p w14:paraId="25337187">
            <w:pPr>
              <w:pStyle w:val="5"/>
              <w:spacing w:before="40" w:line="360" w:lineRule="auto"/>
              <w:ind w:right="11" w:firstLine="420" w:firstLineChars="200"/>
              <w:jc w:val="left"/>
              <w:rPr>
                <w:rFonts w:hint="eastAsia" w:ascii="宋体"/>
                <w:color w:val="auto"/>
                <w:kern w:val="2"/>
                <w:sz w:val="21"/>
                <w:szCs w:val="21"/>
                <w:highlight w:val="none"/>
                <w:lang w:val="en-US" w:eastAsia="zh-CN"/>
              </w:rPr>
            </w:pPr>
            <w:r>
              <w:rPr>
                <w:rFonts w:hint="eastAsia" w:ascii="宋体"/>
                <w:color w:val="auto"/>
                <w:kern w:val="2"/>
                <w:sz w:val="21"/>
                <w:szCs w:val="21"/>
                <w:highlight w:val="none"/>
                <w:lang w:val="en-US" w:eastAsia="zh-CN"/>
              </w:rPr>
              <w:t>4.投标人应根据采购人要求及时开展应急和专项检验、结果报送和分析工作。发生食品安全突发事件时，应能够做到按要求限时12小时之内迅速响应。</w:t>
            </w:r>
          </w:p>
          <w:p w14:paraId="68B199F7">
            <w:pPr>
              <w:pStyle w:val="5"/>
              <w:spacing w:before="33" w:line="360" w:lineRule="auto"/>
              <w:ind w:right="11" w:firstLine="420" w:firstLineChars="200"/>
              <w:jc w:val="left"/>
              <w:rPr>
                <w:rFonts w:hint="eastAsia" w:ascii="宋体"/>
                <w:color w:val="auto"/>
                <w:kern w:val="2"/>
                <w:sz w:val="21"/>
                <w:szCs w:val="21"/>
                <w:highlight w:val="none"/>
                <w:lang w:val="en-US" w:eastAsia="zh-CN"/>
              </w:rPr>
            </w:pPr>
            <w:r>
              <w:rPr>
                <w:rFonts w:hint="eastAsia" w:ascii="宋体"/>
                <w:color w:val="auto"/>
                <w:kern w:val="2"/>
                <w:sz w:val="21"/>
                <w:szCs w:val="21"/>
                <w:highlight w:val="none"/>
                <w:lang w:val="en-US" w:eastAsia="zh-CN"/>
              </w:rPr>
              <w:t>5.投标人应按照采购人要求配合开展涉及食品检测、食品安全释疑解惑等方面的食品安全宣传和风险交流工作。</w:t>
            </w:r>
          </w:p>
          <w:p w14:paraId="48FBFA58">
            <w:pPr>
              <w:spacing w:line="360" w:lineRule="auto"/>
              <w:ind w:firstLine="420" w:firstLineChars="200"/>
              <w:rPr>
                <w:rFonts w:hint="eastAsia" w:ascii="宋体"/>
                <w:color w:val="auto"/>
                <w:szCs w:val="21"/>
                <w:highlight w:val="none"/>
              </w:rPr>
            </w:pPr>
            <w:r>
              <w:rPr>
                <w:rFonts w:hint="eastAsia" w:ascii="宋体"/>
                <w:color w:val="auto"/>
                <w:szCs w:val="21"/>
                <w:highlight w:val="none"/>
              </w:rPr>
              <w:t>6.投标人应遵守采购人对于承检机构的相关管理规定。接受采购人组织的关于实验室质量控制管理与考核工作。对管理考核中发现问题的，采购人有权取消投标人中标资格或终止委托合同。</w:t>
            </w:r>
          </w:p>
          <w:p w14:paraId="26F44715">
            <w:pPr>
              <w:spacing w:line="360" w:lineRule="auto"/>
              <w:ind w:firstLine="420" w:firstLineChars="200"/>
              <w:rPr>
                <w:rFonts w:hint="eastAsia"/>
                <w:color w:val="auto"/>
                <w:szCs w:val="21"/>
                <w:highlight w:val="none"/>
              </w:rPr>
            </w:pPr>
            <w:r>
              <w:rPr>
                <w:rFonts w:hint="eastAsia"/>
                <w:color w:val="auto"/>
                <w:szCs w:val="21"/>
                <w:highlight w:val="none"/>
              </w:rPr>
              <w:t>7.普通食品不合格样品检出率要达到3%以上，食用农产品不合格样品检出率要求达到5%以上，网络抽检比例不低于20%。</w:t>
            </w:r>
          </w:p>
          <w:p w14:paraId="6350FBDD">
            <w:pPr>
              <w:pStyle w:val="5"/>
              <w:spacing w:line="360" w:lineRule="auto"/>
              <w:ind w:firstLine="420" w:firstLineChars="200"/>
              <w:jc w:val="left"/>
              <w:rPr>
                <w:rFonts w:hint="eastAsia" w:ascii="宋体"/>
                <w:color w:val="auto"/>
                <w:kern w:val="2"/>
                <w:sz w:val="21"/>
                <w:szCs w:val="21"/>
                <w:highlight w:val="none"/>
                <w:lang w:val="en-US" w:eastAsia="zh-CN"/>
              </w:rPr>
            </w:pPr>
            <w:r>
              <w:rPr>
                <w:rFonts w:hint="eastAsia"/>
                <w:color w:val="auto"/>
                <w:kern w:val="2"/>
                <w:sz w:val="21"/>
                <w:szCs w:val="21"/>
                <w:highlight w:val="none"/>
                <w:lang w:val="en-US" w:eastAsia="zh-CN"/>
              </w:rPr>
              <w:t>8</w:t>
            </w:r>
            <w:r>
              <w:rPr>
                <w:rFonts w:hint="eastAsia" w:ascii="宋体"/>
                <w:color w:val="auto"/>
                <w:kern w:val="2"/>
                <w:sz w:val="21"/>
                <w:szCs w:val="21"/>
                <w:highlight w:val="none"/>
                <w:lang w:val="en-US" w:eastAsia="zh-CN"/>
              </w:rPr>
              <w:t>.投标人必须满足食品大类食品的检验资质</w:t>
            </w:r>
            <w:r>
              <w:rPr>
                <w:rFonts w:hint="eastAsia"/>
                <w:color w:val="auto"/>
                <w:kern w:val="2"/>
                <w:sz w:val="21"/>
                <w:szCs w:val="21"/>
                <w:highlight w:val="none"/>
                <w:lang w:val="en-US" w:eastAsia="zh-CN"/>
              </w:rPr>
              <w:t>（保健食品除外）</w:t>
            </w:r>
            <w:r>
              <w:rPr>
                <w:rFonts w:hint="eastAsia" w:ascii="宋体"/>
                <w:color w:val="auto"/>
                <w:kern w:val="2"/>
                <w:sz w:val="21"/>
                <w:szCs w:val="21"/>
                <w:highlight w:val="none"/>
                <w:lang w:val="en-US" w:eastAsia="zh-CN"/>
              </w:rPr>
              <w:t>，否则按投标无效处理。</w:t>
            </w:r>
          </w:p>
        </w:tc>
      </w:tr>
      <w:tr w14:paraId="2889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3987A4D5">
            <w:pPr>
              <w:spacing w:line="360" w:lineRule="auto"/>
              <w:jc w:val="center"/>
              <w:rPr>
                <w:rFonts w:hint="eastAsia" w:hAnsi="宋体" w:cs="宋体"/>
                <w:color w:val="auto"/>
                <w:highlight w:val="none"/>
              </w:rPr>
            </w:pPr>
            <w:r>
              <w:rPr>
                <w:rFonts w:hint="eastAsia" w:hAnsi="宋体" w:cs="宋体"/>
                <w:color w:val="auto"/>
                <w:highlight w:val="none"/>
              </w:rPr>
              <w:t>投标人能力要求</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199397B">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（一）投标人食品检验从业人员要求</w:t>
            </w:r>
          </w:p>
          <w:p w14:paraId="1A18277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1.投标人食品检验项目团队人员稳定性强，能保证食品抽检工作的连续性和稳定性。投标人应具备独立抽样人员，承担本次投标任务的检验人员，应具有较为丰富的食品检验工作经验。</w:t>
            </w:r>
          </w:p>
          <w:p w14:paraId="7586B7A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投标人食品检验从业人员岗位职责、分工明确。投标人应设置有独立的技术管理人员、业务管理人员、检验人员、抽样人员等食品检验从业人员，可分别承担抽样、检测、数据汇总、结果报送、分析评估等工作，能按照时限要求汇总上报检测相关信息，食品检验从业人员总体数量与承检任务要求相匹配。</w:t>
            </w:r>
          </w:p>
          <w:p w14:paraId="5BA007E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3.投标人食品检验从业人员职称结构良好，具有稳定的、高水平检验和技术管理人员。在食品质量安全、食品检验方法、食品生产工艺等专业方向具有专家人才。</w:t>
            </w:r>
          </w:p>
          <w:p w14:paraId="3AE3B03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4.投标人检验人员应当持有检验人员上岗证，熟练掌握食品安全标准、法规，能按照国内现行有效的标准方法从事食品检测工作。</w:t>
            </w:r>
          </w:p>
          <w:p w14:paraId="16AAECA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5.投标人具有专门从事抽样工作的人员，并经过培训考核，熟悉和掌握样品采集方法和相关技术要求。</w:t>
            </w:r>
          </w:p>
          <w:p w14:paraId="1B831FD8">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（二）实验室环境设施和仪器设备要求</w:t>
            </w:r>
          </w:p>
          <w:p w14:paraId="780F34C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1.投标人具有满足承检任务需要的食品检测实验室面积。</w:t>
            </w:r>
          </w:p>
          <w:p w14:paraId="74737C0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2.投标人实验室环境设施应当符合国家实验室有关管理规定的要求。</w:t>
            </w:r>
          </w:p>
          <w:p w14:paraId="42F1FE7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3.投标人实验室设置应当满足样品储存、处理、检验、数据处理、结果分析汇总等工作要求。</w:t>
            </w:r>
          </w:p>
          <w:p w14:paraId="229315E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4.投标人实验室具有固定并满足承检任务需要的仪器设备和标准物质。保证仪器设备运行良好，有完整的仪器设备档案。不得租赁或借用他人检测设备。</w:t>
            </w:r>
          </w:p>
          <w:p w14:paraId="68165ED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5.投标人实验室具有配合食品检验活动所需的环境控制、数据处理与分析、信息传输等设备设施。</w:t>
            </w:r>
          </w:p>
          <w:p w14:paraId="76E9BD9F">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（三）服务能力要求</w:t>
            </w:r>
          </w:p>
          <w:p w14:paraId="2A6D65F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1.投标人具有承担政府部门委托食品抽检的工作制度。</w:t>
            </w:r>
          </w:p>
          <w:p w14:paraId="1A0CA7C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2.投标人能够严格按照食品安全抽检工作程序和要求，制定相应的工作方案，按时完成抽检工作。</w:t>
            </w:r>
          </w:p>
          <w:p w14:paraId="77122FDB">
            <w:pPr>
              <w:spacing w:line="360" w:lineRule="auto"/>
              <w:ind w:firstLine="420" w:firstLineChars="200"/>
              <w:rPr>
                <w:rFonts w:hint="eastAsia" w:ascii="宋体" w:hAnsi="宋体" w:cs="宋体"/>
                <w:color w:val="auto"/>
                <w:highlight w:val="none"/>
              </w:rPr>
            </w:pPr>
            <w:r>
              <w:rPr>
                <w:rFonts w:hint="eastAsia" w:ascii="Times New Roman" w:hAnsi="Times New Roman" w:eastAsia="宋体" w:cs="宋体"/>
                <w:color w:val="auto"/>
                <w:kern w:val="0"/>
                <w:sz w:val="21"/>
                <w:szCs w:val="21"/>
                <w:highlight w:val="none"/>
                <w:lang w:val="en-US" w:eastAsia="zh-CN" w:bidi="ar-SA"/>
              </w:rPr>
              <w:t>▲</w:t>
            </w:r>
            <w:r>
              <w:rPr>
                <w:rFonts w:hint="eastAsia" w:ascii="宋体" w:hAnsi="宋体" w:cs="宋体"/>
                <w:color w:val="auto"/>
                <w:highlight w:val="none"/>
              </w:rPr>
              <w:t>3.投标人应具备相应的检验能力，本项目检验项目资质覆盖率须达到</w:t>
            </w:r>
            <w:r>
              <w:rPr>
                <w:rFonts w:hint="eastAsia" w:ascii="宋体" w:hAnsi="宋体" w:cs="宋体"/>
                <w:color w:val="auto"/>
                <w:highlight w:val="none"/>
                <w:lang w:val="en-US" w:eastAsia="zh-CN"/>
              </w:rPr>
              <w:t>100</w:t>
            </w:r>
            <w:r>
              <w:rPr>
                <w:rFonts w:hint="eastAsia" w:ascii="宋体" w:hAnsi="宋体" w:cs="宋体"/>
                <w:color w:val="auto"/>
                <w:highlight w:val="none"/>
              </w:rPr>
              <w:t>%以上，能够准确出具检验报告,并参与实验室能力验证。</w:t>
            </w:r>
          </w:p>
          <w:p w14:paraId="37CAA7D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4.投标人应具有食品检验方法研发能力，了解行业发展动态，熟悉食品生产工艺，具备食品相关的科研能力。</w:t>
            </w:r>
          </w:p>
          <w:p w14:paraId="581E20C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5.投标人应具备按照指定方法开展应急检验和风险监测工作的能力。</w:t>
            </w:r>
          </w:p>
          <w:p w14:paraId="75DEBA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6.投标人能够配合采购人开展食品安全复检工作。</w:t>
            </w:r>
          </w:p>
          <w:p w14:paraId="21F08E5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7.投标人应开展相关课题或标准制修订工作。</w:t>
            </w:r>
          </w:p>
          <w:p w14:paraId="6E5D688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8.边远地区的中标人在承担边远地区应急抽检任务时，须在承诺时间内完成应急抽样并送入实验室，且无论采用哪种交通方式，相关成本均已计入投标总价中。</w:t>
            </w:r>
          </w:p>
          <w:p w14:paraId="3986CD00">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（四）业绩</w:t>
            </w:r>
          </w:p>
          <w:p w14:paraId="10F9ADE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1.投标人具有本项目所需要的相关检验任务的经历。</w:t>
            </w:r>
          </w:p>
          <w:p w14:paraId="0E28737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2.投标人应具有开展食品安全宣传和风险交流的经历。</w:t>
            </w:r>
          </w:p>
          <w:p w14:paraId="25DE4008">
            <w:pPr>
              <w:pStyle w:val="5"/>
              <w:spacing w:line="360" w:lineRule="auto"/>
              <w:ind w:firstLine="480"/>
              <w:jc w:val="left"/>
              <w:rPr>
                <w:rFonts w:hint="eastAsia"/>
                <w:color w:val="auto"/>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SA"/>
              </w:rPr>
              <w:t>▲1</w:t>
            </w:r>
            <w:r>
              <w:rPr>
                <w:rFonts w:hint="eastAsia"/>
                <w:color w:val="auto"/>
                <w:sz w:val="21"/>
                <w:szCs w:val="21"/>
                <w:highlight w:val="none"/>
                <w:lang w:val="en-US" w:eastAsia="zh-CN"/>
              </w:rPr>
              <w:t>、投标人必须具有有效期内的CMA证书（须提供完整的证书（含附表））且该证书中含有“食品”字样检测产品/项目（涉及该材料的标示清楚）。投标人CMA资质检测项目指标完整性【即获得上述资质的检测项目数占监测项目数（附件一及附件二项目总数）不小于100%：XXX项</w:t>
            </w:r>
            <w:r>
              <w:rPr>
                <w:rFonts w:hint="eastAsia"/>
                <w:b/>
                <w:bCs/>
                <w:color w:val="auto"/>
                <w:sz w:val="21"/>
                <w:szCs w:val="21"/>
                <w:highlight w:val="none"/>
                <w:lang w:val="en-US" w:eastAsia="zh-CN"/>
              </w:rPr>
              <w:t>（没有CMA检验部分，供应商承诺全覆盖）</w:t>
            </w:r>
            <w:r>
              <w:rPr>
                <w:rFonts w:hint="eastAsia"/>
                <w:color w:val="auto"/>
                <w:sz w:val="21"/>
                <w:szCs w:val="21"/>
                <w:highlight w:val="none"/>
                <w:lang w:val="en-US" w:eastAsia="zh-CN"/>
              </w:rPr>
              <w:t>。投标人按实际逐项填写附件一及附件二自查表，如存在虚假影响，按投标无效处理】</w:t>
            </w:r>
          </w:p>
          <w:p w14:paraId="58A86079">
            <w:pPr>
              <w:pStyle w:val="2"/>
              <w:spacing w:line="360" w:lineRule="auto"/>
              <w:rPr>
                <w:rFonts w:hint="eastAsia"/>
                <w:color w:val="auto"/>
                <w:highlight w:val="none"/>
              </w:rPr>
            </w:pPr>
            <w:r>
              <w:rPr>
                <w:rFonts w:hint="eastAsia" w:cs="宋体"/>
                <w:color w:val="auto"/>
                <w:kern w:val="0"/>
                <w:szCs w:val="21"/>
                <w:highlight w:val="none"/>
              </w:rPr>
              <w:t>▲2</w:t>
            </w:r>
            <w:r>
              <w:rPr>
                <w:rFonts w:hint="eastAsia"/>
                <w:color w:val="auto"/>
                <w:szCs w:val="21"/>
                <w:highlight w:val="none"/>
              </w:rPr>
              <w:t>、中标供应商的投标文件存在弄虚作假现象，与实际情况明显不符的，取消中标资格。</w:t>
            </w:r>
          </w:p>
        </w:tc>
      </w:tr>
      <w:tr w14:paraId="54D7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967" w:type="dxa"/>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5BA21223">
            <w:pPr>
              <w:spacing w:line="360" w:lineRule="auto"/>
              <w:jc w:val="center"/>
              <w:rPr>
                <w:rFonts w:hint="eastAsia" w:hAnsi="宋体" w:cs="宋体"/>
                <w:color w:val="auto"/>
                <w:highlight w:val="none"/>
              </w:rPr>
            </w:pPr>
            <w:r>
              <w:rPr>
                <w:rFonts w:hint="eastAsia" w:hAnsi="宋体" w:cs="宋体"/>
                <w:color w:val="auto"/>
                <w:highlight w:val="none"/>
              </w:rPr>
              <w:t>违约责任</w:t>
            </w:r>
          </w:p>
        </w:tc>
        <w:tc>
          <w:tcPr>
            <w:tcW w:w="8035"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4F2ABBC3">
            <w:pPr>
              <w:spacing w:line="360" w:lineRule="auto"/>
              <w:ind w:firstLine="420" w:firstLineChars="200"/>
              <w:rPr>
                <w:rFonts w:hint="eastAsia" w:hAnsi="宋体" w:cs="宋体"/>
                <w:color w:val="auto"/>
                <w:highlight w:val="none"/>
              </w:rPr>
            </w:pPr>
            <w:r>
              <w:rPr>
                <w:rFonts w:hint="eastAsia" w:hAnsi="宋体" w:cs="宋体"/>
                <w:color w:val="auto"/>
                <w:highlight w:val="none"/>
              </w:rPr>
              <w:t>1.中标人中标后，在服务期内，提供上述检测服务的服务价应按中标人所报对应检测类项的下浮对应优惠率后的价格进行服务；由于市场或成本价格波动影响服务价的，服务价格最高不能高于原服务类项的国家主管部门发布的收费标准。</w:t>
            </w:r>
          </w:p>
          <w:p w14:paraId="2F2488F2">
            <w:pPr>
              <w:spacing w:line="360" w:lineRule="auto"/>
              <w:ind w:firstLine="420" w:firstLineChars="200"/>
              <w:rPr>
                <w:rFonts w:hint="eastAsia" w:hAnsi="宋体" w:cs="宋体"/>
                <w:bCs/>
                <w:color w:val="auto"/>
                <w:highlight w:val="none"/>
              </w:rPr>
            </w:pPr>
            <w:r>
              <w:rPr>
                <w:rFonts w:hint="eastAsia" w:hAnsi="宋体" w:cs="宋体"/>
                <w:bCs/>
                <w:color w:val="auto"/>
                <w:highlight w:val="none"/>
              </w:rPr>
              <w:t>2.中标人服务价格、检测周期、检测结果准确率将作为服务期内采购人对其提供检测质量和价格进行监督检查的参考依据，若发现中标人存在2次以上检测有误、检测周期超时，将被视为违约，采购人经政府采购监督管理部门同意有权停止该定点供应商服务资格，并上报政府采购监督管理部门建议取消其参加下一期定点采购投标的资格。</w:t>
            </w:r>
          </w:p>
          <w:p w14:paraId="3E453185">
            <w:pPr>
              <w:spacing w:line="360" w:lineRule="auto"/>
              <w:ind w:firstLine="420" w:firstLineChars="200"/>
              <w:rPr>
                <w:rFonts w:hint="eastAsia" w:hAnsi="宋体" w:cs="宋体"/>
                <w:bCs/>
                <w:color w:val="auto"/>
                <w:highlight w:val="none"/>
              </w:rPr>
            </w:pPr>
            <w:r>
              <w:rPr>
                <w:rFonts w:hint="eastAsia" w:hAnsi="宋体" w:cs="宋体"/>
                <w:bCs/>
                <w:color w:val="auto"/>
                <w:highlight w:val="none"/>
              </w:rPr>
              <w:t>3.在服务有效期内，采购人发现有定点供应商服务价格高于该入围供应商对外检测的市场价格、不按要求和承诺提供相关的服务，不按承诺的检测周期履约、与其他入围供应商串通报价、抬高价格、降低服务质量等行为，将被视为违约，采购人经政府采购监督管理部门同意有权停止该定点供应商服务资格，并上报政府采购监督管理部门建议取消其参加下一期定点采购投标的资格。</w:t>
            </w:r>
          </w:p>
          <w:p w14:paraId="2282A15D">
            <w:pPr>
              <w:spacing w:line="360" w:lineRule="auto"/>
              <w:ind w:firstLine="420" w:firstLineChars="200"/>
              <w:rPr>
                <w:rFonts w:hint="eastAsia" w:hAnsi="宋体" w:cs="宋体"/>
                <w:bCs/>
                <w:color w:val="auto"/>
                <w:highlight w:val="none"/>
              </w:rPr>
            </w:pPr>
            <w:r>
              <w:rPr>
                <w:rFonts w:hint="eastAsia" w:hAnsi="宋体" w:cs="宋体"/>
                <w:bCs/>
                <w:color w:val="auto"/>
                <w:highlight w:val="none"/>
              </w:rPr>
              <w:t>4.在服务有效期内，如发现入围供应商有下列行为之一的，根据其情节轻重，采购人经政府采购监督管理部门同意可暂停或取消其定点采购供应商资格。</w:t>
            </w:r>
          </w:p>
          <w:p w14:paraId="425A3F6A">
            <w:pPr>
              <w:spacing w:line="360" w:lineRule="auto"/>
              <w:ind w:firstLine="420" w:firstLineChars="200"/>
              <w:rPr>
                <w:rFonts w:hint="eastAsia" w:hAnsi="宋体" w:cs="宋体"/>
                <w:bCs/>
                <w:color w:val="auto"/>
                <w:highlight w:val="none"/>
              </w:rPr>
            </w:pPr>
            <w:r>
              <w:rPr>
                <w:rFonts w:hint="eastAsia" w:hAnsi="宋体" w:cs="宋体"/>
                <w:bCs/>
                <w:color w:val="auto"/>
                <w:highlight w:val="none"/>
              </w:rPr>
              <w:t>(1)不按时向采购人开具正式的销售发票的；</w:t>
            </w:r>
          </w:p>
          <w:p w14:paraId="2869B66D">
            <w:pPr>
              <w:spacing w:line="360" w:lineRule="auto"/>
              <w:ind w:firstLine="420" w:firstLineChars="200"/>
              <w:rPr>
                <w:rFonts w:hint="eastAsia" w:hAnsi="宋体" w:cs="宋体"/>
                <w:bCs/>
                <w:color w:val="auto"/>
                <w:highlight w:val="none"/>
              </w:rPr>
            </w:pPr>
            <w:r>
              <w:rPr>
                <w:rFonts w:hint="eastAsia" w:hAnsi="宋体" w:cs="宋体"/>
                <w:bCs/>
                <w:color w:val="auto"/>
                <w:highlight w:val="none"/>
              </w:rPr>
              <w:t>(2)向采购人提供回扣或其他不正当利益的；</w:t>
            </w:r>
          </w:p>
          <w:p w14:paraId="69DD85A3">
            <w:pPr>
              <w:spacing w:line="360" w:lineRule="auto"/>
              <w:ind w:firstLine="420" w:firstLineChars="200"/>
              <w:rPr>
                <w:rFonts w:hint="eastAsia" w:hAnsi="宋体" w:cs="宋体"/>
                <w:bCs/>
                <w:color w:val="auto"/>
                <w:highlight w:val="none"/>
              </w:rPr>
            </w:pPr>
            <w:r>
              <w:rPr>
                <w:rFonts w:hint="eastAsia" w:hAnsi="宋体" w:cs="宋体"/>
                <w:bCs/>
                <w:color w:val="auto"/>
                <w:highlight w:val="none"/>
              </w:rPr>
              <w:t>(3)弄虚作假，不积极配合采购人或采购监督管理部门在履行监督过程中的各项合理要求，拒绝接受监督检查的；</w:t>
            </w:r>
          </w:p>
          <w:p w14:paraId="0755CC9C">
            <w:pPr>
              <w:spacing w:line="360" w:lineRule="auto"/>
              <w:ind w:firstLine="420" w:firstLineChars="200"/>
              <w:rPr>
                <w:rFonts w:hint="eastAsia" w:hAnsi="宋体" w:cs="宋体"/>
                <w:bCs/>
                <w:color w:val="auto"/>
                <w:highlight w:val="none"/>
              </w:rPr>
            </w:pPr>
            <w:r>
              <w:rPr>
                <w:rFonts w:hint="eastAsia" w:hAnsi="宋体" w:cs="宋体"/>
                <w:bCs/>
                <w:color w:val="auto"/>
                <w:highlight w:val="none"/>
              </w:rPr>
              <w:t>(4)因违法违规被行业主管部门取消经营资格的；</w:t>
            </w:r>
          </w:p>
          <w:p w14:paraId="0137016D">
            <w:pPr>
              <w:spacing w:line="360" w:lineRule="auto"/>
              <w:ind w:firstLine="420" w:firstLineChars="200"/>
              <w:rPr>
                <w:rFonts w:hint="eastAsia" w:hAnsi="宋体" w:cs="宋体"/>
                <w:bCs/>
                <w:color w:val="auto"/>
                <w:highlight w:val="none"/>
              </w:rPr>
            </w:pPr>
            <w:r>
              <w:rPr>
                <w:rFonts w:hint="eastAsia" w:hAnsi="宋体" w:cs="宋体"/>
                <w:bCs/>
                <w:color w:val="auto"/>
                <w:highlight w:val="none"/>
              </w:rPr>
              <w:t>(5)有其他违法违规行为的。</w:t>
            </w:r>
          </w:p>
        </w:tc>
      </w:tr>
      <w:tr w14:paraId="242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9002" w:type="dxa"/>
            <w:gridSpan w:val="5"/>
            <w:tcBorders>
              <w:top w:val="single" w:color="auto" w:sz="4" w:space="0"/>
              <w:left w:val="single" w:color="auto" w:sz="4" w:space="0"/>
              <w:bottom w:val="single" w:color="auto" w:sz="4" w:space="0"/>
              <w:right w:val="single" w:color="auto" w:sz="4" w:space="0"/>
            </w:tcBorders>
            <w:noWrap w:val="0"/>
            <w:tcMar>
              <w:top w:w="13" w:type="dxa"/>
              <w:left w:w="57" w:type="dxa"/>
              <w:bottom w:w="0" w:type="dxa"/>
              <w:right w:w="57" w:type="dxa"/>
            </w:tcMar>
            <w:vAlign w:val="center"/>
          </w:tcPr>
          <w:p w14:paraId="12378771">
            <w:pPr>
              <w:spacing w:line="360" w:lineRule="auto"/>
              <w:rPr>
                <w:rFonts w:hint="eastAsia" w:hAnsi="宋体" w:cs="宋体"/>
                <w:color w:val="auto"/>
                <w:highlight w:val="none"/>
              </w:rPr>
            </w:pPr>
            <w:r>
              <w:rPr>
                <w:rFonts w:hint="eastAsia" w:hAnsi="宋体" w:cs="宋体"/>
                <w:b/>
                <w:color w:val="auto"/>
                <w:highlight w:val="none"/>
              </w:rPr>
              <w:t>三、采购人对项目的特殊要求及说明</w:t>
            </w:r>
          </w:p>
        </w:tc>
      </w:tr>
      <w:tr w14:paraId="6E82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3551" w:type="dxa"/>
            <w:gridSpan w:val="2"/>
            <w:noWrap w:val="0"/>
            <w:vAlign w:val="center"/>
          </w:tcPr>
          <w:p w14:paraId="35FD67F2">
            <w:pPr>
              <w:spacing w:line="360" w:lineRule="auto"/>
              <w:jc w:val="center"/>
              <w:rPr>
                <w:rFonts w:hint="eastAsia" w:hAnsi="宋体" w:cs="宋体"/>
                <w:color w:val="auto"/>
                <w:highlight w:val="none"/>
              </w:rPr>
            </w:pPr>
            <w:r>
              <w:rPr>
                <w:rFonts w:hint="eastAsia" w:hAnsi="宋体" w:cs="宋体"/>
                <w:bCs/>
                <w:color w:val="auto"/>
                <w:highlight w:val="none"/>
              </w:rPr>
              <w:t>采购人的特殊要求及说明</w:t>
            </w:r>
          </w:p>
        </w:tc>
        <w:tc>
          <w:tcPr>
            <w:tcW w:w="5451" w:type="dxa"/>
            <w:gridSpan w:val="3"/>
            <w:noWrap w:val="0"/>
            <w:vAlign w:val="center"/>
          </w:tcPr>
          <w:p w14:paraId="6B269CF0">
            <w:pPr>
              <w:spacing w:line="360" w:lineRule="auto"/>
              <w:rPr>
                <w:rFonts w:hint="eastAsia" w:hAnsi="宋体" w:cs="宋体"/>
                <w:color w:val="auto"/>
                <w:highlight w:val="none"/>
              </w:rPr>
            </w:pPr>
            <w:r>
              <w:rPr>
                <w:rFonts w:hint="eastAsia" w:hAnsi="宋体" w:cs="宋体"/>
                <w:color w:val="auto"/>
                <w:highlight w:val="none"/>
              </w:rPr>
              <w:t xml:space="preserve">   1.检测项目收费应遵照由广西壮族自治区物价局和广西壮族自治区财政厅印发的《关于正式核定全区产品质量检测收费项目和收费标准的通知》（桂价费〔2013〕16号）；</w:t>
            </w:r>
          </w:p>
          <w:p w14:paraId="5B9B43D2">
            <w:pPr>
              <w:spacing w:line="360" w:lineRule="auto"/>
              <w:rPr>
                <w:rFonts w:hint="eastAsia" w:hAnsi="宋体" w:cs="宋体"/>
                <w:color w:val="auto"/>
                <w:highlight w:val="none"/>
              </w:rPr>
            </w:pPr>
            <w:r>
              <w:rPr>
                <w:rFonts w:hint="eastAsia" w:hAnsi="宋体" w:cs="宋体"/>
                <w:color w:val="auto"/>
                <w:highlight w:val="none"/>
              </w:rPr>
              <w:t xml:space="preserve">   2.检测费用包含检测费、样品购置费、样本抽样、差旅费、邮寄费、人工费、税金等抽检费用；</w:t>
            </w:r>
          </w:p>
        </w:tc>
      </w:tr>
    </w:tbl>
    <w:p w14:paraId="0C17921C">
      <w:pPr>
        <w:rPr>
          <w:rStyle w:val="129"/>
          <w:rFonts w:ascii="宋体" w:hAnsi="宋体"/>
          <w:color w:val="auto"/>
          <w:highlight w:val="none"/>
        </w:rPr>
      </w:pPr>
    </w:p>
    <w:p w14:paraId="63662B8B">
      <w:pPr>
        <w:pStyle w:val="3"/>
        <w:jc w:val="center"/>
        <w:rPr>
          <w:rFonts w:ascii="宋体" w:hAnsi="宋体"/>
          <w:color w:val="auto"/>
          <w:highlight w:val="none"/>
        </w:rPr>
        <w:sectPr>
          <w:headerReference r:id="rId7" w:type="default"/>
          <w:footerReference r:id="rId8"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linePitch="312" w:charSpace="0"/>
        </w:sectPr>
      </w:pPr>
    </w:p>
    <w:p w14:paraId="193F9166">
      <w:pPr>
        <w:snapToGrid w:val="0"/>
        <w:spacing w:line="360" w:lineRule="auto"/>
        <w:rPr>
          <w:color w:val="auto"/>
          <w:sz w:val="24"/>
          <w:highlight w:val="none"/>
        </w:rPr>
      </w:pPr>
      <w:r>
        <w:rPr>
          <w:b/>
          <w:bCs/>
          <w:color w:val="auto"/>
          <w:spacing w:val="-4"/>
          <w:sz w:val="24"/>
          <w:highlight w:val="none"/>
        </w:rPr>
        <w:t>三、检测项目</w:t>
      </w:r>
    </w:p>
    <w:p w14:paraId="06FDB213">
      <w:pPr>
        <w:pStyle w:val="5"/>
        <w:spacing w:before="175" w:line="219" w:lineRule="auto"/>
        <w:ind w:left="502"/>
        <w:rPr>
          <w:color w:val="auto"/>
          <w:highlight w:val="none"/>
        </w:rPr>
      </w:pPr>
      <w:r>
        <w:rPr>
          <w:color w:val="auto"/>
          <w:spacing w:val="-1"/>
          <w:highlight w:val="none"/>
        </w:rPr>
        <w:t>本采购项目的检验项目如下：</w:t>
      </w:r>
    </w:p>
    <w:p w14:paraId="5FCF7423">
      <w:pPr>
        <w:jc w:val="center"/>
        <w:rPr>
          <w:rFonts w:hint="eastAsia" w:eastAsia="方正小标宋简体"/>
          <w:color w:val="auto"/>
          <w:sz w:val="44"/>
          <w:szCs w:val="44"/>
          <w:highlight w:val="none"/>
        </w:rPr>
      </w:pPr>
      <w:r>
        <w:rPr>
          <w:rFonts w:hint="eastAsia" w:eastAsia="方正小标宋简体"/>
          <w:color w:val="auto"/>
          <w:sz w:val="44"/>
          <w:szCs w:val="44"/>
          <w:highlight w:val="none"/>
        </w:rPr>
        <w:t>附件1：2026年自治区转移支付各市普通食品监督抽检品种及项目表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040"/>
        <w:gridCol w:w="1043"/>
        <w:gridCol w:w="1136"/>
        <w:gridCol w:w="1899"/>
        <w:gridCol w:w="805"/>
        <w:gridCol w:w="4401"/>
        <w:gridCol w:w="3375"/>
      </w:tblGrid>
      <w:tr w14:paraId="0BCE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blHeader/>
        </w:trPr>
        <w:tc>
          <w:tcPr>
            <w:tcW w:w="166" w:type="pct"/>
            <w:noWrap w:val="0"/>
            <w:vAlign w:val="center"/>
          </w:tcPr>
          <w:p w14:paraId="10AA6983">
            <w:pPr>
              <w:spacing w:line="300" w:lineRule="exact"/>
              <w:jc w:val="center"/>
              <w:rPr>
                <w:rFonts w:eastAsia="仿宋_GB2312"/>
                <w:b/>
                <w:bCs/>
                <w:color w:val="auto"/>
                <w:szCs w:val="21"/>
                <w:highlight w:val="none"/>
              </w:rPr>
            </w:pPr>
            <w:r>
              <w:rPr>
                <w:rFonts w:eastAsia="仿宋_GB2312"/>
                <w:b/>
                <w:bCs/>
                <w:color w:val="auto"/>
                <w:szCs w:val="21"/>
                <w:highlight w:val="none"/>
              </w:rPr>
              <w:t>序号</w:t>
            </w:r>
          </w:p>
        </w:tc>
        <w:tc>
          <w:tcPr>
            <w:tcW w:w="367" w:type="pct"/>
            <w:noWrap w:val="0"/>
            <w:vAlign w:val="center"/>
          </w:tcPr>
          <w:p w14:paraId="369FB769">
            <w:pPr>
              <w:spacing w:line="300" w:lineRule="exact"/>
              <w:jc w:val="center"/>
              <w:rPr>
                <w:rFonts w:eastAsia="仿宋_GB2312"/>
                <w:b/>
                <w:bCs/>
                <w:color w:val="auto"/>
                <w:szCs w:val="21"/>
                <w:highlight w:val="none"/>
              </w:rPr>
            </w:pPr>
            <w:r>
              <w:rPr>
                <w:rFonts w:eastAsia="仿宋_GB2312"/>
                <w:b/>
                <w:bCs/>
                <w:color w:val="auto"/>
                <w:szCs w:val="21"/>
                <w:highlight w:val="none"/>
              </w:rPr>
              <w:t>食品大类（一级）</w:t>
            </w:r>
          </w:p>
        </w:tc>
        <w:tc>
          <w:tcPr>
            <w:tcW w:w="368" w:type="pct"/>
            <w:noWrap w:val="0"/>
            <w:vAlign w:val="center"/>
          </w:tcPr>
          <w:p w14:paraId="7EE698DA">
            <w:pPr>
              <w:spacing w:line="300" w:lineRule="exact"/>
              <w:jc w:val="center"/>
              <w:rPr>
                <w:rFonts w:eastAsia="仿宋_GB2312"/>
                <w:b/>
                <w:bCs/>
                <w:color w:val="auto"/>
                <w:szCs w:val="21"/>
                <w:highlight w:val="none"/>
              </w:rPr>
            </w:pPr>
            <w:r>
              <w:rPr>
                <w:rFonts w:eastAsia="仿宋_GB2312"/>
                <w:b/>
                <w:bCs/>
                <w:color w:val="auto"/>
                <w:szCs w:val="21"/>
                <w:highlight w:val="none"/>
              </w:rPr>
              <w:t>食品亚类（二级）</w:t>
            </w:r>
          </w:p>
        </w:tc>
        <w:tc>
          <w:tcPr>
            <w:tcW w:w="401" w:type="pct"/>
            <w:noWrap w:val="0"/>
            <w:vAlign w:val="center"/>
          </w:tcPr>
          <w:p w14:paraId="1FBA7BC8">
            <w:pPr>
              <w:spacing w:line="300" w:lineRule="exact"/>
              <w:jc w:val="center"/>
              <w:rPr>
                <w:rFonts w:eastAsia="仿宋_GB2312"/>
                <w:b/>
                <w:bCs/>
                <w:color w:val="auto"/>
                <w:szCs w:val="21"/>
                <w:highlight w:val="none"/>
              </w:rPr>
            </w:pPr>
            <w:r>
              <w:rPr>
                <w:rFonts w:eastAsia="仿宋_GB2312"/>
                <w:b/>
                <w:bCs/>
                <w:color w:val="auto"/>
                <w:szCs w:val="21"/>
                <w:highlight w:val="none"/>
              </w:rPr>
              <w:t>食品品种（三级）</w:t>
            </w:r>
          </w:p>
        </w:tc>
        <w:tc>
          <w:tcPr>
            <w:tcW w:w="670" w:type="pct"/>
            <w:noWrap w:val="0"/>
            <w:vAlign w:val="center"/>
          </w:tcPr>
          <w:p w14:paraId="2FC7F8A2">
            <w:pPr>
              <w:spacing w:line="300" w:lineRule="exact"/>
              <w:jc w:val="center"/>
              <w:rPr>
                <w:rFonts w:eastAsia="仿宋_GB2312"/>
                <w:b/>
                <w:bCs/>
                <w:color w:val="auto"/>
                <w:szCs w:val="21"/>
                <w:highlight w:val="none"/>
              </w:rPr>
            </w:pPr>
            <w:r>
              <w:rPr>
                <w:rFonts w:eastAsia="仿宋_GB2312"/>
                <w:b/>
                <w:bCs/>
                <w:color w:val="auto"/>
                <w:szCs w:val="21"/>
                <w:highlight w:val="none"/>
              </w:rPr>
              <w:t>食品细类（四级）</w:t>
            </w:r>
          </w:p>
        </w:tc>
        <w:tc>
          <w:tcPr>
            <w:tcW w:w="284" w:type="pct"/>
            <w:noWrap w:val="0"/>
            <w:vAlign w:val="center"/>
          </w:tcPr>
          <w:p w14:paraId="173D041A">
            <w:pPr>
              <w:spacing w:line="300" w:lineRule="exact"/>
              <w:jc w:val="center"/>
              <w:rPr>
                <w:rFonts w:eastAsia="仿宋_GB2312"/>
                <w:b/>
                <w:bCs/>
                <w:color w:val="auto"/>
                <w:szCs w:val="21"/>
                <w:highlight w:val="none"/>
              </w:rPr>
            </w:pPr>
            <w:r>
              <w:rPr>
                <w:rFonts w:eastAsia="仿宋_GB2312"/>
                <w:b/>
                <w:bCs/>
                <w:color w:val="auto"/>
                <w:szCs w:val="21"/>
                <w:highlight w:val="none"/>
              </w:rPr>
              <w:t>风险等级</w:t>
            </w:r>
          </w:p>
        </w:tc>
        <w:tc>
          <w:tcPr>
            <w:tcW w:w="1553" w:type="pct"/>
            <w:noWrap w:val="0"/>
            <w:vAlign w:val="center"/>
          </w:tcPr>
          <w:p w14:paraId="7A25A55F">
            <w:pPr>
              <w:spacing w:line="300" w:lineRule="exact"/>
              <w:jc w:val="center"/>
            </w:pPr>
            <w:r>
              <w:rPr>
                <w:rFonts w:eastAsia="仿宋_GB2312"/>
                <w:b/>
                <w:bCs/>
                <w:color w:val="auto"/>
                <w:szCs w:val="21"/>
                <w:highlight w:val="none"/>
              </w:rPr>
              <w:t>必检项目</w:t>
            </w:r>
          </w:p>
        </w:tc>
        <w:tc>
          <w:tcPr>
            <w:tcW w:w="1186" w:type="pct"/>
            <w:noWrap w:val="0"/>
            <w:vAlign w:val="center"/>
          </w:tcPr>
          <w:p w14:paraId="3EF26EF9">
            <w:pPr>
              <w:spacing w:line="300" w:lineRule="exact"/>
              <w:jc w:val="center"/>
              <w:rPr>
                <w:rFonts w:eastAsia="仿宋_GB2312"/>
                <w:b/>
                <w:bCs/>
                <w:color w:val="auto"/>
                <w:szCs w:val="21"/>
                <w:highlight w:val="none"/>
              </w:rPr>
            </w:pPr>
            <w:r>
              <w:rPr>
                <w:rFonts w:eastAsia="仿宋_GB2312"/>
                <w:b/>
                <w:bCs/>
                <w:color w:val="auto"/>
                <w:szCs w:val="21"/>
                <w:highlight w:val="none"/>
              </w:rPr>
              <w:t>延伸项目</w:t>
            </w:r>
          </w:p>
        </w:tc>
      </w:tr>
      <w:tr w14:paraId="0B6B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restart"/>
            <w:noWrap w:val="0"/>
            <w:vAlign w:val="center"/>
          </w:tcPr>
          <w:p w14:paraId="43AFB356">
            <w:pPr>
              <w:spacing w:line="300" w:lineRule="exact"/>
              <w:jc w:val="center"/>
              <w:rPr>
                <w:rFonts w:eastAsia="仿宋_GB2312"/>
                <w:color w:val="auto"/>
                <w:szCs w:val="21"/>
                <w:highlight w:val="none"/>
              </w:rPr>
            </w:pPr>
            <w:r>
              <w:rPr>
                <w:rFonts w:eastAsia="仿宋_GB2312"/>
                <w:color w:val="auto"/>
                <w:szCs w:val="21"/>
                <w:highlight w:val="none"/>
              </w:rPr>
              <w:t>1</w:t>
            </w:r>
          </w:p>
        </w:tc>
        <w:tc>
          <w:tcPr>
            <w:tcW w:w="367" w:type="pct"/>
            <w:vMerge w:val="restart"/>
            <w:noWrap w:val="0"/>
            <w:vAlign w:val="center"/>
          </w:tcPr>
          <w:p w14:paraId="576635DA">
            <w:pPr>
              <w:spacing w:line="300" w:lineRule="exact"/>
              <w:jc w:val="center"/>
              <w:rPr>
                <w:rFonts w:eastAsia="仿宋_GB2312"/>
                <w:color w:val="auto"/>
                <w:szCs w:val="21"/>
                <w:highlight w:val="none"/>
              </w:rPr>
            </w:pPr>
            <w:r>
              <w:rPr>
                <w:rFonts w:eastAsia="仿宋_GB2312"/>
                <w:color w:val="auto"/>
                <w:szCs w:val="21"/>
                <w:highlight w:val="none"/>
              </w:rPr>
              <w:t>粮食加工品</w:t>
            </w:r>
          </w:p>
        </w:tc>
        <w:tc>
          <w:tcPr>
            <w:tcW w:w="368" w:type="pct"/>
            <w:noWrap w:val="0"/>
            <w:vAlign w:val="center"/>
          </w:tcPr>
          <w:p w14:paraId="10262B66">
            <w:pPr>
              <w:spacing w:line="300" w:lineRule="exact"/>
              <w:jc w:val="center"/>
              <w:rPr>
                <w:rFonts w:eastAsia="仿宋_GB2312"/>
                <w:color w:val="auto"/>
                <w:szCs w:val="21"/>
                <w:highlight w:val="none"/>
              </w:rPr>
            </w:pPr>
            <w:r>
              <w:rPr>
                <w:rFonts w:eastAsia="仿宋_GB2312"/>
                <w:color w:val="auto"/>
                <w:szCs w:val="21"/>
                <w:highlight w:val="none"/>
              </w:rPr>
              <w:t>小麦粉</w:t>
            </w:r>
          </w:p>
        </w:tc>
        <w:tc>
          <w:tcPr>
            <w:tcW w:w="401" w:type="pct"/>
            <w:noWrap w:val="0"/>
            <w:vAlign w:val="center"/>
          </w:tcPr>
          <w:p w14:paraId="11D95C6D">
            <w:pPr>
              <w:spacing w:line="300" w:lineRule="exact"/>
              <w:jc w:val="center"/>
              <w:rPr>
                <w:rFonts w:eastAsia="仿宋_GB2312"/>
                <w:color w:val="auto"/>
                <w:szCs w:val="21"/>
                <w:highlight w:val="none"/>
              </w:rPr>
            </w:pPr>
            <w:r>
              <w:rPr>
                <w:rFonts w:eastAsia="仿宋_GB2312"/>
                <w:color w:val="auto"/>
                <w:szCs w:val="21"/>
                <w:highlight w:val="none"/>
              </w:rPr>
              <w:t>小麦粉</w:t>
            </w:r>
          </w:p>
        </w:tc>
        <w:tc>
          <w:tcPr>
            <w:tcW w:w="670" w:type="pct"/>
            <w:noWrap w:val="0"/>
            <w:vAlign w:val="center"/>
          </w:tcPr>
          <w:p w14:paraId="410B9213">
            <w:pPr>
              <w:spacing w:line="300" w:lineRule="exact"/>
              <w:jc w:val="center"/>
              <w:rPr>
                <w:rFonts w:eastAsia="仿宋_GB2312"/>
                <w:color w:val="auto"/>
                <w:szCs w:val="21"/>
                <w:highlight w:val="none"/>
              </w:rPr>
            </w:pPr>
            <w:r>
              <w:rPr>
                <w:rFonts w:eastAsia="仿宋_GB2312"/>
                <w:color w:val="auto"/>
                <w:szCs w:val="21"/>
                <w:highlight w:val="none"/>
              </w:rPr>
              <w:t>小麦粉</w:t>
            </w:r>
          </w:p>
        </w:tc>
        <w:tc>
          <w:tcPr>
            <w:tcW w:w="284" w:type="pct"/>
            <w:noWrap w:val="0"/>
            <w:vAlign w:val="center"/>
          </w:tcPr>
          <w:p w14:paraId="4282F20B">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39E8584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hint="eastAsia" w:eastAsia="仿宋_GB2312"/>
                <w:color w:val="auto"/>
                <w:szCs w:val="21"/>
                <w:highlight w:val="none"/>
              </w:rPr>
            </w:pPr>
            <w:r>
              <w:rPr>
                <w:rFonts w:eastAsia="仿宋_GB2312"/>
                <w:color w:val="auto"/>
                <w:szCs w:val="21"/>
                <w:highlight w:val="none"/>
              </w:rPr>
              <w:t>铅(以Pb计)、</w:t>
            </w:r>
            <w:r>
              <w:rPr>
                <w:rFonts w:eastAsia="仿宋_GB2312"/>
                <w:color w:val="auto"/>
                <w:kern w:val="0"/>
                <w:szCs w:val="21"/>
                <w:highlight w:val="none"/>
              </w:rPr>
              <w:t>镉（以Cd计）、苯并[a]芘、玉米赤霉烯酮、脱氧雪腐镰刀菌烯醇、赭曲霉毒</w:t>
            </w:r>
            <w:r>
              <w:rPr>
                <w:rFonts w:eastAsia="仿宋_GB2312"/>
                <w:color w:val="auto"/>
                <w:spacing w:val="-1"/>
                <w:kern w:val="0"/>
                <w:szCs w:val="21"/>
                <w:highlight w:val="none"/>
              </w:rPr>
              <w:t>素A、黄曲霉毒</w:t>
            </w:r>
            <w:r>
              <w:rPr>
                <w:rFonts w:eastAsia="仿宋_GB2312"/>
                <w:color w:val="auto"/>
                <w:spacing w:val="5"/>
                <w:kern w:val="0"/>
                <w:szCs w:val="21"/>
                <w:highlight w:val="none"/>
              </w:rPr>
              <w:t>素B</w:t>
            </w:r>
            <w:r>
              <w:rPr>
                <w:rFonts w:hint="eastAsia" w:eastAsia="仿宋_GB2312"/>
                <w:color w:val="auto"/>
                <w:spacing w:val="5"/>
                <w:kern w:val="0"/>
                <w:szCs w:val="21"/>
                <w:highlight w:val="none"/>
                <w:vertAlign w:val="subscript"/>
              </w:rPr>
              <w:t>1</w:t>
            </w:r>
          </w:p>
        </w:tc>
        <w:tc>
          <w:tcPr>
            <w:tcW w:w="1186" w:type="pct"/>
            <w:noWrap w:val="0"/>
            <w:vAlign w:val="center"/>
          </w:tcPr>
          <w:p w14:paraId="07B584E3">
            <w:pPr>
              <w:spacing w:line="300" w:lineRule="exact"/>
              <w:jc w:val="left"/>
              <w:rPr>
                <w:rFonts w:eastAsia="仿宋_GB2312"/>
                <w:color w:val="auto"/>
                <w:szCs w:val="21"/>
                <w:highlight w:val="none"/>
              </w:rPr>
            </w:pPr>
            <w:r>
              <w:rPr>
                <w:rFonts w:eastAsia="仿宋_GB2312"/>
                <w:color w:val="auto"/>
                <w:szCs w:val="21"/>
                <w:highlight w:val="none"/>
              </w:rPr>
              <w:t>偶氮甲酰胺、过氧化苯甲酰</w:t>
            </w:r>
          </w:p>
        </w:tc>
      </w:tr>
      <w:tr w14:paraId="6E23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1A004E3C">
            <w:pPr>
              <w:spacing w:line="300" w:lineRule="exact"/>
              <w:jc w:val="center"/>
              <w:rPr>
                <w:rFonts w:eastAsia="仿宋_GB2312"/>
                <w:color w:val="auto"/>
                <w:szCs w:val="21"/>
                <w:highlight w:val="none"/>
              </w:rPr>
            </w:pPr>
          </w:p>
        </w:tc>
        <w:tc>
          <w:tcPr>
            <w:tcW w:w="367" w:type="pct"/>
            <w:vMerge w:val="continue"/>
            <w:noWrap w:val="0"/>
            <w:vAlign w:val="center"/>
          </w:tcPr>
          <w:p w14:paraId="0956C679">
            <w:pPr>
              <w:spacing w:line="300" w:lineRule="exact"/>
              <w:jc w:val="center"/>
              <w:rPr>
                <w:rFonts w:eastAsia="仿宋_GB2312"/>
                <w:color w:val="auto"/>
                <w:szCs w:val="21"/>
                <w:highlight w:val="none"/>
              </w:rPr>
            </w:pPr>
          </w:p>
        </w:tc>
        <w:tc>
          <w:tcPr>
            <w:tcW w:w="368" w:type="pct"/>
            <w:noWrap w:val="0"/>
            <w:vAlign w:val="center"/>
          </w:tcPr>
          <w:p w14:paraId="78728D20">
            <w:pPr>
              <w:spacing w:line="300" w:lineRule="exact"/>
              <w:jc w:val="center"/>
              <w:rPr>
                <w:rFonts w:eastAsia="仿宋_GB2312"/>
                <w:color w:val="auto"/>
                <w:szCs w:val="21"/>
                <w:highlight w:val="none"/>
              </w:rPr>
            </w:pPr>
            <w:r>
              <w:rPr>
                <w:rFonts w:eastAsia="仿宋_GB2312"/>
                <w:color w:val="auto"/>
                <w:szCs w:val="21"/>
                <w:highlight w:val="none"/>
              </w:rPr>
              <w:t>大米</w:t>
            </w:r>
          </w:p>
        </w:tc>
        <w:tc>
          <w:tcPr>
            <w:tcW w:w="401" w:type="pct"/>
            <w:noWrap w:val="0"/>
            <w:vAlign w:val="center"/>
          </w:tcPr>
          <w:p w14:paraId="75B880ED">
            <w:pPr>
              <w:spacing w:line="300" w:lineRule="exact"/>
              <w:jc w:val="center"/>
              <w:rPr>
                <w:rFonts w:eastAsia="仿宋_GB2312"/>
                <w:color w:val="auto"/>
                <w:szCs w:val="21"/>
                <w:highlight w:val="none"/>
              </w:rPr>
            </w:pPr>
            <w:r>
              <w:rPr>
                <w:rFonts w:eastAsia="仿宋_GB2312"/>
                <w:color w:val="auto"/>
                <w:szCs w:val="21"/>
                <w:highlight w:val="none"/>
              </w:rPr>
              <w:t>大米</w:t>
            </w:r>
          </w:p>
        </w:tc>
        <w:tc>
          <w:tcPr>
            <w:tcW w:w="670" w:type="pct"/>
            <w:noWrap w:val="0"/>
            <w:vAlign w:val="center"/>
          </w:tcPr>
          <w:p w14:paraId="01478263">
            <w:pPr>
              <w:spacing w:line="300" w:lineRule="exact"/>
              <w:jc w:val="center"/>
              <w:rPr>
                <w:rFonts w:eastAsia="仿宋_GB2312"/>
                <w:color w:val="auto"/>
                <w:szCs w:val="21"/>
                <w:highlight w:val="none"/>
              </w:rPr>
            </w:pPr>
            <w:r>
              <w:rPr>
                <w:rFonts w:eastAsia="仿宋_GB2312"/>
                <w:color w:val="auto"/>
                <w:szCs w:val="21"/>
                <w:highlight w:val="none"/>
              </w:rPr>
              <w:t>大米</w:t>
            </w:r>
          </w:p>
        </w:tc>
        <w:tc>
          <w:tcPr>
            <w:tcW w:w="284" w:type="pct"/>
            <w:noWrap w:val="0"/>
            <w:vAlign w:val="center"/>
          </w:tcPr>
          <w:p w14:paraId="43DFC47A">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1102365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3"/>
                <w:kern w:val="0"/>
                <w:szCs w:val="21"/>
                <w:highlight w:val="none"/>
              </w:rPr>
              <w:t>铅（以</w:t>
            </w:r>
            <w:r>
              <w:rPr>
                <w:rFonts w:eastAsia="仿宋_GB2312"/>
                <w:color w:val="auto"/>
                <w:kern w:val="0"/>
                <w:szCs w:val="21"/>
                <w:highlight w:val="none"/>
              </w:rPr>
              <w:t>Pb</w:t>
            </w:r>
            <w:r>
              <w:rPr>
                <w:rFonts w:eastAsia="仿宋_GB2312"/>
                <w:color w:val="auto"/>
                <w:spacing w:val="3"/>
                <w:kern w:val="0"/>
                <w:szCs w:val="21"/>
                <w:highlight w:val="none"/>
              </w:rPr>
              <w:t>计）、镉（以</w:t>
            </w:r>
            <w:r>
              <w:rPr>
                <w:rFonts w:eastAsia="仿宋_GB2312"/>
                <w:color w:val="auto"/>
                <w:kern w:val="0"/>
                <w:szCs w:val="21"/>
                <w:highlight w:val="none"/>
              </w:rPr>
              <w:t>Cd</w:t>
            </w:r>
            <w:r>
              <w:rPr>
                <w:rFonts w:eastAsia="仿宋_GB2312"/>
                <w:color w:val="auto"/>
                <w:spacing w:val="3"/>
                <w:kern w:val="0"/>
                <w:szCs w:val="21"/>
                <w:highlight w:val="none"/>
              </w:rPr>
              <w:t>计）、无机砷（以</w:t>
            </w:r>
            <w:r>
              <w:rPr>
                <w:rFonts w:eastAsia="仿宋_GB2312"/>
                <w:color w:val="auto"/>
                <w:kern w:val="0"/>
                <w:szCs w:val="21"/>
                <w:highlight w:val="none"/>
              </w:rPr>
              <w:t>As</w:t>
            </w:r>
            <w:r>
              <w:rPr>
                <w:rFonts w:eastAsia="仿宋_GB2312"/>
                <w:color w:val="auto"/>
                <w:spacing w:val="3"/>
                <w:kern w:val="0"/>
                <w:szCs w:val="21"/>
                <w:highlight w:val="none"/>
              </w:rPr>
              <w:t>计）、苯并[a]芘、黄曲霉毒素B</w:t>
            </w:r>
            <w:r>
              <w:rPr>
                <w:rFonts w:hint="eastAsia" w:eastAsia="仿宋_GB2312"/>
                <w:color w:val="auto"/>
                <w:spacing w:val="3"/>
                <w:kern w:val="0"/>
                <w:szCs w:val="21"/>
                <w:highlight w:val="none"/>
                <w:vertAlign w:val="subscript"/>
              </w:rPr>
              <w:t>1</w:t>
            </w:r>
            <w:r>
              <w:rPr>
                <w:rFonts w:eastAsia="仿宋_GB2312"/>
                <w:color w:val="auto"/>
                <w:spacing w:val="2"/>
                <w:kern w:val="0"/>
                <w:szCs w:val="21"/>
                <w:highlight w:val="none"/>
              </w:rPr>
              <w:t>、赭曲霉毒</w:t>
            </w:r>
            <w:r>
              <w:rPr>
                <w:rFonts w:eastAsia="仿宋_GB2312"/>
                <w:color w:val="auto"/>
                <w:spacing w:val="-4"/>
                <w:kern w:val="0"/>
                <w:szCs w:val="21"/>
                <w:highlight w:val="none"/>
              </w:rPr>
              <w:t>素A</w:t>
            </w:r>
          </w:p>
        </w:tc>
        <w:tc>
          <w:tcPr>
            <w:tcW w:w="1186" w:type="pct"/>
            <w:noWrap w:val="0"/>
            <w:vAlign w:val="center"/>
          </w:tcPr>
          <w:p w14:paraId="58CF110D">
            <w:pPr>
              <w:spacing w:line="300" w:lineRule="exact"/>
              <w:jc w:val="center"/>
              <w:rPr>
                <w:rFonts w:hint="eastAsia" w:eastAsia="仿宋_GB2312"/>
                <w:color w:val="auto"/>
                <w:szCs w:val="21"/>
                <w:highlight w:val="none"/>
              </w:rPr>
            </w:pPr>
            <w:r>
              <w:rPr>
                <w:rFonts w:hint="eastAsia" w:eastAsia="仿宋_GB2312"/>
                <w:color w:val="auto"/>
                <w:szCs w:val="21"/>
                <w:highlight w:val="none"/>
              </w:rPr>
              <w:t>/</w:t>
            </w:r>
          </w:p>
        </w:tc>
      </w:tr>
      <w:tr w14:paraId="139D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0D902A95">
            <w:pPr>
              <w:spacing w:line="300" w:lineRule="exact"/>
              <w:jc w:val="center"/>
              <w:rPr>
                <w:rFonts w:eastAsia="仿宋_GB2312"/>
                <w:color w:val="auto"/>
                <w:szCs w:val="21"/>
                <w:highlight w:val="none"/>
              </w:rPr>
            </w:pPr>
          </w:p>
        </w:tc>
        <w:tc>
          <w:tcPr>
            <w:tcW w:w="367" w:type="pct"/>
            <w:vMerge w:val="continue"/>
            <w:noWrap w:val="0"/>
            <w:vAlign w:val="center"/>
          </w:tcPr>
          <w:p w14:paraId="487A8AB5">
            <w:pPr>
              <w:spacing w:line="300" w:lineRule="exact"/>
              <w:jc w:val="center"/>
              <w:rPr>
                <w:rFonts w:eastAsia="仿宋_GB2312"/>
                <w:color w:val="auto"/>
                <w:szCs w:val="21"/>
                <w:highlight w:val="none"/>
              </w:rPr>
            </w:pPr>
          </w:p>
        </w:tc>
        <w:tc>
          <w:tcPr>
            <w:tcW w:w="368" w:type="pct"/>
            <w:noWrap w:val="0"/>
            <w:vAlign w:val="center"/>
          </w:tcPr>
          <w:p w14:paraId="387271C1">
            <w:pPr>
              <w:spacing w:line="300" w:lineRule="exact"/>
              <w:jc w:val="center"/>
              <w:rPr>
                <w:rFonts w:eastAsia="仿宋_GB2312"/>
                <w:color w:val="auto"/>
                <w:szCs w:val="21"/>
                <w:highlight w:val="none"/>
              </w:rPr>
            </w:pPr>
            <w:r>
              <w:rPr>
                <w:rFonts w:eastAsia="仿宋_GB2312"/>
                <w:color w:val="auto"/>
                <w:szCs w:val="21"/>
                <w:highlight w:val="none"/>
              </w:rPr>
              <w:t>挂面</w:t>
            </w:r>
          </w:p>
        </w:tc>
        <w:tc>
          <w:tcPr>
            <w:tcW w:w="401" w:type="pct"/>
            <w:noWrap w:val="0"/>
            <w:vAlign w:val="center"/>
          </w:tcPr>
          <w:p w14:paraId="7033789B">
            <w:pPr>
              <w:spacing w:line="300" w:lineRule="exact"/>
              <w:jc w:val="center"/>
              <w:rPr>
                <w:rFonts w:eastAsia="仿宋_GB2312"/>
                <w:color w:val="auto"/>
                <w:szCs w:val="21"/>
                <w:highlight w:val="none"/>
              </w:rPr>
            </w:pPr>
            <w:r>
              <w:rPr>
                <w:rFonts w:eastAsia="仿宋_GB2312"/>
                <w:color w:val="auto"/>
                <w:szCs w:val="21"/>
                <w:highlight w:val="none"/>
              </w:rPr>
              <w:t>挂面</w:t>
            </w:r>
          </w:p>
        </w:tc>
        <w:tc>
          <w:tcPr>
            <w:tcW w:w="670" w:type="pct"/>
            <w:noWrap w:val="0"/>
            <w:vAlign w:val="center"/>
          </w:tcPr>
          <w:p w14:paraId="18AF7591">
            <w:pPr>
              <w:spacing w:line="300" w:lineRule="exact"/>
              <w:jc w:val="center"/>
              <w:rPr>
                <w:rFonts w:eastAsia="仿宋_GB2312"/>
                <w:color w:val="auto"/>
                <w:szCs w:val="21"/>
                <w:highlight w:val="none"/>
              </w:rPr>
            </w:pPr>
            <w:r>
              <w:rPr>
                <w:rFonts w:eastAsia="仿宋_GB2312"/>
                <w:color w:val="auto"/>
                <w:szCs w:val="21"/>
                <w:highlight w:val="none"/>
              </w:rPr>
              <w:t>挂面</w:t>
            </w:r>
          </w:p>
        </w:tc>
        <w:tc>
          <w:tcPr>
            <w:tcW w:w="284" w:type="pct"/>
            <w:noWrap w:val="0"/>
            <w:vAlign w:val="center"/>
          </w:tcPr>
          <w:p w14:paraId="220E7970">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6B85F25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3"/>
                <w:kern w:val="0"/>
                <w:szCs w:val="21"/>
                <w:highlight w:val="none"/>
              </w:rPr>
              <w:t>铅(以Pb计)、黄曲霉毒素B</w:t>
            </w:r>
            <w:r>
              <w:rPr>
                <w:rFonts w:hint="eastAsia" w:eastAsia="仿宋_GB2312"/>
                <w:color w:val="auto"/>
                <w:spacing w:val="3"/>
                <w:kern w:val="0"/>
                <w:szCs w:val="21"/>
                <w:highlight w:val="none"/>
                <w:vertAlign w:val="subscript"/>
              </w:rPr>
              <w:t>1</w:t>
            </w:r>
            <w:r>
              <w:rPr>
                <w:rFonts w:eastAsia="仿宋_GB2312"/>
                <w:color w:val="auto"/>
                <w:spacing w:val="3"/>
                <w:kern w:val="0"/>
                <w:szCs w:val="21"/>
                <w:highlight w:val="none"/>
              </w:rPr>
              <w:t>、脱氢乙酸及其钠盐（以脱氢乙酸计</w:t>
            </w:r>
            <w:r>
              <w:rPr>
                <w:rFonts w:eastAsia="仿宋_GB2312"/>
                <w:color w:val="auto"/>
                <w:spacing w:val="2"/>
                <w:kern w:val="0"/>
                <w:szCs w:val="21"/>
                <w:highlight w:val="none"/>
              </w:rPr>
              <w:t>）、合成着色剂(柠檬黄、日落黄、胭脂红、苋菜红、诱惑红、亮蓝)</w:t>
            </w:r>
          </w:p>
        </w:tc>
        <w:tc>
          <w:tcPr>
            <w:tcW w:w="1186" w:type="pct"/>
            <w:noWrap w:val="0"/>
            <w:vAlign w:val="center"/>
          </w:tcPr>
          <w:p w14:paraId="136D7F65">
            <w:pPr>
              <w:spacing w:line="300" w:lineRule="exact"/>
              <w:jc w:val="center"/>
              <w:rPr>
                <w:rFonts w:hint="eastAsia" w:eastAsia="仿宋_GB2312"/>
                <w:color w:val="auto"/>
                <w:szCs w:val="21"/>
                <w:highlight w:val="none"/>
              </w:rPr>
            </w:pPr>
            <w:r>
              <w:rPr>
                <w:rFonts w:hint="eastAsia" w:eastAsia="仿宋_GB2312"/>
                <w:color w:val="auto"/>
                <w:szCs w:val="21"/>
                <w:highlight w:val="none"/>
              </w:rPr>
              <w:t>/</w:t>
            </w:r>
          </w:p>
        </w:tc>
      </w:tr>
      <w:tr w14:paraId="6C12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1C592E78">
            <w:pPr>
              <w:spacing w:line="300" w:lineRule="exact"/>
              <w:jc w:val="center"/>
              <w:rPr>
                <w:rFonts w:eastAsia="仿宋_GB2312"/>
                <w:color w:val="auto"/>
                <w:szCs w:val="21"/>
                <w:highlight w:val="none"/>
              </w:rPr>
            </w:pPr>
          </w:p>
        </w:tc>
        <w:tc>
          <w:tcPr>
            <w:tcW w:w="367" w:type="pct"/>
            <w:vMerge w:val="continue"/>
            <w:noWrap w:val="0"/>
            <w:vAlign w:val="center"/>
          </w:tcPr>
          <w:p w14:paraId="707EA800">
            <w:pPr>
              <w:spacing w:line="300" w:lineRule="exact"/>
              <w:jc w:val="center"/>
              <w:rPr>
                <w:rFonts w:eastAsia="仿宋_GB2312"/>
                <w:color w:val="auto"/>
                <w:szCs w:val="21"/>
                <w:highlight w:val="none"/>
              </w:rPr>
            </w:pPr>
          </w:p>
        </w:tc>
        <w:tc>
          <w:tcPr>
            <w:tcW w:w="368" w:type="pct"/>
            <w:vMerge w:val="restart"/>
            <w:noWrap w:val="0"/>
            <w:vAlign w:val="center"/>
          </w:tcPr>
          <w:p w14:paraId="61E39ACE">
            <w:pPr>
              <w:spacing w:line="300" w:lineRule="exact"/>
              <w:jc w:val="center"/>
              <w:rPr>
                <w:rFonts w:eastAsia="仿宋_GB2312"/>
                <w:color w:val="auto"/>
                <w:szCs w:val="21"/>
                <w:highlight w:val="none"/>
              </w:rPr>
            </w:pPr>
            <w:r>
              <w:rPr>
                <w:rFonts w:eastAsia="仿宋_GB2312"/>
                <w:color w:val="auto"/>
                <w:szCs w:val="21"/>
                <w:highlight w:val="none"/>
              </w:rPr>
              <w:t>其他粮食加工品</w:t>
            </w:r>
          </w:p>
        </w:tc>
        <w:tc>
          <w:tcPr>
            <w:tcW w:w="401" w:type="pct"/>
            <w:noWrap w:val="0"/>
            <w:vAlign w:val="center"/>
          </w:tcPr>
          <w:p w14:paraId="4D2679A0">
            <w:pPr>
              <w:spacing w:line="300" w:lineRule="exact"/>
              <w:jc w:val="center"/>
              <w:rPr>
                <w:rFonts w:eastAsia="仿宋_GB2312"/>
                <w:color w:val="auto"/>
                <w:szCs w:val="21"/>
                <w:highlight w:val="none"/>
              </w:rPr>
            </w:pPr>
            <w:r>
              <w:rPr>
                <w:rFonts w:eastAsia="仿宋_GB2312"/>
                <w:color w:val="auto"/>
                <w:szCs w:val="21"/>
                <w:highlight w:val="none"/>
              </w:rPr>
              <w:t>谷物加工品</w:t>
            </w:r>
          </w:p>
        </w:tc>
        <w:tc>
          <w:tcPr>
            <w:tcW w:w="670" w:type="pct"/>
            <w:noWrap w:val="0"/>
            <w:vAlign w:val="center"/>
          </w:tcPr>
          <w:p w14:paraId="4BD2D6DE">
            <w:pPr>
              <w:spacing w:line="300" w:lineRule="exact"/>
              <w:jc w:val="center"/>
              <w:rPr>
                <w:rFonts w:eastAsia="仿宋_GB2312"/>
                <w:color w:val="auto"/>
                <w:szCs w:val="21"/>
                <w:highlight w:val="none"/>
              </w:rPr>
            </w:pPr>
            <w:r>
              <w:rPr>
                <w:rFonts w:eastAsia="仿宋_GB2312"/>
                <w:color w:val="auto"/>
                <w:szCs w:val="21"/>
                <w:highlight w:val="none"/>
              </w:rPr>
              <w:t>谷物加工品</w:t>
            </w:r>
          </w:p>
        </w:tc>
        <w:tc>
          <w:tcPr>
            <w:tcW w:w="284" w:type="pct"/>
            <w:noWrap w:val="0"/>
            <w:vAlign w:val="center"/>
          </w:tcPr>
          <w:p w14:paraId="584582C3">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5C54958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4"/>
                <w:kern w:val="0"/>
                <w:szCs w:val="21"/>
                <w:highlight w:val="none"/>
              </w:rPr>
              <w:t>铅(以Pb计)、镉（以</w:t>
            </w:r>
            <w:r>
              <w:rPr>
                <w:rFonts w:eastAsia="仿宋_GB2312"/>
                <w:color w:val="auto"/>
                <w:kern w:val="0"/>
                <w:szCs w:val="21"/>
                <w:highlight w:val="none"/>
              </w:rPr>
              <w:t>Cd</w:t>
            </w:r>
            <w:r>
              <w:rPr>
                <w:rFonts w:eastAsia="仿宋_GB2312"/>
                <w:color w:val="auto"/>
                <w:spacing w:val="4"/>
                <w:kern w:val="0"/>
                <w:szCs w:val="21"/>
                <w:highlight w:val="none"/>
              </w:rPr>
              <w:t>计）</w:t>
            </w:r>
            <w:r>
              <w:rPr>
                <w:rFonts w:eastAsia="仿宋_GB2312"/>
                <w:color w:val="auto"/>
                <w:spacing w:val="3"/>
                <w:kern w:val="0"/>
                <w:szCs w:val="21"/>
                <w:highlight w:val="none"/>
              </w:rPr>
              <w:t>黄曲霉毒素B</w:t>
            </w:r>
            <w:r>
              <w:rPr>
                <w:rFonts w:hint="eastAsia" w:eastAsia="仿宋_GB2312"/>
                <w:color w:val="auto"/>
                <w:spacing w:val="3"/>
                <w:kern w:val="0"/>
                <w:szCs w:val="21"/>
                <w:highlight w:val="none"/>
                <w:vertAlign w:val="subscript"/>
              </w:rPr>
              <w:t>1</w:t>
            </w:r>
            <w:r>
              <w:rPr>
                <w:rFonts w:hint="eastAsia" w:eastAsia="仿宋_GB2312"/>
                <w:color w:val="auto"/>
                <w:spacing w:val="4"/>
                <w:kern w:val="0"/>
                <w:szCs w:val="21"/>
                <w:highlight w:val="none"/>
              </w:rPr>
              <w:t>、</w:t>
            </w:r>
            <w:r>
              <w:rPr>
                <w:rFonts w:eastAsia="仿宋_GB2312"/>
                <w:color w:val="auto"/>
                <w:spacing w:val="4"/>
                <w:kern w:val="0"/>
                <w:szCs w:val="21"/>
                <w:highlight w:val="none"/>
              </w:rPr>
              <w:t>赭曲霉毒素A</w:t>
            </w:r>
          </w:p>
        </w:tc>
        <w:tc>
          <w:tcPr>
            <w:tcW w:w="1186" w:type="pct"/>
            <w:noWrap w:val="0"/>
            <w:vAlign w:val="center"/>
          </w:tcPr>
          <w:p w14:paraId="1B2C7457">
            <w:pPr>
              <w:spacing w:line="300" w:lineRule="exact"/>
              <w:jc w:val="center"/>
              <w:rPr>
                <w:rFonts w:hint="eastAsia" w:eastAsia="仿宋_GB2312"/>
                <w:color w:val="auto"/>
                <w:szCs w:val="21"/>
                <w:highlight w:val="none"/>
              </w:rPr>
            </w:pPr>
            <w:r>
              <w:rPr>
                <w:rFonts w:hint="eastAsia" w:eastAsia="仿宋_GB2312"/>
                <w:color w:val="auto"/>
                <w:szCs w:val="21"/>
                <w:highlight w:val="none"/>
              </w:rPr>
              <w:t>/</w:t>
            </w:r>
          </w:p>
        </w:tc>
      </w:tr>
      <w:tr w14:paraId="3099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57A82BD7">
            <w:pPr>
              <w:spacing w:line="300" w:lineRule="exact"/>
              <w:jc w:val="center"/>
              <w:rPr>
                <w:rFonts w:eastAsia="仿宋_GB2312"/>
                <w:color w:val="auto"/>
                <w:szCs w:val="21"/>
                <w:highlight w:val="none"/>
              </w:rPr>
            </w:pPr>
          </w:p>
        </w:tc>
        <w:tc>
          <w:tcPr>
            <w:tcW w:w="367" w:type="pct"/>
            <w:vMerge w:val="continue"/>
            <w:noWrap w:val="0"/>
            <w:vAlign w:val="center"/>
          </w:tcPr>
          <w:p w14:paraId="5ED3DDA4">
            <w:pPr>
              <w:spacing w:line="300" w:lineRule="exact"/>
              <w:jc w:val="center"/>
              <w:rPr>
                <w:rFonts w:eastAsia="仿宋_GB2312"/>
                <w:color w:val="auto"/>
                <w:szCs w:val="21"/>
                <w:highlight w:val="none"/>
              </w:rPr>
            </w:pPr>
          </w:p>
        </w:tc>
        <w:tc>
          <w:tcPr>
            <w:tcW w:w="368" w:type="pct"/>
            <w:vMerge w:val="continue"/>
            <w:noWrap w:val="0"/>
            <w:vAlign w:val="center"/>
          </w:tcPr>
          <w:p w14:paraId="7F0A5D20">
            <w:pPr>
              <w:spacing w:line="300" w:lineRule="exact"/>
              <w:jc w:val="center"/>
              <w:rPr>
                <w:rFonts w:eastAsia="仿宋_GB2312"/>
                <w:color w:val="auto"/>
                <w:szCs w:val="21"/>
                <w:highlight w:val="none"/>
              </w:rPr>
            </w:pPr>
          </w:p>
        </w:tc>
        <w:tc>
          <w:tcPr>
            <w:tcW w:w="401" w:type="pct"/>
            <w:vMerge w:val="restart"/>
            <w:noWrap w:val="0"/>
            <w:vAlign w:val="center"/>
          </w:tcPr>
          <w:p w14:paraId="17BCDACE">
            <w:pPr>
              <w:spacing w:line="300" w:lineRule="exact"/>
              <w:jc w:val="center"/>
              <w:rPr>
                <w:rFonts w:eastAsia="仿宋_GB2312"/>
                <w:color w:val="auto"/>
                <w:szCs w:val="21"/>
                <w:highlight w:val="none"/>
              </w:rPr>
            </w:pPr>
            <w:r>
              <w:rPr>
                <w:rFonts w:eastAsia="仿宋_GB2312"/>
                <w:color w:val="auto"/>
                <w:szCs w:val="21"/>
                <w:highlight w:val="none"/>
              </w:rPr>
              <w:t>谷物碾磨加工品</w:t>
            </w:r>
          </w:p>
        </w:tc>
        <w:tc>
          <w:tcPr>
            <w:tcW w:w="670" w:type="pct"/>
            <w:noWrap w:val="0"/>
            <w:vAlign w:val="center"/>
          </w:tcPr>
          <w:p w14:paraId="14405619">
            <w:pPr>
              <w:spacing w:line="300" w:lineRule="exact"/>
              <w:jc w:val="center"/>
              <w:rPr>
                <w:rFonts w:eastAsia="仿宋_GB2312"/>
                <w:color w:val="auto"/>
                <w:szCs w:val="21"/>
                <w:highlight w:val="none"/>
              </w:rPr>
            </w:pPr>
            <w:r>
              <w:rPr>
                <w:rFonts w:eastAsia="仿宋_GB2312"/>
                <w:color w:val="auto"/>
                <w:szCs w:val="21"/>
                <w:highlight w:val="none"/>
              </w:rPr>
              <w:t>玉米粉（片、渣）</w:t>
            </w:r>
          </w:p>
        </w:tc>
        <w:tc>
          <w:tcPr>
            <w:tcW w:w="284" w:type="pct"/>
            <w:noWrap w:val="0"/>
            <w:vAlign w:val="center"/>
          </w:tcPr>
          <w:p w14:paraId="430A81D1">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2551C5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3"/>
                <w:kern w:val="0"/>
                <w:szCs w:val="21"/>
                <w:highlight w:val="none"/>
              </w:rPr>
              <w:t>苯并[a]芘、黄曲霉毒素B</w:t>
            </w:r>
            <w:r>
              <w:rPr>
                <w:rFonts w:hint="eastAsia" w:eastAsia="仿宋_GB2312"/>
                <w:color w:val="auto"/>
                <w:spacing w:val="3"/>
                <w:kern w:val="0"/>
                <w:szCs w:val="21"/>
                <w:highlight w:val="none"/>
                <w:vertAlign w:val="subscript"/>
              </w:rPr>
              <w:t>1</w:t>
            </w:r>
            <w:r>
              <w:rPr>
                <w:rFonts w:hint="eastAsia" w:eastAsia="仿宋_GB2312"/>
                <w:color w:val="auto"/>
                <w:spacing w:val="3"/>
                <w:kern w:val="0"/>
                <w:szCs w:val="21"/>
                <w:highlight w:val="none"/>
              </w:rPr>
              <w:t>、</w:t>
            </w:r>
            <w:r>
              <w:rPr>
                <w:rFonts w:eastAsia="仿宋_GB2312"/>
                <w:color w:val="auto"/>
                <w:spacing w:val="3"/>
                <w:kern w:val="0"/>
                <w:szCs w:val="21"/>
                <w:highlight w:val="none"/>
              </w:rPr>
              <w:t>赭曲霉毒素A、玉米赤霉烯酮、脱</w:t>
            </w:r>
            <w:r>
              <w:rPr>
                <w:rFonts w:eastAsia="仿宋_GB2312"/>
                <w:color w:val="auto"/>
                <w:spacing w:val="2"/>
                <w:kern w:val="0"/>
                <w:szCs w:val="21"/>
                <w:highlight w:val="none"/>
              </w:rPr>
              <w:t>氧雪腐镰刀菌烯醇</w:t>
            </w:r>
          </w:p>
        </w:tc>
        <w:tc>
          <w:tcPr>
            <w:tcW w:w="1186" w:type="pct"/>
            <w:noWrap w:val="0"/>
            <w:vAlign w:val="center"/>
          </w:tcPr>
          <w:p w14:paraId="7A2368CD">
            <w:pPr>
              <w:spacing w:line="300" w:lineRule="exact"/>
              <w:jc w:val="center"/>
              <w:rPr>
                <w:rFonts w:hint="eastAsia" w:eastAsia="仿宋_GB2312"/>
                <w:color w:val="auto"/>
                <w:szCs w:val="21"/>
                <w:highlight w:val="none"/>
              </w:rPr>
            </w:pPr>
            <w:r>
              <w:rPr>
                <w:rFonts w:hint="eastAsia" w:eastAsia="仿宋_GB2312"/>
                <w:color w:val="auto"/>
                <w:szCs w:val="21"/>
                <w:highlight w:val="none"/>
              </w:rPr>
              <w:t>/</w:t>
            </w:r>
          </w:p>
        </w:tc>
      </w:tr>
      <w:tr w14:paraId="1981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6E3ED7A0">
            <w:pPr>
              <w:spacing w:line="300" w:lineRule="exact"/>
              <w:jc w:val="center"/>
              <w:rPr>
                <w:rFonts w:eastAsia="仿宋_GB2312"/>
                <w:color w:val="auto"/>
                <w:szCs w:val="21"/>
                <w:highlight w:val="none"/>
              </w:rPr>
            </w:pPr>
          </w:p>
        </w:tc>
        <w:tc>
          <w:tcPr>
            <w:tcW w:w="367" w:type="pct"/>
            <w:vMerge w:val="continue"/>
            <w:noWrap w:val="0"/>
            <w:vAlign w:val="center"/>
          </w:tcPr>
          <w:p w14:paraId="7DF07424">
            <w:pPr>
              <w:spacing w:line="300" w:lineRule="exact"/>
              <w:jc w:val="center"/>
              <w:rPr>
                <w:rFonts w:eastAsia="仿宋_GB2312"/>
                <w:color w:val="auto"/>
                <w:szCs w:val="21"/>
                <w:highlight w:val="none"/>
              </w:rPr>
            </w:pPr>
          </w:p>
        </w:tc>
        <w:tc>
          <w:tcPr>
            <w:tcW w:w="368" w:type="pct"/>
            <w:vMerge w:val="continue"/>
            <w:noWrap w:val="0"/>
            <w:vAlign w:val="center"/>
          </w:tcPr>
          <w:p w14:paraId="70229533">
            <w:pPr>
              <w:spacing w:line="300" w:lineRule="exact"/>
              <w:jc w:val="center"/>
              <w:rPr>
                <w:rFonts w:eastAsia="仿宋_GB2312"/>
                <w:color w:val="auto"/>
                <w:szCs w:val="21"/>
                <w:highlight w:val="none"/>
              </w:rPr>
            </w:pPr>
          </w:p>
        </w:tc>
        <w:tc>
          <w:tcPr>
            <w:tcW w:w="401" w:type="pct"/>
            <w:vMerge w:val="continue"/>
            <w:noWrap w:val="0"/>
            <w:vAlign w:val="center"/>
          </w:tcPr>
          <w:p w14:paraId="362DA715">
            <w:pPr>
              <w:spacing w:line="300" w:lineRule="exact"/>
              <w:jc w:val="center"/>
              <w:rPr>
                <w:rFonts w:eastAsia="仿宋_GB2312"/>
                <w:color w:val="auto"/>
                <w:szCs w:val="21"/>
                <w:highlight w:val="none"/>
              </w:rPr>
            </w:pPr>
          </w:p>
        </w:tc>
        <w:tc>
          <w:tcPr>
            <w:tcW w:w="670" w:type="pct"/>
            <w:noWrap w:val="0"/>
            <w:vAlign w:val="center"/>
          </w:tcPr>
          <w:p w14:paraId="1CD80341">
            <w:pPr>
              <w:spacing w:line="300" w:lineRule="exact"/>
              <w:jc w:val="center"/>
              <w:rPr>
                <w:rFonts w:eastAsia="仿宋_GB2312"/>
                <w:color w:val="auto"/>
                <w:szCs w:val="21"/>
                <w:highlight w:val="none"/>
              </w:rPr>
            </w:pPr>
            <w:r>
              <w:rPr>
                <w:rFonts w:eastAsia="仿宋_GB2312"/>
                <w:color w:val="auto"/>
                <w:szCs w:val="21"/>
                <w:highlight w:val="none"/>
              </w:rPr>
              <w:t>米粉</w:t>
            </w:r>
          </w:p>
        </w:tc>
        <w:tc>
          <w:tcPr>
            <w:tcW w:w="284" w:type="pct"/>
            <w:noWrap w:val="0"/>
            <w:vAlign w:val="center"/>
          </w:tcPr>
          <w:p w14:paraId="5BFAD81B">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42C8C83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铅 (以Pb计)、镉(以Cd计)、总汞 (以Hg计)、无机砷(以As计)</w:t>
            </w:r>
          </w:p>
        </w:tc>
        <w:tc>
          <w:tcPr>
            <w:tcW w:w="1186" w:type="pct"/>
            <w:noWrap w:val="0"/>
            <w:vAlign w:val="center"/>
          </w:tcPr>
          <w:p w14:paraId="155C9186">
            <w:pPr>
              <w:spacing w:line="300" w:lineRule="exact"/>
              <w:jc w:val="center"/>
              <w:rPr>
                <w:rFonts w:hint="eastAsia" w:eastAsia="仿宋_GB2312"/>
                <w:color w:val="auto"/>
                <w:szCs w:val="21"/>
                <w:highlight w:val="none"/>
              </w:rPr>
            </w:pPr>
            <w:r>
              <w:rPr>
                <w:rFonts w:hint="eastAsia" w:eastAsia="仿宋_GB2312"/>
                <w:color w:val="auto"/>
                <w:szCs w:val="21"/>
                <w:highlight w:val="none"/>
              </w:rPr>
              <w:t>/</w:t>
            </w:r>
          </w:p>
        </w:tc>
      </w:tr>
      <w:tr w14:paraId="6888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2643B6FE">
            <w:pPr>
              <w:spacing w:line="300" w:lineRule="exact"/>
              <w:jc w:val="center"/>
              <w:rPr>
                <w:rFonts w:eastAsia="仿宋_GB2312"/>
                <w:color w:val="auto"/>
                <w:szCs w:val="21"/>
                <w:highlight w:val="none"/>
              </w:rPr>
            </w:pPr>
          </w:p>
        </w:tc>
        <w:tc>
          <w:tcPr>
            <w:tcW w:w="367" w:type="pct"/>
            <w:vMerge w:val="continue"/>
            <w:noWrap w:val="0"/>
            <w:vAlign w:val="center"/>
          </w:tcPr>
          <w:p w14:paraId="644200C8">
            <w:pPr>
              <w:spacing w:line="300" w:lineRule="exact"/>
              <w:jc w:val="center"/>
              <w:rPr>
                <w:rFonts w:eastAsia="仿宋_GB2312"/>
                <w:color w:val="auto"/>
                <w:szCs w:val="21"/>
                <w:highlight w:val="none"/>
              </w:rPr>
            </w:pPr>
          </w:p>
        </w:tc>
        <w:tc>
          <w:tcPr>
            <w:tcW w:w="368" w:type="pct"/>
            <w:vMerge w:val="continue"/>
            <w:noWrap w:val="0"/>
            <w:vAlign w:val="center"/>
          </w:tcPr>
          <w:p w14:paraId="75F596CF">
            <w:pPr>
              <w:spacing w:line="300" w:lineRule="exact"/>
              <w:jc w:val="center"/>
              <w:rPr>
                <w:rFonts w:eastAsia="仿宋_GB2312"/>
                <w:color w:val="auto"/>
                <w:szCs w:val="21"/>
                <w:highlight w:val="none"/>
              </w:rPr>
            </w:pPr>
          </w:p>
        </w:tc>
        <w:tc>
          <w:tcPr>
            <w:tcW w:w="401" w:type="pct"/>
            <w:vMerge w:val="continue"/>
            <w:noWrap w:val="0"/>
            <w:vAlign w:val="center"/>
          </w:tcPr>
          <w:p w14:paraId="572277C8">
            <w:pPr>
              <w:spacing w:line="300" w:lineRule="exact"/>
              <w:jc w:val="center"/>
              <w:rPr>
                <w:rFonts w:eastAsia="仿宋_GB2312"/>
                <w:color w:val="auto"/>
                <w:szCs w:val="21"/>
                <w:highlight w:val="none"/>
              </w:rPr>
            </w:pPr>
          </w:p>
        </w:tc>
        <w:tc>
          <w:tcPr>
            <w:tcW w:w="670" w:type="pct"/>
            <w:noWrap w:val="0"/>
            <w:vAlign w:val="center"/>
          </w:tcPr>
          <w:p w14:paraId="6DA923CC">
            <w:pPr>
              <w:spacing w:line="300" w:lineRule="exact"/>
              <w:jc w:val="center"/>
              <w:rPr>
                <w:rFonts w:eastAsia="仿宋_GB2312"/>
                <w:color w:val="auto"/>
                <w:szCs w:val="21"/>
                <w:highlight w:val="none"/>
              </w:rPr>
            </w:pPr>
            <w:r>
              <w:rPr>
                <w:rFonts w:eastAsia="仿宋_GB2312"/>
                <w:color w:val="auto"/>
                <w:szCs w:val="21"/>
                <w:highlight w:val="none"/>
              </w:rPr>
              <w:t>其他谷物碾磨加工品</w:t>
            </w:r>
          </w:p>
        </w:tc>
        <w:tc>
          <w:tcPr>
            <w:tcW w:w="284" w:type="pct"/>
            <w:noWrap w:val="0"/>
            <w:vAlign w:val="center"/>
          </w:tcPr>
          <w:p w14:paraId="7097711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149665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铅(以Pb计)、铬( Cr计)、赭曲霉毒素A</w:t>
            </w:r>
          </w:p>
        </w:tc>
        <w:tc>
          <w:tcPr>
            <w:tcW w:w="1186" w:type="pct"/>
            <w:noWrap w:val="0"/>
            <w:vAlign w:val="center"/>
          </w:tcPr>
          <w:p w14:paraId="0EECE951">
            <w:pPr>
              <w:spacing w:line="300" w:lineRule="exact"/>
              <w:jc w:val="center"/>
              <w:rPr>
                <w:rFonts w:hint="eastAsia" w:eastAsia="仿宋_GB2312"/>
                <w:color w:val="auto"/>
                <w:szCs w:val="21"/>
                <w:highlight w:val="none"/>
              </w:rPr>
            </w:pPr>
            <w:r>
              <w:rPr>
                <w:rFonts w:hint="eastAsia" w:eastAsia="仿宋_GB2312"/>
                <w:color w:val="auto"/>
                <w:szCs w:val="21"/>
                <w:highlight w:val="none"/>
              </w:rPr>
              <w:t>/</w:t>
            </w:r>
          </w:p>
        </w:tc>
      </w:tr>
      <w:tr w14:paraId="5C33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66" w:type="pct"/>
            <w:vMerge w:val="continue"/>
            <w:noWrap w:val="0"/>
            <w:vAlign w:val="center"/>
          </w:tcPr>
          <w:p w14:paraId="368C11C3">
            <w:pPr>
              <w:spacing w:line="300" w:lineRule="exact"/>
              <w:jc w:val="center"/>
              <w:rPr>
                <w:rFonts w:eastAsia="仿宋_GB2312"/>
                <w:color w:val="auto"/>
                <w:szCs w:val="21"/>
                <w:highlight w:val="none"/>
              </w:rPr>
            </w:pPr>
          </w:p>
        </w:tc>
        <w:tc>
          <w:tcPr>
            <w:tcW w:w="367" w:type="pct"/>
            <w:vMerge w:val="continue"/>
            <w:noWrap w:val="0"/>
            <w:vAlign w:val="center"/>
          </w:tcPr>
          <w:p w14:paraId="10EC9432">
            <w:pPr>
              <w:spacing w:line="300" w:lineRule="exact"/>
              <w:jc w:val="center"/>
              <w:rPr>
                <w:rFonts w:eastAsia="仿宋_GB2312"/>
                <w:color w:val="auto"/>
                <w:szCs w:val="21"/>
                <w:highlight w:val="none"/>
              </w:rPr>
            </w:pPr>
          </w:p>
        </w:tc>
        <w:tc>
          <w:tcPr>
            <w:tcW w:w="368" w:type="pct"/>
            <w:vMerge w:val="continue"/>
            <w:noWrap w:val="0"/>
            <w:vAlign w:val="center"/>
          </w:tcPr>
          <w:p w14:paraId="3C2A07F4">
            <w:pPr>
              <w:spacing w:line="300" w:lineRule="exact"/>
              <w:jc w:val="center"/>
              <w:rPr>
                <w:rFonts w:eastAsia="仿宋_GB2312"/>
                <w:color w:val="auto"/>
                <w:szCs w:val="21"/>
                <w:highlight w:val="none"/>
              </w:rPr>
            </w:pPr>
          </w:p>
        </w:tc>
        <w:tc>
          <w:tcPr>
            <w:tcW w:w="401" w:type="pct"/>
            <w:vMerge w:val="restart"/>
            <w:noWrap w:val="0"/>
            <w:vAlign w:val="center"/>
          </w:tcPr>
          <w:p w14:paraId="174278D4">
            <w:pPr>
              <w:spacing w:line="300" w:lineRule="exact"/>
              <w:jc w:val="center"/>
              <w:rPr>
                <w:rFonts w:eastAsia="仿宋_GB2312"/>
                <w:color w:val="auto"/>
                <w:szCs w:val="21"/>
                <w:highlight w:val="none"/>
              </w:rPr>
            </w:pPr>
            <w:r>
              <w:rPr>
                <w:rFonts w:eastAsia="仿宋_GB2312"/>
                <w:color w:val="auto"/>
                <w:szCs w:val="21"/>
                <w:highlight w:val="none"/>
              </w:rPr>
              <w:t>谷物粉类制成品</w:t>
            </w:r>
          </w:p>
        </w:tc>
        <w:tc>
          <w:tcPr>
            <w:tcW w:w="670" w:type="pct"/>
            <w:noWrap w:val="0"/>
            <w:vAlign w:val="center"/>
          </w:tcPr>
          <w:p w14:paraId="5A1C1879">
            <w:pPr>
              <w:spacing w:line="300" w:lineRule="exact"/>
              <w:jc w:val="center"/>
              <w:rPr>
                <w:rFonts w:eastAsia="仿宋_GB2312"/>
                <w:color w:val="auto"/>
                <w:szCs w:val="21"/>
                <w:highlight w:val="none"/>
              </w:rPr>
            </w:pPr>
            <w:r>
              <w:rPr>
                <w:rFonts w:eastAsia="仿宋_GB2312"/>
                <w:color w:val="auto"/>
                <w:szCs w:val="21"/>
                <w:highlight w:val="none"/>
              </w:rPr>
              <w:t>生湿面制品</w:t>
            </w:r>
          </w:p>
        </w:tc>
        <w:tc>
          <w:tcPr>
            <w:tcW w:w="284" w:type="pct"/>
            <w:noWrap w:val="0"/>
            <w:vAlign w:val="center"/>
          </w:tcPr>
          <w:p w14:paraId="4FCD13C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FE0E12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铅 (以Pb计)、苯甲酸及其钠盐 (以苯甲酸计)、山梨酸及其钾盐 (以山梨酸计)、脱氢乙酸及其钠盐 (以脱氢乙酸计)、二氧化硫残留量、合成着色剂(柠檬黄)</w:t>
            </w:r>
          </w:p>
        </w:tc>
        <w:tc>
          <w:tcPr>
            <w:tcW w:w="1186" w:type="pct"/>
            <w:noWrap w:val="0"/>
            <w:vAlign w:val="center"/>
          </w:tcPr>
          <w:p w14:paraId="299E076A">
            <w:pPr>
              <w:widowControl/>
              <w:spacing w:line="300" w:lineRule="exact"/>
              <w:jc w:val="left"/>
              <w:rPr>
                <w:rFonts w:eastAsia="仿宋_GB2312"/>
                <w:color w:val="auto"/>
                <w:szCs w:val="21"/>
                <w:highlight w:val="none"/>
              </w:rPr>
            </w:pPr>
            <w:r>
              <w:rPr>
                <w:rFonts w:eastAsia="仿宋_GB2312"/>
                <w:color w:val="auto"/>
                <w:szCs w:val="21"/>
                <w:highlight w:val="none"/>
              </w:rPr>
              <w:t>对羟基苯甲酸酯类及其钠盐</w:t>
            </w:r>
          </w:p>
        </w:tc>
      </w:tr>
      <w:tr w14:paraId="6738B892">
        <w:tblPrEx>
          <w:tblCellMar>
            <w:top w:w="0" w:type="dxa"/>
            <w:left w:w="108" w:type="dxa"/>
            <w:bottom w:w="0" w:type="dxa"/>
            <w:right w:w="108" w:type="dxa"/>
          </w:tblCellMar>
        </w:tblPrEx>
        <w:trPr>
          <w:trHeight w:val="866" w:hRule="atLeast"/>
        </w:trPr>
        <w:tc>
          <w:tcPr>
            <w:tcW w:w="166" w:type="pct"/>
            <w:vMerge w:val="continue"/>
            <w:noWrap w:val="0"/>
            <w:vAlign w:val="center"/>
          </w:tcPr>
          <w:p w14:paraId="2843A2E9">
            <w:pPr>
              <w:spacing w:line="300" w:lineRule="exact"/>
              <w:jc w:val="center"/>
              <w:rPr>
                <w:rFonts w:eastAsia="仿宋_GB2312"/>
                <w:color w:val="auto"/>
                <w:szCs w:val="21"/>
                <w:highlight w:val="none"/>
              </w:rPr>
            </w:pPr>
          </w:p>
        </w:tc>
        <w:tc>
          <w:tcPr>
            <w:tcW w:w="367" w:type="pct"/>
            <w:vMerge w:val="continue"/>
            <w:noWrap w:val="0"/>
            <w:vAlign w:val="center"/>
          </w:tcPr>
          <w:p w14:paraId="4C2D47A7">
            <w:pPr>
              <w:spacing w:line="300" w:lineRule="exact"/>
              <w:jc w:val="center"/>
              <w:rPr>
                <w:rFonts w:eastAsia="仿宋_GB2312"/>
                <w:color w:val="auto"/>
                <w:szCs w:val="21"/>
                <w:highlight w:val="none"/>
              </w:rPr>
            </w:pPr>
          </w:p>
        </w:tc>
        <w:tc>
          <w:tcPr>
            <w:tcW w:w="368" w:type="pct"/>
            <w:vMerge w:val="continue"/>
            <w:noWrap w:val="0"/>
            <w:vAlign w:val="center"/>
          </w:tcPr>
          <w:p w14:paraId="75369FC2">
            <w:pPr>
              <w:spacing w:line="300" w:lineRule="exact"/>
              <w:jc w:val="center"/>
              <w:rPr>
                <w:rFonts w:eastAsia="仿宋_GB2312"/>
                <w:color w:val="auto"/>
                <w:szCs w:val="21"/>
                <w:highlight w:val="none"/>
              </w:rPr>
            </w:pPr>
          </w:p>
        </w:tc>
        <w:tc>
          <w:tcPr>
            <w:tcW w:w="401" w:type="pct"/>
            <w:vMerge w:val="continue"/>
            <w:noWrap w:val="0"/>
            <w:vAlign w:val="center"/>
          </w:tcPr>
          <w:p w14:paraId="32B511AD">
            <w:pPr>
              <w:spacing w:line="300" w:lineRule="exact"/>
              <w:jc w:val="center"/>
              <w:rPr>
                <w:rFonts w:eastAsia="仿宋_GB2312"/>
                <w:color w:val="auto"/>
                <w:szCs w:val="21"/>
                <w:highlight w:val="none"/>
              </w:rPr>
            </w:pPr>
          </w:p>
        </w:tc>
        <w:tc>
          <w:tcPr>
            <w:tcW w:w="670" w:type="pct"/>
            <w:noWrap w:val="0"/>
            <w:vAlign w:val="center"/>
          </w:tcPr>
          <w:p w14:paraId="637F686F">
            <w:pPr>
              <w:spacing w:line="300" w:lineRule="exact"/>
              <w:jc w:val="center"/>
              <w:rPr>
                <w:rFonts w:eastAsia="仿宋_GB2312"/>
                <w:color w:val="auto"/>
                <w:szCs w:val="21"/>
                <w:highlight w:val="none"/>
              </w:rPr>
            </w:pPr>
            <w:r>
              <w:rPr>
                <w:rFonts w:eastAsia="仿宋_GB2312"/>
                <w:color w:val="auto"/>
                <w:szCs w:val="21"/>
                <w:highlight w:val="none"/>
              </w:rPr>
              <w:t>发酵面制品</w:t>
            </w:r>
          </w:p>
        </w:tc>
        <w:tc>
          <w:tcPr>
            <w:tcW w:w="284" w:type="pct"/>
            <w:noWrap w:val="0"/>
            <w:vAlign w:val="center"/>
          </w:tcPr>
          <w:p w14:paraId="43EE7CBF">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201FBB0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铅(以Pb计)、苯甲酸及其钠盐 (以苯甲酸计)、山梨酸及其钾盐 (以山梨酸计)、脱氢乙酸及其钠盐(以脱氢乙酸计)、糖精钠(以糖精计)、甜蜜素(以环己基氨基磺酸计)、安赛蜜、合成着色剂(柠檬黄、胭脂红)</w:t>
            </w:r>
          </w:p>
        </w:tc>
        <w:tc>
          <w:tcPr>
            <w:tcW w:w="1186" w:type="pct"/>
            <w:noWrap w:val="0"/>
            <w:vAlign w:val="center"/>
          </w:tcPr>
          <w:p w14:paraId="4F5EA6DE">
            <w:pPr>
              <w:spacing w:line="300" w:lineRule="exact"/>
              <w:jc w:val="left"/>
              <w:rPr>
                <w:rFonts w:eastAsia="仿宋_GB2312"/>
                <w:color w:val="auto"/>
                <w:szCs w:val="21"/>
                <w:highlight w:val="none"/>
              </w:rPr>
            </w:pPr>
            <w:r>
              <w:rPr>
                <w:rFonts w:eastAsia="仿宋_GB2312"/>
                <w:color w:val="auto"/>
                <w:szCs w:val="21"/>
                <w:highlight w:val="none"/>
              </w:rPr>
              <w:t>菌落总数、大肠菌群</w:t>
            </w:r>
          </w:p>
        </w:tc>
      </w:tr>
      <w:tr w14:paraId="1B3F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vMerge w:val="continue"/>
            <w:noWrap w:val="0"/>
            <w:vAlign w:val="center"/>
          </w:tcPr>
          <w:p w14:paraId="07D5ED37">
            <w:pPr>
              <w:spacing w:line="300" w:lineRule="exact"/>
              <w:jc w:val="center"/>
              <w:rPr>
                <w:rFonts w:eastAsia="仿宋_GB2312"/>
                <w:color w:val="auto"/>
                <w:szCs w:val="21"/>
                <w:highlight w:val="none"/>
              </w:rPr>
            </w:pPr>
          </w:p>
        </w:tc>
        <w:tc>
          <w:tcPr>
            <w:tcW w:w="367" w:type="pct"/>
            <w:vMerge w:val="continue"/>
            <w:noWrap w:val="0"/>
            <w:vAlign w:val="center"/>
          </w:tcPr>
          <w:p w14:paraId="66B677EF">
            <w:pPr>
              <w:spacing w:line="300" w:lineRule="exact"/>
              <w:jc w:val="center"/>
              <w:rPr>
                <w:rFonts w:eastAsia="仿宋_GB2312"/>
                <w:color w:val="auto"/>
                <w:szCs w:val="21"/>
                <w:highlight w:val="none"/>
              </w:rPr>
            </w:pPr>
          </w:p>
        </w:tc>
        <w:tc>
          <w:tcPr>
            <w:tcW w:w="368" w:type="pct"/>
            <w:vMerge w:val="continue"/>
            <w:noWrap w:val="0"/>
            <w:vAlign w:val="center"/>
          </w:tcPr>
          <w:p w14:paraId="32307163">
            <w:pPr>
              <w:spacing w:line="300" w:lineRule="exact"/>
              <w:jc w:val="center"/>
              <w:rPr>
                <w:rFonts w:eastAsia="仿宋_GB2312"/>
                <w:color w:val="auto"/>
                <w:szCs w:val="21"/>
                <w:highlight w:val="none"/>
              </w:rPr>
            </w:pPr>
          </w:p>
        </w:tc>
        <w:tc>
          <w:tcPr>
            <w:tcW w:w="401" w:type="pct"/>
            <w:vMerge w:val="continue"/>
            <w:noWrap w:val="0"/>
            <w:vAlign w:val="center"/>
          </w:tcPr>
          <w:p w14:paraId="270EFE41">
            <w:pPr>
              <w:spacing w:line="300" w:lineRule="exact"/>
              <w:jc w:val="center"/>
              <w:rPr>
                <w:rFonts w:eastAsia="仿宋_GB2312"/>
                <w:color w:val="auto"/>
                <w:szCs w:val="21"/>
                <w:highlight w:val="none"/>
              </w:rPr>
            </w:pPr>
          </w:p>
        </w:tc>
        <w:tc>
          <w:tcPr>
            <w:tcW w:w="670" w:type="pct"/>
            <w:noWrap w:val="0"/>
            <w:vAlign w:val="center"/>
          </w:tcPr>
          <w:p w14:paraId="5C5FE84E">
            <w:pPr>
              <w:spacing w:line="300" w:lineRule="exact"/>
              <w:jc w:val="center"/>
              <w:rPr>
                <w:rFonts w:eastAsia="仿宋_GB2312"/>
                <w:color w:val="auto"/>
                <w:szCs w:val="21"/>
                <w:highlight w:val="none"/>
              </w:rPr>
            </w:pPr>
            <w:r>
              <w:rPr>
                <w:rFonts w:eastAsia="仿宋_GB2312"/>
                <w:color w:val="auto"/>
                <w:szCs w:val="21"/>
                <w:highlight w:val="none"/>
              </w:rPr>
              <w:t>米粉制品</w:t>
            </w:r>
          </w:p>
        </w:tc>
        <w:tc>
          <w:tcPr>
            <w:tcW w:w="284" w:type="pct"/>
            <w:noWrap w:val="0"/>
            <w:vAlign w:val="center"/>
          </w:tcPr>
          <w:p w14:paraId="46AC6C7D">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1F04630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苯甲酸及其钠盐 (以苯甲酸计)、山梨酸及其钾盐 (以山梨酸计)、脱氢乙酸及其钠盐 (以脱氢乙酸计)、二氧化硫残留量、菌落总数、大肠菌群、甜蜜素(以环己基氨基磺酸计)</w:t>
            </w:r>
          </w:p>
        </w:tc>
        <w:tc>
          <w:tcPr>
            <w:tcW w:w="1186" w:type="pct"/>
            <w:noWrap w:val="0"/>
            <w:vAlign w:val="center"/>
          </w:tcPr>
          <w:p w14:paraId="5F667FF0">
            <w:pPr>
              <w:spacing w:line="300" w:lineRule="exact"/>
              <w:jc w:val="left"/>
              <w:rPr>
                <w:rFonts w:eastAsia="仿宋_GB2312"/>
                <w:color w:val="auto"/>
                <w:szCs w:val="21"/>
                <w:highlight w:val="none"/>
              </w:rPr>
            </w:pPr>
            <w:r>
              <w:rPr>
                <w:rFonts w:eastAsia="仿宋_GB2312"/>
                <w:color w:val="auto"/>
                <w:szCs w:val="21"/>
                <w:highlight w:val="none"/>
              </w:rPr>
              <w:t>合成着色剂(柠檬黄、日落黄、喹啉黄、亮蓝、靛蓝) 、丙酸及其钠盐、钙盐（以丙酸计）</w:t>
            </w:r>
          </w:p>
        </w:tc>
      </w:tr>
      <w:tr w14:paraId="293C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 w:type="pct"/>
            <w:vMerge w:val="continue"/>
            <w:noWrap w:val="0"/>
            <w:vAlign w:val="center"/>
          </w:tcPr>
          <w:p w14:paraId="1F1FA0A1">
            <w:pPr>
              <w:spacing w:line="300" w:lineRule="exact"/>
              <w:jc w:val="center"/>
              <w:rPr>
                <w:rFonts w:eastAsia="仿宋_GB2312"/>
                <w:color w:val="auto"/>
                <w:szCs w:val="21"/>
                <w:highlight w:val="none"/>
              </w:rPr>
            </w:pPr>
          </w:p>
        </w:tc>
        <w:tc>
          <w:tcPr>
            <w:tcW w:w="367" w:type="pct"/>
            <w:vMerge w:val="continue"/>
            <w:noWrap w:val="0"/>
            <w:vAlign w:val="center"/>
          </w:tcPr>
          <w:p w14:paraId="17E7EFA2">
            <w:pPr>
              <w:spacing w:line="300" w:lineRule="exact"/>
              <w:jc w:val="center"/>
              <w:rPr>
                <w:rFonts w:eastAsia="仿宋_GB2312"/>
                <w:color w:val="auto"/>
                <w:szCs w:val="21"/>
                <w:highlight w:val="none"/>
              </w:rPr>
            </w:pPr>
          </w:p>
        </w:tc>
        <w:tc>
          <w:tcPr>
            <w:tcW w:w="368" w:type="pct"/>
            <w:vMerge w:val="continue"/>
            <w:noWrap w:val="0"/>
            <w:vAlign w:val="center"/>
          </w:tcPr>
          <w:p w14:paraId="722B5071">
            <w:pPr>
              <w:spacing w:line="300" w:lineRule="exact"/>
              <w:jc w:val="center"/>
              <w:rPr>
                <w:rFonts w:eastAsia="仿宋_GB2312"/>
                <w:color w:val="auto"/>
                <w:szCs w:val="21"/>
                <w:highlight w:val="none"/>
              </w:rPr>
            </w:pPr>
          </w:p>
        </w:tc>
        <w:tc>
          <w:tcPr>
            <w:tcW w:w="401" w:type="pct"/>
            <w:vMerge w:val="continue"/>
            <w:noWrap w:val="0"/>
            <w:vAlign w:val="center"/>
          </w:tcPr>
          <w:p w14:paraId="33CFCF91">
            <w:pPr>
              <w:spacing w:line="300" w:lineRule="exact"/>
              <w:jc w:val="center"/>
              <w:rPr>
                <w:rFonts w:eastAsia="仿宋_GB2312"/>
                <w:color w:val="auto"/>
                <w:szCs w:val="21"/>
                <w:highlight w:val="none"/>
              </w:rPr>
            </w:pPr>
          </w:p>
        </w:tc>
        <w:tc>
          <w:tcPr>
            <w:tcW w:w="670" w:type="pct"/>
            <w:noWrap w:val="0"/>
            <w:vAlign w:val="center"/>
          </w:tcPr>
          <w:p w14:paraId="65ACAE93">
            <w:pPr>
              <w:spacing w:line="300" w:lineRule="exact"/>
              <w:jc w:val="center"/>
              <w:rPr>
                <w:rFonts w:eastAsia="仿宋_GB2312"/>
                <w:color w:val="auto"/>
                <w:szCs w:val="21"/>
                <w:highlight w:val="none"/>
              </w:rPr>
            </w:pPr>
            <w:r>
              <w:rPr>
                <w:rFonts w:eastAsia="仿宋_GB2312"/>
                <w:color w:val="auto"/>
                <w:szCs w:val="21"/>
                <w:highlight w:val="none"/>
              </w:rPr>
              <w:t>其他谷物粉类制成品</w:t>
            </w:r>
          </w:p>
        </w:tc>
        <w:tc>
          <w:tcPr>
            <w:tcW w:w="284" w:type="pct"/>
            <w:noWrap w:val="0"/>
            <w:vAlign w:val="center"/>
          </w:tcPr>
          <w:p w14:paraId="7F50EEA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05F12A5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黄曲霉毒素B</w:t>
            </w:r>
            <w:r>
              <w:rPr>
                <w:rFonts w:eastAsia="仿宋_GB2312"/>
                <w:color w:val="auto"/>
                <w:szCs w:val="21"/>
                <w:highlight w:val="none"/>
                <w:vertAlign w:val="subscript"/>
              </w:rPr>
              <w:t>1</w:t>
            </w:r>
            <w:r>
              <w:rPr>
                <w:rFonts w:eastAsia="仿宋_GB2312"/>
                <w:color w:val="auto"/>
                <w:szCs w:val="21"/>
                <w:highlight w:val="none"/>
              </w:rPr>
              <w:t>、苯甲酸及其钠盐 (以苯甲酸计)、山梨酸及其钾盐 (以山梨酸计)、脱氢乙酸及其钠盐 (以脱氢乙酸计)、合成着色剂（柠檬黄、日落黄、胭脂红、苋菜红、亮蓝）、菌落总数、大肠菌群</w:t>
            </w:r>
          </w:p>
        </w:tc>
        <w:tc>
          <w:tcPr>
            <w:tcW w:w="1186" w:type="pct"/>
            <w:noWrap w:val="0"/>
            <w:vAlign w:val="center"/>
          </w:tcPr>
          <w:p w14:paraId="0FE0DF4D">
            <w:pPr>
              <w:spacing w:line="300" w:lineRule="exact"/>
              <w:jc w:val="left"/>
              <w:rPr>
                <w:rFonts w:eastAsia="仿宋_GB2312"/>
                <w:color w:val="auto"/>
                <w:szCs w:val="21"/>
                <w:highlight w:val="none"/>
              </w:rPr>
            </w:pPr>
            <w:r>
              <w:rPr>
                <w:rFonts w:eastAsia="仿宋_GB2312"/>
                <w:color w:val="auto"/>
                <w:szCs w:val="21"/>
                <w:highlight w:val="none"/>
              </w:rPr>
              <w:t>丙酸及其钠盐、钙盐（以丙酸计）</w:t>
            </w:r>
          </w:p>
        </w:tc>
      </w:tr>
      <w:tr w14:paraId="0F9E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166" w:type="pct"/>
            <w:vMerge w:val="restart"/>
            <w:noWrap w:val="0"/>
            <w:vAlign w:val="center"/>
          </w:tcPr>
          <w:p w14:paraId="5FC28DB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2</w:t>
            </w:r>
          </w:p>
        </w:tc>
        <w:tc>
          <w:tcPr>
            <w:tcW w:w="367" w:type="pct"/>
            <w:vMerge w:val="restart"/>
            <w:noWrap w:val="0"/>
            <w:vAlign w:val="center"/>
          </w:tcPr>
          <w:p w14:paraId="2393A02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食用油、油</w:t>
            </w:r>
            <w:r>
              <w:rPr>
                <w:rFonts w:eastAsia="仿宋_GB2312"/>
                <w:color w:val="auto"/>
                <w:spacing w:val="2"/>
                <w:kern w:val="0"/>
                <w:szCs w:val="21"/>
                <w:highlight w:val="none"/>
              </w:rPr>
              <w:t xml:space="preserve"> </w:t>
            </w:r>
            <w:r>
              <w:rPr>
                <w:rFonts w:eastAsia="仿宋_GB2312"/>
                <w:color w:val="auto"/>
                <w:spacing w:val="3"/>
                <w:kern w:val="0"/>
                <w:szCs w:val="21"/>
                <w:highlight w:val="none"/>
              </w:rPr>
              <w:t>脂及其制品</w:t>
            </w:r>
          </w:p>
        </w:tc>
        <w:tc>
          <w:tcPr>
            <w:tcW w:w="368" w:type="pct"/>
            <w:vMerge w:val="restart"/>
            <w:noWrap w:val="0"/>
            <w:vAlign w:val="center"/>
          </w:tcPr>
          <w:p w14:paraId="70CE651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食用植物油</w:t>
            </w:r>
          </w:p>
        </w:tc>
        <w:tc>
          <w:tcPr>
            <w:tcW w:w="401" w:type="pct"/>
            <w:vMerge w:val="restart"/>
            <w:noWrap w:val="0"/>
            <w:vAlign w:val="center"/>
          </w:tcPr>
          <w:p w14:paraId="01BE62C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食用植物油</w:t>
            </w:r>
          </w:p>
        </w:tc>
        <w:tc>
          <w:tcPr>
            <w:tcW w:w="670" w:type="pct"/>
            <w:noWrap w:val="0"/>
            <w:vAlign w:val="center"/>
          </w:tcPr>
          <w:p w14:paraId="3E4234E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花生油</w:t>
            </w:r>
          </w:p>
        </w:tc>
        <w:tc>
          <w:tcPr>
            <w:tcW w:w="284" w:type="pct"/>
            <w:noWrap w:val="0"/>
            <w:vAlign w:val="center"/>
          </w:tcPr>
          <w:p w14:paraId="6AA9D76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1DB65AC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3"/>
                <w:kern w:val="0"/>
                <w:szCs w:val="21"/>
                <w:highlight w:val="none"/>
              </w:rPr>
              <w:t>酸值/酸价、过氧化值</w:t>
            </w:r>
            <w:r>
              <w:rPr>
                <w:rFonts w:eastAsia="仿宋_GB2312"/>
                <w:color w:val="auto"/>
                <w:kern w:val="0"/>
                <w:szCs w:val="21"/>
                <w:highlight w:val="none"/>
              </w:rPr>
              <w:t>、苯并[a]芘</w:t>
            </w:r>
            <w:r>
              <w:rPr>
                <w:rFonts w:eastAsia="仿宋_GB2312"/>
                <w:color w:val="auto"/>
                <w:spacing w:val="3"/>
                <w:kern w:val="0"/>
                <w:szCs w:val="21"/>
                <w:highlight w:val="none"/>
              </w:rPr>
              <w:t>、黄曲霉毒素B</w:t>
            </w:r>
            <w:r>
              <w:rPr>
                <w:rFonts w:hint="eastAsia" w:eastAsia="仿宋_GB2312"/>
                <w:color w:val="auto"/>
                <w:spacing w:val="3"/>
                <w:kern w:val="0"/>
                <w:szCs w:val="21"/>
                <w:highlight w:val="none"/>
                <w:vertAlign w:val="subscript"/>
              </w:rPr>
              <w:t>1</w:t>
            </w:r>
            <w:r>
              <w:rPr>
                <w:rFonts w:eastAsia="仿宋_GB2312"/>
                <w:color w:val="auto"/>
                <w:spacing w:val="3"/>
                <w:kern w:val="0"/>
                <w:szCs w:val="21"/>
                <w:highlight w:val="none"/>
              </w:rPr>
              <w:t>、溶剂残</w:t>
            </w:r>
            <w:r>
              <w:rPr>
                <w:rFonts w:eastAsia="仿宋_GB2312"/>
                <w:color w:val="auto"/>
                <w:spacing w:val="2"/>
                <w:kern w:val="0"/>
                <w:szCs w:val="21"/>
                <w:highlight w:val="none"/>
              </w:rPr>
              <w:t>留量、特丁基对苯二酚</w:t>
            </w:r>
            <w:r>
              <w:rPr>
                <w:rFonts w:eastAsia="仿宋_GB2312"/>
                <w:color w:val="auto"/>
                <w:spacing w:val="-7"/>
                <w:kern w:val="0"/>
                <w:szCs w:val="21"/>
                <w:highlight w:val="none"/>
              </w:rPr>
              <w:t>（TBHQ）、</w:t>
            </w:r>
            <w:r>
              <w:rPr>
                <w:rFonts w:eastAsia="仿宋_GB2312"/>
                <w:color w:val="auto"/>
                <w:kern w:val="0"/>
                <w:szCs w:val="21"/>
                <w:highlight w:val="none"/>
              </w:rPr>
              <w:t>铅（以Pb计）</w:t>
            </w:r>
          </w:p>
        </w:tc>
        <w:tc>
          <w:tcPr>
            <w:tcW w:w="1186" w:type="pct"/>
            <w:noWrap w:val="0"/>
            <w:vAlign w:val="center"/>
          </w:tcPr>
          <w:p w14:paraId="0E61DA9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2DE4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166" w:type="pct"/>
            <w:vMerge w:val="continue"/>
            <w:noWrap w:val="0"/>
            <w:vAlign w:val="center"/>
          </w:tcPr>
          <w:p w14:paraId="7F4F777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50A843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5EC3149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0107B5D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69D8F4C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玉米油</w:t>
            </w:r>
          </w:p>
        </w:tc>
        <w:tc>
          <w:tcPr>
            <w:tcW w:w="284" w:type="pct"/>
            <w:noWrap w:val="0"/>
            <w:vAlign w:val="center"/>
          </w:tcPr>
          <w:p w14:paraId="761B7E2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64E93F4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酸值/酸价、过氧化值、</w:t>
            </w:r>
            <w:r>
              <w:rPr>
                <w:rFonts w:eastAsia="仿宋_GB2312"/>
                <w:color w:val="auto"/>
                <w:spacing w:val="3"/>
                <w:kern w:val="0"/>
                <w:szCs w:val="21"/>
                <w:highlight w:val="none"/>
              </w:rPr>
              <w:t>黄曲霉毒素B</w:t>
            </w:r>
            <w:r>
              <w:rPr>
                <w:rFonts w:hint="eastAsia" w:eastAsia="仿宋_GB2312"/>
                <w:color w:val="auto"/>
                <w:spacing w:val="3"/>
                <w:kern w:val="0"/>
                <w:szCs w:val="21"/>
                <w:highlight w:val="none"/>
                <w:vertAlign w:val="subscript"/>
              </w:rPr>
              <w:t>1</w:t>
            </w:r>
            <w:r>
              <w:rPr>
                <w:rFonts w:eastAsia="仿宋_GB2312"/>
                <w:color w:val="auto"/>
                <w:spacing w:val="1"/>
                <w:kern w:val="0"/>
                <w:szCs w:val="21"/>
                <w:highlight w:val="none"/>
              </w:rPr>
              <w:t>、特丁基对苯二酚（</w:t>
            </w:r>
            <w:r>
              <w:rPr>
                <w:rFonts w:eastAsia="仿宋_GB2312"/>
                <w:color w:val="auto"/>
                <w:kern w:val="0"/>
                <w:szCs w:val="21"/>
                <w:highlight w:val="none"/>
              </w:rPr>
              <w:t>TBHQ</w:t>
            </w:r>
            <w:r>
              <w:rPr>
                <w:rFonts w:eastAsia="仿宋_GB2312"/>
                <w:color w:val="auto"/>
                <w:spacing w:val="1"/>
                <w:kern w:val="0"/>
                <w:szCs w:val="21"/>
                <w:highlight w:val="none"/>
              </w:rPr>
              <w:t>）、</w:t>
            </w:r>
            <w:r>
              <w:rPr>
                <w:rFonts w:eastAsia="仿宋_GB2312"/>
                <w:color w:val="auto"/>
                <w:kern w:val="0"/>
                <w:szCs w:val="21"/>
                <w:highlight w:val="none"/>
              </w:rPr>
              <w:t>铅（以Pb计）、镉（以Cd计）</w:t>
            </w:r>
          </w:p>
        </w:tc>
        <w:tc>
          <w:tcPr>
            <w:tcW w:w="1186" w:type="pct"/>
            <w:noWrap w:val="0"/>
            <w:vAlign w:val="center"/>
          </w:tcPr>
          <w:p w14:paraId="4758EB2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7925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 w:hRule="atLeast"/>
        </w:trPr>
        <w:tc>
          <w:tcPr>
            <w:tcW w:w="166" w:type="pct"/>
            <w:vMerge w:val="continue"/>
            <w:noWrap w:val="0"/>
            <w:vAlign w:val="center"/>
          </w:tcPr>
          <w:p w14:paraId="2E033AA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61DB6E0D">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5AB4C86D">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08B4FA9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250169E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芝麻油</w:t>
            </w:r>
          </w:p>
        </w:tc>
        <w:tc>
          <w:tcPr>
            <w:tcW w:w="284" w:type="pct"/>
            <w:noWrap w:val="0"/>
            <w:vAlign w:val="center"/>
          </w:tcPr>
          <w:p w14:paraId="40F9368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68DC02E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酸值/酸价、过氧化值、苯并[a]芘、溶剂</w:t>
            </w:r>
            <w:r>
              <w:rPr>
                <w:rFonts w:eastAsia="仿宋_GB2312"/>
                <w:color w:val="auto"/>
                <w:spacing w:val="-1"/>
                <w:kern w:val="0"/>
                <w:szCs w:val="21"/>
                <w:highlight w:val="none"/>
              </w:rPr>
              <w:t>残留量、乙基麦芽酚</w:t>
            </w:r>
          </w:p>
        </w:tc>
        <w:tc>
          <w:tcPr>
            <w:tcW w:w="1186" w:type="pct"/>
            <w:noWrap w:val="0"/>
            <w:vAlign w:val="center"/>
          </w:tcPr>
          <w:p w14:paraId="34E63D8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4044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 w:hRule="atLeast"/>
        </w:trPr>
        <w:tc>
          <w:tcPr>
            <w:tcW w:w="166" w:type="pct"/>
            <w:vMerge w:val="continue"/>
            <w:noWrap w:val="0"/>
            <w:vAlign w:val="center"/>
          </w:tcPr>
          <w:p w14:paraId="096D3532">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4A8D87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41499919">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7CE3F25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146964A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橄榄油、油橄榄果渣油</w:t>
            </w:r>
          </w:p>
        </w:tc>
        <w:tc>
          <w:tcPr>
            <w:tcW w:w="284" w:type="pct"/>
            <w:noWrap w:val="0"/>
            <w:vAlign w:val="center"/>
          </w:tcPr>
          <w:p w14:paraId="73DFD15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1F67D56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酸值/酸价、过氧化值、溶剂残留量、特丁基对苯二酚（</w:t>
            </w:r>
            <w:r>
              <w:rPr>
                <w:rFonts w:eastAsia="仿宋_GB2312"/>
                <w:color w:val="auto"/>
                <w:kern w:val="0"/>
                <w:szCs w:val="21"/>
                <w:highlight w:val="none"/>
              </w:rPr>
              <w:t>TBHQ</w:t>
            </w:r>
            <w:r>
              <w:rPr>
                <w:rFonts w:eastAsia="仿宋_GB2312"/>
                <w:color w:val="auto"/>
                <w:spacing w:val="1"/>
                <w:kern w:val="0"/>
                <w:szCs w:val="21"/>
                <w:highlight w:val="none"/>
              </w:rPr>
              <w:t>）</w:t>
            </w:r>
          </w:p>
        </w:tc>
        <w:tc>
          <w:tcPr>
            <w:tcW w:w="1186" w:type="pct"/>
            <w:noWrap w:val="0"/>
            <w:vAlign w:val="center"/>
          </w:tcPr>
          <w:p w14:paraId="436FFF1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012F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166" w:type="pct"/>
            <w:vMerge w:val="continue"/>
            <w:noWrap w:val="0"/>
            <w:vAlign w:val="center"/>
          </w:tcPr>
          <w:p w14:paraId="00F57EBB">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5A85568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7B03F62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4CBA1C0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7187C30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菜籽油</w:t>
            </w:r>
          </w:p>
        </w:tc>
        <w:tc>
          <w:tcPr>
            <w:tcW w:w="284" w:type="pct"/>
            <w:noWrap w:val="0"/>
            <w:vAlign w:val="center"/>
          </w:tcPr>
          <w:p w14:paraId="2ECF619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1BD148F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酸值/酸价、过氧化值、苯并[a]芘、溶剂残留</w:t>
            </w:r>
            <w:r>
              <w:rPr>
                <w:rFonts w:eastAsia="仿宋_GB2312"/>
                <w:color w:val="auto"/>
                <w:spacing w:val="-1"/>
                <w:kern w:val="0"/>
                <w:szCs w:val="21"/>
                <w:highlight w:val="none"/>
              </w:rPr>
              <w:t>量、</w:t>
            </w:r>
            <w:r>
              <w:rPr>
                <w:rFonts w:eastAsia="仿宋_GB2312"/>
                <w:color w:val="auto"/>
                <w:spacing w:val="1"/>
                <w:kern w:val="0"/>
                <w:szCs w:val="21"/>
                <w:highlight w:val="none"/>
              </w:rPr>
              <w:t>特丁基对苯二酚（</w:t>
            </w:r>
            <w:r>
              <w:rPr>
                <w:rFonts w:eastAsia="仿宋_GB2312"/>
                <w:color w:val="auto"/>
                <w:kern w:val="0"/>
                <w:szCs w:val="21"/>
                <w:highlight w:val="none"/>
              </w:rPr>
              <w:t>TBHQ</w:t>
            </w:r>
            <w:r>
              <w:rPr>
                <w:rFonts w:eastAsia="仿宋_GB2312"/>
                <w:color w:val="auto"/>
                <w:spacing w:val="1"/>
                <w:kern w:val="0"/>
                <w:szCs w:val="21"/>
                <w:highlight w:val="none"/>
              </w:rPr>
              <w:t>）</w:t>
            </w:r>
            <w:r>
              <w:rPr>
                <w:rFonts w:eastAsia="仿宋_GB2312"/>
                <w:color w:val="auto"/>
                <w:spacing w:val="-1"/>
                <w:kern w:val="0"/>
                <w:szCs w:val="21"/>
                <w:highlight w:val="none"/>
              </w:rPr>
              <w:t>、</w:t>
            </w:r>
            <w:r>
              <w:rPr>
                <w:rFonts w:eastAsia="仿宋_GB2312"/>
                <w:color w:val="auto"/>
                <w:kern w:val="0"/>
                <w:szCs w:val="21"/>
                <w:highlight w:val="none"/>
              </w:rPr>
              <w:t>乙基麦芽酚、铅（以Pb计）</w:t>
            </w:r>
          </w:p>
        </w:tc>
        <w:tc>
          <w:tcPr>
            <w:tcW w:w="1186" w:type="pct"/>
            <w:noWrap w:val="0"/>
            <w:vAlign w:val="center"/>
          </w:tcPr>
          <w:p w14:paraId="07E3245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52C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166" w:type="pct"/>
            <w:vMerge w:val="continue"/>
            <w:noWrap w:val="0"/>
            <w:vAlign w:val="center"/>
          </w:tcPr>
          <w:p w14:paraId="37D16162">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A90062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093FFAD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p>
        </w:tc>
        <w:tc>
          <w:tcPr>
            <w:tcW w:w="401" w:type="pct"/>
            <w:vMerge w:val="continue"/>
            <w:noWrap w:val="0"/>
            <w:vAlign w:val="center"/>
          </w:tcPr>
          <w:p w14:paraId="4414D44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p>
        </w:tc>
        <w:tc>
          <w:tcPr>
            <w:tcW w:w="670" w:type="pct"/>
            <w:noWrap w:val="0"/>
            <w:vAlign w:val="center"/>
          </w:tcPr>
          <w:p w14:paraId="02A844E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大豆油</w:t>
            </w:r>
          </w:p>
        </w:tc>
        <w:tc>
          <w:tcPr>
            <w:tcW w:w="284" w:type="pct"/>
            <w:noWrap w:val="0"/>
            <w:vAlign w:val="center"/>
          </w:tcPr>
          <w:p w14:paraId="00B64FD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11C5235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酸值/酸价、过氧化值、苯并[a]芘、溶剂残留量</w:t>
            </w:r>
            <w:r>
              <w:rPr>
                <w:rFonts w:eastAsia="仿宋_GB2312"/>
                <w:color w:val="auto"/>
                <w:kern w:val="0"/>
                <w:szCs w:val="21"/>
                <w:highlight w:val="none"/>
              </w:rPr>
              <w:t>、</w:t>
            </w:r>
            <w:r>
              <w:rPr>
                <w:rFonts w:eastAsia="仿宋_GB2312"/>
                <w:color w:val="auto"/>
                <w:spacing w:val="1"/>
                <w:kern w:val="0"/>
                <w:szCs w:val="21"/>
                <w:highlight w:val="none"/>
              </w:rPr>
              <w:t>特丁基对苯二酚（</w:t>
            </w:r>
            <w:r>
              <w:rPr>
                <w:rFonts w:eastAsia="仿宋_GB2312"/>
                <w:color w:val="auto"/>
                <w:kern w:val="0"/>
                <w:szCs w:val="21"/>
                <w:highlight w:val="none"/>
              </w:rPr>
              <w:t>TBHQ</w:t>
            </w:r>
            <w:r>
              <w:rPr>
                <w:rFonts w:eastAsia="仿宋_GB2312"/>
                <w:color w:val="auto"/>
                <w:spacing w:val="1"/>
                <w:kern w:val="0"/>
                <w:szCs w:val="21"/>
                <w:highlight w:val="none"/>
              </w:rPr>
              <w:t>）、</w:t>
            </w:r>
            <w:r>
              <w:rPr>
                <w:rFonts w:eastAsia="仿宋_GB2312"/>
                <w:color w:val="auto"/>
                <w:kern w:val="0"/>
                <w:szCs w:val="21"/>
                <w:highlight w:val="none"/>
              </w:rPr>
              <w:t>铅（以Pb计）、镉（以Cd计）</w:t>
            </w:r>
          </w:p>
        </w:tc>
        <w:tc>
          <w:tcPr>
            <w:tcW w:w="1186" w:type="pct"/>
            <w:noWrap w:val="0"/>
            <w:vAlign w:val="center"/>
          </w:tcPr>
          <w:p w14:paraId="1E6019D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0F18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6A00399A">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866863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D4BA53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1D1A497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13DA2A4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食用植物调</w:t>
            </w:r>
            <w:r>
              <w:rPr>
                <w:rFonts w:eastAsia="仿宋_GB2312"/>
                <w:color w:val="auto"/>
                <w:spacing w:val="9"/>
                <w:kern w:val="0"/>
                <w:szCs w:val="21"/>
                <w:highlight w:val="none"/>
              </w:rPr>
              <w:t>和油</w:t>
            </w:r>
          </w:p>
        </w:tc>
        <w:tc>
          <w:tcPr>
            <w:tcW w:w="284" w:type="pct"/>
            <w:noWrap w:val="0"/>
            <w:vAlign w:val="center"/>
          </w:tcPr>
          <w:p w14:paraId="1CC191E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15F636D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酸价、过氧化值、溶剂残留量、特丁基对苯二酚（TB</w:t>
            </w:r>
            <w:r>
              <w:rPr>
                <w:rFonts w:eastAsia="仿宋_GB2312"/>
                <w:color w:val="auto"/>
                <w:spacing w:val="-1"/>
                <w:kern w:val="0"/>
                <w:szCs w:val="21"/>
                <w:highlight w:val="none"/>
              </w:rPr>
              <w:t>HQ）、</w:t>
            </w:r>
            <w:r>
              <w:rPr>
                <w:rFonts w:eastAsia="仿宋_GB2312"/>
                <w:color w:val="auto"/>
                <w:kern w:val="0"/>
                <w:szCs w:val="21"/>
                <w:highlight w:val="none"/>
              </w:rPr>
              <w:t>乙基麦芽酚、铅（以Pb计）</w:t>
            </w:r>
          </w:p>
        </w:tc>
        <w:tc>
          <w:tcPr>
            <w:tcW w:w="1186" w:type="pct"/>
            <w:noWrap w:val="0"/>
            <w:vAlign w:val="center"/>
          </w:tcPr>
          <w:p w14:paraId="537B973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26A2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3D909E2A">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330F296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0BCFE09D">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272875C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3E05E65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4"/>
                <w:kern w:val="0"/>
                <w:szCs w:val="21"/>
                <w:highlight w:val="none"/>
              </w:rPr>
              <w:t>油茶籽油</w:t>
            </w:r>
          </w:p>
        </w:tc>
        <w:tc>
          <w:tcPr>
            <w:tcW w:w="284" w:type="pct"/>
            <w:noWrap w:val="0"/>
            <w:vAlign w:val="center"/>
          </w:tcPr>
          <w:p w14:paraId="035AF4F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2FBE7D8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酸值/酸价、过氧化值、苯并[a]芘、溶剂残留</w:t>
            </w:r>
            <w:r>
              <w:rPr>
                <w:rFonts w:eastAsia="仿宋_GB2312"/>
                <w:color w:val="auto"/>
                <w:spacing w:val="-1"/>
                <w:kern w:val="0"/>
                <w:szCs w:val="21"/>
                <w:highlight w:val="none"/>
              </w:rPr>
              <w:t>量、</w:t>
            </w:r>
            <w:r>
              <w:rPr>
                <w:rFonts w:eastAsia="仿宋_GB2312"/>
                <w:color w:val="auto"/>
                <w:spacing w:val="1"/>
                <w:kern w:val="0"/>
                <w:szCs w:val="21"/>
                <w:highlight w:val="none"/>
              </w:rPr>
              <w:t>特丁基对苯二酚（</w:t>
            </w:r>
            <w:r>
              <w:rPr>
                <w:rFonts w:eastAsia="仿宋_GB2312"/>
                <w:color w:val="auto"/>
                <w:kern w:val="0"/>
                <w:szCs w:val="21"/>
                <w:highlight w:val="none"/>
              </w:rPr>
              <w:t>TBHQ</w:t>
            </w:r>
            <w:r>
              <w:rPr>
                <w:rFonts w:eastAsia="仿宋_GB2312"/>
                <w:color w:val="auto"/>
                <w:spacing w:val="1"/>
                <w:kern w:val="0"/>
                <w:szCs w:val="21"/>
                <w:highlight w:val="none"/>
              </w:rPr>
              <w:t>）、</w:t>
            </w:r>
            <w:r>
              <w:rPr>
                <w:rFonts w:eastAsia="仿宋_GB2312"/>
                <w:color w:val="auto"/>
                <w:kern w:val="0"/>
                <w:szCs w:val="21"/>
                <w:highlight w:val="none"/>
              </w:rPr>
              <w:t>铅（以Pb计）</w:t>
            </w:r>
          </w:p>
        </w:tc>
        <w:tc>
          <w:tcPr>
            <w:tcW w:w="1186" w:type="pct"/>
            <w:noWrap w:val="0"/>
            <w:vAlign w:val="center"/>
          </w:tcPr>
          <w:p w14:paraId="137EE4D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kern w:val="0"/>
                <w:szCs w:val="21"/>
                <w:highlight w:val="none"/>
              </w:rPr>
            </w:pPr>
            <w:r>
              <w:rPr>
                <w:rFonts w:eastAsia="仿宋_GB2312"/>
                <w:color w:val="auto"/>
                <w:kern w:val="0"/>
                <w:szCs w:val="21"/>
                <w:highlight w:val="none"/>
              </w:rPr>
              <w:t>/</w:t>
            </w:r>
          </w:p>
        </w:tc>
      </w:tr>
      <w:tr w14:paraId="6262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05CC90E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45D8621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5B6F4272">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401" w:type="pct"/>
            <w:vMerge w:val="continue"/>
            <w:noWrap w:val="0"/>
            <w:vAlign w:val="center"/>
          </w:tcPr>
          <w:p w14:paraId="34364A9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53732C4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其他食用植</w:t>
            </w:r>
            <w:r>
              <w:rPr>
                <w:rFonts w:eastAsia="仿宋_GB2312"/>
                <w:color w:val="auto"/>
                <w:spacing w:val="9"/>
                <w:kern w:val="0"/>
                <w:szCs w:val="21"/>
                <w:highlight w:val="none"/>
              </w:rPr>
              <w:t>物油</w:t>
            </w:r>
          </w:p>
        </w:tc>
        <w:tc>
          <w:tcPr>
            <w:tcW w:w="284" w:type="pct"/>
            <w:noWrap w:val="0"/>
            <w:vAlign w:val="center"/>
          </w:tcPr>
          <w:p w14:paraId="2D9BAE2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5EA5327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酸值/酸价、过氧化值、溶剂残留量、特丁基对苯二酚（</w:t>
            </w:r>
            <w:r>
              <w:rPr>
                <w:rFonts w:eastAsia="仿宋_GB2312"/>
                <w:color w:val="auto"/>
                <w:kern w:val="0"/>
                <w:szCs w:val="21"/>
                <w:highlight w:val="none"/>
              </w:rPr>
              <w:t>TBHQ</w:t>
            </w:r>
            <w:r>
              <w:rPr>
                <w:rFonts w:eastAsia="仿宋_GB2312"/>
                <w:color w:val="auto"/>
                <w:spacing w:val="1"/>
                <w:kern w:val="0"/>
                <w:szCs w:val="21"/>
                <w:highlight w:val="none"/>
              </w:rPr>
              <w:t>）</w:t>
            </w:r>
          </w:p>
        </w:tc>
        <w:tc>
          <w:tcPr>
            <w:tcW w:w="1186" w:type="pct"/>
            <w:noWrap w:val="0"/>
            <w:vAlign w:val="center"/>
          </w:tcPr>
          <w:p w14:paraId="45E9800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szCs w:val="21"/>
                <w:highlight w:val="none"/>
              </w:rPr>
              <w:t>总砷</w:t>
            </w:r>
            <w:r>
              <w:rPr>
                <w:rFonts w:eastAsia="仿宋_GB2312"/>
                <w:color w:val="auto"/>
                <w:szCs w:val="21"/>
                <w:highlight w:val="none"/>
                <w:lang w:val="en"/>
              </w:rPr>
              <w:t>(以</w:t>
            </w:r>
            <w:r>
              <w:rPr>
                <w:rFonts w:eastAsia="仿宋_GB2312"/>
                <w:color w:val="auto"/>
                <w:szCs w:val="21"/>
                <w:highlight w:val="none"/>
              </w:rPr>
              <w:t>As计</w:t>
            </w:r>
            <w:r>
              <w:rPr>
                <w:rFonts w:eastAsia="仿宋_GB2312"/>
                <w:color w:val="auto"/>
                <w:szCs w:val="21"/>
                <w:highlight w:val="none"/>
                <w:lang w:val="en"/>
              </w:rPr>
              <w:t>)</w:t>
            </w:r>
          </w:p>
        </w:tc>
      </w:tr>
      <w:tr w14:paraId="0770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2D56EF3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6734E78E">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noWrap w:val="0"/>
            <w:vAlign w:val="center"/>
          </w:tcPr>
          <w:p w14:paraId="6B18D41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食用动物油</w:t>
            </w:r>
            <w:r>
              <w:rPr>
                <w:rFonts w:eastAsia="仿宋_GB2312"/>
                <w:color w:val="auto"/>
                <w:kern w:val="0"/>
                <w:szCs w:val="21"/>
                <w:highlight w:val="none"/>
              </w:rPr>
              <w:t>脂</w:t>
            </w:r>
          </w:p>
        </w:tc>
        <w:tc>
          <w:tcPr>
            <w:tcW w:w="401" w:type="pct"/>
            <w:noWrap w:val="0"/>
            <w:vAlign w:val="center"/>
          </w:tcPr>
          <w:p w14:paraId="5ED826B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食用动物油</w:t>
            </w:r>
            <w:r>
              <w:rPr>
                <w:rFonts w:eastAsia="仿宋_GB2312"/>
                <w:color w:val="auto"/>
                <w:kern w:val="0"/>
                <w:szCs w:val="21"/>
                <w:highlight w:val="none"/>
              </w:rPr>
              <w:t>脂</w:t>
            </w:r>
          </w:p>
        </w:tc>
        <w:tc>
          <w:tcPr>
            <w:tcW w:w="670" w:type="pct"/>
            <w:noWrap w:val="0"/>
            <w:vAlign w:val="center"/>
          </w:tcPr>
          <w:p w14:paraId="33FE037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食用动物油</w:t>
            </w:r>
            <w:r>
              <w:rPr>
                <w:rFonts w:eastAsia="仿宋_GB2312"/>
                <w:color w:val="auto"/>
                <w:kern w:val="0"/>
                <w:szCs w:val="21"/>
                <w:highlight w:val="none"/>
              </w:rPr>
              <w:t>脂</w:t>
            </w:r>
          </w:p>
        </w:tc>
        <w:tc>
          <w:tcPr>
            <w:tcW w:w="284" w:type="pct"/>
            <w:noWrap w:val="0"/>
            <w:vAlign w:val="center"/>
          </w:tcPr>
          <w:p w14:paraId="0A1D9CC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高</w:t>
            </w:r>
          </w:p>
        </w:tc>
        <w:tc>
          <w:tcPr>
            <w:tcW w:w="1553" w:type="pct"/>
            <w:noWrap w:val="0"/>
            <w:vAlign w:val="center"/>
          </w:tcPr>
          <w:p w14:paraId="020CF4E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酸价、过氧化值、丙二醛、</w:t>
            </w:r>
            <w:r>
              <w:rPr>
                <w:rFonts w:eastAsia="仿宋_GB2312"/>
                <w:color w:val="auto"/>
                <w:kern w:val="0"/>
                <w:szCs w:val="21"/>
                <w:highlight w:val="none"/>
              </w:rPr>
              <w:t>铅（以Pb计）</w:t>
            </w:r>
          </w:p>
        </w:tc>
        <w:tc>
          <w:tcPr>
            <w:tcW w:w="1186" w:type="pct"/>
            <w:noWrap w:val="0"/>
            <w:vAlign w:val="center"/>
          </w:tcPr>
          <w:p w14:paraId="61A634E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spacing w:val="-1"/>
                <w:kern w:val="0"/>
                <w:szCs w:val="21"/>
                <w:highlight w:val="none"/>
              </w:rPr>
              <w:t>苯并[a]</w:t>
            </w:r>
            <w:r>
              <w:rPr>
                <w:rFonts w:eastAsia="仿宋_GB2312"/>
                <w:color w:val="auto"/>
                <w:kern w:val="0"/>
                <w:szCs w:val="21"/>
                <w:highlight w:val="none"/>
              </w:rPr>
              <w:t>芘、</w:t>
            </w:r>
            <w:r>
              <w:rPr>
                <w:rFonts w:eastAsia="仿宋_GB2312"/>
                <w:color w:val="auto"/>
                <w:szCs w:val="21"/>
                <w:highlight w:val="none"/>
              </w:rPr>
              <w:t>总砷</w:t>
            </w:r>
            <w:r>
              <w:rPr>
                <w:rFonts w:eastAsia="仿宋_GB2312"/>
                <w:color w:val="auto"/>
                <w:szCs w:val="21"/>
                <w:highlight w:val="none"/>
                <w:lang w:val="en"/>
              </w:rPr>
              <w:t>(以</w:t>
            </w:r>
            <w:r>
              <w:rPr>
                <w:rFonts w:eastAsia="仿宋_GB2312"/>
                <w:color w:val="auto"/>
                <w:szCs w:val="21"/>
                <w:highlight w:val="none"/>
              </w:rPr>
              <w:t>As计</w:t>
            </w:r>
            <w:r>
              <w:rPr>
                <w:rFonts w:eastAsia="仿宋_GB2312"/>
                <w:color w:val="auto"/>
                <w:szCs w:val="21"/>
                <w:highlight w:val="none"/>
                <w:lang w:val="en"/>
              </w:rPr>
              <w:t>)</w:t>
            </w:r>
          </w:p>
        </w:tc>
      </w:tr>
      <w:tr w14:paraId="148C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21531D4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B0C05E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noWrap w:val="0"/>
            <w:vAlign w:val="center"/>
          </w:tcPr>
          <w:p w14:paraId="69E586A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食用油脂制品</w:t>
            </w:r>
          </w:p>
        </w:tc>
        <w:tc>
          <w:tcPr>
            <w:tcW w:w="401" w:type="pct"/>
            <w:noWrap w:val="0"/>
            <w:vAlign w:val="center"/>
          </w:tcPr>
          <w:p w14:paraId="723287B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食用油脂制品</w:t>
            </w:r>
          </w:p>
        </w:tc>
        <w:tc>
          <w:tcPr>
            <w:tcW w:w="670" w:type="pct"/>
            <w:noWrap w:val="0"/>
            <w:vAlign w:val="center"/>
          </w:tcPr>
          <w:p w14:paraId="404D40D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食用油脂制品</w:t>
            </w:r>
          </w:p>
        </w:tc>
        <w:tc>
          <w:tcPr>
            <w:tcW w:w="284" w:type="pct"/>
            <w:noWrap w:val="0"/>
            <w:vAlign w:val="center"/>
          </w:tcPr>
          <w:p w14:paraId="06B52E4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kern w:val="0"/>
                <w:szCs w:val="21"/>
                <w:highlight w:val="none"/>
              </w:rPr>
              <w:t>较高</w:t>
            </w:r>
          </w:p>
        </w:tc>
        <w:tc>
          <w:tcPr>
            <w:tcW w:w="1553" w:type="pct"/>
            <w:noWrap w:val="0"/>
            <w:vAlign w:val="center"/>
          </w:tcPr>
          <w:p w14:paraId="1DC9AF8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酸价（以脂肪计）、过氧化值（以脂肪计）、大肠菌群、霉菌</w:t>
            </w:r>
          </w:p>
        </w:tc>
        <w:tc>
          <w:tcPr>
            <w:tcW w:w="1186" w:type="pct"/>
            <w:noWrap w:val="0"/>
            <w:vAlign w:val="center"/>
          </w:tcPr>
          <w:p w14:paraId="663261B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铅</w:t>
            </w:r>
            <w:r>
              <w:rPr>
                <w:rFonts w:eastAsia="仿宋_GB2312"/>
                <w:color w:val="auto"/>
                <w:kern w:val="0"/>
                <w:szCs w:val="21"/>
                <w:highlight w:val="none"/>
                <w:lang w:val="en"/>
              </w:rPr>
              <w:t>(以</w:t>
            </w:r>
            <w:r>
              <w:rPr>
                <w:rFonts w:eastAsia="仿宋_GB2312"/>
                <w:color w:val="auto"/>
                <w:kern w:val="0"/>
                <w:szCs w:val="21"/>
                <w:highlight w:val="none"/>
              </w:rPr>
              <w:t>Pb计</w:t>
            </w:r>
            <w:r>
              <w:rPr>
                <w:rFonts w:eastAsia="仿宋_GB2312"/>
                <w:color w:val="auto"/>
                <w:kern w:val="0"/>
                <w:szCs w:val="21"/>
                <w:highlight w:val="none"/>
                <w:lang w:val="en"/>
              </w:rPr>
              <w:t>)、</w:t>
            </w:r>
            <w:r>
              <w:rPr>
                <w:rFonts w:eastAsia="仿宋_GB2312"/>
                <w:color w:val="auto"/>
                <w:kern w:val="0"/>
                <w:szCs w:val="21"/>
                <w:highlight w:val="none"/>
              </w:rPr>
              <w:t>总砷</w:t>
            </w:r>
            <w:r>
              <w:rPr>
                <w:rFonts w:eastAsia="仿宋_GB2312"/>
                <w:color w:val="auto"/>
                <w:kern w:val="0"/>
                <w:szCs w:val="21"/>
                <w:highlight w:val="none"/>
                <w:lang w:val="en"/>
              </w:rPr>
              <w:t>(以</w:t>
            </w:r>
            <w:r>
              <w:rPr>
                <w:rFonts w:eastAsia="仿宋_GB2312"/>
                <w:color w:val="auto"/>
                <w:kern w:val="0"/>
                <w:szCs w:val="21"/>
                <w:highlight w:val="none"/>
              </w:rPr>
              <w:t>As计</w:t>
            </w:r>
            <w:r>
              <w:rPr>
                <w:rFonts w:eastAsia="仿宋_GB2312"/>
                <w:color w:val="auto"/>
                <w:kern w:val="0"/>
                <w:szCs w:val="21"/>
                <w:highlight w:val="none"/>
                <w:lang w:val="en"/>
              </w:rPr>
              <w:t>)</w:t>
            </w:r>
          </w:p>
        </w:tc>
      </w:tr>
      <w:tr w14:paraId="6B0D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166" w:type="pct"/>
            <w:vMerge w:val="restart"/>
            <w:noWrap w:val="0"/>
            <w:vAlign w:val="center"/>
          </w:tcPr>
          <w:p w14:paraId="40A40B8E">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r>
              <w:rPr>
                <w:rFonts w:eastAsia="仿宋_GB2312"/>
                <w:color w:val="auto"/>
                <w:szCs w:val="21"/>
                <w:highlight w:val="none"/>
              </w:rPr>
              <w:t>3</w:t>
            </w:r>
          </w:p>
        </w:tc>
        <w:tc>
          <w:tcPr>
            <w:tcW w:w="367" w:type="pct"/>
            <w:vMerge w:val="restart"/>
            <w:noWrap w:val="0"/>
            <w:vAlign w:val="center"/>
          </w:tcPr>
          <w:p w14:paraId="6F5CFF67">
            <w:pPr>
              <w:widowControl/>
              <w:spacing w:line="300" w:lineRule="exact"/>
              <w:jc w:val="center"/>
              <w:rPr>
                <w:rFonts w:eastAsia="仿宋_GB2312"/>
                <w:color w:val="auto"/>
                <w:szCs w:val="21"/>
                <w:highlight w:val="none"/>
              </w:rPr>
            </w:pPr>
            <w:r>
              <w:rPr>
                <w:rFonts w:eastAsia="仿宋_GB2312"/>
                <w:color w:val="auto"/>
                <w:kern w:val="0"/>
                <w:szCs w:val="21"/>
                <w:highlight w:val="none"/>
              </w:rPr>
              <w:t>调味品</w:t>
            </w:r>
          </w:p>
        </w:tc>
        <w:tc>
          <w:tcPr>
            <w:tcW w:w="368" w:type="pct"/>
            <w:noWrap w:val="0"/>
            <w:vAlign w:val="center"/>
          </w:tcPr>
          <w:p w14:paraId="744FA26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酱油</w:t>
            </w:r>
          </w:p>
        </w:tc>
        <w:tc>
          <w:tcPr>
            <w:tcW w:w="401" w:type="pct"/>
            <w:noWrap w:val="0"/>
            <w:vAlign w:val="center"/>
          </w:tcPr>
          <w:p w14:paraId="1D647FF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酱油</w:t>
            </w:r>
          </w:p>
        </w:tc>
        <w:tc>
          <w:tcPr>
            <w:tcW w:w="670" w:type="pct"/>
            <w:noWrap w:val="0"/>
            <w:vAlign w:val="center"/>
          </w:tcPr>
          <w:p w14:paraId="6C43F013">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酱油</w:t>
            </w:r>
          </w:p>
        </w:tc>
        <w:tc>
          <w:tcPr>
            <w:tcW w:w="284" w:type="pct"/>
            <w:noWrap w:val="0"/>
            <w:vAlign w:val="center"/>
          </w:tcPr>
          <w:p w14:paraId="495F3A3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5B71A703">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w:t>
            </w:r>
          </w:p>
        </w:tc>
        <w:tc>
          <w:tcPr>
            <w:tcW w:w="1186" w:type="pct"/>
            <w:noWrap w:val="0"/>
            <w:vAlign w:val="center"/>
          </w:tcPr>
          <w:p w14:paraId="3C2E107A">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糖精钠（以糖精计）、三氯蔗糖、甜蜜素（以环己基氨基磺酸计）、菌落总数、大肠菌群</w:t>
            </w:r>
          </w:p>
        </w:tc>
      </w:tr>
      <w:tr w14:paraId="7735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66" w:type="pct"/>
            <w:vMerge w:val="continue"/>
            <w:noWrap w:val="0"/>
            <w:vAlign w:val="center"/>
          </w:tcPr>
          <w:p w14:paraId="58D46B1B">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3D942E1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noWrap w:val="0"/>
            <w:vAlign w:val="center"/>
          </w:tcPr>
          <w:p w14:paraId="3946029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食醋</w:t>
            </w:r>
          </w:p>
        </w:tc>
        <w:tc>
          <w:tcPr>
            <w:tcW w:w="401" w:type="pct"/>
            <w:noWrap w:val="0"/>
            <w:vAlign w:val="center"/>
          </w:tcPr>
          <w:p w14:paraId="45F778D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食醋</w:t>
            </w:r>
          </w:p>
        </w:tc>
        <w:tc>
          <w:tcPr>
            <w:tcW w:w="670" w:type="pct"/>
            <w:noWrap w:val="0"/>
            <w:vAlign w:val="center"/>
          </w:tcPr>
          <w:p w14:paraId="75BA74A6">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食醋</w:t>
            </w:r>
          </w:p>
        </w:tc>
        <w:tc>
          <w:tcPr>
            <w:tcW w:w="284" w:type="pct"/>
            <w:noWrap w:val="0"/>
            <w:vAlign w:val="center"/>
          </w:tcPr>
          <w:p w14:paraId="765A71B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51C869C9">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总酸（以乙酸计）、不挥发酸（以乳酸计）、苯甲酸及其钠盐（以苯甲酸计）、山梨酸及其钾盐（以山梨酸计）、脱氢乙酸及其钠盐（以脱氢乙酸计）、防腐剂混合使用时各自用量占其最大使用量的比例之和、菌落总数</w:t>
            </w:r>
          </w:p>
        </w:tc>
        <w:tc>
          <w:tcPr>
            <w:tcW w:w="1186" w:type="pct"/>
            <w:noWrap w:val="0"/>
            <w:vAlign w:val="center"/>
          </w:tcPr>
          <w:p w14:paraId="2929D70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对羟基苯甲酸酯类及其钠盐（以对羟基苯甲酸计）、糖精钠（以糖精计）、三氯蔗糖、甜蜜素（以环己基氨基磺酸计）</w:t>
            </w:r>
          </w:p>
        </w:tc>
      </w:tr>
      <w:tr w14:paraId="06CF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166" w:type="pct"/>
            <w:vMerge w:val="continue"/>
            <w:noWrap w:val="0"/>
            <w:vAlign w:val="center"/>
          </w:tcPr>
          <w:p w14:paraId="17E4EC5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347851A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noWrap w:val="0"/>
            <w:vAlign w:val="center"/>
          </w:tcPr>
          <w:p w14:paraId="6265945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酱类</w:t>
            </w:r>
          </w:p>
        </w:tc>
        <w:tc>
          <w:tcPr>
            <w:tcW w:w="401" w:type="pct"/>
            <w:noWrap w:val="0"/>
            <w:vAlign w:val="center"/>
          </w:tcPr>
          <w:p w14:paraId="2D0EB9C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酱类</w:t>
            </w:r>
          </w:p>
        </w:tc>
        <w:tc>
          <w:tcPr>
            <w:tcW w:w="670" w:type="pct"/>
            <w:noWrap w:val="0"/>
            <w:vAlign w:val="center"/>
          </w:tcPr>
          <w:p w14:paraId="6227C60A">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黄豆酱、甜面酱等</w:t>
            </w:r>
          </w:p>
        </w:tc>
        <w:tc>
          <w:tcPr>
            <w:tcW w:w="284" w:type="pct"/>
            <w:noWrap w:val="0"/>
            <w:vAlign w:val="center"/>
          </w:tcPr>
          <w:p w14:paraId="1211588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48EC95B2">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氨基酸态氮、</w:t>
            </w:r>
            <w:r>
              <w:rPr>
                <w:rFonts w:eastAsia="仿宋_GB2312"/>
                <w:color w:val="auto"/>
                <w:spacing w:val="3"/>
                <w:kern w:val="0"/>
                <w:szCs w:val="21"/>
                <w:highlight w:val="none"/>
              </w:rPr>
              <w:t>黄曲霉毒素B</w:t>
            </w:r>
            <w:r>
              <w:rPr>
                <w:rFonts w:hint="eastAsia" w:eastAsia="仿宋_GB2312"/>
                <w:color w:val="auto"/>
                <w:spacing w:val="3"/>
                <w:kern w:val="0"/>
                <w:szCs w:val="21"/>
                <w:highlight w:val="none"/>
                <w:vertAlign w:val="subscript"/>
              </w:rPr>
              <w:t>1</w:t>
            </w:r>
            <w:r>
              <w:rPr>
                <w:rFonts w:eastAsia="仿宋_GB2312"/>
                <w:color w:val="auto"/>
                <w:kern w:val="0"/>
                <w:szCs w:val="21"/>
                <w:highlight w:val="none"/>
              </w:rPr>
              <w:t>、苯甲酸及其钠盐（以苯甲酸计）、山梨酸及其钾盐（以山梨酸计）、脱氢乙酸及其钠盐（以脱氢乙酸计）、防腐剂混合使用时各自用量占其最大使用量的比例之和</w:t>
            </w:r>
          </w:p>
        </w:tc>
        <w:tc>
          <w:tcPr>
            <w:tcW w:w="1186" w:type="pct"/>
            <w:noWrap w:val="0"/>
            <w:vAlign w:val="center"/>
          </w:tcPr>
          <w:p w14:paraId="4100788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糖精钠（以糖精计）、三氯蔗糖、甜蜜素（以环己基氨基磺酸计）、安赛蜜、大肠菌群</w:t>
            </w:r>
          </w:p>
        </w:tc>
      </w:tr>
      <w:tr w14:paraId="203A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6DDBE50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5A88164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noWrap w:val="0"/>
            <w:vAlign w:val="center"/>
          </w:tcPr>
          <w:p w14:paraId="16C2CC6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调味料酒</w:t>
            </w:r>
          </w:p>
        </w:tc>
        <w:tc>
          <w:tcPr>
            <w:tcW w:w="401" w:type="pct"/>
            <w:noWrap w:val="0"/>
            <w:vAlign w:val="center"/>
          </w:tcPr>
          <w:p w14:paraId="5EA60B6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调味料酒</w:t>
            </w:r>
          </w:p>
        </w:tc>
        <w:tc>
          <w:tcPr>
            <w:tcW w:w="670" w:type="pct"/>
            <w:noWrap w:val="0"/>
            <w:vAlign w:val="center"/>
          </w:tcPr>
          <w:p w14:paraId="7D43BBF2">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料酒</w:t>
            </w:r>
          </w:p>
        </w:tc>
        <w:tc>
          <w:tcPr>
            <w:tcW w:w="284" w:type="pct"/>
            <w:noWrap w:val="0"/>
            <w:vAlign w:val="center"/>
          </w:tcPr>
          <w:p w14:paraId="7DC8557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0C81E09A">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氨基酸态氮（以氮计）、苯甲酸及其钠盐（以苯甲酸计）、山梨酸及其钾盐（以山梨酸计）、脱氢乙酸及其钠盐（以脱氢乙酸计）、甜蜜素（以环己基氨基磺酸计）、三氯蔗糖</w:t>
            </w:r>
          </w:p>
        </w:tc>
        <w:tc>
          <w:tcPr>
            <w:tcW w:w="1186" w:type="pct"/>
            <w:noWrap w:val="0"/>
            <w:vAlign w:val="center"/>
          </w:tcPr>
          <w:p w14:paraId="3B9F706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707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762F7C6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501EEF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restart"/>
            <w:noWrap w:val="0"/>
            <w:vAlign w:val="center"/>
          </w:tcPr>
          <w:p w14:paraId="1351277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香辛料类</w:t>
            </w:r>
          </w:p>
        </w:tc>
        <w:tc>
          <w:tcPr>
            <w:tcW w:w="401" w:type="pct"/>
            <w:vMerge w:val="restart"/>
            <w:noWrap w:val="0"/>
            <w:vAlign w:val="center"/>
          </w:tcPr>
          <w:p w14:paraId="35D30432">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香辛料类</w:t>
            </w:r>
          </w:p>
        </w:tc>
        <w:tc>
          <w:tcPr>
            <w:tcW w:w="670" w:type="pct"/>
            <w:noWrap w:val="0"/>
            <w:vAlign w:val="center"/>
          </w:tcPr>
          <w:p w14:paraId="56A4E45C">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香辛料调味油</w:t>
            </w:r>
          </w:p>
        </w:tc>
        <w:tc>
          <w:tcPr>
            <w:tcW w:w="284" w:type="pct"/>
            <w:noWrap w:val="0"/>
            <w:vAlign w:val="center"/>
          </w:tcPr>
          <w:p w14:paraId="1EAB3D1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7FA9A8DC">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酸价/酸值、过氧化值、铅（以Pb计）</w:t>
            </w:r>
          </w:p>
        </w:tc>
        <w:tc>
          <w:tcPr>
            <w:tcW w:w="1186" w:type="pct"/>
            <w:noWrap w:val="0"/>
            <w:vAlign w:val="center"/>
          </w:tcPr>
          <w:p w14:paraId="454FB0C6">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3B1D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5C7E74F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53412BA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3D8048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534E0CA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2290924D">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辣椒、花椒、辣椒粉、花椒粉</w:t>
            </w:r>
          </w:p>
        </w:tc>
        <w:tc>
          <w:tcPr>
            <w:tcW w:w="284" w:type="pct"/>
            <w:noWrap w:val="0"/>
            <w:vAlign w:val="center"/>
          </w:tcPr>
          <w:p w14:paraId="4B12A7F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较高</w:t>
            </w:r>
          </w:p>
        </w:tc>
        <w:tc>
          <w:tcPr>
            <w:tcW w:w="1553" w:type="pct"/>
            <w:noWrap w:val="0"/>
            <w:vAlign w:val="center"/>
          </w:tcPr>
          <w:p w14:paraId="4DAA33B8">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铅（以Pb计）、罗丹明B、苏丹红I、苏丹红II、苏丹红III、苏丹红IV、山梨酸及其钾盐（以山梨酸计）、二氧化硫残留量、合成着色剂（柠檬黄、日落黄、胭脂红）</w:t>
            </w:r>
          </w:p>
        </w:tc>
        <w:tc>
          <w:tcPr>
            <w:tcW w:w="1186" w:type="pct"/>
            <w:noWrap w:val="0"/>
            <w:vAlign w:val="center"/>
          </w:tcPr>
          <w:p w14:paraId="478730AA">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脱氢乙酸及其钠盐（以脱氢乙酸计）、沙门氏菌</w:t>
            </w:r>
          </w:p>
        </w:tc>
      </w:tr>
      <w:tr w14:paraId="43CE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166" w:type="pct"/>
            <w:vMerge w:val="continue"/>
            <w:noWrap w:val="0"/>
            <w:vAlign w:val="center"/>
          </w:tcPr>
          <w:p w14:paraId="4F3BF72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F1D5A1B">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17E9EE9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6746914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07143B00">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其他香辛料调味品</w:t>
            </w:r>
          </w:p>
        </w:tc>
        <w:tc>
          <w:tcPr>
            <w:tcW w:w="284" w:type="pct"/>
            <w:noWrap w:val="0"/>
            <w:vAlign w:val="center"/>
          </w:tcPr>
          <w:p w14:paraId="3E228B6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较高</w:t>
            </w:r>
          </w:p>
        </w:tc>
        <w:tc>
          <w:tcPr>
            <w:tcW w:w="1553" w:type="pct"/>
            <w:noWrap w:val="0"/>
            <w:vAlign w:val="center"/>
          </w:tcPr>
          <w:p w14:paraId="68DDE104">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铅（以Pb计）、氯氰菊酯和高效氯氰菊酯、二氧化硫残留量、合成着色剂（柠檬黄、日落黄、苋菜红、胭脂红、亮蓝）、多菌灵、克百威</w:t>
            </w:r>
          </w:p>
        </w:tc>
        <w:tc>
          <w:tcPr>
            <w:tcW w:w="1186" w:type="pct"/>
            <w:noWrap w:val="0"/>
            <w:vAlign w:val="center"/>
          </w:tcPr>
          <w:p w14:paraId="2C44841F">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丙溴磷、甜蜜素（以环己基氨基磺酸计）、脱氢乙酸及其钠盐（以脱氢乙酸计）、毒死蜱、沙门氏菌</w:t>
            </w:r>
          </w:p>
        </w:tc>
      </w:tr>
      <w:tr w14:paraId="6E3F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6" w:type="pct"/>
            <w:vMerge w:val="continue"/>
            <w:noWrap w:val="0"/>
            <w:vAlign w:val="center"/>
          </w:tcPr>
          <w:p w14:paraId="0BD3E15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576B56B9">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restart"/>
            <w:noWrap w:val="0"/>
            <w:vAlign w:val="center"/>
          </w:tcPr>
          <w:p w14:paraId="49CE956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调味料</w:t>
            </w:r>
          </w:p>
        </w:tc>
        <w:tc>
          <w:tcPr>
            <w:tcW w:w="401" w:type="pct"/>
            <w:vMerge w:val="restart"/>
            <w:noWrap w:val="0"/>
            <w:vAlign w:val="center"/>
          </w:tcPr>
          <w:p w14:paraId="3C88179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固体复合调味料</w:t>
            </w:r>
          </w:p>
        </w:tc>
        <w:tc>
          <w:tcPr>
            <w:tcW w:w="670" w:type="pct"/>
            <w:noWrap w:val="0"/>
            <w:vAlign w:val="center"/>
          </w:tcPr>
          <w:p w14:paraId="043BD967">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鸡粉、鸡精调味料</w:t>
            </w:r>
          </w:p>
        </w:tc>
        <w:tc>
          <w:tcPr>
            <w:tcW w:w="284" w:type="pct"/>
            <w:noWrap w:val="0"/>
            <w:vAlign w:val="center"/>
          </w:tcPr>
          <w:p w14:paraId="7438C79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1123C17A">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谷氨酸钠、呈味核苷酸二钠、铅（以Pb计）、糖精钠（以糖精计）、甜蜜素（以环己基氨基磺酸计）、总氮（以N计）</w:t>
            </w:r>
          </w:p>
        </w:tc>
        <w:tc>
          <w:tcPr>
            <w:tcW w:w="1186" w:type="pct"/>
            <w:noWrap w:val="0"/>
            <w:vAlign w:val="center"/>
          </w:tcPr>
          <w:p w14:paraId="46DA0F9A">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安赛蜜、菌落总数、大肠菌群</w:t>
            </w:r>
          </w:p>
        </w:tc>
      </w:tr>
      <w:tr w14:paraId="3743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4" w:hRule="atLeast"/>
        </w:trPr>
        <w:tc>
          <w:tcPr>
            <w:tcW w:w="166" w:type="pct"/>
            <w:vMerge w:val="continue"/>
            <w:noWrap w:val="0"/>
            <w:vAlign w:val="center"/>
          </w:tcPr>
          <w:p w14:paraId="7916BA3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4AD2394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1CF2988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690D2B2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2A27E0AA">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其他固体调味料</w:t>
            </w:r>
          </w:p>
        </w:tc>
        <w:tc>
          <w:tcPr>
            <w:tcW w:w="284" w:type="pct"/>
            <w:noWrap w:val="0"/>
            <w:vAlign w:val="center"/>
          </w:tcPr>
          <w:p w14:paraId="62293CB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38B03DD6">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铅（以Pb计）、苏丹红I、苏丹红II、苏丹红III、苏丹红IV、罂粟碱、糖精钠（以糖精计）、甜蜜素（以环己基氨基磺酸计）、二氧化硫残留量</w:t>
            </w:r>
          </w:p>
        </w:tc>
        <w:tc>
          <w:tcPr>
            <w:tcW w:w="1186" w:type="pct"/>
            <w:noWrap w:val="0"/>
            <w:vAlign w:val="center"/>
          </w:tcPr>
          <w:p w14:paraId="08441DD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吗啡、可待因、那可丁、苯甲酸及其钠盐（以苯甲酸计）、山梨酸及其钾盐（以山梨酸计）、脱氢乙酸及其钠盐（以脱氢乙酸计）、防腐剂混合使用时各自用量占其最大使用量的比例之和、安赛蜜、阿斯巴甜</w:t>
            </w:r>
          </w:p>
        </w:tc>
      </w:tr>
      <w:tr w14:paraId="26FA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 w:hRule="atLeast"/>
        </w:trPr>
        <w:tc>
          <w:tcPr>
            <w:tcW w:w="166" w:type="pct"/>
            <w:vMerge w:val="continue"/>
            <w:noWrap w:val="0"/>
            <w:vAlign w:val="center"/>
          </w:tcPr>
          <w:p w14:paraId="74116FEE">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28A730C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370C427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restart"/>
            <w:noWrap w:val="0"/>
            <w:vAlign w:val="center"/>
          </w:tcPr>
          <w:p w14:paraId="2F12390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半固体复合调味料</w:t>
            </w:r>
          </w:p>
        </w:tc>
        <w:tc>
          <w:tcPr>
            <w:tcW w:w="670" w:type="pct"/>
            <w:noWrap w:val="0"/>
            <w:vAlign w:val="center"/>
          </w:tcPr>
          <w:p w14:paraId="5CAC59F5">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蛋黄酱、沙拉酱</w:t>
            </w:r>
          </w:p>
        </w:tc>
        <w:tc>
          <w:tcPr>
            <w:tcW w:w="284" w:type="pct"/>
            <w:noWrap w:val="0"/>
            <w:vAlign w:val="center"/>
          </w:tcPr>
          <w:p w14:paraId="3338B71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44C99D09">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二氧化钛、合成着色剂（柠檬黄、日落黄）</w:t>
            </w:r>
          </w:p>
        </w:tc>
        <w:tc>
          <w:tcPr>
            <w:tcW w:w="1186" w:type="pct"/>
            <w:noWrap w:val="0"/>
            <w:vAlign w:val="center"/>
          </w:tcPr>
          <w:p w14:paraId="629CE46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2D7B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3B650D5E">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6AA7DF1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40F7C30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60C16BD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027771C8">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坚果与籽类的泥（酱）</w:t>
            </w:r>
          </w:p>
        </w:tc>
        <w:tc>
          <w:tcPr>
            <w:tcW w:w="284" w:type="pct"/>
            <w:noWrap w:val="0"/>
            <w:vAlign w:val="center"/>
          </w:tcPr>
          <w:p w14:paraId="0EC8054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300D078D">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酸价/酸值、过氧化值、铅（以Pb计）、黄曲霉毒素B</w:t>
            </w:r>
            <w:r>
              <w:rPr>
                <w:rFonts w:eastAsia="仿宋_GB2312"/>
                <w:color w:val="auto"/>
                <w:kern w:val="0"/>
                <w:szCs w:val="21"/>
                <w:highlight w:val="none"/>
                <w:vertAlign w:val="subscript"/>
              </w:rPr>
              <w:t>1</w:t>
            </w:r>
          </w:p>
        </w:tc>
        <w:tc>
          <w:tcPr>
            <w:tcW w:w="1186" w:type="pct"/>
            <w:noWrap w:val="0"/>
            <w:vAlign w:val="center"/>
          </w:tcPr>
          <w:p w14:paraId="7DB1B66C">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28A5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115A1D69">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49B5B8E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5597706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0DE1BF9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43B22030">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辣椒酱</w:t>
            </w:r>
          </w:p>
        </w:tc>
        <w:tc>
          <w:tcPr>
            <w:tcW w:w="284" w:type="pct"/>
            <w:noWrap w:val="0"/>
            <w:vAlign w:val="center"/>
          </w:tcPr>
          <w:p w14:paraId="2C4BD9D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4B15869C">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1186" w:type="pct"/>
            <w:noWrap w:val="0"/>
            <w:vAlign w:val="center"/>
          </w:tcPr>
          <w:p w14:paraId="35CB433C">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54F1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4BC0BB3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5909FE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5C2F75B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078D158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10DC5B8D">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火锅底料、麻辣烫底料</w:t>
            </w:r>
          </w:p>
        </w:tc>
        <w:tc>
          <w:tcPr>
            <w:tcW w:w="284" w:type="pct"/>
            <w:noWrap w:val="0"/>
            <w:vAlign w:val="center"/>
          </w:tcPr>
          <w:p w14:paraId="32E3812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12E74621">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罂粟碱、吗啡、可待因、那可丁、苏丹红I、苏丹红II、苏丹红III、苏丹红IV、苯甲酸及其钠盐（以苯甲酸计）、山梨酸及其钾盐（以山梨酸计）、防腐剂混合使用时各自用量占其最大使用量的比例之和</w:t>
            </w:r>
          </w:p>
        </w:tc>
        <w:tc>
          <w:tcPr>
            <w:tcW w:w="1186" w:type="pct"/>
            <w:noWrap w:val="0"/>
            <w:vAlign w:val="center"/>
          </w:tcPr>
          <w:p w14:paraId="35C6C65A">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脱氢乙酸及其钠盐（以脱氢乙酸计）</w:t>
            </w:r>
          </w:p>
        </w:tc>
      </w:tr>
      <w:tr w14:paraId="7BD2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0CEE00F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7CFD9F8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1CE1775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00E1F53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4B8D74A7">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其他半固体调味料</w:t>
            </w:r>
          </w:p>
        </w:tc>
        <w:tc>
          <w:tcPr>
            <w:tcW w:w="284" w:type="pct"/>
            <w:noWrap w:val="0"/>
            <w:vAlign w:val="center"/>
          </w:tcPr>
          <w:p w14:paraId="2CCABBB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3295D5BD">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铅（以Pb计）、苯甲酸及其钠盐（以苯甲酸计）、山梨酸及其钾盐（以山梨酸计）、脱氢乙酸及其钠盐（以脱氢乙酸计）、防腐剂混合使用时各自用量占其最大使用量的比例之和、安赛蜜</w:t>
            </w:r>
          </w:p>
        </w:tc>
        <w:tc>
          <w:tcPr>
            <w:tcW w:w="1186" w:type="pct"/>
            <w:noWrap w:val="0"/>
            <w:vAlign w:val="center"/>
          </w:tcPr>
          <w:p w14:paraId="246BB2D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罗丹明B、罂粟碱、吗啡、可待因、那可丁、甜蜜素（以环己基氨基磺酸计）</w:t>
            </w:r>
          </w:p>
        </w:tc>
      </w:tr>
      <w:tr w14:paraId="4EF8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38A2074E">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133E37A">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7AE9716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restart"/>
            <w:noWrap w:val="0"/>
            <w:vAlign w:val="center"/>
          </w:tcPr>
          <w:p w14:paraId="7309903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液体复合调味料</w:t>
            </w:r>
          </w:p>
        </w:tc>
        <w:tc>
          <w:tcPr>
            <w:tcW w:w="670" w:type="pct"/>
            <w:noWrap w:val="0"/>
            <w:vAlign w:val="center"/>
          </w:tcPr>
          <w:p w14:paraId="2C74133D">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蚝油、虾油、鱼露</w:t>
            </w:r>
          </w:p>
        </w:tc>
        <w:tc>
          <w:tcPr>
            <w:tcW w:w="284" w:type="pct"/>
            <w:noWrap w:val="0"/>
            <w:vAlign w:val="center"/>
          </w:tcPr>
          <w:p w14:paraId="14718C4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5E1272F5">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氨基酸态氮、苯甲酸及其钠盐（以苯甲酸计）、山梨酸及其钾盐（以山梨酸计）、脱氢乙酸及其钠盐（以脱氢乙酸计）、防腐剂混合使用时各自用量占其最大使用量的比例之和、菌落总数</w:t>
            </w:r>
          </w:p>
        </w:tc>
        <w:tc>
          <w:tcPr>
            <w:tcW w:w="1186" w:type="pct"/>
            <w:noWrap w:val="0"/>
            <w:vAlign w:val="center"/>
          </w:tcPr>
          <w:p w14:paraId="11A8D508">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大肠菌群</w:t>
            </w:r>
          </w:p>
        </w:tc>
      </w:tr>
      <w:tr w14:paraId="7D88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2" w:hRule="atLeast"/>
        </w:trPr>
        <w:tc>
          <w:tcPr>
            <w:tcW w:w="166" w:type="pct"/>
            <w:vMerge w:val="continue"/>
            <w:noWrap w:val="0"/>
            <w:vAlign w:val="center"/>
          </w:tcPr>
          <w:p w14:paraId="52C2760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4DFE7ABA">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4D4FEA8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7605C30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0D3CE555">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其他液体调味料</w:t>
            </w:r>
          </w:p>
        </w:tc>
        <w:tc>
          <w:tcPr>
            <w:tcW w:w="284" w:type="pct"/>
            <w:noWrap w:val="0"/>
            <w:vAlign w:val="center"/>
          </w:tcPr>
          <w:p w14:paraId="4171912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24044CBF">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苯甲酸及其钠盐（以苯甲酸计）、山梨酸及其钾盐（以山梨酸计）、脱氢乙酸及其钠盐（以脱氢乙酸计）、防腐剂混合使用时各自用量占其最大使用量的比例之和、糖精钠（以糖精计）、甜蜜素（以环己基氨基磺酸计）</w:t>
            </w:r>
          </w:p>
        </w:tc>
        <w:tc>
          <w:tcPr>
            <w:tcW w:w="1186" w:type="pct"/>
            <w:noWrap w:val="0"/>
            <w:vAlign w:val="center"/>
          </w:tcPr>
          <w:p w14:paraId="2996801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合成着色剂（柠檬黄、日落黄、胭脂红、诱惑红）、相同色泽着色剂混合使用时各自用量占其最大使用量的比例之和、菌落总数</w:t>
            </w:r>
          </w:p>
        </w:tc>
      </w:tr>
      <w:tr w14:paraId="7819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66" w:type="pct"/>
            <w:vMerge w:val="continue"/>
            <w:noWrap w:val="0"/>
            <w:vAlign w:val="center"/>
          </w:tcPr>
          <w:p w14:paraId="6D47018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343213E4">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noWrap w:val="0"/>
            <w:vAlign w:val="center"/>
          </w:tcPr>
          <w:p w14:paraId="539518C5">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味精</w:t>
            </w:r>
          </w:p>
        </w:tc>
        <w:tc>
          <w:tcPr>
            <w:tcW w:w="401" w:type="pct"/>
            <w:noWrap w:val="0"/>
            <w:vAlign w:val="center"/>
          </w:tcPr>
          <w:p w14:paraId="7C33268E">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味精</w:t>
            </w:r>
          </w:p>
        </w:tc>
        <w:tc>
          <w:tcPr>
            <w:tcW w:w="670" w:type="pct"/>
            <w:noWrap w:val="0"/>
            <w:vAlign w:val="center"/>
          </w:tcPr>
          <w:p w14:paraId="60FEBDA5">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味精</w:t>
            </w:r>
          </w:p>
        </w:tc>
        <w:tc>
          <w:tcPr>
            <w:tcW w:w="284" w:type="pct"/>
            <w:noWrap w:val="0"/>
            <w:vAlign w:val="center"/>
          </w:tcPr>
          <w:p w14:paraId="26D2953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587E42C0">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谷氨酸钠</w:t>
            </w:r>
          </w:p>
        </w:tc>
        <w:tc>
          <w:tcPr>
            <w:tcW w:w="1186" w:type="pct"/>
            <w:noWrap w:val="0"/>
            <w:vAlign w:val="center"/>
          </w:tcPr>
          <w:p w14:paraId="01F46CF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0F1D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7EAC68D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6A2A9A4A">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restart"/>
            <w:noWrap w:val="0"/>
            <w:vAlign w:val="center"/>
          </w:tcPr>
          <w:p w14:paraId="4ECD1A9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食盐</w:t>
            </w:r>
          </w:p>
        </w:tc>
        <w:tc>
          <w:tcPr>
            <w:tcW w:w="401" w:type="pct"/>
            <w:vMerge w:val="restart"/>
            <w:noWrap w:val="0"/>
            <w:vAlign w:val="center"/>
          </w:tcPr>
          <w:p w14:paraId="53A1E88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食用盐</w:t>
            </w:r>
          </w:p>
        </w:tc>
        <w:tc>
          <w:tcPr>
            <w:tcW w:w="670" w:type="pct"/>
            <w:noWrap w:val="0"/>
            <w:vAlign w:val="center"/>
          </w:tcPr>
          <w:p w14:paraId="2B7AEC03">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普通食用盐</w:t>
            </w:r>
          </w:p>
        </w:tc>
        <w:tc>
          <w:tcPr>
            <w:tcW w:w="284" w:type="pct"/>
            <w:noWrap w:val="0"/>
            <w:vAlign w:val="center"/>
          </w:tcPr>
          <w:p w14:paraId="6AB6539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1F926360">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氯化钠、钡（以Ba计）、碘（以I计）、铅（以Pb计）、总砷（以As计）、镉（以Cd计）</w:t>
            </w:r>
          </w:p>
        </w:tc>
        <w:tc>
          <w:tcPr>
            <w:tcW w:w="1186" w:type="pct"/>
            <w:noWrap w:val="0"/>
            <w:vAlign w:val="center"/>
          </w:tcPr>
          <w:p w14:paraId="04123F1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总汞（以Hg计）、亚铁氰化钾/亚铁氰化钠（以亚铁氰根计）</w:t>
            </w:r>
          </w:p>
        </w:tc>
      </w:tr>
      <w:tr w14:paraId="1EDC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2690F60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7D6E5D0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34DF7B7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0EE6263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781370B1">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低钠食用盐</w:t>
            </w:r>
          </w:p>
        </w:tc>
        <w:tc>
          <w:tcPr>
            <w:tcW w:w="284" w:type="pct"/>
            <w:noWrap w:val="0"/>
            <w:vAlign w:val="center"/>
          </w:tcPr>
          <w:p w14:paraId="732F03D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49B2D777">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氯化</w:t>
            </w:r>
            <w:r>
              <w:rPr>
                <w:rFonts w:hint="eastAsia" w:eastAsia="仿宋_GB2312"/>
                <w:color w:val="auto"/>
                <w:kern w:val="0"/>
                <w:szCs w:val="21"/>
                <w:highlight w:val="none"/>
              </w:rPr>
              <w:t>钾</w:t>
            </w:r>
            <w:r>
              <w:rPr>
                <w:rFonts w:eastAsia="仿宋_GB2312"/>
                <w:color w:val="auto"/>
                <w:kern w:val="0"/>
                <w:szCs w:val="21"/>
                <w:highlight w:val="none"/>
              </w:rPr>
              <w:t>、钡（以Ba计）、碘（以I计）、铅（以Pb计）、总砷（以As计）、镉（以Cd计）</w:t>
            </w:r>
          </w:p>
        </w:tc>
        <w:tc>
          <w:tcPr>
            <w:tcW w:w="1186" w:type="pct"/>
            <w:noWrap w:val="0"/>
            <w:vAlign w:val="center"/>
          </w:tcPr>
          <w:p w14:paraId="39B8A8F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总汞（以Hg计）、亚铁氰化钾/亚铁氰化钠（以亚铁氰根计）</w:t>
            </w:r>
          </w:p>
        </w:tc>
      </w:tr>
      <w:tr w14:paraId="0CBD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6" w:type="pct"/>
            <w:vMerge w:val="continue"/>
            <w:noWrap w:val="0"/>
            <w:vAlign w:val="center"/>
          </w:tcPr>
          <w:p w14:paraId="736239D9">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2F2A76D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7569DB0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2C4946A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45EC6FBF">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风味食用盐</w:t>
            </w:r>
          </w:p>
        </w:tc>
        <w:tc>
          <w:tcPr>
            <w:tcW w:w="284" w:type="pct"/>
            <w:noWrap w:val="0"/>
            <w:vAlign w:val="center"/>
          </w:tcPr>
          <w:p w14:paraId="7B20775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16F3E28D">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钡（以Ba计）、铅（以Pb计）、总砷（以As计）、镉（以Cd计）、总汞（以Hg计）、亚铁氰化钾/亚铁氰化钠（以亚铁氰根计）</w:t>
            </w:r>
          </w:p>
        </w:tc>
        <w:tc>
          <w:tcPr>
            <w:tcW w:w="1186" w:type="pct"/>
            <w:noWrap w:val="0"/>
            <w:vAlign w:val="center"/>
          </w:tcPr>
          <w:p w14:paraId="5121C81C">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68C0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4983EAC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758062A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2BD421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51CC75A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670" w:type="pct"/>
            <w:noWrap w:val="0"/>
            <w:vAlign w:val="center"/>
          </w:tcPr>
          <w:p w14:paraId="52BC090D">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特殊工艺食用盐</w:t>
            </w:r>
          </w:p>
        </w:tc>
        <w:tc>
          <w:tcPr>
            <w:tcW w:w="284" w:type="pct"/>
            <w:noWrap w:val="0"/>
            <w:vAlign w:val="center"/>
          </w:tcPr>
          <w:p w14:paraId="2F9B41E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0CE648EB">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氯化钠、钡（以Ba计）、碘（以I计）、铅（以Pb计）、总砷（以As计）、镉（以Cd计）</w:t>
            </w:r>
          </w:p>
        </w:tc>
        <w:tc>
          <w:tcPr>
            <w:tcW w:w="1186" w:type="pct"/>
            <w:noWrap w:val="0"/>
            <w:vAlign w:val="center"/>
          </w:tcPr>
          <w:p w14:paraId="7E4A6927">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总汞（以Hg计）、亚铁氰化钾/亚铁氰化钠（以亚铁氰根计）</w:t>
            </w:r>
          </w:p>
        </w:tc>
      </w:tr>
      <w:tr w14:paraId="0DC3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166" w:type="pct"/>
            <w:vMerge w:val="continue"/>
            <w:noWrap w:val="0"/>
            <w:vAlign w:val="center"/>
          </w:tcPr>
          <w:p w14:paraId="7CBB4EB7">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73A4490A">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5BC880C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290A42B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kern w:val="0"/>
                <w:szCs w:val="21"/>
                <w:highlight w:val="none"/>
              </w:rPr>
              <w:t>食品生产加工用盐</w:t>
            </w:r>
          </w:p>
        </w:tc>
        <w:tc>
          <w:tcPr>
            <w:tcW w:w="670" w:type="pct"/>
            <w:noWrap w:val="0"/>
            <w:vAlign w:val="center"/>
          </w:tcPr>
          <w:p w14:paraId="23BB15E8">
            <w:pPr>
              <w:widowControl/>
              <w:spacing w:line="300" w:lineRule="exact"/>
              <w:jc w:val="center"/>
              <w:rPr>
                <w:rFonts w:eastAsia="仿宋_GB2312"/>
                <w:color w:val="auto"/>
                <w:spacing w:val="3"/>
                <w:kern w:val="0"/>
                <w:szCs w:val="21"/>
                <w:highlight w:val="none"/>
              </w:rPr>
            </w:pPr>
            <w:r>
              <w:rPr>
                <w:rFonts w:eastAsia="仿宋_GB2312"/>
                <w:color w:val="auto"/>
                <w:kern w:val="0"/>
                <w:szCs w:val="21"/>
                <w:highlight w:val="none"/>
              </w:rPr>
              <w:t>食品生产加工用盐</w:t>
            </w:r>
          </w:p>
        </w:tc>
        <w:tc>
          <w:tcPr>
            <w:tcW w:w="284" w:type="pct"/>
            <w:noWrap w:val="0"/>
            <w:vAlign w:val="center"/>
          </w:tcPr>
          <w:p w14:paraId="723F7C6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6757FC6F">
            <w:pPr>
              <w:widowControl/>
              <w:spacing w:line="300" w:lineRule="exact"/>
              <w:jc w:val="left"/>
              <w:rPr>
                <w:rFonts w:eastAsia="仿宋_GB2312"/>
                <w:color w:val="auto"/>
                <w:spacing w:val="1"/>
                <w:kern w:val="0"/>
                <w:szCs w:val="21"/>
                <w:highlight w:val="none"/>
              </w:rPr>
            </w:pPr>
            <w:r>
              <w:rPr>
                <w:rFonts w:eastAsia="仿宋_GB2312"/>
                <w:color w:val="auto"/>
                <w:kern w:val="0"/>
                <w:szCs w:val="21"/>
                <w:highlight w:val="none"/>
              </w:rPr>
              <w:t>铅（以Pb计）、总砷（以As计）、镉（以Cd计）、总汞（以Hg计）、亚铁氰化钾/亚铁氰化钠（以亚铁氰根计）、亚硝酸盐（以NaNO</w:t>
            </w:r>
            <w:r>
              <w:rPr>
                <w:rFonts w:eastAsia="仿宋_GB2312"/>
                <w:color w:val="auto"/>
                <w:kern w:val="0"/>
                <w:szCs w:val="21"/>
                <w:highlight w:val="none"/>
                <w:vertAlign w:val="subscript"/>
              </w:rPr>
              <w:t>2</w:t>
            </w:r>
            <w:r>
              <w:rPr>
                <w:rFonts w:eastAsia="仿宋_GB2312"/>
                <w:color w:val="auto"/>
                <w:kern w:val="0"/>
                <w:szCs w:val="21"/>
                <w:highlight w:val="none"/>
              </w:rPr>
              <w:t>计）</w:t>
            </w:r>
          </w:p>
        </w:tc>
        <w:tc>
          <w:tcPr>
            <w:tcW w:w="1186" w:type="pct"/>
            <w:noWrap w:val="0"/>
            <w:vAlign w:val="center"/>
          </w:tcPr>
          <w:p w14:paraId="14DA700F">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6918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6" w:type="pct"/>
            <w:vMerge w:val="restart"/>
            <w:noWrap w:val="0"/>
            <w:vAlign w:val="center"/>
          </w:tcPr>
          <w:p w14:paraId="43061867">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r>
              <w:rPr>
                <w:rFonts w:eastAsia="仿宋_GB2312"/>
                <w:color w:val="auto"/>
                <w:szCs w:val="21"/>
                <w:highlight w:val="none"/>
              </w:rPr>
              <w:t>4</w:t>
            </w:r>
          </w:p>
        </w:tc>
        <w:tc>
          <w:tcPr>
            <w:tcW w:w="367" w:type="pct"/>
            <w:vMerge w:val="restart"/>
            <w:noWrap w:val="0"/>
            <w:vAlign w:val="center"/>
          </w:tcPr>
          <w:p w14:paraId="1772783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r>
              <w:rPr>
                <w:rFonts w:eastAsia="仿宋_GB2312"/>
                <w:color w:val="auto"/>
                <w:spacing w:val="7"/>
                <w:szCs w:val="21"/>
                <w:highlight w:val="none"/>
              </w:rPr>
              <w:t>肉制品</w:t>
            </w:r>
          </w:p>
        </w:tc>
        <w:tc>
          <w:tcPr>
            <w:tcW w:w="368" w:type="pct"/>
            <w:vMerge w:val="restart"/>
            <w:noWrap w:val="0"/>
            <w:vAlign w:val="center"/>
          </w:tcPr>
          <w:p w14:paraId="2E1D2F3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spacing w:val="4"/>
                <w:szCs w:val="21"/>
                <w:highlight w:val="none"/>
              </w:rPr>
              <w:t>预制肉制</w:t>
            </w:r>
            <w:r>
              <w:rPr>
                <w:rFonts w:eastAsia="仿宋_GB2312"/>
                <w:color w:val="auto"/>
                <w:szCs w:val="21"/>
                <w:highlight w:val="none"/>
              </w:rPr>
              <w:t>品</w:t>
            </w:r>
          </w:p>
        </w:tc>
        <w:tc>
          <w:tcPr>
            <w:tcW w:w="401" w:type="pct"/>
            <w:noWrap w:val="0"/>
            <w:vAlign w:val="center"/>
          </w:tcPr>
          <w:p w14:paraId="216C2E9C">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调理肉制品</w:t>
            </w:r>
          </w:p>
        </w:tc>
        <w:tc>
          <w:tcPr>
            <w:tcW w:w="670" w:type="pct"/>
            <w:noWrap w:val="0"/>
            <w:vAlign w:val="center"/>
          </w:tcPr>
          <w:p w14:paraId="74890081">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调理肉制品</w:t>
            </w:r>
            <w:r>
              <w:rPr>
                <w:rFonts w:ascii="Times New Roman" w:hAnsi="Times New Roman" w:eastAsia="仿宋_GB2312" w:cs="Times New Roman"/>
                <w:color w:val="auto"/>
                <w:spacing w:val="9"/>
                <w:sz w:val="21"/>
                <w:szCs w:val="21"/>
                <w:highlight w:val="none"/>
              </w:rPr>
              <w:t>(非速冻)</w:t>
            </w:r>
          </w:p>
        </w:tc>
        <w:tc>
          <w:tcPr>
            <w:tcW w:w="284" w:type="pct"/>
            <w:noWrap w:val="0"/>
            <w:vAlign w:val="center"/>
          </w:tcPr>
          <w:p w14:paraId="2F0C32A3">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45609FB0">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苯甲酸及其钠盐（以苯甲酸计）、山梨酸及其钾盐（以山梨酸计）、脱氢乙酸及其钠盐（以脱氢乙酸计）</w:t>
            </w:r>
          </w:p>
        </w:tc>
        <w:tc>
          <w:tcPr>
            <w:tcW w:w="1186" w:type="pct"/>
            <w:noWrap w:val="0"/>
            <w:vAlign w:val="center"/>
          </w:tcPr>
          <w:p w14:paraId="2B206C97">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w:t>
            </w:r>
          </w:p>
        </w:tc>
      </w:tr>
      <w:tr w14:paraId="211E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166" w:type="pct"/>
            <w:vMerge w:val="continue"/>
            <w:noWrap w:val="0"/>
            <w:vAlign w:val="center"/>
          </w:tcPr>
          <w:p w14:paraId="6225A45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293AB4F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046EE43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1107305F">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腌腊肉制品</w:t>
            </w:r>
          </w:p>
        </w:tc>
        <w:tc>
          <w:tcPr>
            <w:tcW w:w="670" w:type="pct"/>
            <w:noWrap w:val="0"/>
            <w:vAlign w:val="center"/>
          </w:tcPr>
          <w:p w14:paraId="172E79E3">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腌腊肉制品</w:t>
            </w:r>
          </w:p>
        </w:tc>
        <w:tc>
          <w:tcPr>
            <w:tcW w:w="284" w:type="pct"/>
            <w:noWrap w:val="0"/>
            <w:vAlign w:val="center"/>
          </w:tcPr>
          <w:p w14:paraId="32B19B6E">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57B95C53">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过氧化值(以脂肪计)、山梨酸及其钾盐(以山梨酸计)、脱氢乙酸及其钠盐(以脱氢乙酸计)、合成着色剂(柠檬黄、日落黄、胭脂红、诱惑红、苋菜红、酸性红)、氯霉素、红2G</w:t>
            </w:r>
          </w:p>
        </w:tc>
        <w:tc>
          <w:tcPr>
            <w:tcW w:w="1186" w:type="pct"/>
            <w:noWrap w:val="0"/>
            <w:vAlign w:val="center"/>
          </w:tcPr>
          <w:p w14:paraId="24EB448F">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亚硝酸盐(以亚硝酸钠计)、苯甲酸及其钠盐(以苯甲酸计)、铅(以Pb计)</w:t>
            </w:r>
            <w:r>
              <w:rPr>
                <w:rFonts w:hint="eastAsia" w:ascii="Times New Roman" w:hAnsi="Times New Roman" w:eastAsia="仿宋_GB2312" w:cs="Times New Roman"/>
                <w:color w:val="auto"/>
                <w:sz w:val="21"/>
                <w:szCs w:val="21"/>
                <w:highlight w:val="none"/>
              </w:rPr>
              <w:t>、</w:t>
            </w:r>
            <w:r>
              <w:rPr>
                <w:rFonts w:ascii="Times New Roman" w:hAnsi="Times New Roman" w:eastAsia="仿宋_GB2312" w:cs="Times New Roman"/>
                <w:color w:val="auto"/>
                <w:sz w:val="21"/>
                <w:szCs w:val="21"/>
                <w:highlight w:val="none"/>
              </w:rPr>
              <w:t>总砷(以As计)</w:t>
            </w:r>
          </w:p>
        </w:tc>
      </w:tr>
      <w:tr w14:paraId="2476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6" w:type="pct"/>
            <w:vMerge w:val="continue"/>
            <w:noWrap w:val="0"/>
            <w:vAlign w:val="center"/>
          </w:tcPr>
          <w:p w14:paraId="3619DB1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7290373B">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restart"/>
            <w:noWrap w:val="0"/>
            <w:vAlign w:val="center"/>
          </w:tcPr>
          <w:p w14:paraId="2C59D83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r>
              <w:rPr>
                <w:rFonts w:eastAsia="仿宋_GB2312"/>
                <w:color w:val="auto"/>
                <w:spacing w:val="5"/>
                <w:szCs w:val="21"/>
                <w:highlight w:val="none"/>
              </w:rPr>
              <w:t>熟肉制品</w:t>
            </w:r>
          </w:p>
        </w:tc>
        <w:tc>
          <w:tcPr>
            <w:tcW w:w="401" w:type="pct"/>
            <w:noWrap w:val="0"/>
            <w:vAlign w:val="center"/>
          </w:tcPr>
          <w:p w14:paraId="297FAC5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发酵肉制品</w:t>
            </w:r>
          </w:p>
        </w:tc>
        <w:tc>
          <w:tcPr>
            <w:tcW w:w="670" w:type="pct"/>
            <w:noWrap w:val="0"/>
            <w:vAlign w:val="center"/>
          </w:tcPr>
          <w:p w14:paraId="057BE92E">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pacing w:val="4"/>
                <w:sz w:val="21"/>
                <w:szCs w:val="21"/>
                <w:highlight w:val="none"/>
              </w:rPr>
            </w:pPr>
            <w:r>
              <w:rPr>
                <w:rFonts w:ascii="Times New Roman" w:hAnsi="Times New Roman" w:eastAsia="仿宋_GB2312" w:cs="Times New Roman"/>
                <w:color w:val="auto"/>
                <w:spacing w:val="4"/>
                <w:sz w:val="21"/>
                <w:szCs w:val="21"/>
                <w:highlight w:val="none"/>
              </w:rPr>
              <w:t>发酵肉制品</w:t>
            </w:r>
          </w:p>
        </w:tc>
        <w:tc>
          <w:tcPr>
            <w:tcW w:w="284" w:type="pct"/>
            <w:noWrap w:val="0"/>
            <w:vAlign w:val="center"/>
          </w:tcPr>
          <w:p w14:paraId="16CBD61E">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67AA5176">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亚硝酸盐（以亚硝酸钠计）、沙门氏菌、金黄色葡萄球菌</w:t>
            </w:r>
          </w:p>
        </w:tc>
        <w:tc>
          <w:tcPr>
            <w:tcW w:w="1186" w:type="pct"/>
            <w:noWrap w:val="0"/>
            <w:vAlign w:val="center"/>
          </w:tcPr>
          <w:p w14:paraId="42F344BC">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单核细胞增生李斯特氏菌、致泻大肠埃希氏菌</w:t>
            </w:r>
          </w:p>
        </w:tc>
      </w:tr>
      <w:tr w14:paraId="3262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66" w:type="pct"/>
            <w:vMerge w:val="continue"/>
            <w:noWrap w:val="0"/>
            <w:vAlign w:val="center"/>
          </w:tcPr>
          <w:p w14:paraId="1941E0E7">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46D934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0211E5A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1D9D5E01">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酱卤肉制品</w:t>
            </w:r>
          </w:p>
        </w:tc>
        <w:tc>
          <w:tcPr>
            <w:tcW w:w="670" w:type="pct"/>
            <w:noWrap w:val="0"/>
            <w:vAlign w:val="center"/>
          </w:tcPr>
          <w:p w14:paraId="1AFC87EA">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酱卤肉制品</w:t>
            </w:r>
          </w:p>
        </w:tc>
        <w:tc>
          <w:tcPr>
            <w:tcW w:w="284" w:type="pct"/>
            <w:noWrap w:val="0"/>
            <w:vAlign w:val="center"/>
          </w:tcPr>
          <w:p w14:paraId="7A02794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22D62361">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苯甲酸及其钠盐（以苯甲酸计）、山梨酸及其钾盐（以山梨酸计）、脱氢乙酸及其钠盐（以脱氢乙酸计）、防腐剂混合使用时各自用量占其最大使用量的比例之和、合成着色剂（柠檬黄、日落黄、胭脂红、诱惑红）、氯霉素、菌落总数、大肠菌群</w:t>
            </w:r>
          </w:p>
        </w:tc>
        <w:tc>
          <w:tcPr>
            <w:tcW w:w="1186" w:type="pct"/>
            <w:noWrap w:val="0"/>
            <w:vAlign w:val="center"/>
          </w:tcPr>
          <w:p w14:paraId="6474AA3B">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pacing w:val="1"/>
                <w:sz w:val="21"/>
                <w:szCs w:val="21"/>
                <w:highlight w:val="none"/>
              </w:rPr>
            </w:pPr>
            <w:r>
              <w:rPr>
                <w:rFonts w:ascii="Times New Roman" w:hAnsi="Times New Roman" w:eastAsia="仿宋_GB2312" w:cs="Times New Roman"/>
                <w:color w:val="auto"/>
                <w:spacing w:val="1"/>
                <w:sz w:val="21"/>
                <w:szCs w:val="21"/>
                <w:highlight w:val="none"/>
              </w:rPr>
              <w:t>沙门氏菌、金黄色葡萄球菌、纳他霉素、糖精钠（以糖精计）、N-二甲基亚硝胺、亚硝酸盐（以亚硝酸钠计）</w:t>
            </w:r>
          </w:p>
        </w:tc>
      </w:tr>
      <w:tr w14:paraId="2D59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6" w:type="pct"/>
            <w:vMerge w:val="continue"/>
            <w:noWrap w:val="0"/>
            <w:vAlign w:val="center"/>
          </w:tcPr>
          <w:p w14:paraId="62A075F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09DF5B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38534DC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1800C93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油炸肉制品</w:t>
            </w:r>
          </w:p>
        </w:tc>
        <w:tc>
          <w:tcPr>
            <w:tcW w:w="670" w:type="pct"/>
            <w:noWrap w:val="0"/>
            <w:vAlign w:val="center"/>
          </w:tcPr>
          <w:p w14:paraId="7F4511AA">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油炸肉制品</w:t>
            </w:r>
          </w:p>
        </w:tc>
        <w:tc>
          <w:tcPr>
            <w:tcW w:w="284" w:type="pct"/>
            <w:noWrap w:val="0"/>
            <w:vAlign w:val="center"/>
          </w:tcPr>
          <w:p w14:paraId="5AE8FF55">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792CE04B">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亚硝酸盐(以亚硝酸钠计)、N-二甲基亚硝胺、苯甲酸及其钠盐(以苯甲酸计)、山梨酸及其钾盐(以山梨酸计)、沙门氏菌、金黄色葡萄球菌</w:t>
            </w:r>
          </w:p>
        </w:tc>
        <w:tc>
          <w:tcPr>
            <w:tcW w:w="1186" w:type="pct"/>
            <w:noWrap w:val="0"/>
            <w:vAlign w:val="center"/>
          </w:tcPr>
          <w:p w14:paraId="234AF332">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pacing w:val="2"/>
                <w:sz w:val="21"/>
                <w:szCs w:val="21"/>
                <w:highlight w:val="none"/>
              </w:rPr>
            </w:pPr>
            <w:r>
              <w:rPr>
                <w:rFonts w:ascii="Times New Roman" w:hAnsi="Times New Roman" w:eastAsia="仿宋_GB2312" w:cs="Times New Roman"/>
                <w:color w:val="auto"/>
                <w:spacing w:val="2"/>
                <w:sz w:val="21"/>
                <w:szCs w:val="21"/>
                <w:highlight w:val="none"/>
              </w:rPr>
              <w:t>单核细胞增生李斯特氏菌、致泻大肠埃希氏菌</w:t>
            </w:r>
          </w:p>
        </w:tc>
      </w:tr>
      <w:tr w14:paraId="3E48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166" w:type="pct"/>
            <w:vMerge w:val="continue"/>
            <w:noWrap w:val="0"/>
            <w:vAlign w:val="center"/>
          </w:tcPr>
          <w:p w14:paraId="0342389B">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2F1AE87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3A9104D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20B33F38">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熟肉干制品</w:t>
            </w:r>
          </w:p>
        </w:tc>
        <w:tc>
          <w:tcPr>
            <w:tcW w:w="670" w:type="pct"/>
            <w:noWrap w:val="0"/>
            <w:vAlign w:val="center"/>
          </w:tcPr>
          <w:p w14:paraId="18BCC1E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熟肉干制品</w:t>
            </w:r>
          </w:p>
        </w:tc>
        <w:tc>
          <w:tcPr>
            <w:tcW w:w="284" w:type="pct"/>
            <w:noWrap w:val="0"/>
            <w:vAlign w:val="center"/>
          </w:tcPr>
          <w:p w14:paraId="26E2822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50FD1ECE">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N-二甲基亚硝胺、苯甲酸及其钠盐(以苯甲酸计)、山梨酸及其钾盐(以山梨酸计)、脱氢乙酸及其钠盐(以脱氢乙酸计)、防腐剂混合使用时各自用量占其最大使用量的比例之和、氯霉素、菌落总数</w:t>
            </w:r>
          </w:p>
        </w:tc>
        <w:tc>
          <w:tcPr>
            <w:tcW w:w="1186" w:type="pct"/>
            <w:noWrap w:val="0"/>
            <w:vAlign w:val="center"/>
          </w:tcPr>
          <w:p w14:paraId="459961F9">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pacing w:val="1"/>
                <w:sz w:val="21"/>
                <w:szCs w:val="21"/>
                <w:highlight w:val="none"/>
              </w:rPr>
            </w:pPr>
            <w:r>
              <w:rPr>
                <w:rFonts w:ascii="Times New Roman" w:hAnsi="Times New Roman" w:eastAsia="仿宋_GB2312" w:cs="Times New Roman"/>
                <w:color w:val="auto"/>
                <w:spacing w:val="1"/>
                <w:sz w:val="21"/>
                <w:szCs w:val="21"/>
                <w:highlight w:val="none"/>
              </w:rPr>
              <w:t>铅(以Pb计)、合成着色剂(胭脂红、诱惑红)、大肠菌群、沙门氏菌、金黄色葡萄球菌</w:t>
            </w:r>
          </w:p>
        </w:tc>
      </w:tr>
      <w:tr w14:paraId="5CE3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166" w:type="pct"/>
            <w:vMerge w:val="continue"/>
            <w:noWrap w:val="0"/>
            <w:vAlign w:val="center"/>
          </w:tcPr>
          <w:p w14:paraId="6CAE2EEF">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B489A8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205F44A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45D01789">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3"/>
                <w:sz w:val="21"/>
                <w:szCs w:val="21"/>
                <w:highlight w:val="none"/>
              </w:rPr>
              <w:t>熏烧烤肉制品</w:t>
            </w:r>
          </w:p>
        </w:tc>
        <w:tc>
          <w:tcPr>
            <w:tcW w:w="670" w:type="pct"/>
            <w:noWrap w:val="0"/>
            <w:vAlign w:val="center"/>
          </w:tcPr>
          <w:p w14:paraId="553E96DC">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3"/>
                <w:sz w:val="21"/>
                <w:szCs w:val="21"/>
                <w:highlight w:val="none"/>
              </w:rPr>
              <w:t>熏烧烤肉制品</w:t>
            </w:r>
          </w:p>
        </w:tc>
        <w:tc>
          <w:tcPr>
            <w:tcW w:w="284" w:type="pct"/>
            <w:noWrap w:val="0"/>
            <w:vAlign w:val="center"/>
          </w:tcPr>
          <w:p w14:paraId="5BA2204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0A27133F">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苯甲酸及其钠盐（以苯甲酸计）、山梨酸及其钾盐（以山梨酸计）、合成着色剂（柠檬黄、日落黄、胭脂红）、氯霉素、菌落总数、大肠菌群</w:t>
            </w:r>
          </w:p>
        </w:tc>
        <w:tc>
          <w:tcPr>
            <w:tcW w:w="1186" w:type="pct"/>
            <w:noWrap w:val="0"/>
            <w:vAlign w:val="center"/>
          </w:tcPr>
          <w:p w14:paraId="19FA350F">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pacing w:val="1"/>
                <w:sz w:val="21"/>
                <w:szCs w:val="21"/>
                <w:highlight w:val="none"/>
              </w:rPr>
            </w:pPr>
            <w:r>
              <w:rPr>
                <w:rFonts w:ascii="Times New Roman" w:hAnsi="Times New Roman" w:eastAsia="仿宋_GB2312" w:cs="Times New Roman"/>
                <w:color w:val="auto"/>
                <w:spacing w:val="1"/>
                <w:sz w:val="21"/>
                <w:szCs w:val="21"/>
                <w:highlight w:val="none"/>
              </w:rPr>
              <w:t>纳他霉素、苯并[a]芘、N-二甲基亚硝胺、亚硝酸盐（以亚硝酸钠计）、沙门氏菌、金黄色葡萄球菌</w:t>
            </w:r>
          </w:p>
        </w:tc>
      </w:tr>
      <w:tr w14:paraId="4880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6" w:type="pct"/>
            <w:vMerge w:val="continue"/>
            <w:noWrap w:val="0"/>
            <w:vAlign w:val="center"/>
          </w:tcPr>
          <w:p w14:paraId="772EE57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24990F7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26F35F0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0DA264BD">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1"/>
                <w:sz w:val="21"/>
                <w:szCs w:val="21"/>
                <w:highlight w:val="none"/>
              </w:rPr>
              <w:t>熏煮香肠火腿</w:t>
            </w:r>
            <w:r>
              <w:rPr>
                <w:rFonts w:ascii="Times New Roman" w:hAnsi="Times New Roman" w:eastAsia="仿宋_GB2312" w:cs="Times New Roman"/>
                <w:color w:val="auto"/>
                <w:spacing w:val="10"/>
                <w:sz w:val="21"/>
                <w:szCs w:val="21"/>
                <w:highlight w:val="none"/>
              </w:rPr>
              <w:t>制品</w:t>
            </w:r>
          </w:p>
        </w:tc>
        <w:tc>
          <w:tcPr>
            <w:tcW w:w="670" w:type="pct"/>
            <w:noWrap w:val="0"/>
            <w:vAlign w:val="center"/>
          </w:tcPr>
          <w:p w14:paraId="1A28626E">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2"/>
                <w:sz w:val="21"/>
                <w:szCs w:val="21"/>
                <w:highlight w:val="none"/>
              </w:rPr>
              <w:t>熏煮香肠火腿制</w:t>
            </w:r>
            <w:r>
              <w:rPr>
                <w:rFonts w:ascii="Times New Roman" w:hAnsi="Times New Roman" w:eastAsia="仿宋_GB2312" w:cs="Times New Roman"/>
                <w:color w:val="auto"/>
                <w:sz w:val="21"/>
                <w:szCs w:val="21"/>
                <w:highlight w:val="none"/>
              </w:rPr>
              <w:t>品</w:t>
            </w:r>
          </w:p>
        </w:tc>
        <w:tc>
          <w:tcPr>
            <w:tcW w:w="284" w:type="pct"/>
            <w:noWrap w:val="0"/>
            <w:vAlign w:val="center"/>
          </w:tcPr>
          <w:p w14:paraId="4B5DA305">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高</w:t>
            </w:r>
          </w:p>
        </w:tc>
        <w:tc>
          <w:tcPr>
            <w:tcW w:w="1553" w:type="pct"/>
            <w:noWrap w:val="0"/>
            <w:vAlign w:val="center"/>
          </w:tcPr>
          <w:p w14:paraId="729D6C10">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亚硝酸盐(以亚硝酸钠计)、苯甲酸及其钠盐(以苯甲酸计)、山梨酸及其钾盐(以山梨酸计)、脱氢乙酸及其钠盐(以脱氢乙酸计)、防腐剂混合使用时各自用量占其最大使用量的比例之和、氯霉素、菌落总数、大肠菌群</w:t>
            </w:r>
          </w:p>
        </w:tc>
        <w:tc>
          <w:tcPr>
            <w:tcW w:w="1186" w:type="pct"/>
            <w:noWrap w:val="0"/>
            <w:vAlign w:val="center"/>
          </w:tcPr>
          <w:p w14:paraId="03BFF901">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合成着色剂(胭脂红、诱惑红)、沙门氏菌、金黄色葡萄球菌</w:t>
            </w:r>
          </w:p>
        </w:tc>
      </w:tr>
      <w:tr w14:paraId="1C75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restart"/>
            <w:noWrap w:val="0"/>
            <w:vAlign w:val="center"/>
          </w:tcPr>
          <w:p w14:paraId="2070C05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5</w:t>
            </w:r>
          </w:p>
        </w:tc>
        <w:tc>
          <w:tcPr>
            <w:tcW w:w="367" w:type="pct"/>
            <w:vMerge w:val="restart"/>
            <w:noWrap w:val="0"/>
            <w:vAlign w:val="center"/>
          </w:tcPr>
          <w:p w14:paraId="72272E7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乳制品</w:t>
            </w:r>
          </w:p>
        </w:tc>
        <w:tc>
          <w:tcPr>
            <w:tcW w:w="368" w:type="pct"/>
            <w:vMerge w:val="restart"/>
            <w:noWrap w:val="0"/>
            <w:vAlign w:val="center"/>
          </w:tcPr>
          <w:p w14:paraId="2632DD7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乳制品</w:t>
            </w:r>
          </w:p>
        </w:tc>
        <w:tc>
          <w:tcPr>
            <w:tcW w:w="401" w:type="pct"/>
            <w:vMerge w:val="restart"/>
            <w:noWrap w:val="0"/>
            <w:vAlign w:val="center"/>
          </w:tcPr>
          <w:p w14:paraId="4E49F632">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液体乳</w:t>
            </w:r>
          </w:p>
        </w:tc>
        <w:tc>
          <w:tcPr>
            <w:tcW w:w="670" w:type="pct"/>
            <w:noWrap w:val="0"/>
            <w:vAlign w:val="center"/>
          </w:tcPr>
          <w:p w14:paraId="0556FCD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灭菌乳</w:t>
            </w:r>
          </w:p>
        </w:tc>
        <w:tc>
          <w:tcPr>
            <w:tcW w:w="284" w:type="pct"/>
            <w:noWrap w:val="0"/>
            <w:vAlign w:val="center"/>
          </w:tcPr>
          <w:p w14:paraId="47A45A5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6825EAD0">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蛋白质、非脂乳固体、酸度、脂肪、三聚氰胺、铅（以Pb计）、黄曲霉毒素M</w:t>
            </w:r>
            <w:r>
              <w:rPr>
                <w:rFonts w:eastAsia="仿宋_GB2312"/>
                <w:color w:val="auto"/>
                <w:kern w:val="0"/>
                <w:szCs w:val="21"/>
                <w:highlight w:val="none"/>
                <w:vertAlign w:val="subscript"/>
              </w:rPr>
              <w:t>1</w:t>
            </w:r>
          </w:p>
        </w:tc>
        <w:tc>
          <w:tcPr>
            <w:tcW w:w="1186" w:type="pct"/>
            <w:noWrap w:val="0"/>
            <w:vAlign w:val="center"/>
          </w:tcPr>
          <w:p w14:paraId="223BC6F0">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丙二醇、商业无菌</w:t>
            </w:r>
          </w:p>
        </w:tc>
      </w:tr>
      <w:tr w14:paraId="5D30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28A9B3F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40D0ADDD">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35CC30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6B0BEE3B">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3690429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巴氏杀菌乳</w:t>
            </w:r>
          </w:p>
        </w:tc>
        <w:tc>
          <w:tcPr>
            <w:tcW w:w="284" w:type="pct"/>
            <w:noWrap w:val="0"/>
            <w:vAlign w:val="center"/>
          </w:tcPr>
          <w:p w14:paraId="6B12DD2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0E8B7E47">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蛋白质、酸度、三聚氰胺、铅（以Pb计）、黄曲霉毒素M</w:t>
            </w:r>
            <w:r>
              <w:rPr>
                <w:rFonts w:eastAsia="仿宋_GB2312"/>
                <w:color w:val="auto"/>
                <w:kern w:val="0"/>
                <w:szCs w:val="21"/>
                <w:highlight w:val="none"/>
                <w:vertAlign w:val="subscript"/>
              </w:rPr>
              <w:t>1</w:t>
            </w:r>
            <w:r>
              <w:rPr>
                <w:rFonts w:eastAsia="仿宋_GB2312"/>
                <w:color w:val="auto"/>
                <w:kern w:val="0"/>
                <w:szCs w:val="21"/>
                <w:highlight w:val="none"/>
              </w:rPr>
              <w:t>、丙二醇</w:t>
            </w:r>
          </w:p>
        </w:tc>
        <w:tc>
          <w:tcPr>
            <w:tcW w:w="1186" w:type="pct"/>
            <w:noWrap w:val="0"/>
            <w:vAlign w:val="center"/>
          </w:tcPr>
          <w:p w14:paraId="7F715891">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沙门氏菌、金黄色葡萄球菌、菌落总数、大肠菌群</w:t>
            </w:r>
          </w:p>
        </w:tc>
      </w:tr>
      <w:tr w14:paraId="7139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0427C562">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F71773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4E6B07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55AA6E18">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5CA39E7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调制乳</w:t>
            </w:r>
          </w:p>
        </w:tc>
        <w:tc>
          <w:tcPr>
            <w:tcW w:w="284" w:type="pct"/>
            <w:noWrap w:val="0"/>
            <w:vAlign w:val="center"/>
          </w:tcPr>
          <w:p w14:paraId="428A553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58A40D3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蛋白质、三聚氰胺、铅（以Pb计）、黄曲霉毒素M</w:t>
            </w:r>
            <w:r>
              <w:rPr>
                <w:rFonts w:eastAsia="仿宋_GB2312"/>
                <w:color w:val="auto"/>
                <w:kern w:val="0"/>
                <w:szCs w:val="21"/>
                <w:highlight w:val="none"/>
                <w:vertAlign w:val="subscript"/>
              </w:rPr>
              <w:t>1</w:t>
            </w:r>
            <w:r>
              <w:rPr>
                <w:rFonts w:eastAsia="仿宋_GB2312"/>
                <w:color w:val="auto"/>
                <w:kern w:val="0"/>
                <w:szCs w:val="21"/>
                <w:highlight w:val="none"/>
              </w:rPr>
              <w:t>、商业无菌、菌落总数、大肠菌群</w:t>
            </w:r>
          </w:p>
        </w:tc>
        <w:tc>
          <w:tcPr>
            <w:tcW w:w="1186" w:type="pct"/>
            <w:noWrap w:val="0"/>
            <w:vAlign w:val="center"/>
          </w:tcPr>
          <w:p w14:paraId="06B2BF1F">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75B2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528F096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D209199">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44C91DA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3AC1DFFF">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0737FD1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发酵乳</w:t>
            </w:r>
          </w:p>
        </w:tc>
        <w:tc>
          <w:tcPr>
            <w:tcW w:w="284" w:type="pct"/>
            <w:noWrap w:val="0"/>
            <w:vAlign w:val="center"/>
          </w:tcPr>
          <w:p w14:paraId="33D7D39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7456869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脂肪、蛋白质、酸度、山梨酸及其钾盐（以山梨酸计）、甜蜜素（以环己基氨基磺酸计）、黄曲霉毒素M</w:t>
            </w:r>
            <w:r>
              <w:rPr>
                <w:rFonts w:eastAsia="仿宋_GB2312"/>
                <w:color w:val="auto"/>
                <w:kern w:val="0"/>
                <w:szCs w:val="21"/>
                <w:highlight w:val="none"/>
                <w:vertAlign w:val="subscript"/>
              </w:rPr>
              <w:t>1</w:t>
            </w:r>
          </w:p>
        </w:tc>
        <w:tc>
          <w:tcPr>
            <w:tcW w:w="1186" w:type="pct"/>
            <w:noWrap w:val="0"/>
            <w:vAlign w:val="center"/>
          </w:tcPr>
          <w:p w14:paraId="1884628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阿斯巴甜、安赛蜜、三聚氰胺、铅（以Pb计）、金黄色葡萄球菌、沙门氏菌、大肠菌群、酵母、霉菌</w:t>
            </w:r>
          </w:p>
        </w:tc>
      </w:tr>
      <w:tr w14:paraId="7F9E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426F1EA9">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79A7552C">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3AF2C1A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30D936EA">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6443087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高温杀菌乳</w:t>
            </w:r>
          </w:p>
        </w:tc>
        <w:tc>
          <w:tcPr>
            <w:tcW w:w="284" w:type="pct"/>
            <w:noWrap w:val="0"/>
            <w:vAlign w:val="center"/>
          </w:tcPr>
          <w:p w14:paraId="715DE3E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37ECDA4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蛋白质、酸度、三聚氰胺、铅（以Pb计）、黄曲霉毒素M</w:t>
            </w:r>
            <w:r>
              <w:rPr>
                <w:rFonts w:eastAsia="仿宋_GB2312"/>
                <w:color w:val="auto"/>
                <w:kern w:val="0"/>
                <w:szCs w:val="21"/>
                <w:highlight w:val="none"/>
                <w:vertAlign w:val="subscript"/>
              </w:rPr>
              <w:t>1</w:t>
            </w:r>
            <w:r>
              <w:rPr>
                <w:rFonts w:eastAsia="仿宋_GB2312"/>
                <w:color w:val="auto"/>
                <w:kern w:val="0"/>
                <w:szCs w:val="21"/>
                <w:highlight w:val="none"/>
              </w:rPr>
              <w:t>、沙门氏菌</w:t>
            </w:r>
          </w:p>
        </w:tc>
        <w:tc>
          <w:tcPr>
            <w:tcW w:w="1186" w:type="pct"/>
            <w:noWrap w:val="0"/>
            <w:vAlign w:val="center"/>
          </w:tcPr>
          <w:p w14:paraId="20F562D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菌落总数、大肠菌群、丙二醇</w:t>
            </w:r>
          </w:p>
        </w:tc>
      </w:tr>
      <w:tr w14:paraId="5C4E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trPr>
        <w:tc>
          <w:tcPr>
            <w:tcW w:w="166" w:type="pct"/>
            <w:vMerge w:val="continue"/>
            <w:noWrap w:val="0"/>
            <w:vAlign w:val="center"/>
          </w:tcPr>
          <w:p w14:paraId="148DE783">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438B6297">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74CCAB5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6F30023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乳清粉和乳清蛋白粉（企业原料）</w:t>
            </w:r>
          </w:p>
        </w:tc>
        <w:tc>
          <w:tcPr>
            <w:tcW w:w="670" w:type="pct"/>
            <w:noWrap w:val="0"/>
            <w:vAlign w:val="center"/>
          </w:tcPr>
          <w:p w14:paraId="71322FA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脱盐乳清粉、非脱盐乳清粉、浓缩乳清蛋白粉、分离乳清蛋白粉</w:t>
            </w:r>
          </w:p>
        </w:tc>
        <w:tc>
          <w:tcPr>
            <w:tcW w:w="284" w:type="pct"/>
            <w:noWrap w:val="0"/>
            <w:vAlign w:val="center"/>
          </w:tcPr>
          <w:p w14:paraId="669EC06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68F244D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蛋白质、三聚氰胺</w:t>
            </w:r>
          </w:p>
        </w:tc>
        <w:tc>
          <w:tcPr>
            <w:tcW w:w="1186" w:type="pct"/>
            <w:noWrap w:val="0"/>
            <w:vAlign w:val="center"/>
          </w:tcPr>
          <w:p w14:paraId="453E4811">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483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66" w:type="pct"/>
            <w:vMerge w:val="continue"/>
            <w:noWrap w:val="0"/>
            <w:vAlign w:val="center"/>
          </w:tcPr>
          <w:p w14:paraId="2DDE57AD">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01994A4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9EF0BE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noWrap w:val="0"/>
            <w:vAlign w:val="center"/>
          </w:tcPr>
          <w:p w14:paraId="4FEE6E5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乳粉</w:t>
            </w:r>
          </w:p>
        </w:tc>
        <w:tc>
          <w:tcPr>
            <w:tcW w:w="670" w:type="pct"/>
            <w:noWrap w:val="0"/>
            <w:vAlign w:val="center"/>
          </w:tcPr>
          <w:p w14:paraId="49F907E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乳粉（全脂、脱脂、部分脱脂和调制乳粉）</w:t>
            </w:r>
          </w:p>
        </w:tc>
        <w:tc>
          <w:tcPr>
            <w:tcW w:w="284" w:type="pct"/>
            <w:noWrap w:val="0"/>
            <w:vAlign w:val="center"/>
          </w:tcPr>
          <w:p w14:paraId="7FCDC7A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795E603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蛋白质、脂肪、复原乳酸度、杂质度、水分、三聚氰胺</w:t>
            </w:r>
          </w:p>
        </w:tc>
        <w:tc>
          <w:tcPr>
            <w:tcW w:w="1186" w:type="pct"/>
            <w:noWrap w:val="0"/>
            <w:vAlign w:val="center"/>
          </w:tcPr>
          <w:p w14:paraId="6CFCACC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铅（以Pb计）、菌落总数、大肠菌群</w:t>
            </w:r>
          </w:p>
        </w:tc>
      </w:tr>
      <w:tr w14:paraId="4300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6" w:type="pct"/>
            <w:vMerge w:val="continue"/>
            <w:noWrap w:val="0"/>
            <w:vAlign w:val="center"/>
          </w:tcPr>
          <w:p w14:paraId="2F63A46B">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255FF805">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664CDEA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restart"/>
            <w:noWrap w:val="0"/>
            <w:vAlign w:val="center"/>
          </w:tcPr>
          <w:p w14:paraId="519A288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其他乳制品（炼乳、奶油、干酪、固态成型产品）</w:t>
            </w:r>
          </w:p>
        </w:tc>
        <w:tc>
          <w:tcPr>
            <w:tcW w:w="670" w:type="pct"/>
            <w:noWrap w:val="0"/>
            <w:vAlign w:val="center"/>
          </w:tcPr>
          <w:p w14:paraId="5C49B92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浓缩乳制品</w:t>
            </w:r>
          </w:p>
        </w:tc>
        <w:tc>
          <w:tcPr>
            <w:tcW w:w="284" w:type="pct"/>
            <w:noWrap w:val="0"/>
            <w:vAlign w:val="center"/>
          </w:tcPr>
          <w:p w14:paraId="779B5C8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6E80805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蛋白质、三聚氰胺、商业无菌、大肠菌群、菌落总数</w:t>
            </w:r>
          </w:p>
        </w:tc>
        <w:tc>
          <w:tcPr>
            <w:tcW w:w="1186" w:type="pct"/>
            <w:noWrap w:val="0"/>
            <w:vAlign w:val="center"/>
          </w:tcPr>
          <w:p w14:paraId="203F40C5">
            <w:pPr>
              <w:widowControl/>
              <w:spacing w:line="300" w:lineRule="exact"/>
              <w:jc w:val="left"/>
              <w:rPr>
                <w:rFonts w:eastAsia="仿宋_GB2312"/>
                <w:color w:val="auto"/>
                <w:kern w:val="0"/>
                <w:szCs w:val="21"/>
                <w:highlight w:val="none"/>
              </w:rPr>
            </w:pPr>
          </w:p>
        </w:tc>
      </w:tr>
      <w:tr w14:paraId="48EE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166" w:type="pct"/>
            <w:vMerge w:val="continue"/>
            <w:noWrap w:val="0"/>
            <w:vAlign w:val="center"/>
          </w:tcPr>
          <w:p w14:paraId="022782D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6162352">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7BCB8C7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4631777F">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2FEE2FE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稀奶油、奶油和无水奶油</w:t>
            </w:r>
          </w:p>
        </w:tc>
        <w:tc>
          <w:tcPr>
            <w:tcW w:w="284" w:type="pct"/>
            <w:noWrap w:val="0"/>
            <w:vAlign w:val="center"/>
          </w:tcPr>
          <w:p w14:paraId="2CCC1AB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282A8027">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脂肪、酸度、三聚氰胺、脱氢乙酸及其钠盐（以脱氢乙酸计）、沙门氏菌、商业无菌</w:t>
            </w:r>
          </w:p>
        </w:tc>
        <w:tc>
          <w:tcPr>
            <w:tcW w:w="1186" w:type="pct"/>
            <w:noWrap w:val="0"/>
            <w:vAlign w:val="center"/>
          </w:tcPr>
          <w:p w14:paraId="42EC6E0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菌落总数、大肠菌群、霉菌</w:t>
            </w:r>
          </w:p>
        </w:tc>
      </w:tr>
      <w:tr w14:paraId="1391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66" w:type="pct"/>
            <w:vMerge w:val="continue"/>
            <w:noWrap w:val="0"/>
            <w:vAlign w:val="center"/>
          </w:tcPr>
          <w:p w14:paraId="09EB7528">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66052E7E">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43232D1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39DF5321">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0D06D02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干酪、再制干酪、干酪制品</w:t>
            </w:r>
          </w:p>
        </w:tc>
        <w:tc>
          <w:tcPr>
            <w:tcW w:w="284" w:type="pct"/>
            <w:noWrap w:val="0"/>
            <w:vAlign w:val="center"/>
          </w:tcPr>
          <w:p w14:paraId="4024B7F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73DF31C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三聚氰胺、金黄色葡萄球菌、沙门氏菌、单核细胞增生李斯特氏菌、菌落总数、大肠菌群、霉菌</w:t>
            </w:r>
          </w:p>
        </w:tc>
        <w:tc>
          <w:tcPr>
            <w:tcW w:w="1186" w:type="pct"/>
            <w:noWrap w:val="0"/>
            <w:vAlign w:val="center"/>
          </w:tcPr>
          <w:p w14:paraId="06644BD8">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595E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66" w:type="pct"/>
            <w:vMerge w:val="continue"/>
            <w:noWrap w:val="0"/>
            <w:vAlign w:val="center"/>
          </w:tcPr>
          <w:p w14:paraId="1B2858D6">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7" w:type="pct"/>
            <w:vMerge w:val="continue"/>
            <w:noWrap w:val="0"/>
            <w:vAlign w:val="center"/>
          </w:tcPr>
          <w:p w14:paraId="17EFD640">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368" w:type="pct"/>
            <w:vMerge w:val="continue"/>
            <w:noWrap w:val="0"/>
            <w:vAlign w:val="center"/>
          </w:tcPr>
          <w:p w14:paraId="3576400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3"/>
                <w:kern w:val="0"/>
                <w:szCs w:val="21"/>
                <w:highlight w:val="none"/>
              </w:rPr>
            </w:pPr>
          </w:p>
        </w:tc>
        <w:tc>
          <w:tcPr>
            <w:tcW w:w="401" w:type="pct"/>
            <w:vMerge w:val="continue"/>
            <w:noWrap w:val="0"/>
            <w:vAlign w:val="center"/>
          </w:tcPr>
          <w:p w14:paraId="7D75C4B5">
            <w:pPr>
              <w:pStyle w:val="132"/>
              <w:widowControl/>
              <w:kinsoku w:val="0"/>
              <w:autoSpaceDE w:val="0"/>
              <w:autoSpaceDN w:val="0"/>
              <w:adjustRightInd w:val="0"/>
              <w:snapToGrid w:val="0"/>
              <w:spacing w:before="68" w:line="300" w:lineRule="exact"/>
              <w:jc w:val="center"/>
              <w:textAlignment w:val="baseline"/>
              <w:rPr>
                <w:rFonts w:ascii="Times New Roman" w:hAnsi="Times New Roman" w:eastAsia="仿宋_GB2312" w:cs="Times New Roman"/>
                <w:color w:val="auto"/>
                <w:spacing w:val="1"/>
                <w:sz w:val="21"/>
                <w:szCs w:val="21"/>
                <w:highlight w:val="none"/>
              </w:rPr>
            </w:pPr>
          </w:p>
        </w:tc>
        <w:tc>
          <w:tcPr>
            <w:tcW w:w="670" w:type="pct"/>
            <w:noWrap w:val="0"/>
            <w:vAlign w:val="center"/>
          </w:tcPr>
          <w:p w14:paraId="235C8799">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奶片、奶条等固态成型产品</w:t>
            </w:r>
          </w:p>
        </w:tc>
        <w:tc>
          <w:tcPr>
            <w:tcW w:w="284" w:type="pct"/>
            <w:noWrap w:val="0"/>
            <w:vAlign w:val="center"/>
          </w:tcPr>
          <w:p w14:paraId="61668FC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553" w:type="pct"/>
            <w:noWrap w:val="0"/>
            <w:vAlign w:val="center"/>
          </w:tcPr>
          <w:p w14:paraId="2C96F2A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蛋白质、脱氢乙酸及其钠盐（以脱氢乙酸计）、三聚氰胺、沙门氏菌</w:t>
            </w:r>
          </w:p>
        </w:tc>
        <w:tc>
          <w:tcPr>
            <w:tcW w:w="1186" w:type="pct"/>
            <w:noWrap w:val="0"/>
            <w:vAlign w:val="center"/>
          </w:tcPr>
          <w:p w14:paraId="64337908">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09A2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restart"/>
            <w:noWrap w:val="0"/>
            <w:vAlign w:val="center"/>
          </w:tcPr>
          <w:p w14:paraId="2A29A498">
            <w:pPr>
              <w:spacing w:line="300" w:lineRule="exact"/>
              <w:jc w:val="center"/>
              <w:rPr>
                <w:rFonts w:eastAsia="仿宋_GB2312"/>
                <w:color w:val="auto"/>
                <w:szCs w:val="21"/>
                <w:highlight w:val="none"/>
              </w:rPr>
            </w:pPr>
            <w:r>
              <w:rPr>
                <w:rFonts w:eastAsia="仿宋_GB2312"/>
                <w:color w:val="auto"/>
                <w:szCs w:val="21"/>
                <w:highlight w:val="none"/>
              </w:rPr>
              <w:t>6</w:t>
            </w:r>
          </w:p>
        </w:tc>
        <w:tc>
          <w:tcPr>
            <w:tcW w:w="367" w:type="pct"/>
            <w:vMerge w:val="restart"/>
            <w:noWrap w:val="0"/>
            <w:vAlign w:val="center"/>
          </w:tcPr>
          <w:p w14:paraId="39E0E093">
            <w:pPr>
              <w:spacing w:line="300" w:lineRule="exact"/>
              <w:jc w:val="center"/>
              <w:rPr>
                <w:rFonts w:eastAsia="仿宋_GB2312"/>
                <w:color w:val="auto"/>
                <w:szCs w:val="21"/>
                <w:highlight w:val="none"/>
              </w:rPr>
            </w:pPr>
            <w:r>
              <w:rPr>
                <w:rFonts w:eastAsia="仿宋_GB2312"/>
                <w:color w:val="auto"/>
                <w:szCs w:val="21"/>
                <w:highlight w:val="none"/>
              </w:rPr>
              <w:t>饮料</w:t>
            </w:r>
          </w:p>
        </w:tc>
        <w:tc>
          <w:tcPr>
            <w:tcW w:w="368" w:type="pct"/>
            <w:vMerge w:val="restart"/>
            <w:noWrap w:val="0"/>
            <w:vAlign w:val="center"/>
          </w:tcPr>
          <w:p w14:paraId="4F09A578">
            <w:pPr>
              <w:spacing w:line="300" w:lineRule="exact"/>
              <w:jc w:val="center"/>
              <w:rPr>
                <w:rFonts w:eastAsia="仿宋_GB2312"/>
                <w:color w:val="auto"/>
                <w:szCs w:val="21"/>
                <w:highlight w:val="none"/>
              </w:rPr>
            </w:pPr>
            <w:r>
              <w:rPr>
                <w:rFonts w:eastAsia="仿宋_GB2312"/>
                <w:color w:val="auto"/>
                <w:szCs w:val="21"/>
                <w:highlight w:val="none"/>
              </w:rPr>
              <w:t>饮料</w:t>
            </w:r>
          </w:p>
        </w:tc>
        <w:tc>
          <w:tcPr>
            <w:tcW w:w="401" w:type="pct"/>
            <w:vMerge w:val="restart"/>
            <w:noWrap w:val="0"/>
            <w:vAlign w:val="center"/>
          </w:tcPr>
          <w:p w14:paraId="016F37C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包装饮用水</w:t>
            </w:r>
          </w:p>
        </w:tc>
        <w:tc>
          <w:tcPr>
            <w:tcW w:w="670" w:type="pct"/>
            <w:noWrap w:val="0"/>
            <w:vAlign w:val="center"/>
          </w:tcPr>
          <w:p w14:paraId="24108E9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饮用天然矿</w:t>
            </w:r>
            <w:r>
              <w:rPr>
                <w:rFonts w:eastAsia="仿宋_GB2312"/>
                <w:color w:val="auto"/>
                <w:spacing w:val="-3"/>
                <w:kern w:val="0"/>
                <w:szCs w:val="21"/>
                <w:highlight w:val="none"/>
              </w:rPr>
              <w:t>泉水</w:t>
            </w:r>
          </w:p>
        </w:tc>
        <w:tc>
          <w:tcPr>
            <w:tcW w:w="284" w:type="pct"/>
            <w:noWrap w:val="0"/>
            <w:vAlign w:val="center"/>
          </w:tcPr>
          <w:p w14:paraId="37591BEA">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7C7578A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界限指标、总砷（以As计）、溴酸盐、硝酸盐 (以NO</w:t>
            </w:r>
            <w:r>
              <w:rPr>
                <w:rFonts w:eastAsia="仿宋_GB2312"/>
                <w:color w:val="auto"/>
                <w:szCs w:val="21"/>
                <w:highlight w:val="none"/>
                <w:vertAlign w:val="subscript"/>
              </w:rPr>
              <w:t>3</w:t>
            </w:r>
            <w:r>
              <w:rPr>
                <w:rFonts w:eastAsia="仿宋_GB2312"/>
                <w:color w:val="auto"/>
                <w:szCs w:val="21"/>
                <w:highlight w:val="none"/>
                <w:vertAlign w:val="superscript"/>
              </w:rPr>
              <w:t>-</w:t>
            </w:r>
            <w:r>
              <w:rPr>
                <w:rFonts w:eastAsia="仿宋_GB2312"/>
                <w:color w:val="auto"/>
                <w:szCs w:val="21"/>
                <w:highlight w:val="none"/>
              </w:rPr>
              <w:t>计)、亚硝酸盐(以NO</w:t>
            </w:r>
            <w:r>
              <w:rPr>
                <w:rFonts w:eastAsia="仿宋_GB2312"/>
                <w:color w:val="auto"/>
                <w:szCs w:val="21"/>
                <w:highlight w:val="none"/>
                <w:vertAlign w:val="subscript"/>
              </w:rPr>
              <w:t>2</w:t>
            </w:r>
            <w:r>
              <w:rPr>
                <w:rFonts w:eastAsia="仿宋_GB2312"/>
                <w:color w:val="auto"/>
                <w:szCs w:val="21"/>
                <w:highlight w:val="none"/>
                <w:vertAlign w:val="superscript"/>
              </w:rPr>
              <w:t>-</w:t>
            </w:r>
            <w:r>
              <w:rPr>
                <w:rFonts w:eastAsia="仿宋_GB2312"/>
                <w:color w:val="auto"/>
                <w:szCs w:val="21"/>
                <w:highlight w:val="none"/>
              </w:rPr>
              <w:t>计)、大肠菌群、铜绿假单胞菌</w:t>
            </w:r>
          </w:p>
        </w:tc>
        <w:tc>
          <w:tcPr>
            <w:tcW w:w="1186" w:type="pct"/>
            <w:noWrap w:val="0"/>
            <w:vAlign w:val="center"/>
          </w:tcPr>
          <w:p w14:paraId="07B24E8C">
            <w:pPr>
              <w:spacing w:line="300" w:lineRule="exact"/>
              <w:jc w:val="left"/>
              <w:rPr>
                <w:rFonts w:eastAsia="仿宋_GB2312"/>
                <w:color w:val="auto"/>
                <w:szCs w:val="21"/>
                <w:highlight w:val="none"/>
              </w:rPr>
            </w:pPr>
            <w:r>
              <w:rPr>
                <w:rFonts w:eastAsia="仿宋_GB2312"/>
                <w:color w:val="auto"/>
                <w:szCs w:val="21"/>
                <w:highlight w:val="none"/>
              </w:rPr>
              <w:t>铅（以Pb计）、镉（以Cd计）</w:t>
            </w:r>
          </w:p>
        </w:tc>
      </w:tr>
      <w:tr w14:paraId="378F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18EA1E8B">
            <w:pPr>
              <w:spacing w:line="300" w:lineRule="exact"/>
              <w:jc w:val="center"/>
              <w:rPr>
                <w:rFonts w:eastAsia="仿宋_GB2312"/>
                <w:color w:val="auto"/>
                <w:szCs w:val="21"/>
                <w:highlight w:val="none"/>
              </w:rPr>
            </w:pPr>
          </w:p>
        </w:tc>
        <w:tc>
          <w:tcPr>
            <w:tcW w:w="367" w:type="pct"/>
            <w:vMerge w:val="continue"/>
            <w:noWrap w:val="0"/>
            <w:vAlign w:val="center"/>
          </w:tcPr>
          <w:p w14:paraId="16CC79D7">
            <w:pPr>
              <w:spacing w:line="300" w:lineRule="exact"/>
              <w:jc w:val="center"/>
              <w:rPr>
                <w:rFonts w:eastAsia="仿宋_GB2312"/>
                <w:color w:val="auto"/>
                <w:szCs w:val="21"/>
                <w:highlight w:val="none"/>
              </w:rPr>
            </w:pPr>
          </w:p>
        </w:tc>
        <w:tc>
          <w:tcPr>
            <w:tcW w:w="368" w:type="pct"/>
            <w:vMerge w:val="continue"/>
            <w:noWrap w:val="0"/>
            <w:vAlign w:val="center"/>
          </w:tcPr>
          <w:p w14:paraId="02E07506">
            <w:pPr>
              <w:spacing w:line="300" w:lineRule="exact"/>
              <w:jc w:val="center"/>
              <w:rPr>
                <w:rFonts w:eastAsia="仿宋_GB2312"/>
                <w:color w:val="auto"/>
                <w:szCs w:val="21"/>
                <w:highlight w:val="none"/>
              </w:rPr>
            </w:pPr>
          </w:p>
        </w:tc>
        <w:tc>
          <w:tcPr>
            <w:tcW w:w="401" w:type="pct"/>
            <w:vMerge w:val="continue"/>
            <w:noWrap w:val="0"/>
            <w:vAlign w:val="center"/>
          </w:tcPr>
          <w:p w14:paraId="12977C77">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75CB228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饮用纯净水</w:t>
            </w:r>
          </w:p>
        </w:tc>
        <w:tc>
          <w:tcPr>
            <w:tcW w:w="284" w:type="pct"/>
            <w:noWrap w:val="0"/>
            <w:vAlign w:val="center"/>
          </w:tcPr>
          <w:p w14:paraId="124B448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4764706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电导率、亚硝酸盐 (以NO</w:t>
            </w:r>
            <w:r>
              <w:rPr>
                <w:rFonts w:eastAsia="仿宋_GB2312"/>
                <w:color w:val="auto"/>
                <w:szCs w:val="21"/>
                <w:highlight w:val="none"/>
                <w:vertAlign w:val="subscript"/>
              </w:rPr>
              <w:t>2</w:t>
            </w:r>
            <w:r>
              <w:rPr>
                <w:rFonts w:eastAsia="仿宋_GB2312"/>
                <w:color w:val="auto"/>
                <w:szCs w:val="21"/>
                <w:highlight w:val="none"/>
                <w:vertAlign w:val="superscript"/>
              </w:rPr>
              <w:t>-</w:t>
            </w:r>
            <w:r>
              <w:rPr>
                <w:rFonts w:eastAsia="仿宋_GB2312"/>
                <w:color w:val="auto"/>
                <w:szCs w:val="21"/>
                <w:highlight w:val="none"/>
              </w:rPr>
              <w:t>计)、余氯(游离氯)、溴酸盐、大肠菌群、铜绿假单胞菌</w:t>
            </w:r>
          </w:p>
        </w:tc>
        <w:tc>
          <w:tcPr>
            <w:tcW w:w="1186" w:type="pct"/>
            <w:noWrap w:val="0"/>
            <w:vAlign w:val="center"/>
          </w:tcPr>
          <w:p w14:paraId="3B6746F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耗氧量(以O</w:t>
            </w:r>
            <w:r>
              <w:rPr>
                <w:rFonts w:eastAsia="仿宋_GB2312"/>
                <w:color w:val="auto"/>
                <w:szCs w:val="21"/>
                <w:highlight w:val="none"/>
                <w:vertAlign w:val="subscript"/>
              </w:rPr>
              <w:t>2</w:t>
            </w:r>
            <w:r>
              <w:rPr>
                <w:rFonts w:eastAsia="仿宋_GB2312"/>
                <w:color w:val="auto"/>
                <w:szCs w:val="21"/>
                <w:highlight w:val="none"/>
              </w:rPr>
              <w:t>计)、三氯甲烷</w:t>
            </w:r>
          </w:p>
          <w:p w14:paraId="1C548D55">
            <w:pPr>
              <w:spacing w:line="300" w:lineRule="exact"/>
              <w:jc w:val="left"/>
              <w:rPr>
                <w:rFonts w:eastAsia="仿宋_GB2312"/>
                <w:color w:val="auto"/>
                <w:szCs w:val="21"/>
                <w:highlight w:val="none"/>
              </w:rPr>
            </w:pPr>
          </w:p>
        </w:tc>
      </w:tr>
      <w:tr w14:paraId="4C6B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15B64836">
            <w:pPr>
              <w:spacing w:line="300" w:lineRule="exact"/>
              <w:jc w:val="center"/>
              <w:rPr>
                <w:rFonts w:eastAsia="仿宋_GB2312"/>
                <w:color w:val="auto"/>
                <w:szCs w:val="21"/>
                <w:highlight w:val="none"/>
              </w:rPr>
            </w:pPr>
          </w:p>
        </w:tc>
        <w:tc>
          <w:tcPr>
            <w:tcW w:w="367" w:type="pct"/>
            <w:vMerge w:val="continue"/>
            <w:noWrap w:val="0"/>
            <w:vAlign w:val="center"/>
          </w:tcPr>
          <w:p w14:paraId="19C56E78">
            <w:pPr>
              <w:spacing w:line="300" w:lineRule="exact"/>
              <w:jc w:val="center"/>
              <w:rPr>
                <w:rFonts w:eastAsia="仿宋_GB2312"/>
                <w:color w:val="auto"/>
                <w:szCs w:val="21"/>
                <w:highlight w:val="none"/>
              </w:rPr>
            </w:pPr>
          </w:p>
        </w:tc>
        <w:tc>
          <w:tcPr>
            <w:tcW w:w="368" w:type="pct"/>
            <w:vMerge w:val="continue"/>
            <w:noWrap w:val="0"/>
            <w:vAlign w:val="center"/>
          </w:tcPr>
          <w:p w14:paraId="58B0A882">
            <w:pPr>
              <w:spacing w:line="300" w:lineRule="exact"/>
              <w:jc w:val="center"/>
              <w:rPr>
                <w:rFonts w:eastAsia="仿宋_GB2312"/>
                <w:color w:val="auto"/>
                <w:szCs w:val="21"/>
                <w:highlight w:val="none"/>
              </w:rPr>
            </w:pPr>
          </w:p>
        </w:tc>
        <w:tc>
          <w:tcPr>
            <w:tcW w:w="401" w:type="pct"/>
            <w:vMerge w:val="continue"/>
            <w:noWrap w:val="0"/>
            <w:vAlign w:val="center"/>
          </w:tcPr>
          <w:p w14:paraId="2BBCB061">
            <w:pPr>
              <w:pBdr>
                <w:top w:val="none" w:color="auto" w:sz="0" w:space="1"/>
                <w:left w:val="none" w:color="auto" w:sz="0" w:space="4"/>
                <w:bottom w:val="none" w:color="auto" w:sz="0" w:space="1"/>
                <w:right w:val="none" w:color="auto" w:sz="0" w:space="4"/>
              </w:pBdr>
              <w:spacing w:line="300" w:lineRule="exact"/>
              <w:jc w:val="center"/>
              <w:rPr>
                <w:rFonts w:eastAsia="仿宋_GB2312"/>
                <w:color w:val="auto"/>
                <w:szCs w:val="21"/>
                <w:highlight w:val="none"/>
              </w:rPr>
            </w:pPr>
          </w:p>
        </w:tc>
        <w:tc>
          <w:tcPr>
            <w:tcW w:w="670" w:type="pct"/>
            <w:noWrap w:val="0"/>
            <w:vAlign w:val="center"/>
          </w:tcPr>
          <w:p w14:paraId="3BF7EF9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4"/>
                <w:kern w:val="0"/>
                <w:szCs w:val="21"/>
                <w:highlight w:val="none"/>
              </w:rPr>
              <w:t>其他类饮用</w:t>
            </w:r>
            <w:r>
              <w:rPr>
                <w:rFonts w:eastAsia="仿宋_GB2312"/>
                <w:color w:val="auto"/>
                <w:kern w:val="0"/>
                <w:szCs w:val="21"/>
                <w:highlight w:val="none"/>
              </w:rPr>
              <w:t>水</w:t>
            </w:r>
          </w:p>
        </w:tc>
        <w:tc>
          <w:tcPr>
            <w:tcW w:w="284" w:type="pct"/>
            <w:noWrap w:val="0"/>
            <w:vAlign w:val="center"/>
          </w:tcPr>
          <w:p w14:paraId="45775C4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B7E91E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亚硝酸盐 (以NO</w:t>
            </w:r>
            <w:r>
              <w:rPr>
                <w:rFonts w:eastAsia="仿宋_GB2312"/>
                <w:color w:val="auto"/>
                <w:szCs w:val="21"/>
                <w:highlight w:val="none"/>
                <w:vertAlign w:val="subscript"/>
              </w:rPr>
              <w:t>2</w:t>
            </w:r>
            <w:r>
              <w:rPr>
                <w:rFonts w:eastAsia="仿宋_GB2312"/>
                <w:color w:val="auto"/>
                <w:szCs w:val="21"/>
                <w:highlight w:val="none"/>
                <w:vertAlign w:val="superscript"/>
              </w:rPr>
              <w:t>-</w:t>
            </w:r>
            <w:r>
              <w:rPr>
                <w:rFonts w:eastAsia="仿宋_GB2312"/>
                <w:color w:val="auto"/>
                <w:szCs w:val="21"/>
                <w:highlight w:val="none"/>
              </w:rPr>
              <w:t>计)、余氯(游离氯)、溴酸盐、大肠菌群、铜绿假单胞菌、总砷（以As计）</w:t>
            </w:r>
          </w:p>
        </w:tc>
        <w:tc>
          <w:tcPr>
            <w:tcW w:w="1186" w:type="pct"/>
            <w:noWrap w:val="0"/>
            <w:vAlign w:val="center"/>
          </w:tcPr>
          <w:p w14:paraId="011CE08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耗氧量(以O</w:t>
            </w:r>
            <w:r>
              <w:rPr>
                <w:rFonts w:eastAsia="仿宋_GB2312"/>
                <w:color w:val="auto"/>
                <w:szCs w:val="21"/>
                <w:highlight w:val="none"/>
                <w:vertAlign w:val="subscript"/>
              </w:rPr>
              <w:t>2</w:t>
            </w:r>
            <w:r>
              <w:rPr>
                <w:rFonts w:eastAsia="仿宋_GB2312"/>
                <w:color w:val="auto"/>
                <w:szCs w:val="21"/>
                <w:highlight w:val="none"/>
              </w:rPr>
              <w:t>计)、三氯甲烷</w:t>
            </w:r>
          </w:p>
          <w:p w14:paraId="09E9E73E">
            <w:pPr>
              <w:spacing w:line="300" w:lineRule="exact"/>
              <w:jc w:val="left"/>
              <w:rPr>
                <w:rFonts w:eastAsia="仿宋_GB2312"/>
                <w:color w:val="auto"/>
                <w:szCs w:val="21"/>
                <w:highlight w:val="none"/>
              </w:rPr>
            </w:pPr>
          </w:p>
        </w:tc>
      </w:tr>
      <w:tr w14:paraId="0CD6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66" w:type="pct"/>
            <w:vMerge w:val="continue"/>
            <w:noWrap w:val="0"/>
            <w:vAlign w:val="center"/>
          </w:tcPr>
          <w:p w14:paraId="2920A5BB">
            <w:pPr>
              <w:spacing w:line="300" w:lineRule="exact"/>
              <w:jc w:val="center"/>
              <w:rPr>
                <w:rFonts w:eastAsia="仿宋_GB2312"/>
                <w:color w:val="auto"/>
                <w:szCs w:val="21"/>
                <w:highlight w:val="none"/>
              </w:rPr>
            </w:pPr>
          </w:p>
        </w:tc>
        <w:tc>
          <w:tcPr>
            <w:tcW w:w="367" w:type="pct"/>
            <w:vMerge w:val="continue"/>
            <w:noWrap w:val="0"/>
            <w:vAlign w:val="center"/>
          </w:tcPr>
          <w:p w14:paraId="6ACB0FAC">
            <w:pPr>
              <w:spacing w:line="300" w:lineRule="exact"/>
              <w:jc w:val="center"/>
              <w:rPr>
                <w:rFonts w:eastAsia="仿宋_GB2312"/>
                <w:color w:val="auto"/>
                <w:szCs w:val="21"/>
                <w:highlight w:val="none"/>
              </w:rPr>
            </w:pPr>
          </w:p>
        </w:tc>
        <w:tc>
          <w:tcPr>
            <w:tcW w:w="368" w:type="pct"/>
            <w:vMerge w:val="continue"/>
            <w:noWrap w:val="0"/>
            <w:vAlign w:val="center"/>
          </w:tcPr>
          <w:p w14:paraId="6BAC2F45">
            <w:pPr>
              <w:spacing w:line="300" w:lineRule="exact"/>
              <w:jc w:val="center"/>
              <w:rPr>
                <w:rFonts w:eastAsia="仿宋_GB2312"/>
                <w:color w:val="auto"/>
                <w:szCs w:val="21"/>
                <w:highlight w:val="none"/>
              </w:rPr>
            </w:pPr>
          </w:p>
        </w:tc>
        <w:tc>
          <w:tcPr>
            <w:tcW w:w="401" w:type="pct"/>
            <w:noWrap w:val="0"/>
            <w:vAlign w:val="center"/>
          </w:tcPr>
          <w:p w14:paraId="7C629D2E">
            <w:pPr>
              <w:spacing w:line="300" w:lineRule="exact"/>
              <w:jc w:val="center"/>
              <w:rPr>
                <w:rFonts w:eastAsia="仿宋_GB2312"/>
                <w:color w:val="auto"/>
                <w:szCs w:val="21"/>
                <w:highlight w:val="none"/>
              </w:rPr>
            </w:pPr>
            <w:r>
              <w:rPr>
                <w:rFonts w:eastAsia="仿宋_GB2312"/>
                <w:color w:val="auto"/>
                <w:spacing w:val="1"/>
                <w:kern w:val="0"/>
                <w:szCs w:val="21"/>
                <w:highlight w:val="none"/>
              </w:rPr>
              <w:t>果蔬汁类及</w:t>
            </w:r>
            <w:r>
              <w:rPr>
                <w:rFonts w:eastAsia="仿宋_GB2312"/>
                <w:color w:val="auto"/>
                <w:spacing w:val="-2"/>
                <w:kern w:val="0"/>
                <w:szCs w:val="21"/>
                <w:highlight w:val="none"/>
              </w:rPr>
              <w:t>其饮料</w:t>
            </w:r>
          </w:p>
        </w:tc>
        <w:tc>
          <w:tcPr>
            <w:tcW w:w="670" w:type="pct"/>
            <w:noWrap w:val="0"/>
            <w:vAlign w:val="center"/>
          </w:tcPr>
          <w:p w14:paraId="4D31829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1"/>
                <w:kern w:val="0"/>
                <w:szCs w:val="21"/>
                <w:highlight w:val="none"/>
              </w:rPr>
              <w:t>果蔬汁类及</w:t>
            </w:r>
            <w:r>
              <w:rPr>
                <w:rFonts w:eastAsia="仿宋_GB2312"/>
                <w:color w:val="auto"/>
                <w:spacing w:val="-2"/>
                <w:kern w:val="0"/>
                <w:szCs w:val="21"/>
                <w:highlight w:val="none"/>
              </w:rPr>
              <w:t>其饮料</w:t>
            </w:r>
          </w:p>
        </w:tc>
        <w:tc>
          <w:tcPr>
            <w:tcW w:w="284" w:type="pct"/>
            <w:noWrap w:val="0"/>
            <w:vAlign w:val="center"/>
          </w:tcPr>
          <w:p w14:paraId="4CD5A5D6">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7C4EFC2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脱氢乙酸及其钠盐(以脱氢乙酸计)、展青霉素、阿斯巴甜、合成着色剂(柠檬黄、新红、苋菜红、靛蓝、胭脂红、日落黄、诱惑红、亮蓝、酸性红、喹啉黄、赤藓红)、菌落总数、大肠菌群、霉菌、酵母</w:t>
            </w:r>
          </w:p>
        </w:tc>
        <w:tc>
          <w:tcPr>
            <w:tcW w:w="1186" w:type="pct"/>
            <w:noWrap w:val="0"/>
            <w:vAlign w:val="center"/>
          </w:tcPr>
          <w:p w14:paraId="67E1433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苯甲酸及其钠盐（以苯甲酸计）、山梨酸及其钾盐（以山梨酸计）、防腐剂混合使用时各自用量占其最大使用量的比例之和</w:t>
            </w:r>
          </w:p>
          <w:p w14:paraId="7A2B3AB3">
            <w:pPr>
              <w:spacing w:line="300" w:lineRule="exact"/>
              <w:jc w:val="left"/>
              <w:rPr>
                <w:rFonts w:eastAsia="仿宋_GB2312"/>
                <w:color w:val="auto"/>
                <w:szCs w:val="21"/>
                <w:highlight w:val="none"/>
              </w:rPr>
            </w:pPr>
          </w:p>
        </w:tc>
      </w:tr>
      <w:tr w14:paraId="4DBD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2240FB00">
            <w:pPr>
              <w:spacing w:line="300" w:lineRule="exact"/>
              <w:jc w:val="center"/>
              <w:rPr>
                <w:rFonts w:eastAsia="仿宋_GB2312"/>
                <w:color w:val="auto"/>
                <w:szCs w:val="21"/>
                <w:highlight w:val="none"/>
              </w:rPr>
            </w:pPr>
          </w:p>
        </w:tc>
        <w:tc>
          <w:tcPr>
            <w:tcW w:w="367" w:type="pct"/>
            <w:vMerge w:val="continue"/>
            <w:noWrap w:val="0"/>
            <w:vAlign w:val="center"/>
          </w:tcPr>
          <w:p w14:paraId="5A5D05F0">
            <w:pPr>
              <w:spacing w:line="300" w:lineRule="exact"/>
              <w:jc w:val="center"/>
              <w:rPr>
                <w:rFonts w:eastAsia="仿宋_GB2312"/>
                <w:color w:val="auto"/>
                <w:szCs w:val="21"/>
                <w:highlight w:val="none"/>
              </w:rPr>
            </w:pPr>
          </w:p>
        </w:tc>
        <w:tc>
          <w:tcPr>
            <w:tcW w:w="368" w:type="pct"/>
            <w:vMerge w:val="continue"/>
            <w:noWrap w:val="0"/>
            <w:vAlign w:val="center"/>
          </w:tcPr>
          <w:p w14:paraId="03CE5784">
            <w:pPr>
              <w:spacing w:line="300" w:lineRule="exact"/>
              <w:jc w:val="center"/>
              <w:rPr>
                <w:rFonts w:eastAsia="仿宋_GB2312"/>
                <w:color w:val="auto"/>
                <w:szCs w:val="21"/>
                <w:highlight w:val="none"/>
              </w:rPr>
            </w:pPr>
          </w:p>
        </w:tc>
        <w:tc>
          <w:tcPr>
            <w:tcW w:w="401" w:type="pct"/>
            <w:noWrap w:val="0"/>
            <w:vAlign w:val="center"/>
          </w:tcPr>
          <w:p w14:paraId="247D5BF8">
            <w:pPr>
              <w:spacing w:line="300" w:lineRule="exact"/>
              <w:jc w:val="center"/>
              <w:rPr>
                <w:rFonts w:eastAsia="仿宋_GB2312"/>
                <w:color w:val="auto"/>
                <w:szCs w:val="21"/>
                <w:highlight w:val="none"/>
              </w:rPr>
            </w:pPr>
            <w:r>
              <w:rPr>
                <w:rFonts w:eastAsia="仿宋_GB2312"/>
                <w:color w:val="auto"/>
                <w:spacing w:val="-3"/>
                <w:kern w:val="0"/>
                <w:szCs w:val="21"/>
                <w:highlight w:val="none"/>
              </w:rPr>
              <w:t>蛋白饮料</w:t>
            </w:r>
          </w:p>
        </w:tc>
        <w:tc>
          <w:tcPr>
            <w:tcW w:w="670" w:type="pct"/>
            <w:noWrap w:val="0"/>
            <w:vAlign w:val="center"/>
          </w:tcPr>
          <w:p w14:paraId="2FE5BF9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蛋白饮料</w:t>
            </w:r>
          </w:p>
        </w:tc>
        <w:tc>
          <w:tcPr>
            <w:tcW w:w="284" w:type="pct"/>
            <w:noWrap w:val="0"/>
            <w:vAlign w:val="center"/>
          </w:tcPr>
          <w:p w14:paraId="6C40BF12">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5349A3F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蛋白质、乳酸菌数、氰化物(以HCN计)、三聚氰胺、脱氢乙酸及其钠盐(以脱氢乙酸计)、安赛蜜、甜蜜素(以环己基氨基磺酸计)、阿斯巴甜、菌落总数、大肠菌群、商业无菌</w:t>
            </w:r>
          </w:p>
        </w:tc>
        <w:tc>
          <w:tcPr>
            <w:tcW w:w="1186" w:type="pct"/>
            <w:noWrap w:val="0"/>
            <w:vAlign w:val="center"/>
          </w:tcPr>
          <w:p w14:paraId="3FF88FC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霉菌、酵母</w:t>
            </w:r>
          </w:p>
        </w:tc>
      </w:tr>
      <w:tr w14:paraId="1EA2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7CA4FDAA">
            <w:pPr>
              <w:spacing w:line="300" w:lineRule="exact"/>
              <w:jc w:val="center"/>
              <w:rPr>
                <w:rFonts w:eastAsia="仿宋_GB2312"/>
                <w:color w:val="auto"/>
                <w:szCs w:val="21"/>
                <w:highlight w:val="none"/>
              </w:rPr>
            </w:pPr>
          </w:p>
        </w:tc>
        <w:tc>
          <w:tcPr>
            <w:tcW w:w="367" w:type="pct"/>
            <w:vMerge w:val="continue"/>
            <w:noWrap w:val="0"/>
            <w:vAlign w:val="center"/>
          </w:tcPr>
          <w:p w14:paraId="0372C6D5">
            <w:pPr>
              <w:spacing w:line="300" w:lineRule="exact"/>
              <w:jc w:val="center"/>
              <w:rPr>
                <w:rFonts w:eastAsia="仿宋_GB2312"/>
                <w:color w:val="auto"/>
                <w:szCs w:val="21"/>
                <w:highlight w:val="none"/>
              </w:rPr>
            </w:pPr>
          </w:p>
        </w:tc>
        <w:tc>
          <w:tcPr>
            <w:tcW w:w="368" w:type="pct"/>
            <w:vMerge w:val="continue"/>
            <w:noWrap w:val="0"/>
            <w:vAlign w:val="center"/>
          </w:tcPr>
          <w:p w14:paraId="460A7723">
            <w:pPr>
              <w:spacing w:line="300" w:lineRule="exact"/>
              <w:jc w:val="center"/>
              <w:rPr>
                <w:rFonts w:eastAsia="仿宋_GB2312"/>
                <w:color w:val="auto"/>
                <w:szCs w:val="21"/>
                <w:highlight w:val="none"/>
              </w:rPr>
            </w:pPr>
          </w:p>
        </w:tc>
        <w:tc>
          <w:tcPr>
            <w:tcW w:w="401" w:type="pct"/>
            <w:noWrap w:val="0"/>
            <w:vAlign w:val="center"/>
          </w:tcPr>
          <w:p w14:paraId="3992222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2"/>
                <w:kern w:val="0"/>
                <w:szCs w:val="21"/>
                <w:highlight w:val="none"/>
              </w:rPr>
            </w:pPr>
            <w:r>
              <w:rPr>
                <w:rFonts w:eastAsia="仿宋_GB2312"/>
                <w:color w:val="auto"/>
                <w:spacing w:val="-2"/>
                <w:kern w:val="0"/>
                <w:szCs w:val="21"/>
                <w:highlight w:val="none"/>
              </w:rPr>
              <w:t>碳酸饮料</w:t>
            </w:r>
          </w:p>
          <w:p w14:paraId="6803D5E8">
            <w:pPr>
              <w:spacing w:line="300" w:lineRule="exact"/>
              <w:jc w:val="center"/>
              <w:rPr>
                <w:rFonts w:eastAsia="仿宋_GB2312"/>
                <w:color w:val="auto"/>
                <w:szCs w:val="21"/>
                <w:highlight w:val="none"/>
              </w:rPr>
            </w:pPr>
            <w:r>
              <w:rPr>
                <w:rFonts w:eastAsia="仿宋_GB2312"/>
                <w:color w:val="auto"/>
                <w:spacing w:val="9"/>
                <w:kern w:val="0"/>
                <w:szCs w:val="21"/>
                <w:highlight w:val="none"/>
              </w:rPr>
              <w:t>（汽水）</w:t>
            </w:r>
          </w:p>
        </w:tc>
        <w:tc>
          <w:tcPr>
            <w:tcW w:w="670" w:type="pct"/>
            <w:noWrap w:val="0"/>
            <w:vAlign w:val="center"/>
          </w:tcPr>
          <w:p w14:paraId="1431997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pacing w:val="-2"/>
                <w:kern w:val="0"/>
                <w:szCs w:val="21"/>
                <w:highlight w:val="none"/>
              </w:rPr>
            </w:pPr>
            <w:r>
              <w:rPr>
                <w:rFonts w:eastAsia="仿宋_GB2312"/>
                <w:color w:val="auto"/>
                <w:spacing w:val="-2"/>
                <w:kern w:val="0"/>
                <w:szCs w:val="21"/>
                <w:highlight w:val="none"/>
              </w:rPr>
              <w:t>碳酸饮料</w:t>
            </w:r>
          </w:p>
          <w:p w14:paraId="611247E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9"/>
                <w:kern w:val="0"/>
                <w:szCs w:val="21"/>
                <w:highlight w:val="none"/>
              </w:rPr>
              <w:t>（汽水）</w:t>
            </w:r>
          </w:p>
        </w:tc>
        <w:tc>
          <w:tcPr>
            <w:tcW w:w="284" w:type="pct"/>
            <w:noWrap w:val="0"/>
            <w:vAlign w:val="center"/>
          </w:tcPr>
          <w:p w14:paraId="6DE74A42">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A2F59E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二氧化碳气容量、苯甲酸及其钠盐（以苯甲酸计）、山梨酸及其钾盐（以山梨酸计）、防腐剂混合使用时各自用量占其最大使用量的比例之和、菌落总数、霉菌、酵母</w:t>
            </w:r>
          </w:p>
        </w:tc>
        <w:tc>
          <w:tcPr>
            <w:tcW w:w="1186" w:type="pct"/>
            <w:noWrap w:val="0"/>
            <w:vAlign w:val="center"/>
          </w:tcPr>
          <w:p w14:paraId="6EC075A6">
            <w:pPr>
              <w:spacing w:line="300" w:lineRule="exact"/>
              <w:jc w:val="left"/>
              <w:rPr>
                <w:rFonts w:eastAsia="仿宋_GB2312"/>
                <w:color w:val="auto"/>
                <w:szCs w:val="21"/>
                <w:highlight w:val="none"/>
              </w:rPr>
            </w:pPr>
            <w:r>
              <w:rPr>
                <w:rFonts w:eastAsia="仿宋_GB2312"/>
                <w:color w:val="auto"/>
                <w:szCs w:val="21"/>
                <w:highlight w:val="none"/>
              </w:rPr>
              <w:t>安赛蜜、阿斯巴甜、甜蜜素（以环己基氨基磺酸计）</w:t>
            </w:r>
          </w:p>
        </w:tc>
      </w:tr>
      <w:tr w14:paraId="00D1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66" w:type="pct"/>
            <w:vMerge w:val="continue"/>
            <w:noWrap w:val="0"/>
            <w:vAlign w:val="center"/>
          </w:tcPr>
          <w:p w14:paraId="42AA61BA">
            <w:pPr>
              <w:spacing w:line="300" w:lineRule="exact"/>
              <w:jc w:val="center"/>
              <w:rPr>
                <w:rFonts w:eastAsia="仿宋_GB2312"/>
                <w:color w:val="auto"/>
                <w:szCs w:val="21"/>
                <w:highlight w:val="none"/>
              </w:rPr>
            </w:pPr>
          </w:p>
        </w:tc>
        <w:tc>
          <w:tcPr>
            <w:tcW w:w="367" w:type="pct"/>
            <w:vMerge w:val="continue"/>
            <w:noWrap w:val="0"/>
            <w:vAlign w:val="center"/>
          </w:tcPr>
          <w:p w14:paraId="7A620893">
            <w:pPr>
              <w:spacing w:line="300" w:lineRule="exact"/>
              <w:jc w:val="center"/>
              <w:rPr>
                <w:rFonts w:eastAsia="仿宋_GB2312"/>
                <w:color w:val="auto"/>
                <w:szCs w:val="21"/>
                <w:highlight w:val="none"/>
              </w:rPr>
            </w:pPr>
          </w:p>
        </w:tc>
        <w:tc>
          <w:tcPr>
            <w:tcW w:w="368" w:type="pct"/>
            <w:vMerge w:val="continue"/>
            <w:noWrap w:val="0"/>
            <w:vAlign w:val="center"/>
          </w:tcPr>
          <w:p w14:paraId="13BE70A9">
            <w:pPr>
              <w:spacing w:line="300" w:lineRule="exact"/>
              <w:jc w:val="center"/>
              <w:rPr>
                <w:rFonts w:eastAsia="仿宋_GB2312"/>
                <w:color w:val="auto"/>
                <w:szCs w:val="21"/>
                <w:highlight w:val="none"/>
              </w:rPr>
            </w:pPr>
          </w:p>
        </w:tc>
        <w:tc>
          <w:tcPr>
            <w:tcW w:w="401" w:type="pct"/>
            <w:noWrap w:val="0"/>
            <w:vAlign w:val="center"/>
          </w:tcPr>
          <w:p w14:paraId="6D96D93F">
            <w:pPr>
              <w:spacing w:line="300" w:lineRule="exact"/>
              <w:jc w:val="center"/>
              <w:rPr>
                <w:rFonts w:eastAsia="仿宋_GB2312"/>
                <w:color w:val="auto"/>
                <w:szCs w:val="21"/>
                <w:highlight w:val="none"/>
              </w:rPr>
            </w:pPr>
            <w:r>
              <w:rPr>
                <w:rFonts w:eastAsia="仿宋_GB2312"/>
                <w:color w:val="auto"/>
                <w:spacing w:val="-3"/>
                <w:kern w:val="0"/>
                <w:szCs w:val="21"/>
                <w:highlight w:val="none"/>
              </w:rPr>
              <w:t>茶饮料</w:t>
            </w:r>
          </w:p>
        </w:tc>
        <w:tc>
          <w:tcPr>
            <w:tcW w:w="670" w:type="pct"/>
            <w:noWrap w:val="0"/>
            <w:vAlign w:val="center"/>
          </w:tcPr>
          <w:p w14:paraId="6990AF6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茶饮料</w:t>
            </w:r>
          </w:p>
        </w:tc>
        <w:tc>
          <w:tcPr>
            <w:tcW w:w="284" w:type="pct"/>
            <w:noWrap w:val="0"/>
            <w:vAlign w:val="center"/>
          </w:tcPr>
          <w:p w14:paraId="5A77DE65">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42D6EB0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茶多酚、咖啡因、安赛蜜、甜蜜素(以环己基氨基磺酸计)、阿斯巴甜、菌落总数</w:t>
            </w:r>
          </w:p>
        </w:tc>
        <w:tc>
          <w:tcPr>
            <w:tcW w:w="1186" w:type="pct"/>
            <w:noWrap w:val="0"/>
            <w:vAlign w:val="center"/>
          </w:tcPr>
          <w:p w14:paraId="2A8E54F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脱氢乙酸及其钠盐(以脱氢乙酸计)</w:t>
            </w:r>
          </w:p>
          <w:p w14:paraId="4A0DA7D3">
            <w:pPr>
              <w:spacing w:line="300" w:lineRule="exact"/>
              <w:jc w:val="left"/>
              <w:rPr>
                <w:rFonts w:eastAsia="仿宋_GB2312"/>
                <w:color w:val="auto"/>
                <w:szCs w:val="21"/>
                <w:highlight w:val="none"/>
              </w:rPr>
            </w:pPr>
          </w:p>
        </w:tc>
      </w:tr>
      <w:tr w14:paraId="0724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66" w:type="pct"/>
            <w:vMerge w:val="continue"/>
            <w:noWrap w:val="0"/>
            <w:vAlign w:val="center"/>
          </w:tcPr>
          <w:p w14:paraId="292E2B30">
            <w:pPr>
              <w:spacing w:line="300" w:lineRule="exact"/>
              <w:jc w:val="center"/>
              <w:rPr>
                <w:rFonts w:eastAsia="仿宋_GB2312"/>
                <w:color w:val="auto"/>
                <w:szCs w:val="21"/>
                <w:highlight w:val="none"/>
              </w:rPr>
            </w:pPr>
          </w:p>
        </w:tc>
        <w:tc>
          <w:tcPr>
            <w:tcW w:w="367" w:type="pct"/>
            <w:vMerge w:val="continue"/>
            <w:noWrap w:val="0"/>
            <w:vAlign w:val="center"/>
          </w:tcPr>
          <w:p w14:paraId="365784EC">
            <w:pPr>
              <w:spacing w:line="300" w:lineRule="exact"/>
              <w:jc w:val="center"/>
              <w:rPr>
                <w:rFonts w:eastAsia="仿宋_GB2312"/>
                <w:color w:val="auto"/>
                <w:szCs w:val="21"/>
                <w:highlight w:val="none"/>
              </w:rPr>
            </w:pPr>
          </w:p>
        </w:tc>
        <w:tc>
          <w:tcPr>
            <w:tcW w:w="368" w:type="pct"/>
            <w:vMerge w:val="continue"/>
            <w:noWrap w:val="0"/>
            <w:vAlign w:val="center"/>
          </w:tcPr>
          <w:p w14:paraId="54946665">
            <w:pPr>
              <w:spacing w:line="300" w:lineRule="exact"/>
              <w:jc w:val="center"/>
              <w:rPr>
                <w:rFonts w:eastAsia="仿宋_GB2312"/>
                <w:color w:val="auto"/>
                <w:szCs w:val="21"/>
                <w:highlight w:val="none"/>
              </w:rPr>
            </w:pPr>
          </w:p>
        </w:tc>
        <w:tc>
          <w:tcPr>
            <w:tcW w:w="401" w:type="pct"/>
            <w:noWrap w:val="0"/>
            <w:vAlign w:val="center"/>
          </w:tcPr>
          <w:p w14:paraId="59BC9F37">
            <w:pPr>
              <w:spacing w:line="300" w:lineRule="exact"/>
              <w:jc w:val="center"/>
              <w:rPr>
                <w:rFonts w:eastAsia="仿宋_GB2312"/>
                <w:color w:val="auto"/>
                <w:szCs w:val="21"/>
                <w:highlight w:val="none"/>
              </w:rPr>
            </w:pPr>
            <w:r>
              <w:rPr>
                <w:rFonts w:eastAsia="仿宋_GB2312"/>
                <w:color w:val="auto"/>
                <w:spacing w:val="1"/>
                <w:kern w:val="0"/>
                <w:szCs w:val="21"/>
                <w:highlight w:val="none"/>
              </w:rPr>
              <w:t>固体饮料</w:t>
            </w:r>
          </w:p>
        </w:tc>
        <w:tc>
          <w:tcPr>
            <w:tcW w:w="670" w:type="pct"/>
            <w:noWrap w:val="0"/>
            <w:vAlign w:val="center"/>
          </w:tcPr>
          <w:p w14:paraId="41D9707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1"/>
                <w:kern w:val="0"/>
                <w:szCs w:val="21"/>
                <w:highlight w:val="none"/>
              </w:rPr>
              <w:t>固体饮料</w:t>
            </w:r>
          </w:p>
        </w:tc>
        <w:tc>
          <w:tcPr>
            <w:tcW w:w="284" w:type="pct"/>
            <w:noWrap w:val="0"/>
            <w:vAlign w:val="center"/>
          </w:tcPr>
          <w:p w14:paraId="0E91F1B0">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1BDF08D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蛋白质、西地那非、他达拉非、西布曲明、比沙可啶、氰化物(以HCN计)、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1186" w:type="pct"/>
            <w:noWrap w:val="0"/>
            <w:vAlign w:val="center"/>
          </w:tcPr>
          <w:p w14:paraId="1DD50021">
            <w:pPr>
              <w:spacing w:line="300" w:lineRule="exact"/>
              <w:jc w:val="left"/>
              <w:rPr>
                <w:rFonts w:eastAsia="仿宋_GB2312"/>
                <w:color w:val="auto"/>
                <w:szCs w:val="21"/>
                <w:highlight w:val="none"/>
              </w:rPr>
            </w:pPr>
            <w:r>
              <w:rPr>
                <w:rFonts w:eastAsia="仿宋_GB2312"/>
                <w:color w:val="auto"/>
                <w:szCs w:val="21"/>
                <w:highlight w:val="none"/>
              </w:rPr>
              <w:t>铅(以Pb计)、苯甲酸及其钠盐（以苯甲酸计）、山梨酸及其钾盐（以山梨酸计）、防腐剂混合使用时各自用量占其最大使用量的比例之和</w:t>
            </w:r>
          </w:p>
        </w:tc>
      </w:tr>
      <w:tr w14:paraId="11F3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166" w:type="pct"/>
            <w:vMerge w:val="continue"/>
            <w:noWrap w:val="0"/>
            <w:vAlign w:val="center"/>
          </w:tcPr>
          <w:p w14:paraId="7A33D2D2">
            <w:pPr>
              <w:spacing w:line="300" w:lineRule="exact"/>
              <w:jc w:val="center"/>
              <w:rPr>
                <w:rFonts w:eastAsia="仿宋_GB2312"/>
                <w:color w:val="auto"/>
                <w:szCs w:val="21"/>
                <w:highlight w:val="none"/>
              </w:rPr>
            </w:pPr>
          </w:p>
        </w:tc>
        <w:tc>
          <w:tcPr>
            <w:tcW w:w="367" w:type="pct"/>
            <w:vMerge w:val="continue"/>
            <w:noWrap w:val="0"/>
            <w:vAlign w:val="center"/>
          </w:tcPr>
          <w:p w14:paraId="3A4E7CCE">
            <w:pPr>
              <w:spacing w:line="300" w:lineRule="exact"/>
              <w:jc w:val="center"/>
              <w:rPr>
                <w:rFonts w:eastAsia="仿宋_GB2312"/>
                <w:color w:val="auto"/>
                <w:szCs w:val="21"/>
                <w:highlight w:val="none"/>
              </w:rPr>
            </w:pPr>
          </w:p>
        </w:tc>
        <w:tc>
          <w:tcPr>
            <w:tcW w:w="368" w:type="pct"/>
            <w:vMerge w:val="continue"/>
            <w:noWrap w:val="0"/>
            <w:vAlign w:val="center"/>
          </w:tcPr>
          <w:p w14:paraId="6B6D61A2">
            <w:pPr>
              <w:spacing w:line="300" w:lineRule="exact"/>
              <w:jc w:val="center"/>
              <w:rPr>
                <w:rFonts w:eastAsia="仿宋_GB2312"/>
                <w:color w:val="auto"/>
                <w:szCs w:val="21"/>
                <w:highlight w:val="none"/>
              </w:rPr>
            </w:pPr>
          </w:p>
        </w:tc>
        <w:tc>
          <w:tcPr>
            <w:tcW w:w="401" w:type="pct"/>
            <w:noWrap w:val="0"/>
            <w:vAlign w:val="center"/>
          </w:tcPr>
          <w:p w14:paraId="5A729485">
            <w:pPr>
              <w:spacing w:line="300" w:lineRule="exact"/>
              <w:jc w:val="center"/>
              <w:rPr>
                <w:rFonts w:eastAsia="仿宋_GB2312"/>
                <w:color w:val="auto"/>
                <w:szCs w:val="21"/>
                <w:highlight w:val="none"/>
              </w:rPr>
            </w:pPr>
            <w:r>
              <w:rPr>
                <w:rFonts w:eastAsia="仿宋_GB2312"/>
                <w:color w:val="auto"/>
                <w:spacing w:val="-2"/>
                <w:kern w:val="0"/>
                <w:szCs w:val="21"/>
                <w:highlight w:val="none"/>
              </w:rPr>
              <w:t>其他饮料</w:t>
            </w:r>
          </w:p>
        </w:tc>
        <w:tc>
          <w:tcPr>
            <w:tcW w:w="670" w:type="pct"/>
            <w:noWrap w:val="0"/>
            <w:vAlign w:val="center"/>
          </w:tcPr>
          <w:p w14:paraId="3FDC214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其他饮料</w:t>
            </w:r>
          </w:p>
        </w:tc>
        <w:tc>
          <w:tcPr>
            <w:tcW w:w="284" w:type="pct"/>
            <w:noWrap w:val="0"/>
            <w:vAlign w:val="center"/>
          </w:tcPr>
          <w:p w14:paraId="5863EC19">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2460B68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zCs w:val="21"/>
                <w:highlight w:val="none"/>
              </w:rPr>
              <w:t>苯甲酸及其钠盐(以苯甲酸计)、山梨酸及其钾盐 (以山梨酸计)、脱氢乙酸及其钠盐(以脱氢乙酸计)、防腐剂混合使用时各自用量占其最大使用量的比例之和、糖精钠(以糖精计)、合成着色剂(柠檬黄、新红、苋菜红、靛蓝、胭脂红、日落黄、诱惑红、亮蓝、酸性红、喹啉黄、赤藓红)、菌落总数、大肠菌群、霉菌、酵母、</w:t>
            </w:r>
          </w:p>
        </w:tc>
        <w:tc>
          <w:tcPr>
            <w:tcW w:w="1186" w:type="pct"/>
            <w:noWrap w:val="0"/>
            <w:vAlign w:val="center"/>
          </w:tcPr>
          <w:p w14:paraId="6DB1FC30">
            <w:pPr>
              <w:spacing w:line="300" w:lineRule="exact"/>
              <w:jc w:val="left"/>
              <w:rPr>
                <w:rFonts w:eastAsia="仿宋_GB2312"/>
                <w:color w:val="auto"/>
                <w:szCs w:val="21"/>
                <w:highlight w:val="none"/>
              </w:rPr>
            </w:pPr>
            <w:r>
              <w:rPr>
                <w:rFonts w:eastAsia="仿宋_GB2312"/>
                <w:color w:val="auto"/>
                <w:szCs w:val="21"/>
                <w:highlight w:val="none"/>
              </w:rPr>
              <w:t>安赛蜜、甜蜜素(以环己基氨基磺酸计)</w:t>
            </w:r>
          </w:p>
        </w:tc>
      </w:tr>
      <w:tr w14:paraId="50F7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restart"/>
            <w:noWrap w:val="0"/>
            <w:vAlign w:val="center"/>
          </w:tcPr>
          <w:p w14:paraId="7764D7AB">
            <w:pPr>
              <w:spacing w:line="300" w:lineRule="exact"/>
              <w:jc w:val="center"/>
              <w:rPr>
                <w:rFonts w:eastAsia="仿宋_GB2312"/>
                <w:color w:val="auto"/>
                <w:spacing w:val="5"/>
                <w:szCs w:val="21"/>
                <w:highlight w:val="none"/>
              </w:rPr>
            </w:pPr>
            <w:r>
              <w:rPr>
                <w:rFonts w:eastAsia="仿宋_GB2312"/>
                <w:color w:val="auto"/>
                <w:spacing w:val="5"/>
                <w:szCs w:val="21"/>
                <w:highlight w:val="none"/>
              </w:rPr>
              <w:t>7</w:t>
            </w:r>
          </w:p>
        </w:tc>
        <w:tc>
          <w:tcPr>
            <w:tcW w:w="367" w:type="pct"/>
            <w:vMerge w:val="restart"/>
            <w:noWrap w:val="0"/>
            <w:vAlign w:val="center"/>
          </w:tcPr>
          <w:p w14:paraId="543C6DDD">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方便食品</w:t>
            </w:r>
          </w:p>
        </w:tc>
        <w:tc>
          <w:tcPr>
            <w:tcW w:w="368" w:type="pct"/>
            <w:vMerge w:val="restart"/>
            <w:noWrap w:val="0"/>
            <w:vAlign w:val="center"/>
          </w:tcPr>
          <w:p w14:paraId="2098F218">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方便食品</w:t>
            </w:r>
          </w:p>
        </w:tc>
        <w:tc>
          <w:tcPr>
            <w:tcW w:w="401" w:type="pct"/>
            <w:noWrap w:val="0"/>
            <w:vAlign w:val="center"/>
          </w:tcPr>
          <w:p w14:paraId="2118C145">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方便面</w:t>
            </w:r>
          </w:p>
        </w:tc>
        <w:tc>
          <w:tcPr>
            <w:tcW w:w="670" w:type="pct"/>
            <w:noWrap w:val="0"/>
            <w:vAlign w:val="center"/>
          </w:tcPr>
          <w:p w14:paraId="765627FB">
            <w:pPr>
              <w:spacing w:line="300" w:lineRule="exact"/>
              <w:jc w:val="center"/>
              <w:rPr>
                <w:rFonts w:eastAsia="仿宋_GB2312"/>
                <w:color w:val="auto"/>
                <w:spacing w:val="5"/>
                <w:szCs w:val="21"/>
                <w:highlight w:val="none"/>
              </w:rPr>
            </w:pPr>
            <w:r>
              <w:rPr>
                <w:rFonts w:eastAsia="仿宋_GB2312"/>
                <w:color w:val="auto"/>
                <w:spacing w:val="5"/>
                <w:szCs w:val="21"/>
                <w:highlight w:val="none"/>
              </w:rPr>
              <w:t>油炸面、非油炸面</w:t>
            </w:r>
          </w:p>
        </w:tc>
        <w:tc>
          <w:tcPr>
            <w:tcW w:w="284" w:type="pct"/>
            <w:noWrap w:val="0"/>
            <w:vAlign w:val="center"/>
          </w:tcPr>
          <w:p w14:paraId="3568A1C6">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p w14:paraId="274FF308">
            <w:pPr>
              <w:spacing w:line="300" w:lineRule="exact"/>
              <w:jc w:val="center"/>
              <w:rPr>
                <w:rFonts w:eastAsia="仿宋_GB2312"/>
                <w:strike/>
                <w:color w:val="auto"/>
                <w:spacing w:val="5"/>
                <w:szCs w:val="21"/>
                <w:highlight w:val="none"/>
              </w:rPr>
            </w:pPr>
          </w:p>
        </w:tc>
        <w:tc>
          <w:tcPr>
            <w:tcW w:w="1553" w:type="pct"/>
            <w:noWrap w:val="0"/>
            <w:vAlign w:val="center"/>
          </w:tcPr>
          <w:p w14:paraId="3C8C8830">
            <w:pPr>
              <w:spacing w:line="300" w:lineRule="exact"/>
              <w:jc w:val="left"/>
              <w:rPr>
                <w:rFonts w:eastAsia="仿宋_GB2312"/>
                <w:color w:val="auto"/>
                <w:spacing w:val="5"/>
                <w:szCs w:val="21"/>
                <w:highlight w:val="none"/>
              </w:rPr>
            </w:pPr>
            <w:r>
              <w:rPr>
                <w:rFonts w:eastAsia="仿宋_GB2312"/>
                <w:color w:val="auto"/>
                <w:spacing w:val="5"/>
                <w:szCs w:val="21"/>
                <w:highlight w:val="none"/>
              </w:rPr>
              <w:t>水分、酸价(以脂肪计)(KOH)、过氧化值(以脂肪计)、菌落总数、大肠菌群、霉菌</w:t>
            </w:r>
          </w:p>
        </w:tc>
        <w:tc>
          <w:tcPr>
            <w:tcW w:w="1186" w:type="pct"/>
            <w:noWrap w:val="0"/>
            <w:vAlign w:val="center"/>
          </w:tcPr>
          <w:p w14:paraId="0E785D64">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E0C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3A1DB614">
            <w:pPr>
              <w:spacing w:line="300" w:lineRule="exact"/>
              <w:jc w:val="center"/>
              <w:rPr>
                <w:rFonts w:eastAsia="仿宋_GB2312"/>
                <w:color w:val="auto"/>
                <w:szCs w:val="21"/>
                <w:highlight w:val="none"/>
              </w:rPr>
            </w:pPr>
          </w:p>
        </w:tc>
        <w:tc>
          <w:tcPr>
            <w:tcW w:w="367" w:type="pct"/>
            <w:vMerge w:val="continue"/>
            <w:noWrap w:val="0"/>
            <w:vAlign w:val="center"/>
          </w:tcPr>
          <w:p w14:paraId="64C9DFA9">
            <w:pPr>
              <w:spacing w:line="300" w:lineRule="exact"/>
              <w:jc w:val="center"/>
              <w:rPr>
                <w:rFonts w:eastAsia="仿宋_GB2312"/>
                <w:color w:val="auto"/>
                <w:szCs w:val="21"/>
                <w:highlight w:val="none"/>
              </w:rPr>
            </w:pPr>
          </w:p>
        </w:tc>
        <w:tc>
          <w:tcPr>
            <w:tcW w:w="368" w:type="pct"/>
            <w:vMerge w:val="continue"/>
            <w:noWrap w:val="0"/>
            <w:vAlign w:val="center"/>
          </w:tcPr>
          <w:p w14:paraId="1F9A62CA">
            <w:pPr>
              <w:spacing w:line="300" w:lineRule="exact"/>
              <w:jc w:val="center"/>
              <w:rPr>
                <w:rFonts w:eastAsia="仿宋_GB2312"/>
                <w:color w:val="auto"/>
                <w:szCs w:val="21"/>
                <w:highlight w:val="none"/>
              </w:rPr>
            </w:pPr>
          </w:p>
        </w:tc>
        <w:tc>
          <w:tcPr>
            <w:tcW w:w="401" w:type="pct"/>
            <w:noWrap w:val="0"/>
            <w:vAlign w:val="center"/>
          </w:tcPr>
          <w:p w14:paraId="7A07C2D6">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方便面</w:t>
            </w:r>
          </w:p>
        </w:tc>
        <w:tc>
          <w:tcPr>
            <w:tcW w:w="670" w:type="pct"/>
            <w:noWrap w:val="0"/>
            <w:vAlign w:val="center"/>
          </w:tcPr>
          <w:p w14:paraId="0B827D50">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方便米粉</w:t>
            </w:r>
          </w:p>
          <w:p w14:paraId="3FCB5AB7">
            <w:pPr>
              <w:spacing w:line="300" w:lineRule="exact"/>
              <w:jc w:val="center"/>
              <w:rPr>
                <w:rFonts w:eastAsia="仿宋_GB2312"/>
                <w:color w:val="auto"/>
                <w:spacing w:val="5"/>
                <w:szCs w:val="21"/>
                <w:highlight w:val="none"/>
              </w:rPr>
            </w:pPr>
            <w:r>
              <w:rPr>
                <w:rFonts w:eastAsia="仿宋_GB2312"/>
                <w:color w:val="auto"/>
                <w:spacing w:val="5"/>
                <w:szCs w:val="21"/>
                <w:highlight w:val="none"/>
              </w:rPr>
              <w:t>(米线)</w:t>
            </w:r>
          </w:p>
        </w:tc>
        <w:tc>
          <w:tcPr>
            <w:tcW w:w="284" w:type="pct"/>
            <w:noWrap w:val="0"/>
            <w:vAlign w:val="center"/>
          </w:tcPr>
          <w:p w14:paraId="7AE4A5C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2F9390A2">
            <w:pPr>
              <w:spacing w:line="300" w:lineRule="exact"/>
              <w:jc w:val="left"/>
              <w:rPr>
                <w:rFonts w:eastAsia="仿宋_GB2312"/>
                <w:color w:val="auto"/>
                <w:spacing w:val="5"/>
                <w:szCs w:val="21"/>
                <w:highlight w:val="none"/>
              </w:rPr>
            </w:pPr>
            <w:r>
              <w:rPr>
                <w:rFonts w:eastAsia="仿宋_GB2312"/>
                <w:color w:val="auto"/>
                <w:spacing w:val="5"/>
                <w:szCs w:val="21"/>
                <w:highlight w:val="none"/>
              </w:rPr>
              <w:t>水分、酸价(以脂肪计)(KOH)、过氧化值(以脂肪计)、菌落总数、大肠菌群、霉菌</w:t>
            </w:r>
          </w:p>
        </w:tc>
        <w:tc>
          <w:tcPr>
            <w:tcW w:w="1186" w:type="pct"/>
            <w:noWrap w:val="0"/>
            <w:vAlign w:val="center"/>
          </w:tcPr>
          <w:p w14:paraId="4E6127D1">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5B9B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7A065990">
            <w:pPr>
              <w:spacing w:line="300" w:lineRule="exact"/>
              <w:jc w:val="center"/>
              <w:rPr>
                <w:rFonts w:eastAsia="仿宋_GB2312"/>
                <w:color w:val="auto"/>
                <w:szCs w:val="21"/>
                <w:highlight w:val="none"/>
              </w:rPr>
            </w:pPr>
          </w:p>
        </w:tc>
        <w:tc>
          <w:tcPr>
            <w:tcW w:w="367" w:type="pct"/>
            <w:vMerge w:val="continue"/>
            <w:noWrap w:val="0"/>
            <w:vAlign w:val="center"/>
          </w:tcPr>
          <w:p w14:paraId="04FB1CC5">
            <w:pPr>
              <w:spacing w:line="300" w:lineRule="exact"/>
              <w:jc w:val="center"/>
              <w:rPr>
                <w:rFonts w:eastAsia="仿宋_GB2312"/>
                <w:color w:val="auto"/>
                <w:szCs w:val="21"/>
                <w:highlight w:val="none"/>
              </w:rPr>
            </w:pPr>
          </w:p>
        </w:tc>
        <w:tc>
          <w:tcPr>
            <w:tcW w:w="368" w:type="pct"/>
            <w:vMerge w:val="continue"/>
            <w:noWrap w:val="0"/>
            <w:vAlign w:val="center"/>
          </w:tcPr>
          <w:p w14:paraId="071C7D17">
            <w:pPr>
              <w:spacing w:line="300" w:lineRule="exact"/>
              <w:jc w:val="center"/>
              <w:rPr>
                <w:rFonts w:eastAsia="仿宋_GB2312"/>
                <w:color w:val="auto"/>
                <w:szCs w:val="21"/>
                <w:highlight w:val="none"/>
              </w:rPr>
            </w:pPr>
          </w:p>
        </w:tc>
        <w:tc>
          <w:tcPr>
            <w:tcW w:w="401" w:type="pct"/>
            <w:noWrap w:val="0"/>
            <w:vAlign w:val="center"/>
          </w:tcPr>
          <w:p w14:paraId="7EB6AE80">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方便面</w:t>
            </w:r>
          </w:p>
        </w:tc>
        <w:tc>
          <w:tcPr>
            <w:tcW w:w="670" w:type="pct"/>
            <w:noWrap w:val="0"/>
            <w:vAlign w:val="center"/>
          </w:tcPr>
          <w:p w14:paraId="7DEDC42D">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方便粉丝</w:t>
            </w:r>
          </w:p>
        </w:tc>
        <w:tc>
          <w:tcPr>
            <w:tcW w:w="284" w:type="pct"/>
            <w:noWrap w:val="0"/>
            <w:vAlign w:val="center"/>
          </w:tcPr>
          <w:p w14:paraId="36CA12AC">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158512A4">
            <w:pPr>
              <w:spacing w:line="300" w:lineRule="exact"/>
              <w:jc w:val="left"/>
              <w:rPr>
                <w:rFonts w:eastAsia="仿宋_GB2312"/>
                <w:color w:val="auto"/>
                <w:spacing w:val="5"/>
                <w:szCs w:val="21"/>
                <w:highlight w:val="none"/>
              </w:rPr>
            </w:pPr>
            <w:r>
              <w:rPr>
                <w:rFonts w:eastAsia="仿宋_GB2312"/>
                <w:color w:val="auto"/>
                <w:spacing w:val="5"/>
                <w:szCs w:val="21"/>
                <w:highlight w:val="none"/>
              </w:rPr>
              <w:t>水分、酸价(以脂肪计)(KOH)、过氧化值(以脂肪计)、菌落总数、大肠菌群、霉菌</w:t>
            </w:r>
          </w:p>
        </w:tc>
        <w:tc>
          <w:tcPr>
            <w:tcW w:w="1186" w:type="pct"/>
            <w:noWrap w:val="0"/>
            <w:vAlign w:val="center"/>
          </w:tcPr>
          <w:p w14:paraId="1A6FA029">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1193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35952C19">
            <w:pPr>
              <w:spacing w:line="300" w:lineRule="exact"/>
              <w:jc w:val="center"/>
              <w:rPr>
                <w:rFonts w:eastAsia="仿宋_GB2312"/>
                <w:color w:val="auto"/>
                <w:szCs w:val="21"/>
                <w:highlight w:val="none"/>
              </w:rPr>
            </w:pPr>
          </w:p>
        </w:tc>
        <w:tc>
          <w:tcPr>
            <w:tcW w:w="367" w:type="pct"/>
            <w:vMerge w:val="continue"/>
            <w:noWrap w:val="0"/>
            <w:vAlign w:val="center"/>
          </w:tcPr>
          <w:p w14:paraId="59AF2102">
            <w:pPr>
              <w:spacing w:line="300" w:lineRule="exact"/>
              <w:jc w:val="center"/>
              <w:rPr>
                <w:rFonts w:eastAsia="仿宋_GB2312"/>
                <w:color w:val="auto"/>
                <w:szCs w:val="21"/>
                <w:highlight w:val="none"/>
              </w:rPr>
            </w:pPr>
          </w:p>
        </w:tc>
        <w:tc>
          <w:tcPr>
            <w:tcW w:w="368" w:type="pct"/>
            <w:vMerge w:val="continue"/>
            <w:noWrap w:val="0"/>
            <w:vAlign w:val="center"/>
          </w:tcPr>
          <w:p w14:paraId="2118CF9C">
            <w:pPr>
              <w:spacing w:line="300" w:lineRule="exact"/>
              <w:jc w:val="center"/>
              <w:rPr>
                <w:rFonts w:eastAsia="仿宋_GB2312"/>
                <w:color w:val="auto"/>
                <w:szCs w:val="21"/>
                <w:highlight w:val="none"/>
              </w:rPr>
            </w:pPr>
          </w:p>
        </w:tc>
        <w:tc>
          <w:tcPr>
            <w:tcW w:w="401" w:type="pct"/>
            <w:noWrap w:val="0"/>
            <w:vAlign w:val="center"/>
          </w:tcPr>
          <w:p w14:paraId="3B4AAD31">
            <w:pPr>
              <w:spacing w:line="300" w:lineRule="exact"/>
              <w:jc w:val="center"/>
              <w:rPr>
                <w:rFonts w:eastAsia="仿宋_GB2312"/>
                <w:color w:val="auto"/>
                <w:spacing w:val="5"/>
                <w:szCs w:val="21"/>
                <w:highlight w:val="none"/>
              </w:rPr>
            </w:pPr>
            <w:r>
              <w:rPr>
                <w:rFonts w:eastAsia="仿宋_GB2312"/>
                <w:color w:val="auto"/>
                <w:spacing w:val="5"/>
                <w:szCs w:val="21"/>
                <w:highlight w:val="none"/>
              </w:rPr>
              <w:t>方便面</w:t>
            </w:r>
          </w:p>
        </w:tc>
        <w:tc>
          <w:tcPr>
            <w:tcW w:w="670" w:type="pct"/>
            <w:noWrap w:val="0"/>
            <w:vAlign w:val="center"/>
          </w:tcPr>
          <w:p w14:paraId="4632A229">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其他方便面</w:t>
            </w:r>
          </w:p>
        </w:tc>
        <w:tc>
          <w:tcPr>
            <w:tcW w:w="284" w:type="pct"/>
            <w:noWrap w:val="0"/>
            <w:vAlign w:val="center"/>
          </w:tcPr>
          <w:p w14:paraId="7F714B4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4AB047D2">
            <w:pPr>
              <w:spacing w:line="300" w:lineRule="exact"/>
              <w:jc w:val="left"/>
              <w:rPr>
                <w:rFonts w:eastAsia="仿宋_GB2312"/>
                <w:color w:val="auto"/>
                <w:spacing w:val="5"/>
                <w:szCs w:val="21"/>
                <w:highlight w:val="none"/>
              </w:rPr>
            </w:pPr>
            <w:r>
              <w:rPr>
                <w:rFonts w:eastAsia="仿宋_GB2312"/>
                <w:color w:val="auto"/>
                <w:spacing w:val="5"/>
                <w:szCs w:val="21"/>
                <w:highlight w:val="none"/>
              </w:rPr>
              <w:t>水分、酸价(以脂肪计)(KOH)、过氧化值(以脂肪计)、菌落总数、大肠菌群、霉菌</w:t>
            </w:r>
          </w:p>
        </w:tc>
        <w:tc>
          <w:tcPr>
            <w:tcW w:w="1186" w:type="pct"/>
            <w:noWrap w:val="0"/>
            <w:vAlign w:val="center"/>
          </w:tcPr>
          <w:p w14:paraId="717FB16B">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7DF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 w:type="pct"/>
            <w:vMerge w:val="continue"/>
            <w:noWrap w:val="0"/>
            <w:vAlign w:val="center"/>
          </w:tcPr>
          <w:p w14:paraId="4D4948C1">
            <w:pPr>
              <w:spacing w:line="300" w:lineRule="exact"/>
              <w:jc w:val="center"/>
              <w:rPr>
                <w:rFonts w:eastAsia="仿宋_GB2312"/>
                <w:color w:val="auto"/>
                <w:szCs w:val="21"/>
                <w:highlight w:val="none"/>
              </w:rPr>
            </w:pPr>
          </w:p>
        </w:tc>
        <w:tc>
          <w:tcPr>
            <w:tcW w:w="367" w:type="pct"/>
            <w:vMerge w:val="continue"/>
            <w:noWrap w:val="0"/>
            <w:vAlign w:val="center"/>
          </w:tcPr>
          <w:p w14:paraId="5A658AF8">
            <w:pPr>
              <w:spacing w:line="300" w:lineRule="exact"/>
              <w:jc w:val="center"/>
              <w:rPr>
                <w:rFonts w:eastAsia="仿宋_GB2312"/>
                <w:color w:val="auto"/>
                <w:szCs w:val="21"/>
                <w:highlight w:val="none"/>
              </w:rPr>
            </w:pPr>
          </w:p>
        </w:tc>
        <w:tc>
          <w:tcPr>
            <w:tcW w:w="368" w:type="pct"/>
            <w:vMerge w:val="continue"/>
            <w:noWrap w:val="0"/>
            <w:vAlign w:val="center"/>
          </w:tcPr>
          <w:p w14:paraId="3D0A346C">
            <w:pPr>
              <w:spacing w:line="300" w:lineRule="exact"/>
              <w:jc w:val="center"/>
              <w:rPr>
                <w:rFonts w:eastAsia="仿宋_GB2312"/>
                <w:color w:val="auto"/>
                <w:szCs w:val="21"/>
                <w:highlight w:val="none"/>
              </w:rPr>
            </w:pPr>
          </w:p>
        </w:tc>
        <w:tc>
          <w:tcPr>
            <w:tcW w:w="401" w:type="pct"/>
            <w:noWrap w:val="0"/>
            <w:vAlign w:val="center"/>
          </w:tcPr>
          <w:p w14:paraId="30782C4D">
            <w:pPr>
              <w:spacing w:line="300" w:lineRule="exact"/>
              <w:jc w:val="center"/>
              <w:rPr>
                <w:rFonts w:eastAsia="仿宋_GB2312"/>
                <w:color w:val="auto"/>
                <w:spacing w:val="5"/>
                <w:szCs w:val="21"/>
                <w:highlight w:val="none"/>
              </w:rPr>
            </w:pPr>
            <w:r>
              <w:rPr>
                <w:rFonts w:eastAsia="仿宋_GB2312"/>
                <w:color w:val="auto"/>
                <w:spacing w:val="5"/>
                <w:szCs w:val="21"/>
                <w:highlight w:val="none"/>
              </w:rPr>
              <w:t>调味面制品</w:t>
            </w:r>
          </w:p>
        </w:tc>
        <w:tc>
          <w:tcPr>
            <w:tcW w:w="670" w:type="pct"/>
            <w:noWrap w:val="0"/>
            <w:vAlign w:val="center"/>
          </w:tcPr>
          <w:p w14:paraId="6C190E7D">
            <w:pPr>
              <w:spacing w:line="300" w:lineRule="exact"/>
              <w:jc w:val="center"/>
              <w:rPr>
                <w:rFonts w:eastAsia="仿宋_GB2312"/>
                <w:color w:val="auto"/>
                <w:spacing w:val="5"/>
                <w:szCs w:val="21"/>
                <w:highlight w:val="none"/>
              </w:rPr>
            </w:pPr>
            <w:r>
              <w:rPr>
                <w:rFonts w:eastAsia="仿宋_GB2312"/>
                <w:color w:val="auto"/>
                <w:spacing w:val="5"/>
                <w:szCs w:val="21"/>
                <w:highlight w:val="none"/>
              </w:rPr>
              <w:t>调味面制品</w:t>
            </w:r>
          </w:p>
        </w:tc>
        <w:tc>
          <w:tcPr>
            <w:tcW w:w="284" w:type="pct"/>
            <w:noWrap w:val="0"/>
            <w:vAlign w:val="center"/>
          </w:tcPr>
          <w:p w14:paraId="3061A33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79B7700">
            <w:pPr>
              <w:spacing w:line="300" w:lineRule="exact"/>
              <w:jc w:val="left"/>
              <w:rPr>
                <w:rFonts w:eastAsia="仿宋_GB2312"/>
                <w:color w:val="auto"/>
                <w:spacing w:val="5"/>
                <w:szCs w:val="21"/>
                <w:highlight w:val="none"/>
              </w:rPr>
            </w:pPr>
            <w:r>
              <w:rPr>
                <w:rFonts w:eastAsia="仿宋_GB2312"/>
                <w:color w:val="auto"/>
                <w:spacing w:val="5"/>
                <w:szCs w:val="21"/>
                <w:highlight w:val="none"/>
              </w:rPr>
              <w:t>酸价(以脂肪计)(KOH)、过氧化值(以脂肪计)、甜蜜素(以环己基氨基磺酸计)、三氯蔗糖、菌落总数、大肠菌群</w:t>
            </w:r>
          </w:p>
        </w:tc>
        <w:tc>
          <w:tcPr>
            <w:tcW w:w="1186" w:type="pct"/>
            <w:noWrap w:val="0"/>
            <w:vAlign w:val="center"/>
          </w:tcPr>
          <w:p w14:paraId="5BBE47D1">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w:t>
            </w:r>
          </w:p>
          <w:p w14:paraId="2F1ADC50">
            <w:pPr>
              <w:spacing w:line="300" w:lineRule="exact"/>
              <w:jc w:val="left"/>
              <w:rPr>
                <w:rFonts w:eastAsia="仿宋_GB2312"/>
                <w:color w:val="auto"/>
                <w:spacing w:val="5"/>
                <w:szCs w:val="21"/>
                <w:highlight w:val="none"/>
              </w:rPr>
            </w:pPr>
          </w:p>
        </w:tc>
      </w:tr>
      <w:tr w14:paraId="2BBE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085CD68D">
            <w:pPr>
              <w:spacing w:line="300" w:lineRule="exact"/>
              <w:jc w:val="center"/>
              <w:rPr>
                <w:rFonts w:eastAsia="仿宋_GB2312"/>
                <w:color w:val="auto"/>
                <w:szCs w:val="21"/>
                <w:highlight w:val="none"/>
              </w:rPr>
            </w:pPr>
          </w:p>
        </w:tc>
        <w:tc>
          <w:tcPr>
            <w:tcW w:w="367" w:type="pct"/>
            <w:vMerge w:val="continue"/>
            <w:noWrap w:val="0"/>
            <w:vAlign w:val="center"/>
          </w:tcPr>
          <w:p w14:paraId="1AA024D6">
            <w:pPr>
              <w:spacing w:line="300" w:lineRule="exact"/>
              <w:jc w:val="center"/>
              <w:rPr>
                <w:rFonts w:eastAsia="仿宋_GB2312"/>
                <w:color w:val="auto"/>
                <w:szCs w:val="21"/>
                <w:highlight w:val="none"/>
              </w:rPr>
            </w:pPr>
          </w:p>
        </w:tc>
        <w:tc>
          <w:tcPr>
            <w:tcW w:w="368" w:type="pct"/>
            <w:vMerge w:val="continue"/>
            <w:noWrap w:val="0"/>
            <w:vAlign w:val="center"/>
          </w:tcPr>
          <w:p w14:paraId="54D68F9F">
            <w:pPr>
              <w:spacing w:line="300" w:lineRule="exact"/>
              <w:jc w:val="center"/>
              <w:rPr>
                <w:rFonts w:eastAsia="仿宋_GB2312"/>
                <w:color w:val="auto"/>
                <w:szCs w:val="21"/>
                <w:highlight w:val="none"/>
              </w:rPr>
            </w:pPr>
          </w:p>
        </w:tc>
        <w:tc>
          <w:tcPr>
            <w:tcW w:w="401" w:type="pct"/>
            <w:noWrap w:val="0"/>
            <w:vAlign w:val="center"/>
          </w:tcPr>
          <w:p w14:paraId="210159E2">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其他方便食品</w:t>
            </w:r>
          </w:p>
        </w:tc>
        <w:tc>
          <w:tcPr>
            <w:tcW w:w="670" w:type="pct"/>
            <w:noWrap w:val="0"/>
            <w:vAlign w:val="center"/>
          </w:tcPr>
          <w:p w14:paraId="139BAC2B">
            <w:pPr>
              <w:spacing w:line="300" w:lineRule="exact"/>
              <w:jc w:val="center"/>
              <w:rPr>
                <w:rFonts w:eastAsia="仿宋_GB2312"/>
                <w:color w:val="auto"/>
                <w:spacing w:val="5"/>
                <w:szCs w:val="21"/>
                <w:highlight w:val="none"/>
              </w:rPr>
            </w:pPr>
            <w:r>
              <w:rPr>
                <w:rFonts w:eastAsia="仿宋_GB2312"/>
                <w:color w:val="auto"/>
                <w:spacing w:val="5"/>
                <w:szCs w:val="21"/>
                <w:highlight w:val="none"/>
              </w:rPr>
              <w:t>冲调类方便食品</w:t>
            </w:r>
          </w:p>
        </w:tc>
        <w:tc>
          <w:tcPr>
            <w:tcW w:w="284" w:type="pct"/>
            <w:noWrap w:val="0"/>
            <w:vAlign w:val="center"/>
          </w:tcPr>
          <w:p w14:paraId="3E7261F6">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2C2EABDD">
            <w:pPr>
              <w:spacing w:line="300" w:lineRule="exact"/>
              <w:jc w:val="left"/>
              <w:rPr>
                <w:rFonts w:eastAsia="仿宋_GB2312"/>
                <w:color w:val="auto"/>
                <w:spacing w:val="5"/>
                <w:szCs w:val="21"/>
                <w:highlight w:val="none"/>
              </w:rPr>
            </w:pPr>
            <w:r>
              <w:rPr>
                <w:rFonts w:eastAsia="仿宋_GB2312"/>
                <w:color w:val="auto"/>
                <w:spacing w:val="5"/>
                <w:szCs w:val="21"/>
                <w:highlight w:val="none"/>
              </w:rPr>
              <w:t>菌落总数、大肠菌群、霉菌、糖精钠(以糖精计)、黄曲霉毒素B</w:t>
            </w:r>
            <w:r>
              <w:rPr>
                <w:rFonts w:eastAsia="仿宋_GB2312"/>
                <w:color w:val="auto"/>
                <w:spacing w:val="5"/>
                <w:szCs w:val="21"/>
                <w:highlight w:val="none"/>
                <w:vertAlign w:val="subscript"/>
              </w:rPr>
              <w:t>1</w:t>
            </w:r>
            <w:r>
              <w:rPr>
                <w:rFonts w:eastAsia="仿宋_GB2312"/>
                <w:color w:val="auto"/>
                <w:spacing w:val="5"/>
                <w:szCs w:val="21"/>
                <w:highlight w:val="none"/>
              </w:rPr>
              <w:t>、铅(以Pb计)</w:t>
            </w:r>
          </w:p>
        </w:tc>
        <w:tc>
          <w:tcPr>
            <w:tcW w:w="1186" w:type="pct"/>
            <w:noWrap w:val="0"/>
            <w:vAlign w:val="center"/>
          </w:tcPr>
          <w:p w14:paraId="6F65ABD5">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w:t>
            </w:r>
          </w:p>
        </w:tc>
      </w:tr>
      <w:tr w14:paraId="028B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3044E810">
            <w:pPr>
              <w:spacing w:line="300" w:lineRule="exact"/>
              <w:jc w:val="center"/>
              <w:rPr>
                <w:rFonts w:eastAsia="仿宋_GB2312"/>
                <w:color w:val="auto"/>
                <w:szCs w:val="21"/>
                <w:highlight w:val="none"/>
              </w:rPr>
            </w:pPr>
          </w:p>
        </w:tc>
        <w:tc>
          <w:tcPr>
            <w:tcW w:w="367" w:type="pct"/>
            <w:vMerge w:val="continue"/>
            <w:noWrap w:val="0"/>
            <w:vAlign w:val="center"/>
          </w:tcPr>
          <w:p w14:paraId="2C351064">
            <w:pPr>
              <w:spacing w:line="300" w:lineRule="exact"/>
              <w:jc w:val="center"/>
              <w:rPr>
                <w:rFonts w:eastAsia="仿宋_GB2312"/>
                <w:color w:val="auto"/>
                <w:szCs w:val="21"/>
                <w:highlight w:val="none"/>
              </w:rPr>
            </w:pPr>
          </w:p>
        </w:tc>
        <w:tc>
          <w:tcPr>
            <w:tcW w:w="368" w:type="pct"/>
            <w:vMerge w:val="continue"/>
            <w:noWrap w:val="0"/>
            <w:vAlign w:val="center"/>
          </w:tcPr>
          <w:p w14:paraId="40BB5CE2">
            <w:pPr>
              <w:spacing w:line="300" w:lineRule="exact"/>
              <w:jc w:val="center"/>
              <w:rPr>
                <w:rFonts w:eastAsia="仿宋_GB2312"/>
                <w:color w:val="auto"/>
                <w:szCs w:val="21"/>
                <w:highlight w:val="none"/>
              </w:rPr>
            </w:pPr>
          </w:p>
        </w:tc>
        <w:tc>
          <w:tcPr>
            <w:tcW w:w="401" w:type="pct"/>
            <w:noWrap w:val="0"/>
            <w:vAlign w:val="center"/>
          </w:tcPr>
          <w:p w14:paraId="37A1D26A">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其他方便食品</w:t>
            </w:r>
          </w:p>
        </w:tc>
        <w:tc>
          <w:tcPr>
            <w:tcW w:w="670" w:type="pct"/>
            <w:noWrap w:val="0"/>
            <w:vAlign w:val="center"/>
          </w:tcPr>
          <w:p w14:paraId="4EA8B141">
            <w:pPr>
              <w:spacing w:line="300" w:lineRule="exact"/>
              <w:jc w:val="center"/>
              <w:rPr>
                <w:rFonts w:eastAsia="仿宋_GB2312"/>
                <w:color w:val="auto"/>
                <w:spacing w:val="5"/>
                <w:szCs w:val="21"/>
                <w:highlight w:val="none"/>
              </w:rPr>
            </w:pPr>
            <w:r>
              <w:rPr>
                <w:rFonts w:eastAsia="仿宋_GB2312"/>
                <w:color w:val="auto"/>
                <w:spacing w:val="5"/>
                <w:szCs w:val="21"/>
                <w:highlight w:val="none"/>
              </w:rPr>
              <w:t>主食类方便食品</w:t>
            </w:r>
          </w:p>
        </w:tc>
        <w:tc>
          <w:tcPr>
            <w:tcW w:w="284" w:type="pct"/>
            <w:noWrap w:val="0"/>
            <w:vAlign w:val="center"/>
          </w:tcPr>
          <w:p w14:paraId="50DB46D6">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DDDD43B">
            <w:pPr>
              <w:spacing w:line="300" w:lineRule="exact"/>
              <w:jc w:val="left"/>
              <w:rPr>
                <w:rFonts w:eastAsia="仿宋_GB2312"/>
                <w:color w:val="auto"/>
                <w:spacing w:val="5"/>
                <w:szCs w:val="21"/>
                <w:highlight w:val="none"/>
              </w:rPr>
            </w:pPr>
            <w:r>
              <w:rPr>
                <w:rFonts w:eastAsia="仿宋_GB2312"/>
                <w:color w:val="auto"/>
                <w:spacing w:val="5"/>
                <w:szCs w:val="21"/>
                <w:highlight w:val="none"/>
              </w:rPr>
              <w:t>酸价(以脂肪计)(KOH)、过氧化值(以脂肪计)、苯甲酸及其钠盐(以苯甲酸计)、 山梨酸及其钾盐(以山梨酸计)、霉菌、菌落总数</w:t>
            </w:r>
          </w:p>
        </w:tc>
        <w:tc>
          <w:tcPr>
            <w:tcW w:w="1186" w:type="pct"/>
            <w:noWrap w:val="0"/>
            <w:vAlign w:val="center"/>
          </w:tcPr>
          <w:p w14:paraId="4A26041E">
            <w:pPr>
              <w:spacing w:line="300" w:lineRule="exact"/>
              <w:jc w:val="left"/>
              <w:rPr>
                <w:rFonts w:eastAsia="仿宋_GB2312"/>
                <w:color w:val="auto"/>
                <w:spacing w:val="5"/>
                <w:szCs w:val="21"/>
                <w:highlight w:val="none"/>
              </w:rPr>
            </w:pPr>
            <w:r>
              <w:rPr>
                <w:rFonts w:eastAsia="仿宋_GB2312"/>
                <w:color w:val="auto"/>
                <w:spacing w:val="5"/>
                <w:szCs w:val="21"/>
                <w:highlight w:val="none"/>
              </w:rPr>
              <w:t>大肠菌群、糖精钠(以糖精计)、纽甜、三氯蔗糖、安赛蜜、甜蜜素(以环己基氨基磺酸计)</w:t>
            </w:r>
          </w:p>
        </w:tc>
      </w:tr>
      <w:tr w14:paraId="4ED2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032C3B9F">
            <w:pPr>
              <w:spacing w:line="300" w:lineRule="exact"/>
              <w:jc w:val="center"/>
              <w:rPr>
                <w:rFonts w:eastAsia="仿宋_GB2312"/>
                <w:b/>
                <w:bCs/>
                <w:color w:val="auto"/>
                <w:spacing w:val="5"/>
                <w:szCs w:val="21"/>
                <w:highlight w:val="none"/>
              </w:rPr>
            </w:pPr>
          </w:p>
        </w:tc>
        <w:tc>
          <w:tcPr>
            <w:tcW w:w="367" w:type="pct"/>
            <w:vMerge w:val="continue"/>
            <w:noWrap w:val="0"/>
            <w:vAlign w:val="center"/>
          </w:tcPr>
          <w:p w14:paraId="616A571A">
            <w:pPr>
              <w:spacing w:line="300" w:lineRule="exact"/>
              <w:jc w:val="center"/>
              <w:rPr>
                <w:rFonts w:eastAsia="仿宋_GB2312"/>
                <w:b/>
                <w:bCs/>
                <w:color w:val="auto"/>
                <w:spacing w:val="5"/>
                <w:szCs w:val="21"/>
                <w:highlight w:val="none"/>
              </w:rPr>
            </w:pPr>
          </w:p>
        </w:tc>
        <w:tc>
          <w:tcPr>
            <w:tcW w:w="368" w:type="pct"/>
            <w:vMerge w:val="continue"/>
            <w:noWrap w:val="0"/>
            <w:vAlign w:val="center"/>
          </w:tcPr>
          <w:p w14:paraId="0217686A">
            <w:pPr>
              <w:spacing w:line="300" w:lineRule="exact"/>
              <w:jc w:val="center"/>
              <w:rPr>
                <w:rFonts w:eastAsia="仿宋_GB2312"/>
                <w:b/>
                <w:bCs/>
                <w:color w:val="auto"/>
                <w:spacing w:val="5"/>
                <w:szCs w:val="21"/>
                <w:highlight w:val="none"/>
              </w:rPr>
            </w:pPr>
          </w:p>
        </w:tc>
        <w:tc>
          <w:tcPr>
            <w:tcW w:w="401" w:type="pct"/>
            <w:noWrap w:val="0"/>
            <w:vAlign w:val="center"/>
          </w:tcPr>
          <w:p w14:paraId="6CA5C5A3">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其他类方便食品</w:t>
            </w:r>
          </w:p>
        </w:tc>
        <w:tc>
          <w:tcPr>
            <w:tcW w:w="670" w:type="pct"/>
            <w:noWrap w:val="0"/>
            <w:vAlign w:val="center"/>
          </w:tcPr>
          <w:p w14:paraId="72A8FD7A">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其他方便食品</w:t>
            </w:r>
          </w:p>
        </w:tc>
        <w:tc>
          <w:tcPr>
            <w:tcW w:w="284" w:type="pct"/>
            <w:noWrap w:val="0"/>
            <w:vAlign w:val="center"/>
          </w:tcPr>
          <w:p w14:paraId="553D8EF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0CF8F84C">
            <w:pPr>
              <w:spacing w:line="300" w:lineRule="exact"/>
              <w:jc w:val="left"/>
              <w:rPr>
                <w:rFonts w:eastAsia="仿宋_GB2312"/>
                <w:color w:val="auto"/>
                <w:spacing w:val="5"/>
                <w:szCs w:val="21"/>
                <w:highlight w:val="none"/>
              </w:rPr>
            </w:pPr>
            <w:r>
              <w:rPr>
                <w:rFonts w:eastAsia="仿宋_GB2312"/>
                <w:color w:val="auto"/>
                <w:spacing w:val="5"/>
                <w:szCs w:val="21"/>
                <w:highlight w:val="none"/>
              </w:rPr>
              <w:t>酸价(以脂肪计)(KOH)、过氧化值(以脂肪计)、苯甲酸及其钠盐(以苯甲酸计)、山梨酸及其钾盐(以山梨酸计)、霉菌、菌落总数</w:t>
            </w:r>
          </w:p>
        </w:tc>
        <w:tc>
          <w:tcPr>
            <w:tcW w:w="1186" w:type="pct"/>
            <w:noWrap w:val="0"/>
            <w:vAlign w:val="center"/>
          </w:tcPr>
          <w:p w14:paraId="5375ECCD">
            <w:pPr>
              <w:spacing w:line="300" w:lineRule="exact"/>
              <w:jc w:val="left"/>
              <w:rPr>
                <w:rFonts w:eastAsia="仿宋_GB2312"/>
                <w:color w:val="auto"/>
                <w:spacing w:val="5"/>
                <w:szCs w:val="21"/>
                <w:highlight w:val="none"/>
              </w:rPr>
            </w:pPr>
            <w:r>
              <w:rPr>
                <w:rFonts w:eastAsia="仿宋_GB2312"/>
                <w:color w:val="auto"/>
                <w:spacing w:val="5"/>
                <w:szCs w:val="21"/>
                <w:highlight w:val="none"/>
              </w:rPr>
              <w:t>大肠菌群、糖精钠(以糖精计)</w:t>
            </w:r>
          </w:p>
        </w:tc>
      </w:tr>
      <w:tr w14:paraId="5E2B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noWrap w:val="0"/>
            <w:vAlign w:val="center"/>
          </w:tcPr>
          <w:p w14:paraId="08B49FCA">
            <w:pPr>
              <w:spacing w:line="300" w:lineRule="exact"/>
              <w:jc w:val="center"/>
              <w:rPr>
                <w:rFonts w:eastAsia="仿宋_GB2312"/>
                <w:b/>
                <w:bCs/>
                <w:color w:val="auto"/>
                <w:spacing w:val="5"/>
                <w:szCs w:val="21"/>
                <w:highlight w:val="none"/>
              </w:rPr>
            </w:pPr>
            <w:r>
              <w:rPr>
                <w:rFonts w:eastAsia="仿宋_GB2312"/>
                <w:b/>
                <w:bCs/>
                <w:color w:val="auto"/>
                <w:spacing w:val="5"/>
                <w:szCs w:val="21"/>
                <w:highlight w:val="none"/>
              </w:rPr>
              <w:t>8</w:t>
            </w:r>
          </w:p>
        </w:tc>
        <w:tc>
          <w:tcPr>
            <w:tcW w:w="367" w:type="pct"/>
            <w:noWrap w:val="0"/>
            <w:vAlign w:val="center"/>
          </w:tcPr>
          <w:p w14:paraId="32F552CB">
            <w:pPr>
              <w:widowControl/>
              <w:spacing w:line="300" w:lineRule="exact"/>
              <w:jc w:val="center"/>
              <w:textAlignment w:val="center"/>
              <w:rPr>
                <w:rFonts w:eastAsia="仿宋_GB2312"/>
                <w:b/>
                <w:bCs/>
                <w:color w:val="auto"/>
                <w:spacing w:val="5"/>
                <w:szCs w:val="21"/>
                <w:highlight w:val="none"/>
              </w:rPr>
            </w:pPr>
            <w:r>
              <w:rPr>
                <w:rFonts w:eastAsia="仿宋_GB2312"/>
                <w:color w:val="auto"/>
                <w:kern w:val="0"/>
                <w:szCs w:val="21"/>
                <w:highlight w:val="none"/>
                <w:lang w:bidi="ar"/>
              </w:rPr>
              <w:t>饼干</w:t>
            </w:r>
          </w:p>
        </w:tc>
        <w:tc>
          <w:tcPr>
            <w:tcW w:w="368" w:type="pct"/>
            <w:noWrap w:val="0"/>
            <w:vAlign w:val="center"/>
          </w:tcPr>
          <w:p w14:paraId="3F842B5A">
            <w:pPr>
              <w:widowControl/>
              <w:spacing w:line="300" w:lineRule="exact"/>
              <w:jc w:val="center"/>
              <w:textAlignment w:val="center"/>
              <w:rPr>
                <w:rFonts w:eastAsia="仿宋_GB2312"/>
                <w:b/>
                <w:bCs/>
                <w:color w:val="auto"/>
                <w:spacing w:val="5"/>
                <w:szCs w:val="21"/>
                <w:highlight w:val="none"/>
              </w:rPr>
            </w:pPr>
            <w:r>
              <w:rPr>
                <w:rFonts w:eastAsia="仿宋_GB2312"/>
                <w:color w:val="auto"/>
                <w:kern w:val="0"/>
                <w:szCs w:val="21"/>
                <w:highlight w:val="none"/>
                <w:lang w:bidi="ar"/>
              </w:rPr>
              <w:t>饼干</w:t>
            </w:r>
          </w:p>
        </w:tc>
        <w:tc>
          <w:tcPr>
            <w:tcW w:w="401" w:type="pct"/>
            <w:noWrap w:val="0"/>
            <w:vAlign w:val="center"/>
          </w:tcPr>
          <w:p w14:paraId="7B4AB392">
            <w:pPr>
              <w:widowControl/>
              <w:spacing w:line="300" w:lineRule="exact"/>
              <w:jc w:val="center"/>
              <w:textAlignment w:val="center"/>
              <w:rPr>
                <w:rFonts w:eastAsia="仿宋_GB2312"/>
                <w:color w:val="auto"/>
                <w:spacing w:val="5"/>
                <w:szCs w:val="21"/>
                <w:highlight w:val="none"/>
              </w:rPr>
            </w:pPr>
            <w:r>
              <w:rPr>
                <w:rFonts w:eastAsia="仿宋_GB2312"/>
                <w:color w:val="auto"/>
                <w:kern w:val="0"/>
                <w:szCs w:val="21"/>
                <w:highlight w:val="none"/>
                <w:lang w:bidi="ar"/>
              </w:rPr>
              <w:t>饼干</w:t>
            </w:r>
          </w:p>
        </w:tc>
        <w:tc>
          <w:tcPr>
            <w:tcW w:w="670" w:type="pct"/>
            <w:noWrap w:val="0"/>
            <w:vAlign w:val="center"/>
          </w:tcPr>
          <w:p w14:paraId="1A6A9D8A">
            <w:pPr>
              <w:widowControl/>
              <w:spacing w:line="300" w:lineRule="exact"/>
              <w:jc w:val="center"/>
              <w:textAlignment w:val="center"/>
              <w:rPr>
                <w:rFonts w:eastAsia="仿宋_GB2312"/>
                <w:color w:val="auto"/>
                <w:spacing w:val="5"/>
                <w:szCs w:val="21"/>
                <w:highlight w:val="none"/>
              </w:rPr>
            </w:pPr>
            <w:r>
              <w:rPr>
                <w:rFonts w:eastAsia="仿宋_GB2312"/>
                <w:color w:val="auto"/>
                <w:kern w:val="0"/>
                <w:szCs w:val="21"/>
                <w:highlight w:val="none"/>
                <w:lang w:bidi="ar"/>
              </w:rPr>
              <w:t>饼干</w:t>
            </w:r>
          </w:p>
        </w:tc>
        <w:tc>
          <w:tcPr>
            <w:tcW w:w="284" w:type="pct"/>
            <w:noWrap w:val="0"/>
            <w:vAlign w:val="center"/>
          </w:tcPr>
          <w:p w14:paraId="6805F7B5">
            <w:pPr>
              <w:widowControl/>
              <w:spacing w:line="300" w:lineRule="exact"/>
              <w:jc w:val="center"/>
              <w:textAlignment w:val="center"/>
              <w:rPr>
                <w:rFonts w:eastAsia="仿宋_GB2312"/>
                <w:color w:val="auto"/>
                <w:spacing w:val="5"/>
                <w:szCs w:val="21"/>
                <w:highlight w:val="none"/>
              </w:rPr>
            </w:pPr>
            <w:r>
              <w:rPr>
                <w:rFonts w:eastAsia="仿宋_GB2312"/>
                <w:color w:val="auto"/>
                <w:kern w:val="0"/>
                <w:szCs w:val="21"/>
                <w:highlight w:val="none"/>
                <w:lang w:bidi="ar"/>
              </w:rPr>
              <w:t>一般</w:t>
            </w:r>
          </w:p>
        </w:tc>
        <w:tc>
          <w:tcPr>
            <w:tcW w:w="1553" w:type="pct"/>
            <w:noWrap w:val="0"/>
            <w:vAlign w:val="center"/>
          </w:tcPr>
          <w:p w14:paraId="70795279">
            <w:pPr>
              <w:widowControl/>
              <w:spacing w:line="300" w:lineRule="exact"/>
              <w:jc w:val="left"/>
              <w:textAlignment w:val="center"/>
              <w:rPr>
                <w:rFonts w:eastAsia="仿宋_GB2312"/>
                <w:color w:val="auto"/>
                <w:spacing w:val="5"/>
                <w:szCs w:val="21"/>
                <w:highlight w:val="none"/>
              </w:rPr>
            </w:pPr>
            <w:r>
              <w:rPr>
                <w:rFonts w:eastAsia="仿宋_GB2312"/>
                <w:color w:val="auto"/>
                <w:kern w:val="0"/>
                <w:szCs w:val="21"/>
                <w:highlight w:val="none"/>
                <w:lang w:bidi="ar"/>
              </w:rPr>
              <w:t>酸价（以脂肪计）（KOH）、过氧化值（以脂肪计）、山梨酸及其钾盐（以山梨酸计）、二氧化硫残留量、合成着色剂（柠檬黄、日落黄、胭脂红、苋菜红、亮蓝、靛蓝、诱惑红）、霉菌</w:t>
            </w:r>
          </w:p>
        </w:tc>
        <w:tc>
          <w:tcPr>
            <w:tcW w:w="1186" w:type="pct"/>
            <w:noWrap w:val="0"/>
            <w:vAlign w:val="center"/>
          </w:tcPr>
          <w:p w14:paraId="70DF8285">
            <w:pPr>
              <w:widowControl/>
              <w:spacing w:line="300" w:lineRule="exact"/>
              <w:jc w:val="left"/>
              <w:textAlignment w:val="center"/>
              <w:rPr>
                <w:rFonts w:eastAsia="仿宋_GB2312"/>
                <w:color w:val="auto"/>
                <w:spacing w:val="5"/>
                <w:szCs w:val="21"/>
                <w:highlight w:val="none"/>
              </w:rPr>
            </w:pPr>
            <w:r>
              <w:rPr>
                <w:rStyle w:val="125"/>
                <w:rFonts w:hint="default" w:ascii="Times New Roman" w:hAnsi="Times New Roman" w:eastAsia="仿宋_GB2312" w:cs="Times New Roman"/>
                <w:color w:val="auto"/>
                <w:sz w:val="21"/>
                <w:szCs w:val="21"/>
                <w:highlight w:val="none"/>
                <w:lang w:bidi="ar"/>
              </w:rPr>
              <w:t>铝的残留量（干样品，以Al计）、脱氢乙酸及其钠盐（以脱氢乙酸计）、甜蜜素(以环己基氨基磺酸计)、糖精钠（以糖精计）、苯甲酸及其钠盐（以苯甲酸计）、</w:t>
            </w:r>
            <w:r>
              <w:rPr>
                <w:rStyle w:val="127"/>
                <w:rFonts w:eastAsia="仿宋_GB2312"/>
                <w:color w:val="auto"/>
                <w:sz w:val="21"/>
                <w:szCs w:val="21"/>
                <w:highlight w:val="none"/>
                <w:lang w:bidi="ar"/>
              </w:rPr>
              <w:t>丙酸及其钠盐、钙盐（以丙酸计）</w:t>
            </w:r>
          </w:p>
        </w:tc>
      </w:tr>
      <w:tr w14:paraId="7677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restart"/>
            <w:noWrap w:val="0"/>
            <w:vAlign w:val="center"/>
          </w:tcPr>
          <w:p w14:paraId="136D1E70">
            <w:pPr>
              <w:spacing w:line="300" w:lineRule="exact"/>
              <w:jc w:val="center"/>
              <w:rPr>
                <w:rFonts w:eastAsia="仿宋_GB2312"/>
                <w:b/>
                <w:bCs/>
                <w:color w:val="auto"/>
                <w:spacing w:val="5"/>
                <w:szCs w:val="21"/>
                <w:highlight w:val="none"/>
              </w:rPr>
            </w:pPr>
            <w:r>
              <w:rPr>
                <w:rFonts w:eastAsia="仿宋_GB2312"/>
                <w:b/>
                <w:bCs/>
                <w:color w:val="auto"/>
                <w:spacing w:val="5"/>
                <w:szCs w:val="21"/>
                <w:highlight w:val="none"/>
              </w:rPr>
              <w:t>9</w:t>
            </w:r>
          </w:p>
        </w:tc>
        <w:tc>
          <w:tcPr>
            <w:tcW w:w="367" w:type="pct"/>
            <w:vMerge w:val="restart"/>
            <w:noWrap w:val="0"/>
            <w:vAlign w:val="center"/>
          </w:tcPr>
          <w:p w14:paraId="6DD2A27A">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罐头</w:t>
            </w:r>
          </w:p>
        </w:tc>
        <w:tc>
          <w:tcPr>
            <w:tcW w:w="368" w:type="pct"/>
            <w:vMerge w:val="restart"/>
            <w:noWrap w:val="0"/>
            <w:vAlign w:val="center"/>
          </w:tcPr>
          <w:p w14:paraId="4EB1D02A">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罐头</w:t>
            </w:r>
          </w:p>
        </w:tc>
        <w:tc>
          <w:tcPr>
            <w:tcW w:w="401" w:type="pct"/>
            <w:vMerge w:val="restart"/>
            <w:noWrap w:val="0"/>
            <w:vAlign w:val="center"/>
          </w:tcPr>
          <w:p w14:paraId="4D8BE523">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畜禽水产罐头</w:t>
            </w:r>
          </w:p>
        </w:tc>
        <w:tc>
          <w:tcPr>
            <w:tcW w:w="670" w:type="pct"/>
            <w:noWrap w:val="0"/>
            <w:vAlign w:val="center"/>
          </w:tcPr>
          <w:p w14:paraId="213269D1">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畜禽肉类罐头</w:t>
            </w:r>
          </w:p>
        </w:tc>
        <w:tc>
          <w:tcPr>
            <w:tcW w:w="284" w:type="pct"/>
            <w:noWrap w:val="0"/>
            <w:vAlign w:val="center"/>
          </w:tcPr>
          <w:p w14:paraId="52D21409">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3095881D">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铅（以Pb计）、镉（以Cd计）、脱氢乙酸及其钠盐（以脱氢乙酸计）、苯甲酸及其钠盐（以苯甲酸计）、山梨酸及其钾盐（以山梨酸计）、商业无菌</w:t>
            </w:r>
          </w:p>
        </w:tc>
        <w:tc>
          <w:tcPr>
            <w:tcW w:w="1186" w:type="pct"/>
            <w:noWrap w:val="0"/>
            <w:vAlign w:val="center"/>
          </w:tcPr>
          <w:p w14:paraId="11D4DD75">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w:t>
            </w:r>
          </w:p>
        </w:tc>
      </w:tr>
      <w:tr w14:paraId="395E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 w:type="pct"/>
            <w:vMerge w:val="continue"/>
            <w:noWrap w:val="0"/>
            <w:vAlign w:val="center"/>
          </w:tcPr>
          <w:p w14:paraId="2F295119">
            <w:pPr>
              <w:spacing w:line="300" w:lineRule="exact"/>
              <w:jc w:val="center"/>
              <w:rPr>
                <w:rFonts w:eastAsia="仿宋_GB2312"/>
                <w:b/>
                <w:bCs/>
                <w:color w:val="auto"/>
                <w:spacing w:val="5"/>
                <w:szCs w:val="21"/>
                <w:highlight w:val="none"/>
              </w:rPr>
            </w:pPr>
          </w:p>
        </w:tc>
        <w:tc>
          <w:tcPr>
            <w:tcW w:w="367" w:type="pct"/>
            <w:vMerge w:val="continue"/>
            <w:noWrap w:val="0"/>
            <w:vAlign w:val="center"/>
          </w:tcPr>
          <w:p w14:paraId="03224A47">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26A4F0A3">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4091EE62">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2FFF1E52">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水产动物类罐头</w:t>
            </w:r>
          </w:p>
        </w:tc>
        <w:tc>
          <w:tcPr>
            <w:tcW w:w="284" w:type="pct"/>
            <w:noWrap w:val="0"/>
            <w:vAlign w:val="center"/>
          </w:tcPr>
          <w:p w14:paraId="2F14C3E3">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42E9ACF6">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组胺、铅（以Pb计）、无机砷（以As计）、脱氢乙酸及其钠盐（以脱氢乙酸计）、甜蜜素（以环己基氨基磺酸计）、商业无菌</w:t>
            </w:r>
          </w:p>
        </w:tc>
        <w:tc>
          <w:tcPr>
            <w:tcW w:w="1186" w:type="pct"/>
            <w:noWrap w:val="0"/>
            <w:vAlign w:val="center"/>
          </w:tcPr>
          <w:p w14:paraId="570BD2F2">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苯甲酸及其钠盐（以苯甲酸计）、山梨酸及其钾盐（以山梨酸计）、糖精钠（以糖精计）</w:t>
            </w:r>
          </w:p>
        </w:tc>
      </w:tr>
      <w:tr w14:paraId="1CF0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vMerge w:val="continue"/>
            <w:noWrap w:val="0"/>
            <w:vAlign w:val="center"/>
          </w:tcPr>
          <w:p w14:paraId="58D813F0">
            <w:pPr>
              <w:spacing w:line="300" w:lineRule="exact"/>
              <w:jc w:val="center"/>
              <w:rPr>
                <w:rFonts w:eastAsia="仿宋_GB2312"/>
                <w:b/>
                <w:bCs/>
                <w:color w:val="auto"/>
                <w:spacing w:val="5"/>
                <w:szCs w:val="21"/>
                <w:highlight w:val="none"/>
              </w:rPr>
            </w:pPr>
          </w:p>
        </w:tc>
        <w:tc>
          <w:tcPr>
            <w:tcW w:w="367" w:type="pct"/>
            <w:vMerge w:val="continue"/>
            <w:noWrap w:val="0"/>
            <w:vAlign w:val="center"/>
          </w:tcPr>
          <w:p w14:paraId="4129E199">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19B237E9">
            <w:pPr>
              <w:widowControl/>
              <w:spacing w:line="300" w:lineRule="exact"/>
              <w:jc w:val="center"/>
              <w:textAlignment w:val="center"/>
              <w:rPr>
                <w:rFonts w:eastAsia="仿宋_GB2312"/>
                <w:color w:val="auto"/>
                <w:kern w:val="0"/>
                <w:szCs w:val="21"/>
                <w:highlight w:val="none"/>
                <w:lang w:bidi="ar"/>
              </w:rPr>
            </w:pPr>
          </w:p>
        </w:tc>
        <w:tc>
          <w:tcPr>
            <w:tcW w:w="401" w:type="pct"/>
            <w:vMerge w:val="restart"/>
            <w:noWrap w:val="0"/>
            <w:vAlign w:val="center"/>
          </w:tcPr>
          <w:p w14:paraId="7E031FF8">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果蔬罐头</w:t>
            </w:r>
          </w:p>
        </w:tc>
        <w:tc>
          <w:tcPr>
            <w:tcW w:w="670" w:type="pct"/>
            <w:noWrap w:val="0"/>
            <w:vAlign w:val="center"/>
          </w:tcPr>
          <w:p w14:paraId="47BAF7A7">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水果类罐头</w:t>
            </w:r>
          </w:p>
        </w:tc>
        <w:tc>
          <w:tcPr>
            <w:tcW w:w="284" w:type="pct"/>
            <w:noWrap w:val="0"/>
            <w:vAlign w:val="center"/>
          </w:tcPr>
          <w:p w14:paraId="73CB79B9">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较高</w:t>
            </w:r>
          </w:p>
        </w:tc>
        <w:tc>
          <w:tcPr>
            <w:tcW w:w="1553" w:type="pct"/>
            <w:noWrap w:val="0"/>
            <w:vAlign w:val="center"/>
          </w:tcPr>
          <w:p w14:paraId="50983CB8">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铅（以Pb计）、合成着色剂（柠檬黄、日落黄、苋菜红、胭脂红、赤藓红、诱惑红、亮蓝）、脱氢乙酸及其钠盐（以脱氢乙酸计）、甜蜜素（以环己基氨基磺酸计）、二氧化硫残留量、商业无菌</w:t>
            </w:r>
          </w:p>
        </w:tc>
        <w:tc>
          <w:tcPr>
            <w:tcW w:w="1186" w:type="pct"/>
            <w:noWrap w:val="0"/>
            <w:vAlign w:val="center"/>
          </w:tcPr>
          <w:p w14:paraId="24C4DE06">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苯甲酸及其钠盐（以苯甲酸计）、山梨酸及其钾盐（以山梨酸计）、糖精钠（以糖精计）</w:t>
            </w:r>
          </w:p>
        </w:tc>
      </w:tr>
      <w:tr w14:paraId="6C58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470FC16D">
            <w:pPr>
              <w:spacing w:line="300" w:lineRule="exact"/>
              <w:jc w:val="center"/>
              <w:rPr>
                <w:rFonts w:eastAsia="仿宋_GB2312"/>
                <w:b/>
                <w:bCs/>
                <w:color w:val="auto"/>
                <w:spacing w:val="5"/>
                <w:szCs w:val="21"/>
                <w:highlight w:val="none"/>
              </w:rPr>
            </w:pPr>
          </w:p>
        </w:tc>
        <w:tc>
          <w:tcPr>
            <w:tcW w:w="367" w:type="pct"/>
            <w:vMerge w:val="continue"/>
            <w:noWrap w:val="0"/>
            <w:vAlign w:val="center"/>
          </w:tcPr>
          <w:p w14:paraId="7AB06E70">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00BECF2B">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07826160">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009E8A1C">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蔬菜类罐头</w:t>
            </w:r>
          </w:p>
        </w:tc>
        <w:tc>
          <w:tcPr>
            <w:tcW w:w="284" w:type="pct"/>
            <w:noWrap w:val="0"/>
            <w:vAlign w:val="center"/>
          </w:tcPr>
          <w:p w14:paraId="2E9758E8">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较高</w:t>
            </w:r>
          </w:p>
        </w:tc>
        <w:tc>
          <w:tcPr>
            <w:tcW w:w="1553" w:type="pct"/>
            <w:noWrap w:val="0"/>
            <w:vAlign w:val="center"/>
          </w:tcPr>
          <w:p w14:paraId="6B569E48">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铅（以Pb计）、合成着色剂（柠檬黄、日落黄）、脱氢乙酸及其钠盐（以脱氢乙酸计）、苯甲酸及其钠盐（以苯甲酸计）、山梨酸及其钾盐（以山梨酸计）、商业无菌</w:t>
            </w:r>
          </w:p>
        </w:tc>
        <w:tc>
          <w:tcPr>
            <w:tcW w:w="1186" w:type="pct"/>
            <w:noWrap w:val="0"/>
            <w:vAlign w:val="center"/>
          </w:tcPr>
          <w:p w14:paraId="759656FA">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乙二胺四乙酸二钠、二氧化硫残留量</w:t>
            </w:r>
          </w:p>
        </w:tc>
      </w:tr>
      <w:tr w14:paraId="176A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4043012B">
            <w:pPr>
              <w:spacing w:line="300" w:lineRule="exact"/>
              <w:jc w:val="center"/>
              <w:rPr>
                <w:rFonts w:eastAsia="仿宋_GB2312"/>
                <w:b/>
                <w:bCs/>
                <w:color w:val="auto"/>
                <w:spacing w:val="5"/>
                <w:szCs w:val="21"/>
                <w:highlight w:val="none"/>
              </w:rPr>
            </w:pPr>
          </w:p>
        </w:tc>
        <w:tc>
          <w:tcPr>
            <w:tcW w:w="367" w:type="pct"/>
            <w:vMerge w:val="continue"/>
            <w:noWrap w:val="0"/>
            <w:vAlign w:val="center"/>
          </w:tcPr>
          <w:p w14:paraId="790C796E">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38004ACF">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79942F38">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632C933F">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食用菌罐头</w:t>
            </w:r>
          </w:p>
        </w:tc>
        <w:tc>
          <w:tcPr>
            <w:tcW w:w="284" w:type="pct"/>
            <w:noWrap w:val="0"/>
            <w:vAlign w:val="center"/>
          </w:tcPr>
          <w:p w14:paraId="71D7B3F5">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较高</w:t>
            </w:r>
          </w:p>
        </w:tc>
        <w:tc>
          <w:tcPr>
            <w:tcW w:w="1553" w:type="pct"/>
            <w:noWrap w:val="0"/>
            <w:vAlign w:val="center"/>
          </w:tcPr>
          <w:p w14:paraId="13904A2D">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铅（以Pb计）、脱氢乙酸及其钠盐（以脱氢乙酸计）、苯甲酸及其钠盐（以苯甲酸计）、山梨酸及其钾盐（以山梨酸计）、乙二胺四乙酸二钠、商业无菌</w:t>
            </w:r>
          </w:p>
        </w:tc>
        <w:tc>
          <w:tcPr>
            <w:tcW w:w="1186" w:type="pct"/>
            <w:noWrap w:val="0"/>
            <w:vAlign w:val="center"/>
          </w:tcPr>
          <w:p w14:paraId="38DA5106">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二氧化硫残留量</w:t>
            </w:r>
          </w:p>
        </w:tc>
      </w:tr>
      <w:tr w14:paraId="0185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52315B40">
            <w:pPr>
              <w:spacing w:line="300" w:lineRule="exact"/>
              <w:jc w:val="center"/>
              <w:rPr>
                <w:rFonts w:eastAsia="仿宋_GB2312"/>
                <w:b/>
                <w:bCs/>
                <w:color w:val="auto"/>
                <w:spacing w:val="5"/>
                <w:szCs w:val="21"/>
                <w:highlight w:val="none"/>
              </w:rPr>
            </w:pPr>
          </w:p>
        </w:tc>
        <w:tc>
          <w:tcPr>
            <w:tcW w:w="367" w:type="pct"/>
            <w:vMerge w:val="continue"/>
            <w:noWrap w:val="0"/>
            <w:vAlign w:val="center"/>
          </w:tcPr>
          <w:p w14:paraId="4692F45F">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62AF9A76">
            <w:pPr>
              <w:widowControl/>
              <w:spacing w:line="300" w:lineRule="exact"/>
              <w:jc w:val="center"/>
              <w:textAlignment w:val="center"/>
              <w:rPr>
                <w:rFonts w:eastAsia="仿宋_GB2312"/>
                <w:color w:val="auto"/>
                <w:kern w:val="0"/>
                <w:szCs w:val="21"/>
                <w:highlight w:val="none"/>
                <w:lang w:bidi="ar"/>
              </w:rPr>
            </w:pPr>
          </w:p>
        </w:tc>
        <w:tc>
          <w:tcPr>
            <w:tcW w:w="401" w:type="pct"/>
            <w:noWrap w:val="0"/>
            <w:vAlign w:val="center"/>
          </w:tcPr>
          <w:p w14:paraId="427D24D2">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其他罐头</w:t>
            </w:r>
          </w:p>
        </w:tc>
        <w:tc>
          <w:tcPr>
            <w:tcW w:w="670" w:type="pct"/>
            <w:noWrap w:val="0"/>
            <w:vAlign w:val="center"/>
          </w:tcPr>
          <w:p w14:paraId="62BBA998">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其他罐头</w:t>
            </w:r>
          </w:p>
        </w:tc>
        <w:tc>
          <w:tcPr>
            <w:tcW w:w="284" w:type="pct"/>
            <w:noWrap w:val="0"/>
            <w:vAlign w:val="center"/>
          </w:tcPr>
          <w:p w14:paraId="056C16D8">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10B26468">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黄曲霉毒素B1、脱氢乙酸及其钠盐（以脱氢乙酸计）、苯甲酸及其钠盐（以苯甲酸计）、山梨酸及其钾盐（以山梨酸计）、乙二胺四乙酸二钠、商业无菌</w:t>
            </w:r>
          </w:p>
        </w:tc>
        <w:tc>
          <w:tcPr>
            <w:tcW w:w="1186" w:type="pct"/>
            <w:noWrap w:val="0"/>
            <w:vAlign w:val="center"/>
          </w:tcPr>
          <w:p w14:paraId="1D0E8A53">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w:t>
            </w:r>
          </w:p>
        </w:tc>
      </w:tr>
      <w:tr w14:paraId="3274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noWrap w:val="0"/>
            <w:vAlign w:val="center"/>
          </w:tcPr>
          <w:p w14:paraId="2EDD3866">
            <w:pPr>
              <w:widowControl/>
              <w:spacing w:line="300" w:lineRule="exact"/>
              <w:jc w:val="center"/>
              <w:textAlignment w:val="center"/>
              <w:rPr>
                <w:rFonts w:eastAsia="仿宋_GB2312"/>
                <w:b/>
                <w:bCs/>
                <w:color w:val="auto"/>
                <w:spacing w:val="5"/>
                <w:szCs w:val="21"/>
                <w:highlight w:val="none"/>
              </w:rPr>
            </w:pPr>
            <w:r>
              <w:rPr>
                <w:rFonts w:eastAsia="仿宋_GB2312"/>
                <w:color w:val="auto"/>
                <w:kern w:val="0"/>
                <w:szCs w:val="21"/>
                <w:highlight w:val="none"/>
                <w:lang w:bidi="ar"/>
              </w:rPr>
              <w:t>10</w:t>
            </w:r>
          </w:p>
        </w:tc>
        <w:tc>
          <w:tcPr>
            <w:tcW w:w="367" w:type="pct"/>
            <w:noWrap w:val="0"/>
            <w:vAlign w:val="center"/>
          </w:tcPr>
          <w:p w14:paraId="5A573B8D">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冷冻饮品</w:t>
            </w:r>
          </w:p>
        </w:tc>
        <w:tc>
          <w:tcPr>
            <w:tcW w:w="368" w:type="pct"/>
            <w:noWrap w:val="0"/>
            <w:vAlign w:val="center"/>
          </w:tcPr>
          <w:p w14:paraId="723E6CA6">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冷冻饮品</w:t>
            </w:r>
          </w:p>
        </w:tc>
        <w:tc>
          <w:tcPr>
            <w:tcW w:w="401" w:type="pct"/>
            <w:noWrap w:val="0"/>
            <w:vAlign w:val="center"/>
          </w:tcPr>
          <w:p w14:paraId="1D31F04F">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冷冻饮品</w:t>
            </w:r>
          </w:p>
        </w:tc>
        <w:tc>
          <w:tcPr>
            <w:tcW w:w="670" w:type="pct"/>
            <w:noWrap w:val="0"/>
            <w:vAlign w:val="center"/>
          </w:tcPr>
          <w:p w14:paraId="6F22E416">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冰淇淋、雪糕、雪泥、冰棍、食用冰、甜味冰、其他类</w:t>
            </w:r>
          </w:p>
        </w:tc>
        <w:tc>
          <w:tcPr>
            <w:tcW w:w="284" w:type="pct"/>
            <w:noWrap w:val="0"/>
            <w:vAlign w:val="center"/>
          </w:tcPr>
          <w:p w14:paraId="2C3994DD">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3B3B0670">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蛋白质、甜蜜素（以环己基氨基磺酸计）、三氯蔗糖、合成着色剂（柠檬黄、日落黄、新红、苋菜红、靛蓝、胭脂红、诱惑红、亮蓝、酸性红、喹啉黄、赤藓红）、相同色泽着色剂混合使用时各自用量占其最大使用量的比例之和、菌落总数、大肠菌群</w:t>
            </w:r>
          </w:p>
        </w:tc>
        <w:tc>
          <w:tcPr>
            <w:tcW w:w="1186" w:type="pct"/>
            <w:noWrap w:val="0"/>
            <w:vAlign w:val="center"/>
          </w:tcPr>
          <w:p w14:paraId="26EF61FA">
            <w:pPr>
              <w:widowControl/>
              <w:spacing w:line="300" w:lineRule="exact"/>
              <w:jc w:val="left"/>
              <w:textAlignment w:val="center"/>
              <w:rPr>
                <w:rStyle w:val="125"/>
                <w:rFonts w:hint="default" w:ascii="Times New Roman" w:hAnsi="Times New Roman" w:eastAsia="仿宋_GB2312" w:cs="Times New Roman"/>
                <w:color w:val="auto"/>
                <w:sz w:val="21"/>
                <w:szCs w:val="21"/>
                <w:highlight w:val="none"/>
                <w:lang w:bidi="ar"/>
              </w:rPr>
            </w:pPr>
            <w:r>
              <w:rPr>
                <w:rFonts w:eastAsia="仿宋_GB2312"/>
                <w:color w:val="auto"/>
                <w:kern w:val="0"/>
                <w:szCs w:val="21"/>
                <w:highlight w:val="none"/>
                <w:lang w:bidi="ar"/>
              </w:rPr>
              <w:t>糖精钠（以糖精计）、安赛蜜</w:t>
            </w:r>
          </w:p>
        </w:tc>
      </w:tr>
      <w:tr w14:paraId="7A7B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restart"/>
            <w:noWrap w:val="0"/>
            <w:vAlign w:val="center"/>
          </w:tcPr>
          <w:p w14:paraId="5016E8EF">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11</w:t>
            </w:r>
          </w:p>
        </w:tc>
        <w:tc>
          <w:tcPr>
            <w:tcW w:w="367" w:type="pct"/>
            <w:vMerge w:val="restart"/>
            <w:noWrap w:val="0"/>
            <w:vAlign w:val="center"/>
          </w:tcPr>
          <w:p w14:paraId="0B0BF884">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速冻食品</w:t>
            </w:r>
          </w:p>
        </w:tc>
        <w:tc>
          <w:tcPr>
            <w:tcW w:w="368" w:type="pct"/>
            <w:vMerge w:val="restart"/>
            <w:noWrap w:val="0"/>
            <w:vAlign w:val="center"/>
          </w:tcPr>
          <w:p w14:paraId="61C7259D">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速冻面米食品</w:t>
            </w:r>
          </w:p>
        </w:tc>
        <w:tc>
          <w:tcPr>
            <w:tcW w:w="401" w:type="pct"/>
            <w:vMerge w:val="restart"/>
            <w:noWrap w:val="0"/>
            <w:vAlign w:val="center"/>
          </w:tcPr>
          <w:p w14:paraId="11786582">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速冻面米食品</w:t>
            </w:r>
          </w:p>
        </w:tc>
        <w:tc>
          <w:tcPr>
            <w:tcW w:w="670" w:type="pct"/>
            <w:noWrap w:val="0"/>
            <w:vAlign w:val="center"/>
          </w:tcPr>
          <w:p w14:paraId="628DA724">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速冻面米生制品</w:t>
            </w:r>
          </w:p>
        </w:tc>
        <w:tc>
          <w:tcPr>
            <w:tcW w:w="284" w:type="pct"/>
            <w:noWrap w:val="0"/>
            <w:vAlign w:val="center"/>
          </w:tcPr>
          <w:p w14:paraId="2DA22AD6">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较高</w:t>
            </w:r>
          </w:p>
        </w:tc>
        <w:tc>
          <w:tcPr>
            <w:tcW w:w="1553" w:type="pct"/>
            <w:noWrap w:val="0"/>
            <w:vAlign w:val="center"/>
          </w:tcPr>
          <w:p w14:paraId="56A05808">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过氧化值（以脂肪计）、铅（以Pb计）、糖精钠（以糖精计）、甜蜜素（以环己基氨基磺酸计）、合成着色剂（柠檬黄、日落黄、苋菜红、亮蓝、胭脂红）</w:t>
            </w:r>
          </w:p>
        </w:tc>
        <w:tc>
          <w:tcPr>
            <w:tcW w:w="1186" w:type="pct"/>
            <w:noWrap w:val="0"/>
            <w:vAlign w:val="center"/>
          </w:tcPr>
          <w:p w14:paraId="73A8954C">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w:t>
            </w:r>
          </w:p>
        </w:tc>
      </w:tr>
      <w:tr w14:paraId="3D31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4B0964E9">
            <w:pPr>
              <w:spacing w:line="300" w:lineRule="exact"/>
              <w:jc w:val="center"/>
              <w:rPr>
                <w:rFonts w:eastAsia="仿宋_GB2312"/>
                <w:color w:val="auto"/>
                <w:kern w:val="0"/>
                <w:szCs w:val="21"/>
                <w:highlight w:val="none"/>
                <w:lang w:bidi="ar"/>
              </w:rPr>
            </w:pPr>
          </w:p>
        </w:tc>
        <w:tc>
          <w:tcPr>
            <w:tcW w:w="367" w:type="pct"/>
            <w:vMerge w:val="continue"/>
            <w:noWrap w:val="0"/>
            <w:vAlign w:val="center"/>
          </w:tcPr>
          <w:p w14:paraId="3FB59296">
            <w:pPr>
              <w:spacing w:line="300" w:lineRule="exact"/>
              <w:jc w:val="center"/>
              <w:rPr>
                <w:rFonts w:eastAsia="仿宋_GB2312"/>
                <w:color w:val="auto"/>
                <w:kern w:val="0"/>
                <w:szCs w:val="21"/>
                <w:highlight w:val="none"/>
                <w:lang w:bidi="ar"/>
              </w:rPr>
            </w:pPr>
          </w:p>
        </w:tc>
        <w:tc>
          <w:tcPr>
            <w:tcW w:w="368" w:type="pct"/>
            <w:vMerge w:val="continue"/>
            <w:noWrap w:val="0"/>
            <w:vAlign w:val="center"/>
          </w:tcPr>
          <w:p w14:paraId="32D0996A">
            <w:pPr>
              <w:spacing w:line="300" w:lineRule="exact"/>
              <w:jc w:val="center"/>
              <w:rPr>
                <w:rFonts w:eastAsia="仿宋_GB2312"/>
                <w:color w:val="auto"/>
                <w:kern w:val="0"/>
                <w:szCs w:val="21"/>
                <w:highlight w:val="none"/>
                <w:lang w:bidi="ar"/>
              </w:rPr>
            </w:pPr>
          </w:p>
        </w:tc>
        <w:tc>
          <w:tcPr>
            <w:tcW w:w="401" w:type="pct"/>
            <w:vMerge w:val="continue"/>
            <w:noWrap w:val="0"/>
            <w:vAlign w:val="center"/>
          </w:tcPr>
          <w:p w14:paraId="0BBE7BC1">
            <w:pPr>
              <w:spacing w:line="300" w:lineRule="exact"/>
              <w:jc w:val="center"/>
              <w:rPr>
                <w:rFonts w:eastAsia="仿宋_GB2312"/>
                <w:color w:val="auto"/>
                <w:kern w:val="0"/>
                <w:szCs w:val="21"/>
                <w:highlight w:val="none"/>
                <w:lang w:bidi="ar"/>
              </w:rPr>
            </w:pPr>
          </w:p>
        </w:tc>
        <w:tc>
          <w:tcPr>
            <w:tcW w:w="670" w:type="pct"/>
            <w:noWrap w:val="0"/>
            <w:vAlign w:val="center"/>
          </w:tcPr>
          <w:p w14:paraId="63E3AA5B">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速冻面米熟制品</w:t>
            </w:r>
          </w:p>
        </w:tc>
        <w:tc>
          <w:tcPr>
            <w:tcW w:w="284" w:type="pct"/>
            <w:noWrap w:val="0"/>
            <w:vAlign w:val="center"/>
          </w:tcPr>
          <w:p w14:paraId="4070CCEC">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较高</w:t>
            </w:r>
          </w:p>
        </w:tc>
        <w:tc>
          <w:tcPr>
            <w:tcW w:w="1553" w:type="pct"/>
            <w:noWrap w:val="0"/>
            <w:vAlign w:val="center"/>
          </w:tcPr>
          <w:p w14:paraId="0F7355EC">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过氧化值（以脂肪计）、铅（以Pb计）、糖精钠（以糖精计）、甜蜜素（以环己基氨基磺酸计）、合成着色剂（柠檬黄、日落黄、苋菜红、亮蓝、胭脂红）</w:t>
            </w:r>
          </w:p>
        </w:tc>
        <w:tc>
          <w:tcPr>
            <w:tcW w:w="1186" w:type="pct"/>
            <w:noWrap w:val="0"/>
            <w:vAlign w:val="center"/>
          </w:tcPr>
          <w:p w14:paraId="40F860C8">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菌落总数、大肠菌群、沙门氏菌、金黄色葡萄球菌</w:t>
            </w:r>
          </w:p>
        </w:tc>
      </w:tr>
      <w:tr w14:paraId="5B90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28099A6B">
            <w:pPr>
              <w:spacing w:line="300" w:lineRule="exact"/>
              <w:jc w:val="center"/>
              <w:rPr>
                <w:rFonts w:eastAsia="仿宋_GB2312"/>
                <w:color w:val="auto"/>
                <w:kern w:val="0"/>
                <w:szCs w:val="21"/>
                <w:highlight w:val="none"/>
                <w:lang w:bidi="ar"/>
              </w:rPr>
            </w:pPr>
          </w:p>
        </w:tc>
        <w:tc>
          <w:tcPr>
            <w:tcW w:w="367" w:type="pct"/>
            <w:vMerge w:val="continue"/>
            <w:noWrap w:val="0"/>
            <w:vAlign w:val="center"/>
          </w:tcPr>
          <w:p w14:paraId="701A302A">
            <w:pPr>
              <w:spacing w:line="300" w:lineRule="exact"/>
              <w:jc w:val="center"/>
              <w:rPr>
                <w:rFonts w:eastAsia="仿宋_GB2312"/>
                <w:color w:val="auto"/>
                <w:kern w:val="0"/>
                <w:szCs w:val="21"/>
                <w:highlight w:val="none"/>
                <w:lang w:bidi="ar"/>
              </w:rPr>
            </w:pPr>
          </w:p>
        </w:tc>
        <w:tc>
          <w:tcPr>
            <w:tcW w:w="368" w:type="pct"/>
            <w:vMerge w:val="restart"/>
            <w:noWrap w:val="0"/>
            <w:vAlign w:val="center"/>
          </w:tcPr>
          <w:p w14:paraId="19719E3B">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速冻调制食品</w:t>
            </w:r>
          </w:p>
        </w:tc>
        <w:tc>
          <w:tcPr>
            <w:tcW w:w="401" w:type="pct"/>
            <w:noWrap w:val="0"/>
            <w:vAlign w:val="center"/>
          </w:tcPr>
          <w:p w14:paraId="45C10968">
            <w:pPr>
              <w:widowControl/>
              <w:spacing w:line="300" w:lineRule="exact"/>
              <w:jc w:val="center"/>
              <w:textAlignment w:val="center"/>
              <w:rPr>
                <w:rFonts w:eastAsia="仿宋_GB2312"/>
                <w:color w:val="auto"/>
                <w:kern w:val="0"/>
                <w:szCs w:val="21"/>
                <w:highlight w:val="none"/>
                <w:lang w:bidi="ar"/>
              </w:rPr>
            </w:pPr>
            <w:r>
              <w:rPr>
                <w:rStyle w:val="126"/>
                <w:rFonts w:ascii="Times New Roman" w:cs="Times New Roman"/>
                <w:color w:val="auto"/>
                <w:sz w:val="21"/>
                <w:szCs w:val="21"/>
                <w:highlight w:val="none"/>
                <w:lang w:bidi="ar"/>
              </w:rPr>
              <w:t>速冻调理肉制</w:t>
            </w:r>
            <w:r>
              <w:rPr>
                <w:rStyle w:val="176"/>
                <w:rFonts w:hint="default" w:ascii="Times New Roman" w:hAnsi="Times New Roman" w:eastAsia="仿宋_GB2312"/>
                <w:color w:val="auto"/>
                <w:sz w:val="21"/>
                <w:szCs w:val="21"/>
                <w:highlight w:val="none"/>
                <w:lang w:bidi="ar"/>
              </w:rPr>
              <w:t>品</w:t>
            </w:r>
          </w:p>
        </w:tc>
        <w:tc>
          <w:tcPr>
            <w:tcW w:w="670" w:type="pct"/>
            <w:noWrap w:val="0"/>
            <w:vAlign w:val="center"/>
          </w:tcPr>
          <w:p w14:paraId="73DCC6B0">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速冻调理肉制品</w:t>
            </w:r>
          </w:p>
        </w:tc>
        <w:tc>
          <w:tcPr>
            <w:tcW w:w="284" w:type="pct"/>
            <w:noWrap w:val="0"/>
            <w:vAlign w:val="center"/>
          </w:tcPr>
          <w:p w14:paraId="11E86D1C">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425A57DD">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过氧化值（以脂肪计）、铬（以Cr计）、合成着色剂（胭脂红、柠檬黄、日落黄、诱惑红）、亚硝酸盐（以亚硝酸钠计）、苯甲酸及其钠盐（以苯甲酸计）、山梨酸及其钾盐（以山梨酸计）、沙门氏菌</w:t>
            </w:r>
          </w:p>
        </w:tc>
        <w:tc>
          <w:tcPr>
            <w:tcW w:w="1186" w:type="pct"/>
            <w:noWrap w:val="0"/>
            <w:vAlign w:val="center"/>
          </w:tcPr>
          <w:p w14:paraId="0622D9B1">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铅（以Pb计）、氯霉素</w:t>
            </w:r>
          </w:p>
        </w:tc>
      </w:tr>
      <w:tr w14:paraId="53D6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6" w:type="pct"/>
            <w:vMerge w:val="continue"/>
            <w:noWrap w:val="0"/>
            <w:vAlign w:val="center"/>
          </w:tcPr>
          <w:p w14:paraId="49549FF7">
            <w:pPr>
              <w:spacing w:line="300" w:lineRule="exact"/>
              <w:jc w:val="center"/>
              <w:rPr>
                <w:rFonts w:eastAsia="仿宋_GB2312"/>
                <w:color w:val="auto"/>
                <w:kern w:val="0"/>
                <w:szCs w:val="21"/>
                <w:highlight w:val="none"/>
                <w:lang w:bidi="ar"/>
              </w:rPr>
            </w:pPr>
          </w:p>
        </w:tc>
        <w:tc>
          <w:tcPr>
            <w:tcW w:w="367" w:type="pct"/>
            <w:vMerge w:val="continue"/>
            <w:noWrap w:val="0"/>
            <w:vAlign w:val="center"/>
          </w:tcPr>
          <w:p w14:paraId="79A49A74">
            <w:pPr>
              <w:spacing w:line="300" w:lineRule="exact"/>
              <w:jc w:val="center"/>
              <w:rPr>
                <w:rFonts w:eastAsia="仿宋_GB2312"/>
                <w:color w:val="auto"/>
                <w:kern w:val="0"/>
                <w:szCs w:val="21"/>
                <w:highlight w:val="none"/>
                <w:lang w:bidi="ar"/>
              </w:rPr>
            </w:pPr>
          </w:p>
        </w:tc>
        <w:tc>
          <w:tcPr>
            <w:tcW w:w="368" w:type="pct"/>
            <w:vMerge w:val="continue"/>
            <w:noWrap w:val="0"/>
            <w:vAlign w:val="center"/>
          </w:tcPr>
          <w:p w14:paraId="62C5FDF7">
            <w:pPr>
              <w:spacing w:line="300" w:lineRule="exact"/>
              <w:jc w:val="center"/>
              <w:rPr>
                <w:rFonts w:eastAsia="仿宋_GB2312"/>
                <w:color w:val="auto"/>
                <w:kern w:val="0"/>
                <w:szCs w:val="21"/>
                <w:highlight w:val="none"/>
                <w:lang w:bidi="ar"/>
              </w:rPr>
            </w:pPr>
          </w:p>
        </w:tc>
        <w:tc>
          <w:tcPr>
            <w:tcW w:w="401" w:type="pct"/>
            <w:noWrap w:val="0"/>
            <w:vAlign w:val="center"/>
          </w:tcPr>
          <w:p w14:paraId="4B5ACC8B">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速冻调制水产制品</w:t>
            </w:r>
          </w:p>
        </w:tc>
        <w:tc>
          <w:tcPr>
            <w:tcW w:w="670" w:type="pct"/>
            <w:noWrap w:val="0"/>
            <w:vAlign w:val="center"/>
          </w:tcPr>
          <w:p w14:paraId="389BF02D">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速冻调制水产制品</w:t>
            </w:r>
          </w:p>
        </w:tc>
        <w:tc>
          <w:tcPr>
            <w:tcW w:w="284" w:type="pct"/>
            <w:noWrap w:val="0"/>
            <w:vAlign w:val="center"/>
          </w:tcPr>
          <w:p w14:paraId="2C9BBC19">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49C5FB27">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挥发性盐基氮、苯甲酸及其钠盐（以苯甲酸计）、山梨酸及其钾盐（以山梨酸计）、二氧化硫残留量、沙门氏菌、单核细胞增生李斯特氏菌</w:t>
            </w:r>
          </w:p>
        </w:tc>
        <w:tc>
          <w:tcPr>
            <w:tcW w:w="1186" w:type="pct"/>
            <w:noWrap w:val="0"/>
            <w:vAlign w:val="center"/>
          </w:tcPr>
          <w:p w14:paraId="609E873A">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菌落总数、大肠菌群、副溶血性弧菌</w:t>
            </w:r>
          </w:p>
        </w:tc>
      </w:tr>
      <w:tr w14:paraId="5259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50B5823F">
            <w:pPr>
              <w:spacing w:line="300" w:lineRule="exact"/>
              <w:jc w:val="center"/>
              <w:rPr>
                <w:rFonts w:eastAsia="仿宋_GB2312"/>
                <w:color w:val="auto"/>
                <w:kern w:val="0"/>
                <w:szCs w:val="21"/>
                <w:highlight w:val="none"/>
                <w:lang w:bidi="ar"/>
              </w:rPr>
            </w:pPr>
          </w:p>
        </w:tc>
        <w:tc>
          <w:tcPr>
            <w:tcW w:w="367" w:type="pct"/>
            <w:vMerge w:val="continue"/>
            <w:noWrap w:val="0"/>
            <w:vAlign w:val="center"/>
          </w:tcPr>
          <w:p w14:paraId="125EF2CA">
            <w:pPr>
              <w:spacing w:line="300" w:lineRule="exact"/>
              <w:jc w:val="center"/>
              <w:rPr>
                <w:rFonts w:eastAsia="仿宋_GB2312"/>
                <w:color w:val="auto"/>
                <w:kern w:val="0"/>
                <w:szCs w:val="21"/>
                <w:highlight w:val="none"/>
                <w:lang w:bidi="ar"/>
              </w:rPr>
            </w:pPr>
          </w:p>
        </w:tc>
        <w:tc>
          <w:tcPr>
            <w:tcW w:w="368" w:type="pct"/>
            <w:vMerge w:val="restart"/>
            <w:noWrap w:val="0"/>
            <w:vAlign w:val="center"/>
          </w:tcPr>
          <w:p w14:paraId="0C8B7D86">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速冻其他食品</w:t>
            </w:r>
          </w:p>
        </w:tc>
        <w:tc>
          <w:tcPr>
            <w:tcW w:w="401" w:type="pct"/>
            <w:noWrap w:val="0"/>
            <w:vAlign w:val="center"/>
          </w:tcPr>
          <w:p w14:paraId="27ED8FB9">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速冻谷物食品</w:t>
            </w:r>
          </w:p>
        </w:tc>
        <w:tc>
          <w:tcPr>
            <w:tcW w:w="670" w:type="pct"/>
            <w:noWrap w:val="0"/>
            <w:vAlign w:val="center"/>
          </w:tcPr>
          <w:p w14:paraId="5761ABB7">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速冻谷物食品</w:t>
            </w:r>
          </w:p>
        </w:tc>
        <w:tc>
          <w:tcPr>
            <w:tcW w:w="284" w:type="pct"/>
            <w:noWrap w:val="0"/>
            <w:vAlign w:val="center"/>
          </w:tcPr>
          <w:p w14:paraId="20FFDCAD">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1697643E">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铅（以Pb计）、黄曲霉毒素B</w:t>
            </w:r>
            <w:r>
              <w:rPr>
                <w:rFonts w:eastAsia="仿宋_GB2312"/>
                <w:color w:val="auto"/>
                <w:kern w:val="0"/>
                <w:szCs w:val="21"/>
                <w:highlight w:val="none"/>
                <w:vertAlign w:val="subscript"/>
                <w:lang w:bidi="ar"/>
              </w:rPr>
              <w:t>1</w:t>
            </w:r>
          </w:p>
        </w:tc>
        <w:tc>
          <w:tcPr>
            <w:tcW w:w="1186" w:type="pct"/>
            <w:noWrap w:val="0"/>
            <w:vAlign w:val="center"/>
          </w:tcPr>
          <w:p w14:paraId="1A5F99C6">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w:t>
            </w:r>
          </w:p>
        </w:tc>
      </w:tr>
      <w:tr w14:paraId="1EA7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6B595F44">
            <w:pPr>
              <w:spacing w:line="300" w:lineRule="exact"/>
              <w:jc w:val="center"/>
              <w:rPr>
                <w:rFonts w:eastAsia="仿宋_GB2312"/>
                <w:color w:val="auto"/>
                <w:kern w:val="0"/>
                <w:szCs w:val="21"/>
                <w:highlight w:val="none"/>
                <w:lang w:bidi="ar"/>
              </w:rPr>
            </w:pPr>
          </w:p>
        </w:tc>
        <w:tc>
          <w:tcPr>
            <w:tcW w:w="367" w:type="pct"/>
            <w:vMerge w:val="continue"/>
            <w:noWrap w:val="0"/>
            <w:vAlign w:val="center"/>
          </w:tcPr>
          <w:p w14:paraId="5CA2EBDD">
            <w:pPr>
              <w:spacing w:line="300" w:lineRule="exact"/>
              <w:jc w:val="center"/>
              <w:rPr>
                <w:rFonts w:eastAsia="仿宋_GB2312"/>
                <w:color w:val="auto"/>
                <w:kern w:val="0"/>
                <w:szCs w:val="21"/>
                <w:highlight w:val="none"/>
                <w:lang w:bidi="ar"/>
              </w:rPr>
            </w:pPr>
          </w:p>
        </w:tc>
        <w:tc>
          <w:tcPr>
            <w:tcW w:w="368" w:type="pct"/>
            <w:vMerge w:val="continue"/>
            <w:noWrap w:val="0"/>
            <w:vAlign w:val="center"/>
          </w:tcPr>
          <w:p w14:paraId="3F440423">
            <w:pPr>
              <w:spacing w:line="300" w:lineRule="exact"/>
              <w:jc w:val="center"/>
              <w:rPr>
                <w:rFonts w:eastAsia="仿宋_GB2312"/>
                <w:color w:val="auto"/>
                <w:kern w:val="0"/>
                <w:szCs w:val="21"/>
                <w:highlight w:val="none"/>
                <w:lang w:bidi="ar"/>
              </w:rPr>
            </w:pPr>
          </w:p>
        </w:tc>
        <w:tc>
          <w:tcPr>
            <w:tcW w:w="401" w:type="pct"/>
            <w:noWrap w:val="0"/>
            <w:vAlign w:val="center"/>
          </w:tcPr>
          <w:p w14:paraId="7495D3A7">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速冻蔬菜制品</w:t>
            </w:r>
          </w:p>
        </w:tc>
        <w:tc>
          <w:tcPr>
            <w:tcW w:w="670" w:type="pct"/>
            <w:noWrap w:val="0"/>
            <w:vAlign w:val="center"/>
          </w:tcPr>
          <w:p w14:paraId="0A5768F9">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速冻蔬菜制品</w:t>
            </w:r>
          </w:p>
        </w:tc>
        <w:tc>
          <w:tcPr>
            <w:tcW w:w="284" w:type="pct"/>
            <w:noWrap w:val="0"/>
            <w:vAlign w:val="center"/>
          </w:tcPr>
          <w:p w14:paraId="2ED481AD">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7FC303BE">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铅（以Pb计）、镉（以Cd计）、糖精钠（以糖精计）</w:t>
            </w:r>
          </w:p>
        </w:tc>
        <w:tc>
          <w:tcPr>
            <w:tcW w:w="1186" w:type="pct"/>
            <w:noWrap w:val="0"/>
            <w:vAlign w:val="center"/>
          </w:tcPr>
          <w:p w14:paraId="67408CC9">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w:t>
            </w:r>
          </w:p>
        </w:tc>
      </w:tr>
      <w:tr w14:paraId="5CE6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6CA34B9E">
            <w:pPr>
              <w:spacing w:line="300" w:lineRule="exact"/>
              <w:jc w:val="center"/>
              <w:rPr>
                <w:rFonts w:eastAsia="仿宋_GB2312"/>
                <w:color w:val="auto"/>
                <w:kern w:val="0"/>
                <w:szCs w:val="21"/>
                <w:highlight w:val="none"/>
                <w:lang w:bidi="ar"/>
              </w:rPr>
            </w:pPr>
          </w:p>
        </w:tc>
        <w:tc>
          <w:tcPr>
            <w:tcW w:w="367" w:type="pct"/>
            <w:vMerge w:val="continue"/>
            <w:noWrap w:val="0"/>
            <w:vAlign w:val="center"/>
          </w:tcPr>
          <w:p w14:paraId="470D5169">
            <w:pPr>
              <w:spacing w:line="300" w:lineRule="exact"/>
              <w:jc w:val="center"/>
              <w:rPr>
                <w:rFonts w:eastAsia="仿宋_GB2312"/>
                <w:color w:val="auto"/>
                <w:kern w:val="0"/>
                <w:szCs w:val="21"/>
                <w:highlight w:val="none"/>
                <w:lang w:bidi="ar"/>
              </w:rPr>
            </w:pPr>
          </w:p>
        </w:tc>
        <w:tc>
          <w:tcPr>
            <w:tcW w:w="368" w:type="pct"/>
            <w:vMerge w:val="continue"/>
            <w:noWrap w:val="0"/>
            <w:vAlign w:val="center"/>
          </w:tcPr>
          <w:p w14:paraId="2B8C4C1B">
            <w:pPr>
              <w:spacing w:line="300" w:lineRule="exact"/>
              <w:jc w:val="center"/>
              <w:rPr>
                <w:rFonts w:eastAsia="仿宋_GB2312"/>
                <w:color w:val="auto"/>
                <w:kern w:val="0"/>
                <w:szCs w:val="21"/>
                <w:highlight w:val="none"/>
                <w:lang w:bidi="ar"/>
              </w:rPr>
            </w:pPr>
          </w:p>
        </w:tc>
        <w:tc>
          <w:tcPr>
            <w:tcW w:w="401" w:type="pct"/>
            <w:noWrap w:val="0"/>
            <w:vAlign w:val="center"/>
          </w:tcPr>
          <w:p w14:paraId="403AA204">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速冻水果制品</w:t>
            </w:r>
          </w:p>
        </w:tc>
        <w:tc>
          <w:tcPr>
            <w:tcW w:w="670" w:type="pct"/>
            <w:noWrap w:val="0"/>
            <w:vAlign w:val="center"/>
          </w:tcPr>
          <w:p w14:paraId="672F7927">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速冻水果制品</w:t>
            </w:r>
          </w:p>
        </w:tc>
        <w:tc>
          <w:tcPr>
            <w:tcW w:w="284" w:type="pct"/>
            <w:noWrap w:val="0"/>
            <w:vAlign w:val="center"/>
          </w:tcPr>
          <w:p w14:paraId="4866C6D2">
            <w:pPr>
              <w:widowControl/>
              <w:spacing w:line="300" w:lineRule="exact"/>
              <w:jc w:val="center"/>
              <w:textAlignment w:val="center"/>
              <w:rPr>
                <w:rFonts w:eastAsia="仿宋_GB2312"/>
                <w:color w:val="auto"/>
                <w:kern w:val="0"/>
                <w:szCs w:val="21"/>
                <w:highlight w:val="none"/>
                <w:lang w:bidi="ar"/>
              </w:rPr>
            </w:pPr>
            <w:r>
              <w:rPr>
                <w:rFonts w:eastAsia="仿宋_GB2312"/>
                <w:color w:val="auto"/>
                <w:kern w:val="0"/>
                <w:szCs w:val="21"/>
                <w:highlight w:val="none"/>
                <w:lang w:bidi="ar"/>
              </w:rPr>
              <w:t>一般</w:t>
            </w:r>
          </w:p>
        </w:tc>
        <w:tc>
          <w:tcPr>
            <w:tcW w:w="1553" w:type="pct"/>
            <w:noWrap w:val="0"/>
            <w:vAlign w:val="center"/>
          </w:tcPr>
          <w:p w14:paraId="52B4DD2A">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铅（以Pb计）、菌落总数、大肠菌群、霉菌、沙门氏菌、金黄色葡萄球菌</w:t>
            </w:r>
          </w:p>
        </w:tc>
        <w:tc>
          <w:tcPr>
            <w:tcW w:w="1186" w:type="pct"/>
            <w:noWrap w:val="0"/>
            <w:vAlign w:val="center"/>
          </w:tcPr>
          <w:p w14:paraId="403445A8">
            <w:pPr>
              <w:widowControl/>
              <w:spacing w:line="300" w:lineRule="exact"/>
              <w:jc w:val="left"/>
              <w:textAlignment w:val="center"/>
              <w:rPr>
                <w:rFonts w:eastAsia="仿宋_GB2312"/>
                <w:color w:val="auto"/>
                <w:kern w:val="0"/>
                <w:szCs w:val="21"/>
                <w:highlight w:val="none"/>
                <w:lang w:bidi="ar"/>
              </w:rPr>
            </w:pPr>
            <w:r>
              <w:rPr>
                <w:rFonts w:eastAsia="仿宋_GB2312"/>
                <w:color w:val="auto"/>
                <w:kern w:val="0"/>
                <w:szCs w:val="21"/>
                <w:highlight w:val="none"/>
                <w:lang w:bidi="ar"/>
              </w:rPr>
              <w:t>镉（以Cd计）</w:t>
            </w:r>
          </w:p>
        </w:tc>
      </w:tr>
      <w:tr w14:paraId="48D6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66" w:type="pct"/>
            <w:vMerge w:val="restart"/>
            <w:noWrap w:val="0"/>
            <w:vAlign w:val="center"/>
          </w:tcPr>
          <w:p w14:paraId="414675B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12</w:t>
            </w:r>
          </w:p>
        </w:tc>
        <w:tc>
          <w:tcPr>
            <w:tcW w:w="367" w:type="pct"/>
            <w:vMerge w:val="restart"/>
            <w:noWrap w:val="0"/>
            <w:vAlign w:val="center"/>
          </w:tcPr>
          <w:p w14:paraId="791625E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薯类和膨化食品</w:t>
            </w:r>
          </w:p>
        </w:tc>
        <w:tc>
          <w:tcPr>
            <w:tcW w:w="368" w:type="pct"/>
            <w:vMerge w:val="restart"/>
            <w:noWrap w:val="0"/>
            <w:vAlign w:val="center"/>
          </w:tcPr>
          <w:p w14:paraId="3FA16C4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薯类和膨化食品</w:t>
            </w:r>
          </w:p>
        </w:tc>
        <w:tc>
          <w:tcPr>
            <w:tcW w:w="401" w:type="pct"/>
            <w:noWrap w:val="0"/>
            <w:vAlign w:val="center"/>
          </w:tcPr>
          <w:p w14:paraId="5EC65FE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膨化食品</w:t>
            </w:r>
          </w:p>
        </w:tc>
        <w:tc>
          <w:tcPr>
            <w:tcW w:w="670" w:type="pct"/>
            <w:noWrap w:val="0"/>
            <w:vAlign w:val="center"/>
          </w:tcPr>
          <w:p w14:paraId="399DFB8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含油型膨化食品和非含油型膨化食品</w:t>
            </w:r>
          </w:p>
        </w:tc>
        <w:tc>
          <w:tcPr>
            <w:tcW w:w="284" w:type="pct"/>
            <w:noWrap w:val="0"/>
            <w:vAlign w:val="center"/>
          </w:tcPr>
          <w:p w14:paraId="430979A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较高</w:t>
            </w:r>
          </w:p>
        </w:tc>
        <w:tc>
          <w:tcPr>
            <w:tcW w:w="1553" w:type="pct"/>
            <w:noWrap w:val="0"/>
            <w:vAlign w:val="center"/>
          </w:tcPr>
          <w:p w14:paraId="79596451">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水分、酸价（以脂肪计）（KOH）、过氧化值（以脂肪计）、糖精钠（以糖精计）、纽甜、三氯蔗糖、合成着色剂（新红、苋菜红、酸性红、喹啉黄）</w:t>
            </w:r>
          </w:p>
        </w:tc>
        <w:tc>
          <w:tcPr>
            <w:tcW w:w="1186" w:type="pct"/>
            <w:noWrap w:val="0"/>
            <w:vAlign w:val="center"/>
          </w:tcPr>
          <w:p w14:paraId="18E9EFDE">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菌落总数、苯甲酸及其钠盐（以苯甲酸计）、山梨酸及其钾盐（以山梨酸计）、甜蜜素（以环己基氨基磺酸计）、黄曲霉毒素B1、大肠菌群、沙门氏菌、金黄色葡萄球菌</w:t>
            </w:r>
          </w:p>
        </w:tc>
      </w:tr>
      <w:tr w14:paraId="034A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5A61253D">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69A0E551">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5314B97E">
            <w:pPr>
              <w:widowControl/>
              <w:spacing w:line="300" w:lineRule="exact"/>
              <w:jc w:val="center"/>
              <w:textAlignment w:val="center"/>
              <w:rPr>
                <w:rFonts w:eastAsia="仿宋_GB2312"/>
                <w:color w:val="auto"/>
                <w:kern w:val="0"/>
                <w:szCs w:val="21"/>
                <w:highlight w:val="none"/>
                <w:lang w:bidi="ar"/>
              </w:rPr>
            </w:pPr>
          </w:p>
        </w:tc>
        <w:tc>
          <w:tcPr>
            <w:tcW w:w="401" w:type="pct"/>
            <w:vMerge w:val="restart"/>
            <w:noWrap w:val="0"/>
            <w:vAlign w:val="center"/>
          </w:tcPr>
          <w:p w14:paraId="5462E20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薯类食品</w:t>
            </w:r>
          </w:p>
        </w:tc>
        <w:tc>
          <w:tcPr>
            <w:tcW w:w="670" w:type="pct"/>
            <w:noWrap w:val="0"/>
            <w:vAlign w:val="center"/>
          </w:tcPr>
          <w:p w14:paraId="6AA6EF4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干制薯类</w:t>
            </w:r>
          </w:p>
        </w:tc>
        <w:tc>
          <w:tcPr>
            <w:tcW w:w="284" w:type="pct"/>
            <w:noWrap w:val="0"/>
            <w:vAlign w:val="center"/>
          </w:tcPr>
          <w:p w14:paraId="452C938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783AC25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酸价（以脂肪计）（KOH）、过氧化值（以脂肪计）、铅（以Pb计）、二氧化硫残留量、菌落总数、大肠菌群</w:t>
            </w:r>
          </w:p>
        </w:tc>
        <w:tc>
          <w:tcPr>
            <w:tcW w:w="1186" w:type="pct"/>
            <w:noWrap w:val="0"/>
            <w:vAlign w:val="center"/>
          </w:tcPr>
          <w:p w14:paraId="43A92BF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沙门氏菌、金黄色葡萄球菌</w:t>
            </w:r>
          </w:p>
        </w:tc>
      </w:tr>
      <w:tr w14:paraId="5B48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1AEDEBD7">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0AC94915">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5C259336">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62889343">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7D0321E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冷冻薯类</w:t>
            </w:r>
          </w:p>
        </w:tc>
        <w:tc>
          <w:tcPr>
            <w:tcW w:w="284" w:type="pct"/>
            <w:noWrap w:val="0"/>
            <w:vAlign w:val="center"/>
          </w:tcPr>
          <w:p w14:paraId="298C2BC2">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2495143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w:t>
            </w:r>
          </w:p>
        </w:tc>
        <w:tc>
          <w:tcPr>
            <w:tcW w:w="1186" w:type="pct"/>
            <w:noWrap w:val="0"/>
            <w:vAlign w:val="center"/>
          </w:tcPr>
          <w:p w14:paraId="5D222961">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7026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 w:type="pct"/>
            <w:vMerge w:val="continue"/>
            <w:noWrap w:val="0"/>
            <w:vAlign w:val="center"/>
          </w:tcPr>
          <w:p w14:paraId="3F30742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3DC81BB1">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05677FFE">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25C7C920">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195FB21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薯泥（酱）类</w:t>
            </w:r>
          </w:p>
        </w:tc>
        <w:tc>
          <w:tcPr>
            <w:tcW w:w="284" w:type="pct"/>
            <w:noWrap w:val="0"/>
            <w:vAlign w:val="center"/>
          </w:tcPr>
          <w:p w14:paraId="7F9956B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7FA24ED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铅（以Pb计）、苯甲酸及其钠盐（以苯甲酸计）、山梨酸及其钾盐（以山梨酸计）、商业无菌、沙门氏菌、金黄色葡萄球菌</w:t>
            </w:r>
          </w:p>
        </w:tc>
        <w:tc>
          <w:tcPr>
            <w:tcW w:w="1186" w:type="pct"/>
            <w:noWrap w:val="0"/>
            <w:vAlign w:val="center"/>
          </w:tcPr>
          <w:p w14:paraId="403BD59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210A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37700EEF">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2983E6B3">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41E48AE0">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46E9E88C">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1DDD463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薯粉类</w:t>
            </w:r>
          </w:p>
        </w:tc>
        <w:tc>
          <w:tcPr>
            <w:tcW w:w="284" w:type="pct"/>
            <w:noWrap w:val="0"/>
            <w:vAlign w:val="center"/>
          </w:tcPr>
          <w:p w14:paraId="0E1B4B7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491CD57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铅（以Pb计）、二氧化硫残留量</w:t>
            </w:r>
          </w:p>
        </w:tc>
        <w:tc>
          <w:tcPr>
            <w:tcW w:w="1186" w:type="pct"/>
            <w:noWrap w:val="0"/>
            <w:vAlign w:val="center"/>
          </w:tcPr>
          <w:p w14:paraId="649B953E">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19D1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798DF4A8">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01BDEA37">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48201269">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5EC492B7">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7696104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其他薯类食品</w:t>
            </w:r>
          </w:p>
        </w:tc>
        <w:tc>
          <w:tcPr>
            <w:tcW w:w="284" w:type="pct"/>
            <w:noWrap w:val="0"/>
            <w:vAlign w:val="center"/>
          </w:tcPr>
          <w:p w14:paraId="34CB7D5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518BB8F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铅（以Pb计）、沙门氏菌、金黄色葡萄球菌</w:t>
            </w:r>
          </w:p>
        </w:tc>
        <w:tc>
          <w:tcPr>
            <w:tcW w:w="1186" w:type="pct"/>
            <w:noWrap w:val="0"/>
            <w:vAlign w:val="center"/>
          </w:tcPr>
          <w:p w14:paraId="0C227477">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06A4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166" w:type="pct"/>
            <w:vMerge w:val="restart"/>
            <w:noWrap w:val="0"/>
            <w:vAlign w:val="center"/>
          </w:tcPr>
          <w:p w14:paraId="6F7580A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13</w:t>
            </w:r>
          </w:p>
        </w:tc>
        <w:tc>
          <w:tcPr>
            <w:tcW w:w="367" w:type="pct"/>
            <w:vMerge w:val="restart"/>
            <w:noWrap w:val="0"/>
            <w:vAlign w:val="center"/>
          </w:tcPr>
          <w:p w14:paraId="4368A75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糖果制品</w:t>
            </w:r>
          </w:p>
        </w:tc>
        <w:tc>
          <w:tcPr>
            <w:tcW w:w="368" w:type="pct"/>
            <w:vMerge w:val="restart"/>
            <w:noWrap w:val="0"/>
            <w:vAlign w:val="center"/>
          </w:tcPr>
          <w:p w14:paraId="21941FB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糖果制品(含巧克力及制品)</w:t>
            </w:r>
          </w:p>
        </w:tc>
        <w:tc>
          <w:tcPr>
            <w:tcW w:w="401" w:type="pct"/>
            <w:noWrap w:val="0"/>
            <w:vAlign w:val="center"/>
          </w:tcPr>
          <w:p w14:paraId="4CB9638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糖果</w:t>
            </w:r>
          </w:p>
        </w:tc>
        <w:tc>
          <w:tcPr>
            <w:tcW w:w="670" w:type="pct"/>
            <w:noWrap w:val="0"/>
            <w:vAlign w:val="center"/>
          </w:tcPr>
          <w:p w14:paraId="55ACC4E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糖果</w:t>
            </w:r>
          </w:p>
        </w:tc>
        <w:tc>
          <w:tcPr>
            <w:tcW w:w="284" w:type="pct"/>
            <w:noWrap w:val="0"/>
            <w:vAlign w:val="center"/>
          </w:tcPr>
          <w:p w14:paraId="23F7C4D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1A4051F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西地那非、他达拉非、酚丁、双酚沙丁、双丙酚丁、脱乙酰比沙可啶</w:t>
            </w:r>
          </w:p>
        </w:tc>
        <w:tc>
          <w:tcPr>
            <w:tcW w:w="1186" w:type="pct"/>
            <w:noWrap w:val="0"/>
            <w:vAlign w:val="center"/>
          </w:tcPr>
          <w:p w14:paraId="25148B9D">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w:t>
            </w:r>
          </w:p>
        </w:tc>
      </w:tr>
      <w:tr w14:paraId="600A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vMerge w:val="continue"/>
            <w:noWrap w:val="0"/>
            <w:vAlign w:val="center"/>
          </w:tcPr>
          <w:p w14:paraId="77315EF0">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3B8F7AD6">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3209290F">
            <w:pPr>
              <w:widowControl/>
              <w:spacing w:line="300" w:lineRule="exact"/>
              <w:jc w:val="center"/>
              <w:textAlignment w:val="center"/>
              <w:rPr>
                <w:rFonts w:eastAsia="仿宋_GB2312"/>
                <w:color w:val="auto"/>
                <w:kern w:val="0"/>
                <w:szCs w:val="21"/>
                <w:highlight w:val="none"/>
                <w:lang w:bidi="ar"/>
              </w:rPr>
            </w:pPr>
          </w:p>
        </w:tc>
        <w:tc>
          <w:tcPr>
            <w:tcW w:w="401" w:type="pct"/>
            <w:noWrap w:val="0"/>
            <w:vAlign w:val="center"/>
          </w:tcPr>
          <w:p w14:paraId="13DBB05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巧克力及巧克力制品</w:t>
            </w:r>
          </w:p>
        </w:tc>
        <w:tc>
          <w:tcPr>
            <w:tcW w:w="670" w:type="pct"/>
            <w:noWrap w:val="0"/>
            <w:vAlign w:val="center"/>
          </w:tcPr>
          <w:p w14:paraId="2EFF282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巧克力、巧克力制品、代可可脂巧克力及代可可脂巧克力制品</w:t>
            </w:r>
          </w:p>
        </w:tc>
        <w:tc>
          <w:tcPr>
            <w:tcW w:w="284" w:type="pct"/>
            <w:noWrap w:val="0"/>
            <w:vAlign w:val="center"/>
          </w:tcPr>
          <w:p w14:paraId="00422982">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5D713BA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铅（以Pb计）、沙门氏菌</w:t>
            </w:r>
          </w:p>
        </w:tc>
        <w:tc>
          <w:tcPr>
            <w:tcW w:w="1186" w:type="pct"/>
            <w:noWrap w:val="0"/>
            <w:vAlign w:val="center"/>
          </w:tcPr>
          <w:p w14:paraId="2779B37D">
            <w:pPr>
              <w:widowControl/>
              <w:spacing w:line="300" w:lineRule="exact"/>
              <w:jc w:val="left"/>
              <w:rPr>
                <w:rFonts w:eastAsia="仿宋_GB2312"/>
                <w:color w:val="auto"/>
                <w:kern w:val="0"/>
                <w:szCs w:val="21"/>
                <w:highlight w:val="none"/>
              </w:rPr>
            </w:pPr>
            <w:r>
              <w:rPr>
                <w:rFonts w:hint="eastAsia" w:eastAsia="仿宋_GB2312"/>
                <w:color w:val="auto"/>
                <w:kern w:val="0"/>
                <w:szCs w:val="21"/>
                <w:highlight w:val="none"/>
              </w:rPr>
              <w:t>/</w:t>
            </w:r>
          </w:p>
        </w:tc>
      </w:tr>
      <w:tr w14:paraId="5648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166" w:type="pct"/>
            <w:vMerge w:val="continue"/>
            <w:noWrap w:val="0"/>
            <w:vAlign w:val="center"/>
          </w:tcPr>
          <w:p w14:paraId="0DA92A2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3BB7505E">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430CB3B5">
            <w:pPr>
              <w:widowControl/>
              <w:spacing w:line="300" w:lineRule="exact"/>
              <w:jc w:val="center"/>
              <w:textAlignment w:val="center"/>
              <w:rPr>
                <w:rFonts w:eastAsia="仿宋_GB2312"/>
                <w:color w:val="auto"/>
                <w:kern w:val="0"/>
                <w:szCs w:val="21"/>
                <w:highlight w:val="none"/>
                <w:lang w:bidi="ar"/>
              </w:rPr>
            </w:pPr>
          </w:p>
        </w:tc>
        <w:tc>
          <w:tcPr>
            <w:tcW w:w="401" w:type="pct"/>
            <w:noWrap w:val="0"/>
            <w:vAlign w:val="center"/>
          </w:tcPr>
          <w:p w14:paraId="407FE3C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果冻</w:t>
            </w:r>
          </w:p>
        </w:tc>
        <w:tc>
          <w:tcPr>
            <w:tcW w:w="670" w:type="pct"/>
            <w:noWrap w:val="0"/>
            <w:vAlign w:val="center"/>
          </w:tcPr>
          <w:p w14:paraId="495D553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果冻</w:t>
            </w:r>
          </w:p>
        </w:tc>
        <w:tc>
          <w:tcPr>
            <w:tcW w:w="284" w:type="pct"/>
            <w:noWrap w:val="0"/>
            <w:vAlign w:val="center"/>
          </w:tcPr>
          <w:p w14:paraId="630187A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3BDA42A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合成着色剂（柠檬黄、新红、苋菜红、靛蓝、胭脂红、日落黄、诱惑红、亮蓝、酸性红、喹啉黄、赤藓红）、相同色泽着色剂混合使用时各自用量占其最大使用量的比例之和、安赛蜜、甜蜜素（以环己基氨基磺酸计）、菌落总数、霉菌、双丙酚丁、脱乙酰比沙可啶</w:t>
            </w:r>
          </w:p>
        </w:tc>
        <w:tc>
          <w:tcPr>
            <w:tcW w:w="1186" w:type="pct"/>
            <w:noWrap w:val="0"/>
            <w:vAlign w:val="center"/>
          </w:tcPr>
          <w:p w14:paraId="0A6BE27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山梨酸及其钾盐（以山梨酸计）、苯甲酸及其钠盐（以苯甲酸计）、糖精钠（以糖精计）、大肠菌群、酵母</w:t>
            </w:r>
          </w:p>
        </w:tc>
      </w:tr>
      <w:tr w14:paraId="3745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66" w:type="pct"/>
            <w:vMerge w:val="restart"/>
            <w:noWrap w:val="0"/>
            <w:vAlign w:val="center"/>
          </w:tcPr>
          <w:p w14:paraId="2F8C417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14</w:t>
            </w:r>
          </w:p>
        </w:tc>
        <w:tc>
          <w:tcPr>
            <w:tcW w:w="367" w:type="pct"/>
            <w:vMerge w:val="restart"/>
            <w:noWrap w:val="0"/>
            <w:vAlign w:val="center"/>
          </w:tcPr>
          <w:p w14:paraId="482CF61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茶叶及相关</w:t>
            </w:r>
            <w:r>
              <w:rPr>
                <w:rFonts w:eastAsia="仿宋_GB2312"/>
                <w:color w:val="auto"/>
                <w:kern w:val="0"/>
                <w:szCs w:val="21"/>
                <w:highlight w:val="none"/>
              </w:rPr>
              <w:t xml:space="preserve"> </w:t>
            </w:r>
            <w:r>
              <w:rPr>
                <w:rFonts w:eastAsia="仿宋_GB2312"/>
                <w:color w:val="auto"/>
                <w:spacing w:val="9"/>
                <w:kern w:val="0"/>
                <w:szCs w:val="21"/>
                <w:highlight w:val="none"/>
              </w:rPr>
              <w:t>制品</w:t>
            </w:r>
          </w:p>
        </w:tc>
        <w:tc>
          <w:tcPr>
            <w:tcW w:w="368" w:type="pct"/>
            <w:noWrap w:val="0"/>
            <w:vAlign w:val="center"/>
          </w:tcPr>
          <w:p w14:paraId="2B54A97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茶叶</w:t>
            </w:r>
          </w:p>
        </w:tc>
        <w:tc>
          <w:tcPr>
            <w:tcW w:w="401" w:type="pct"/>
            <w:noWrap w:val="0"/>
            <w:vAlign w:val="center"/>
          </w:tcPr>
          <w:p w14:paraId="2EBEA24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3"/>
                <w:kern w:val="0"/>
                <w:szCs w:val="21"/>
                <w:highlight w:val="none"/>
              </w:rPr>
              <w:t>茶叶</w:t>
            </w:r>
          </w:p>
        </w:tc>
        <w:tc>
          <w:tcPr>
            <w:tcW w:w="670" w:type="pct"/>
            <w:noWrap w:val="0"/>
            <w:vAlign w:val="center"/>
          </w:tcPr>
          <w:p w14:paraId="1A39AAA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绿茶、红茶</w:t>
            </w:r>
            <w:r>
              <w:rPr>
                <w:rFonts w:eastAsia="仿宋_GB2312"/>
                <w:color w:val="auto"/>
                <w:spacing w:val="17"/>
                <w:kern w:val="0"/>
                <w:szCs w:val="21"/>
                <w:highlight w:val="none"/>
              </w:rPr>
              <w:t>、乌龙茶、</w:t>
            </w:r>
            <w:r>
              <w:rPr>
                <w:rFonts w:eastAsia="仿宋_GB2312"/>
                <w:color w:val="auto"/>
                <w:spacing w:val="-2"/>
                <w:kern w:val="0"/>
                <w:szCs w:val="21"/>
                <w:highlight w:val="none"/>
              </w:rPr>
              <w:t>黄茶、白茶</w:t>
            </w:r>
            <w:r>
              <w:rPr>
                <w:rFonts w:eastAsia="仿宋_GB2312"/>
                <w:color w:val="auto"/>
                <w:spacing w:val="-1"/>
                <w:kern w:val="0"/>
                <w:szCs w:val="21"/>
                <w:highlight w:val="none"/>
              </w:rPr>
              <w:t>、黑茶、花</w:t>
            </w:r>
            <w:r>
              <w:rPr>
                <w:rFonts w:eastAsia="仿宋_GB2312"/>
                <w:color w:val="auto"/>
                <w:spacing w:val="-2"/>
                <w:kern w:val="0"/>
                <w:szCs w:val="21"/>
                <w:highlight w:val="none"/>
              </w:rPr>
              <w:t>茶、袋泡茶</w:t>
            </w:r>
            <w:r>
              <w:rPr>
                <w:rFonts w:eastAsia="仿宋_GB2312"/>
                <w:color w:val="auto"/>
                <w:kern w:val="0"/>
                <w:szCs w:val="21"/>
                <w:highlight w:val="none"/>
              </w:rPr>
              <w:t>、紧压茶</w:t>
            </w:r>
          </w:p>
        </w:tc>
        <w:tc>
          <w:tcPr>
            <w:tcW w:w="284" w:type="pct"/>
            <w:noWrap w:val="0"/>
            <w:vAlign w:val="center"/>
          </w:tcPr>
          <w:p w14:paraId="6FB5BAD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18B08CE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草甘膦、吡虫啉、乙酰甲胺磷、联苯菊酯、灭多威、三氯杀螨醇、水胺硫磷、合成着色剂(柠檬黄、日落黄、胭脂红、亮蓝</w:t>
            </w:r>
            <w:r>
              <w:rPr>
                <w:rFonts w:eastAsia="仿宋_GB2312"/>
                <w:color w:val="auto"/>
                <w:spacing w:val="-1"/>
                <w:kern w:val="0"/>
                <w:szCs w:val="21"/>
                <w:highlight w:val="none"/>
              </w:rPr>
              <w:t>)、</w:t>
            </w:r>
            <w:r>
              <w:rPr>
                <w:rFonts w:eastAsia="仿宋_GB2312"/>
                <w:color w:val="auto"/>
                <w:kern w:val="0"/>
                <w:szCs w:val="21"/>
                <w:highlight w:val="none"/>
                <w:lang w:val="en"/>
              </w:rPr>
              <w:t>糖精钠、</w:t>
            </w:r>
            <w:r>
              <w:rPr>
                <w:rFonts w:eastAsia="仿宋_GB2312"/>
                <w:color w:val="auto"/>
                <w:kern w:val="0"/>
                <w:szCs w:val="21"/>
                <w:highlight w:val="none"/>
              </w:rPr>
              <w:t>甜蜜素（以环己基氨基磺酸计）</w:t>
            </w:r>
          </w:p>
        </w:tc>
        <w:tc>
          <w:tcPr>
            <w:tcW w:w="1186" w:type="pct"/>
            <w:noWrap w:val="0"/>
            <w:vAlign w:val="center"/>
          </w:tcPr>
          <w:p w14:paraId="793F236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铅(以Pb计)、啶虫脒</w:t>
            </w:r>
          </w:p>
        </w:tc>
      </w:tr>
      <w:tr w14:paraId="36C0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6" w:type="pct"/>
            <w:vMerge w:val="continue"/>
            <w:noWrap w:val="0"/>
            <w:vAlign w:val="center"/>
          </w:tcPr>
          <w:p w14:paraId="197233D0">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2745C801">
            <w:pPr>
              <w:widowControl/>
              <w:spacing w:line="300" w:lineRule="exact"/>
              <w:jc w:val="center"/>
              <w:textAlignment w:val="center"/>
              <w:rPr>
                <w:rFonts w:eastAsia="仿宋_GB2312"/>
                <w:color w:val="auto"/>
                <w:kern w:val="0"/>
                <w:szCs w:val="21"/>
                <w:highlight w:val="none"/>
                <w:lang w:bidi="ar"/>
              </w:rPr>
            </w:pPr>
          </w:p>
        </w:tc>
        <w:tc>
          <w:tcPr>
            <w:tcW w:w="368" w:type="pct"/>
            <w:vMerge w:val="restart"/>
            <w:noWrap w:val="0"/>
            <w:vAlign w:val="center"/>
          </w:tcPr>
          <w:p w14:paraId="5C5ADE5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含茶制品和</w:t>
            </w:r>
            <w:r>
              <w:rPr>
                <w:rFonts w:eastAsia="仿宋_GB2312"/>
                <w:color w:val="auto"/>
                <w:spacing w:val="-2"/>
                <w:kern w:val="0"/>
                <w:szCs w:val="21"/>
                <w:highlight w:val="none"/>
              </w:rPr>
              <w:t>代用茶</w:t>
            </w:r>
          </w:p>
        </w:tc>
        <w:tc>
          <w:tcPr>
            <w:tcW w:w="401" w:type="pct"/>
            <w:noWrap w:val="0"/>
            <w:vAlign w:val="center"/>
          </w:tcPr>
          <w:p w14:paraId="1AACF05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4"/>
                <w:kern w:val="0"/>
                <w:szCs w:val="21"/>
                <w:highlight w:val="none"/>
              </w:rPr>
              <w:t>含茶制品</w:t>
            </w:r>
          </w:p>
        </w:tc>
        <w:tc>
          <w:tcPr>
            <w:tcW w:w="670" w:type="pct"/>
            <w:noWrap w:val="0"/>
            <w:vAlign w:val="center"/>
          </w:tcPr>
          <w:p w14:paraId="333C661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17"/>
                <w:kern w:val="0"/>
                <w:szCs w:val="21"/>
                <w:highlight w:val="none"/>
              </w:rPr>
              <w:t>速溶茶类、</w:t>
            </w:r>
            <w:r>
              <w:rPr>
                <w:rFonts w:eastAsia="仿宋_GB2312"/>
                <w:color w:val="auto"/>
                <w:spacing w:val="3"/>
                <w:kern w:val="0"/>
                <w:szCs w:val="21"/>
                <w:highlight w:val="none"/>
              </w:rPr>
              <w:t>其他含茶制</w:t>
            </w:r>
            <w:r>
              <w:rPr>
                <w:rFonts w:eastAsia="仿宋_GB2312"/>
                <w:color w:val="auto"/>
                <w:kern w:val="0"/>
                <w:szCs w:val="21"/>
                <w:highlight w:val="none"/>
              </w:rPr>
              <w:t>品</w:t>
            </w:r>
          </w:p>
        </w:tc>
        <w:tc>
          <w:tcPr>
            <w:tcW w:w="284" w:type="pct"/>
            <w:noWrap w:val="0"/>
            <w:vAlign w:val="center"/>
          </w:tcPr>
          <w:p w14:paraId="43DA8B1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4B66E31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1"/>
                <w:kern w:val="0"/>
                <w:szCs w:val="21"/>
                <w:highlight w:val="none"/>
              </w:rPr>
              <w:t>铅(以Pb计)、菌落总数、霉菌、霉菌及酵母、合成着色剂(柠檬黄、日落黄、胭脂红、亮蓝)</w:t>
            </w:r>
          </w:p>
        </w:tc>
        <w:tc>
          <w:tcPr>
            <w:tcW w:w="1186" w:type="pct"/>
            <w:noWrap w:val="0"/>
            <w:vAlign w:val="center"/>
          </w:tcPr>
          <w:p w14:paraId="36C03E0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lang w:val="en"/>
              </w:rPr>
              <w:t>糖精钠、</w:t>
            </w:r>
            <w:r>
              <w:rPr>
                <w:rFonts w:eastAsia="仿宋_GB2312"/>
                <w:color w:val="auto"/>
                <w:kern w:val="0"/>
                <w:szCs w:val="21"/>
                <w:highlight w:val="none"/>
              </w:rPr>
              <w:t>甜蜜素（以环己基氨基磺酸计）</w:t>
            </w:r>
          </w:p>
        </w:tc>
      </w:tr>
      <w:tr w14:paraId="112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6" w:type="pct"/>
            <w:vMerge w:val="continue"/>
            <w:noWrap w:val="0"/>
            <w:vAlign w:val="center"/>
          </w:tcPr>
          <w:p w14:paraId="73AD037E">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16258BD6">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59D42795">
            <w:pPr>
              <w:widowControl/>
              <w:spacing w:line="300" w:lineRule="exact"/>
              <w:jc w:val="center"/>
              <w:textAlignment w:val="center"/>
              <w:rPr>
                <w:rFonts w:eastAsia="仿宋_GB2312"/>
                <w:color w:val="auto"/>
                <w:kern w:val="0"/>
                <w:szCs w:val="21"/>
                <w:highlight w:val="none"/>
                <w:lang w:bidi="ar"/>
              </w:rPr>
            </w:pPr>
          </w:p>
        </w:tc>
        <w:tc>
          <w:tcPr>
            <w:tcW w:w="401" w:type="pct"/>
            <w:vMerge w:val="restart"/>
            <w:noWrap w:val="0"/>
            <w:vAlign w:val="center"/>
          </w:tcPr>
          <w:p w14:paraId="20C4F17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代用茶</w:t>
            </w:r>
          </w:p>
        </w:tc>
        <w:tc>
          <w:tcPr>
            <w:tcW w:w="670" w:type="pct"/>
            <w:noWrap w:val="0"/>
            <w:vAlign w:val="center"/>
          </w:tcPr>
          <w:p w14:paraId="7553173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枸杞（干）</w:t>
            </w:r>
          </w:p>
        </w:tc>
        <w:tc>
          <w:tcPr>
            <w:tcW w:w="284" w:type="pct"/>
            <w:noWrap w:val="0"/>
            <w:vAlign w:val="center"/>
          </w:tcPr>
          <w:p w14:paraId="1464A7A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151917C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铅(以Pb计)、二氧化硫残留量、克百威、</w:t>
            </w:r>
            <w:r>
              <w:rPr>
                <w:rFonts w:eastAsia="仿宋_GB2312"/>
                <w:color w:val="auto"/>
                <w:spacing w:val="-5"/>
                <w:kern w:val="0"/>
                <w:szCs w:val="21"/>
                <w:highlight w:val="none"/>
              </w:rPr>
              <w:t>啶虫脒</w:t>
            </w:r>
            <w:r>
              <w:rPr>
                <w:rFonts w:eastAsia="仿宋_GB2312"/>
                <w:color w:val="auto"/>
                <w:kern w:val="0"/>
                <w:szCs w:val="21"/>
                <w:highlight w:val="none"/>
              </w:rPr>
              <w:t>、氯氟氰菊酯和高效氯氟氰菊酯、三唑磷、霉菌</w:t>
            </w:r>
          </w:p>
        </w:tc>
        <w:tc>
          <w:tcPr>
            <w:tcW w:w="1186" w:type="pct"/>
            <w:noWrap w:val="0"/>
            <w:vAlign w:val="center"/>
          </w:tcPr>
          <w:p w14:paraId="322515F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毒死蜱、吡虫啉</w:t>
            </w:r>
          </w:p>
        </w:tc>
      </w:tr>
      <w:tr w14:paraId="677F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6" w:type="pct"/>
            <w:vMerge w:val="continue"/>
            <w:noWrap w:val="0"/>
            <w:vAlign w:val="center"/>
          </w:tcPr>
          <w:p w14:paraId="161CC884">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E1C8F95">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1C08F18B">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43E4027E">
            <w:pPr>
              <w:widowControl/>
              <w:spacing w:line="300" w:lineRule="exact"/>
              <w:jc w:val="center"/>
              <w:rPr>
                <w:rFonts w:eastAsia="仿宋_GB2312"/>
                <w:color w:val="auto"/>
                <w:kern w:val="0"/>
                <w:szCs w:val="21"/>
                <w:highlight w:val="none"/>
              </w:rPr>
            </w:pPr>
          </w:p>
        </w:tc>
        <w:tc>
          <w:tcPr>
            <w:tcW w:w="670" w:type="pct"/>
            <w:noWrap w:val="0"/>
            <w:vAlign w:val="center"/>
          </w:tcPr>
          <w:p w14:paraId="4836D1B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菊花（干）</w:t>
            </w:r>
          </w:p>
        </w:tc>
        <w:tc>
          <w:tcPr>
            <w:tcW w:w="284" w:type="pct"/>
            <w:noWrap w:val="0"/>
            <w:vAlign w:val="center"/>
          </w:tcPr>
          <w:p w14:paraId="0C3E118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3AC5D12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铅(以Pb计)、二氧化硫残留量、克百威、氯氟氰菊酯和高效氯氟氰菊酯、三唑磷、霉菌</w:t>
            </w:r>
          </w:p>
        </w:tc>
        <w:tc>
          <w:tcPr>
            <w:tcW w:w="1186" w:type="pct"/>
            <w:noWrap w:val="0"/>
            <w:vAlign w:val="center"/>
          </w:tcPr>
          <w:p w14:paraId="4AA750E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毒死蜱、吡虫啉</w:t>
            </w:r>
          </w:p>
        </w:tc>
      </w:tr>
      <w:tr w14:paraId="4F02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6" w:type="pct"/>
            <w:vMerge w:val="continue"/>
            <w:noWrap w:val="0"/>
            <w:vAlign w:val="center"/>
          </w:tcPr>
          <w:p w14:paraId="556E79A0">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61B1683B">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1F39FEA6">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1B979697">
            <w:pPr>
              <w:widowControl/>
              <w:spacing w:line="300" w:lineRule="exact"/>
              <w:jc w:val="center"/>
              <w:rPr>
                <w:rFonts w:eastAsia="仿宋_GB2312"/>
                <w:color w:val="auto"/>
                <w:kern w:val="0"/>
                <w:szCs w:val="21"/>
                <w:highlight w:val="none"/>
              </w:rPr>
            </w:pPr>
          </w:p>
        </w:tc>
        <w:tc>
          <w:tcPr>
            <w:tcW w:w="670" w:type="pct"/>
            <w:noWrap w:val="0"/>
            <w:vAlign w:val="center"/>
          </w:tcPr>
          <w:p w14:paraId="705F49B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金银花（干）</w:t>
            </w:r>
          </w:p>
        </w:tc>
        <w:tc>
          <w:tcPr>
            <w:tcW w:w="284" w:type="pct"/>
            <w:noWrap w:val="0"/>
            <w:vAlign w:val="center"/>
          </w:tcPr>
          <w:p w14:paraId="78CE9EA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1236CF4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铅(以Pb计)、二氧化硫残留量、克百威、</w:t>
            </w:r>
            <w:r>
              <w:rPr>
                <w:rFonts w:eastAsia="仿宋_GB2312"/>
                <w:color w:val="auto"/>
                <w:spacing w:val="-5"/>
                <w:kern w:val="0"/>
                <w:szCs w:val="21"/>
                <w:highlight w:val="none"/>
              </w:rPr>
              <w:t>啶虫脒</w:t>
            </w:r>
            <w:r>
              <w:rPr>
                <w:rFonts w:eastAsia="仿宋_GB2312"/>
                <w:color w:val="auto"/>
                <w:kern w:val="0"/>
                <w:szCs w:val="21"/>
                <w:highlight w:val="none"/>
              </w:rPr>
              <w:t>、氯氟氰菊酯和高效氯氟氰菊酯、三唑磷、霉菌</w:t>
            </w:r>
          </w:p>
        </w:tc>
        <w:tc>
          <w:tcPr>
            <w:tcW w:w="1186" w:type="pct"/>
            <w:noWrap w:val="0"/>
            <w:vAlign w:val="center"/>
          </w:tcPr>
          <w:p w14:paraId="07BBEFE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毒死蜱、吡虫啉</w:t>
            </w:r>
          </w:p>
        </w:tc>
      </w:tr>
      <w:tr w14:paraId="2372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6" w:type="pct"/>
            <w:vMerge w:val="continue"/>
            <w:noWrap w:val="0"/>
            <w:vAlign w:val="center"/>
          </w:tcPr>
          <w:p w14:paraId="4D30776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0FBAA137">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64379C22">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5F2D7507">
            <w:pPr>
              <w:widowControl/>
              <w:spacing w:line="300" w:lineRule="exact"/>
              <w:jc w:val="center"/>
              <w:rPr>
                <w:rFonts w:eastAsia="仿宋_GB2312"/>
                <w:color w:val="auto"/>
                <w:kern w:val="0"/>
                <w:szCs w:val="21"/>
                <w:highlight w:val="none"/>
              </w:rPr>
            </w:pPr>
          </w:p>
        </w:tc>
        <w:tc>
          <w:tcPr>
            <w:tcW w:w="670" w:type="pct"/>
            <w:noWrap w:val="0"/>
            <w:vAlign w:val="center"/>
          </w:tcPr>
          <w:p w14:paraId="51B4AD1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苦丁茶</w:t>
            </w:r>
          </w:p>
        </w:tc>
        <w:tc>
          <w:tcPr>
            <w:tcW w:w="284" w:type="pct"/>
            <w:noWrap w:val="0"/>
            <w:vAlign w:val="center"/>
          </w:tcPr>
          <w:p w14:paraId="69A69A0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3AB75D4B">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铅(以Pb计)、二氧化硫残留量、克百威、</w:t>
            </w:r>
            <w:r>
              <w:rPr>
                <w:rFonts w:eastAsia="仿宋_GB2312"/>
                <w:color w:val="auto"/>
                <w:spacing w:val="-5"/>
                <w:kern w:val="0"/>
                <w:szCs w:val="21"/>
                <w:highlight w:val="none"/>
              </w:rPr>
              <w:t>啶虫脒</w:t>
            </w:r>
            <w:r>
              <w:rPr>
                <w:rFonts w:eastAsia="仿宋_GB2312"/>
                <w:color w:val="auto"/>
                <w:kern w:val="0"/>
                <w:szCs w:val="21"/>
                <w:highlight w:val="none"/>
              </w:rPr>
              <w:t>、氯氟氰菊酯和高效氯氟氰菊酯、三唑磷、霉菌</w:t>
            </w:r>
          </w:p>
        </w:tc>
        <w:tc>
          <w:tcPr>
            <w:tcW w:w="1186" w:type="pct"/>
            <w:noWrap w:val="0"/>
            <w:vAlign w:val="center"/>
          </w:tcPr>
          <w:p w14:paraId="5F0FD6E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毒死蜱、吡虫啉</w:t>
            </w:r>
          </w:p>
        </w:tc>
      </w:tr>
      <w:tr w14:paraId="38B9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6" w:type="pct"/>
            <w:vMerge w:val="continue"/>
            <w:noWrap w:val="0"/>
            <w:vAlign w:val="center"/>
          </w:tcPr>
          <w:p w14:paraId="4337EBD9">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65A550DB">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7718D704">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6AA8F840">
            <w:pPr>
              <w:widowControl/>
              <w:spacing w:line="300" w:lineRule="exact"/>
              <w:jc w:val="center"/>
              <w:rPr>
                <w:rFonts w:eastAsia="仿宋_GB2312"/>
                <w:color w:val="auto"/>
                <w:kern w:val="0"/>
                <w:szCs w:val="21"/>
                <w:highlight w:val="none"/>
              </w:rPr>
            </w:pPr>
          </w:p>
        </w:tc>
        <w:tc>
          <w:tcPr>
            <w:tcW w:w="670" w:type="pct"/>
            <w:noWrap w:val="0"/>
            <w:vAlign w:val="center"/>
          </w:tcPr>
          <w:p w14:paraId="3ACDD55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2"/>
                <w:kern w:val="0"/>
                <w:szCs w:val="21"/>
                <w:highlight w:val="none"/>
              </w:rPr>
              <w:t>其他代用茶</w:t>
            </w:r>
          </w:p>
        </w:tc>
        <w:tc>
          <w:tcPr>
            <w:tcW w:w="284" w:type="pct"/>
            <w:noWrap w:val="0"/>
            <w:vAlign w:val="center"/>
          </w:tcPr>
          <w:p w14:paraId="55C1CD7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5"/>
                <w:kern w:val="0"/>
                <w:szCs w:val="21"/>
                <w:highlight w:val="none"/>
              </w:rPr>
              <w:t>一般</w:t>
            </w:r>
          </w:p>
        </w:tc>
        <w:tc>
          <w:tcPr>
            <w:tcW w:w="1553" w:type="pct"/>
            <w:noWrap w:val="0"/>
            <w:vAlign w:val="center"/>
          </w:tcPr>
          <w:p w14:paraId="3EBF545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kern w:val="0"/>
                <w:szCs w:val="21"/>
                <w:highlight w:val="none"/>
              </w:rPr>
              <w:t>铅(以Pb计)、二氧化硫残留量、克百威、</w:t>
            </w:r>
            <w:r>
              <w:rPr>
                <w:rFonts w:eastAsia="仿宋_GB2312"/>
                <w:color w:val="auto"/>
                <w:spacing w:val="-5"/>
                <w:kern w:val="0"/>
                <w:szCs w:val="21"/>
                <w:highlight w:val="none"/>
              </w:rPr>
              <w:t>啶虫脒</w:t>
            </w:r>
            <w:r>
              <w:rPr>
                <w:rFonts w:eastAsia="仿宋_GB2312"/>
                <w:color w:val="auto"/>
                <w:kern w:val="0"/>
                <w:szCs w:val="21"/>
                <w:highlight w:val="none"/>
              </w:rPr>
              <w:t>、氯氟氰菊酯和高效氯氟氰菊酯、三唑磷、霉菌</w:t>
            </w:r>
          </w:p>
        </w:tc>
        <w:tc>
          <w:tcPr>
            <w:tcW w:w="1186" w:type="pct"/>
            <w:noWrap w:val="0"/>
            <w:vAlign w:val="center"/>
          </w:tcPr>
          <w:p w14:paraId="012C0B6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kern w:val="0"/>
                <w:szCs w:val="21"/>
                <w:highlight w:val="none"/>
              </w:rPr>
              <w:t>毒死蜱、吡虫啉</w:t>
            </w:r>
          </w:p>
        </w:tc>
      </w:tr>
      <w:tr w14:paraId="37AD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restart"/>
            <w:noWrap w:val="0"/>
            <w:vAlign w:val="center"/>
          </w:tcPr>
          <w:p w14:paraId="26A4DBEF">
            <w:pPr>
              <w:spacing w:line="300" w:lineRule="exact"/>
              <w:jc w:val="center"/>
              <w:rPr>
                <w:rFonts w:eastAsia="仿宋_GB2312"/>
                <w:color w:val="auto"/>
                <w:szCs w:val="21"/>
                <w:highlight w:val="none"/>
              </w:rPr>
            </w:pPr>
            <w:r>
              <w:rPr>
                <w:rFonts w:eastAsia="仿宋_GB2312"/>
                <w:color w:val="auto"/>
                <w:szCs w:val="21"/>
                <w:highlight w:val="none"/>
              </w:rPr>
              <w:t>15</w:t>
            </w:r>
          </w:p>
        </w:tc>
        <w:tc>
          <w:tcPr>
            <w:tcW w:w="367" w:type="pct"/>
            <w:vMerge w:val="restart"/>
            <w:noWrap w:val="0"/>
            <w:vAlign w:val="center"/>
          </w:tcPr>
          <w:p w14:paraId="644A46E7">
            <w:pPr>
              <w:spacing w:line="300" w:lineRule="exact"/>
              <w:jc w:val="center"/>
              <w:rPr>
                <w:rFonts w:eastAsia="仿宋_GB2312"/>
                <w:color w:val="auto"/>
                <w:szCs w:val="21"/>
                <w:highlight w:val="none"/>
              </w:rPr>
            </w:pPr>
            <w:r>
              <w:rPr>
                <w:rFonts w:eastAsia="仿宋_GB2312"/>
                <w:color w:val="auto"/>
                <w:szCs w:val="21"/>
                <w:highlight w:val="none"/>
              </w:rPr>
              <w:t>酒类</w:t>
            </w:r>
          </w:p>
        </w:tc>
        <w:tc>
          <w:tcPr>
            <w:tcW w:w="368" w:type="pct"/>
            <w:noWrap w:val="0"/>
            <w:vAlign w:val="center"/>
          </w:tcPr>
          <w:p w14:paraId="6C33D200">
            <w:pPr>
              <w:spacing w:line="300" w:lineRule="exact"/>
              <w:jc w:val="center"/>
              <w:rPr>
                <w:rFonts w:eastAsia="仿宋_GB2312"/>
                <w:color w:val="auto"/>
                <w:szCs w:val="21"/>
                <w:highlight w:val="none"/>
              </w:rPr>
            </w:pPr>
            <w:r>
              <w:rPr>
                <w:rFonts w:eastAsia="仿宋_GB2312"/>
                <w:color w:val="auto"/>
                <w:szCs w:val="21"/>
                <w:highlight w:val="none"/>
              </w:rPr>
              <w:t>蒸馏酒</w:t>
            </w:r>
          </w:p>
        </w:tc>
        <w:tc>
          <w:tcPr>
            <w:tcW w:w="401" w:type="pct"/>
            <w:noWrap w:val="0"/>
            <w:vAlign w:val="center"/>
          </w:tcPr>
          <w:p w14:paraId="6AD32D6B">
            <w:pPr>
              <w:spacing w:line="300" w:lineRule="exact"/>
              <w:jc w:val="center"/>
              <w:rPr>
                <w:rFonts w:eastAsia="仿宋_GB2312"/>
                <w:color w:val="auto"/>
                <w:szCs w:val="21"/>
                <w:highlight w:val="none"/>
              </w:rPr>
            </w:pPr>
            <w:r>
              <w:rPr>
                <w:rFonts w:eastAsia="仿宋_GB2312"/>
                <w:color w:val="auto"/>
                <w:szCs w:val="21"/>
                <w:highlight w:val="none"/>
              </w:rPr>
              <w:t>白酒</w:t>
            </w:r>
          </w:p>
        </w:tc>
        <w:tc>
          <w:tcPr>
            <w:tcW w:w="670" w:type="pct"/>
            <w:noWrap w:val="0"/>
            <w:vAlign w:val="center"/>
          </w:tcPr>
          <w:p w14:paraId="38E97AE6">
            <w:pPr>
              <w:spacing w:line="300" w:lineRule="exact"/>
              <w:jc w:val="center"/>
              <w:rPr>
                <w:rFonts w:eastAsia="仿宋_GB2312"/>
                <w:color w:val="auto"/>
                <w:szCs w:val="21"/>
                <w:highlight w:val="none"/>
              </w:rPr>
            </w:pPr>
            <w:r>
              <w:rPr>
                <w:rFonts w:eastAsia="仿宋_GB2312"/>
                <w:color w:val="auto"/>
                <w:szCs w:val="21"/>
                <w:highlight w:val="none"/>
              </w:rPr>
              <w:t>白酒、白酒（液态）、白酒（原酒）</w:t>
            </w:r>
          </w:p>
        </w:tc>
        <w:tc>
          <w:tcPr>
            <w:tcW w:w="284" w:type="pct"/>
            <w:noWrap w:val="0"/>
            <w:vAlign w:val="center"/>
          </w:tcPr>
          <w:p w14:paraId="4EFFA58B">
            <w:pPr>
              <w:spacing w:line="300" w:lineRule="exact"/>
              <w:jc w:val="center"/>
              <w:rPr>
                <w:rFonts w:eastAsia="仿宋_GB2312"/>
                <w:color w:val="auto"/>
                <w:szCs w:val="21"/>
                <w:highlight w:val="none"/>
              </w:rPr>
            </w:pPr>
            <w:r>
              <w:rPr>
                <w:rFonts w:eastAsia="仿宋_GB2312"/>
                <w:color w:val="auto"/>
                <w:szCs w:val="21"/>
                <w:highlight w:val="none"/>
              </w:rPr>
              <w:t>高</w:t>
            </w:r>
          </w:p>
        </w:tc>
        <w:tc>
          <w:tcPr>
            <w:tcW w:w="1553" w:type="pct"/>
            <w:noWrap w:val="0"/>
            <w:vAlign w:val="center"/>
          </w:tcPr>
          <w:p w14:paraId="7D26C47B">
            <w:pPr>
              <w:spacing w:line="300" w:lineRule="exact"/>
              <w:jc w:val="left"/>
              <w:rPr>
                <w:rFonts w:eastAsia="仿宋_GB2312"/>
                <w:color w:val="auto"/>
                <w:szCs w:val="21"/>
                <w:highlight w:val="none"/>
              </w:rPr>
            </w:pPr>
            <w:r>
              <w:rPr>
                <w:rFonts w:eastAsia="仿宋_GB2312"/>
                <w:color w:val="auto"/>
                <w:szCs w:val="21"/>
                <w:highlight w:val="none"/>
              </w:rPr>
              <w:t>酒精度、甲醇、糖精钠（以糖精计）、甜蜜素（以环己基氨基磺酸计）、三氯蔗糖、安赛蜜、纽甜</w:t>
            </w:r>
          </w:p>
        </w:tc>
        <w:tc>
          <w:tcPr>
            <w:tcW w:w="1186" w:type="pct"/>
            <w:noWrap w:val="0"/>
            <w:vAlign w:val="center"/>
          </w:tcPr>
          <w:p w14:paraId="0FDC634B">
            <w:pPr>
              <w:spacing w:line="300" w:lineRule="exact"/>
              <w:jc w:val="left"/>
              <w:rPr>
                <w:rFonts w:eastAsia="仿宋_GB2312"/>
                <w:color w:val="auto"/>
                <w:szCs w:val="21"/>
                <w:highlight w:val="none"/>
              </w:rPr>
            </w:pPr>
            <w:r>
              <w:rPr>
                <w:rFonts w:eastAsia="仿宋_GB2312"/>
                <w:color w:val="auto"/>
                <w:szCs w:val="21"/>
                <w:highlight w:val="none"/>
              </w:rPr>
              <w:t>氰化物（以 HCN 计）、铅 (以Pb计)、</w:t>
            </w:r>
          </w:p>
        </w:tc>
      </w:tr>
      <w:tr w14:paraId="1189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0D15C864">
            <w:pPr>
              <w:spacing w:line="300" w:lineRule="exact"/>
              <w:jc w:val="center"/>
              <w:rPr>
                <w:rFonts w:eastAsia="仿宋_GB2312"/>
                <w:color w:val="auto"/>
                <w:szCs w:val="21"/>
                <w:highlight w:val="none"/>
              </w:rPr>
            </w:pPr>
          </w:p>
        </w:tc>
        <w:tc>
          <w:tcPr>
            <w:tcW w:w="367" w:type="pct"/>
            <w:vMerge w:val="continue"/>
            <w:noWrap w:val="0"/>
            <w:vAlign w:val="center"/>
          </w:tcPr>
          <w:p w14:paraId="4D7AF1E2">
            <w:pPr>
              <w:spacing w:line="300" w:lineRule="exact"/>
              <w:jc w:val="center"/>
              <w:rPr>
                <w:rFonts w:eastAsia="仿宋_GB2312"/>
                <w:color w:val="auto"/>
                <w:szCs w:val="21"/>
                <w:highlight w:val="none"/>
              </w:rPr>
            </w:pPr>
          </w:p>
        </w:tc>
        <w:tc>
          <w:tcPr>
            <w:tcW w:w="368" w:type="pct"/>
            <w:vMerge w:val="restart"/>
            <w:noWrap w:val="0"/>
            <w:vAlign w:val="center"/>
          </w:tcPr>
          <w:p w14:paraId="5EAF8880">
            <w:pPr>
              <w:spacing w:line="300" w:lineRule="exact"/>
              <w:jc w:val="center"/>
              <w:rPr>
                <w:rFonts w:eastAsia="仿宋_GB2312"/>
                <w:color w:val="auto"/>
                <w:szCs w:val="21"/>
                <w:highlight w:val="none"/>
              </w:rPr>
            </w:pPr>
            <w:r>
              <w:rPr>
                <w:rFonts w:eastAsia="仿宋_GB2312"/>
                <w:color w:val="auto"/>
                <w:szCs w:val="21"/>
                <w:highlight w:val="none"/>
              </w:rPr>
              <w:t>发酵酒</w:t>
            </w:r>
          </w:p>
        </w:tc>
        <w:tc>
          <w:tcPr>
            <w:tcW w:w="401" w:type="pct"/>
            <w:noWrap w:val="0"/>
            <w:vAlign w:val="center"/>
          </w:tcPr>
          <w:p w14:paraId="13849962">
            <w:pPr>
              <w:spacing w:line="300" w:lineRule="exact"/>
              <w:jc w:val="center"/>
              <w:rPr>
                <w:rFonts w:eastAsia="仿宋_GB2312"/>
                <w:color w:val="auto"/>
                <w:szCs w:val="21"/>
                <w:highlight w:val="none"/>
              </w:rPr>
            </w:pPr>
            <w:r>
              <w:rPr>
                <w:rFonts w:eastAsia="仿宋_GB2312"/>
                <w:color w:val="auto"/>
                <w:szCs w:val="21"/>
                <w:highlight w:val="none"/>
              </w:rPr>
              <w:t>黄酒</w:t>
            </w:r>
          </w:p>
        </w:tc>
        <w:tc>
          <w:tcPr>
            <w:tcW w:w="670" w:type="pct"/>
            <w:noWrap w:val="0"/>
            <w:vAlign w:val="center"/>
          </w:tcPr>
          <w:p w14:paraId="7E2813BE">
            <w:pPr>
              <w:spacing w:line="300" w:lineRule="exact"/>
              <w:jc w:val="center"/>
              <w:rPr>
                <w:rFonts w:eastAsia="仿宋_GB2312"/>
                <w:color w:val="auto"/>
                <w:szCs w:val="21"/>
                <w:highlight w:val="none"/>
              </w:rPr>
            </w:pPr>
            <w:r>
              <w:rPr>
                <w:rFonts w:eastAsia="仿宋_GB2312"/>
                <w:color w:val="auto"/>
                <w:szCs w:val="21"/>
                <w:highlight w:val="none"/>
              </w:rPr>
              <w:t>黄酒</w:t>
            </w:r>
          </w:p>
        </w:tc>
        <w:tc>
          <w:tcPr>
            <w:tcW w:w="284" w:type="pct"/>
            <w:noWrap w:val="0"/>
            <w:vAlign w:val="center"/>
          </w:tcPr>
          <w:p w14:paraId="0BD94CB2">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25CC5BCD">
            <w:pPr>
              <w:spacing w:line="300" w:lineRule="exact"/>
              <w:jc w:val="left"/>
              <w:rPr>
                <w:rFonts w:eastAsia="仿宋_GB2312"/>
                <w:color w:val="auto"/>
                <w:szCs w:val="21"/>
                <w:highlight w:val="none"/>
              </w:rPr>
            </w:pPr>
            <w:r>
              <w:rPr>
                <w:rFonts w:eastAsia="仿宋_GB2312"/>
                <w:color w:val="auto"/>
                <w:szCs w:val="21"/>
                <w:highlight w:val="none"/>
              </w:rPr>
              <w:t>酒精度、氨基酸态氮、苯甲酸及其钠盐（以苯甲酸计）、山梨酸及其钾盐 （以山梨酸计）、糖精钠（以糖精计）、甜蜜素（以环己基氨基磺酸计）</w:t>
            </w:r>
          </w:p>
        </w:tc>
        <w:tc>
          <w:tcPr>
            <w:tcW w:w="1186" w:type="pct"/>
            <w:noWrap w:val="0"/>
            <w:vAlign w:val="center"/>
          </w:tcPr>
          <w:p w14:paraId="384A5AC6">
            <w:pPr>
              <w:spacing w:line="300" w:lineRule="exact"/>
              <w:jc w:val="left"/>
              <w:rPr>
                <w:rFonts w:eastAsia="仿宋_GB2312"/>
                <w:color w:val="auto"/>
                <w:szCs w:val="21"/>
                <w:highlight w:val="none"/>
              </w:rPr>
            </w:pPr>
          </w:p>
        </w:tc>
      </w:tr>
      <w:tr w14:paraId="6905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19954B6A">
            <w:pPr>
              <w:spacing w:line="300" w:lineRule="exact"/>
              <w:jc w:val="center"/>
              <w:rPr>
                <w:rFonts w:eastAsia="仿宋_GB2312"/>
                <w:color w:val="auto"/>
                <w:szCs w:val="21"/>
                <w:highlight w:val="none"/>
              </w:rPr>
            </w:pPr>
          </w:p>
        </w:tc>
        <w:tc>
          <w:tcPr>
            <w:tcW w:w="367" w:type="pct"/>
            <w:vMerge w:val="continue"/>
            <w:noWrap w:val="0"/>
            <w:vAlign w:val="center"/>
          </w:tcPr>
          <w:p w14:paraId="374A232B">
            <w:pPr>
              <w:spacing w:line="300" w:lineRule="exact"/>
              <w:jc w:val="center"/>
              <w:rPr>
                <w:rFonts w:eastAsia="仿宋_GB2312"/>
                <w:color w:val="auto"/>
                <w:szCs w:val="21"/>
                <w:highlight w:val="none"/>
              </w:rPr>
            </w:pPr>
          </w:p>
        </w:tc>
        <w:tc>
          <w:tcPr>
            <w:tcW w:w="368" w:type="pct"/>
            <w:vMerge w:val="continue"/>
            <w:noWrap w:val="0"/>
            <w:vAlign w:val="center"/>
          </w:tcPr>
          <w:p w14:paraId="2EC85DE3">
            <w:pPr>
              <w:spacing w:line="300" w:lineRule="exact"/>
              <w:jc w:val="center"/>
              <w:rPr>
                <w:rFonts w:eastAsia="仿宋_GB2312"/>
                <w:color w:val="auto"/>
                <w:szCs w:val="21"/>
                <w:highlight w:val="none"/>
              </w:rPr>
            </w:pPr>
          </w:p>
        </w:tc>
        <w:tc>
          <w:tcPr>
            <w:tcW w:w="401" w:type="pct"/>
            <w:noWrap w:val="0"/>
            <w:vAlign w:val="center"/>
          </w:tcPr>
          <w:p w14:paraId="2C477294">
            <w:pPr>
              <w:spacing w:line="300" w:lineRule="exact"/>
              <w:jc w:val="center"/>
              <w:rPr>
                <w:rFonts w:eastAsia="仿宋_GB2312"/>
                <w:color w:val="auto"/>
                <w:szCs w:val="21"/>
                <w:highlight w:val="none"/>
              </w:rPr>
            </w:pPr>
            <w:r>
              <w:rPr>
                <w:rFonts w:eastAsia="仿宋_GB2312"/>
                <w:color w:val="auto"/>
                <w:szCs w:val="21"/>
                <w:highlight w:val="none"/>
              </w:rPr>
              <w:t>啤酒</w:t>
            </w:r>
          </w:p>
        </w:tc>
        <w:tc>
          <w:tcPr>
            <w:tcW w:w="670" w:type="pct"/>
            <w:noWrap w:val="0"/>
            <w:vAlign w:val="center"/>
          </w:tcPr>
          <w:p w14:paraId="0250B506">
            <w:pPr>
              <w:spacing w:line="300" w:lineRule="exact"/>
              <w:jc w:val="center"/>
              <w:rPr>
                <w:rFonts w:eastAsia="仿宋_GB2312"/>
                <w:color w:val="auto"/>
                <w:szCs w:val="21"/>
                <w:highlight w:val="none"/>
              </w:rPr>
            </w:pPr>
            <w:r>
              <w:rPr>
                <w:rFonts w:eastAsia="仿宋_GB2312"/>
                <w:color w:val="auto"/>
                <w:szCs w:val="21"/>
                <w:highlight w:val="none"/>
              </w:rPr>
              <w:t>啤酒</w:t>
            </w:r>
          </w:p>
        </w:tc>
        <w:tc>
          <w:tcPr>
            <w:tcW w:w="284" w:type="pct"/>
            <w:noWrap w:val="0"/>
            <w:vAlign w:val="center"/>
          </w:tcPr>
          <w:p w14:paraId="4F56761A">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6C5C32C3">
            <w:pPr>
              <w:spacing w:line="300" w:lineRule="exact"/>
              <w:jc w:val="left"/>
              <w:rPr>
                <w:rFonts w:eastAsia="仿宋_GB2312"/>
                <w:color w:val="auto"/>
                <w:szCs w:val="21"/>
                <w:highlight w:val="none"/>
              </w:rPr>
            </w:pPr>
            <w:r>
              <w:rPr>
                <w:rFonts w:eastAsia="仿宋_GB2312"/>
                <w:color w:val="auto"/>
                <w:szCs w:val="21"/>
                <w:highlight w:val="none"/>
              </w:rPr>
              <w:t>酒精度、甲醛</w:t>
            </w:r>
          </w:p>
        </w:tc>
        <w:tc>
          <w:tcPr>
            <w:tcW w:w="1186" w:type="pct"/>
            <w:noWrap w:val="0"/>
            <w:vAlign w:val="center"/>
          </w:tcPr>
          <w:p w14:paraId="337E664B">
            <w:pPr>
              <w:spacing w:line="300" w:lineRule="exact"/>
              <w:jc w:val="left"/>
              <w:rPr>
                <w:rFonts w:eastAsia="仿宋_GB2312"/>
                <w:color w:val="auto"/>
                <w:szCs w:val="21"/>
                <w:highlight w:val="none"/>
              </w:rPr>
            </w:pPr>
          </w:p>
        </w:tc>
      </w:tr>
      <w:tr w14:paraId="175E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vMerge w:val="continue"/>
            <w:noWrap w:val="0"/>
            <w:vAlign w:val="center"/>
          </w:tcPr>
          <w:p w14:paraId="0D0DF371">
            <w:pPr>
              <w:spacing w:line="300" w:lineRule="exact"/>
              <w:jc w:val="center"/>
              <w:rPr>
                <w:rFonts w:eastAsia="仿宋_GB2312"/>
                <w:color w:val="auto"/>
                <w:szCs w:val="21"/>
                <w:highlight w:val="none"/>
              </w:rPr>
            </w:pPr>
          </w:p>
        </w:tc>
        <w:tc>
          <w:tcPr>
            <w:tcW w:w="367" w:type="pct"/>
            <w:vMerge w:val="continue"/>
            <w:noWrap w:val="0"/>
            <w:vAlign w:val="center"/>
          </w:tcPr>
          <w:p w14:paraId="7F626C91">
            <w:pPr>
              <w:spacing w:line="300" w:lineRule="exact"/>
              <w:jc w:val="center"/>
              <w:rPr>
                <w:rFonts w:eastAsia="仿宋_GB2312"/>
                <w:color w:val="auto"/>
                <w:szCs w:val="21"/>
                <w:highlight w:val="none"/>
              </w:rPr>
            </w:pPr>
          </w:p>
        </w:tc>
        <w:tc>
          <w:tcPr>
            <w:tcW w:w="368" w:type="pct"/>
            <w:vMerge w:val="continue"/>
            <w:noWrap w:val="0"/>
            <w:vAlign w:val="center"/>
          </w:tcPr>
          <w:p w14:paraId="4EFE293F">
            <w:pPr>
              <w:spacing w:line="300" w:lineRule="exact"/>
              <w:jc w:val="center"/>
              <w:rPr>
                <w:rFonts w:eastAsia="仿宋_GB2312"/>
                <w:color w:val="auto"/>
                <w:szCs w:val="21"/>
                <w:highlight w:val="none"/>
              </w:rPr>
            </w:pPr>
          </w:p>
        </w:tc>
        <w:tc>
          <w:tcPr>
            <w:tcW w:w="401" w:type="pct"/>
            <w:noWrap w:val="0"/>
            <w:vAlign w:val="center"/>
          </w:tcPr>
          <w:p w14:paraId="0E1807D0">
            <w:pPr>
              <w:spacing w:line="300" w:lineRule="exact"/>
              <w:jc w:val="center"/>
              <w:rPr>
                <w:rFonts w:eastAsia="仿宋_GB2312"/>
                <w:color w:val="auto"/>
                <w:szCs w:val="21"/>
                <w:highlight w:val="none"/>
              </w:rPr>
            </w:pPr>
            <w:r>
              <w:rPr>
                <w:rFonts w:eastAsia="仿宋_GB2312"/>
                <w:color w:val="auto"/>
                <w:szCs w:val="21"/>
                <w:highlight w:val="none"/>
              </w:rPr>
              <w:t>葡萄酒</w:t>
            </w:r>
          </w:p>
        </w:tc>
        <w:tc>
          <w:tcPr>
            <w:tcW w:w="670" w:type="pct"/>
            <w:noWrap w:val="0"/>
            <w:vAlign w:val="center"/>
          </w:tcPr>
          <w:p w14:paraId="62C59681">
            <w:pPr>
              <w:spacing w:line="300" w:lineRule="exact"/>
              <w:jc w:val="center"/>
              <w:rPr>
                <w:rFonts w:eastAsia="仿宋_GB2312"/>
                <w:color w:val="auto"/>
                <w:szCs w:val="21"/>
                <w:highlight w:val="none"/>
              </w:rPr>
            </w:pPr>
            <w:r>
              <w:rPr>
                <w:rFonts w:eastAsia="仿宋_GB2312"/>
                <w:color w:val="auto"/>
                <w:szCs w:val="21"/>
                <w:highlight w:val="none"/>
              </w:rPr>
              <w:t>葡萄酒</w:t>
            </w:r>
          </w:p>
        </w:tc>
        <w:tc>
          <w:tcPr>
            <w:tcW w:w="284" w:type="pct"/>
            <w:noWrap w:val="0"/>
            <w:vAlign w:val="center"/>
          </w:tcPr>
          <w:p w14:paraId="10203A9A">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45B3240">
            <w:pPr>
              <w:spacing w:line="300" w:lineRule="exact"/>
              <w:jc w:val="left"/>
              <w:rPr>
                <w:rFonts w:eastAsia="仿宋_GB2312"/>
                <w:color w:val="auto"/>
                <w:szCs w:val="21"/>
                <w:highlight w:val="none"/>
              </w:rPr>
            </w:pPr>
            <w:r>
              <w:rPr>
                <w:rFonts w:eastAsia="仿宋_GB2312"/>
                <w:color w:val="auto"/>
                <w:szCs w:val="21"/>
                <w:highlight w:val="none"/>
              </w:rPr>
              <w:t>酒精度、甲醇、苯甲酸及其钠盐（以苯甲酸计）、山梨酸及其钾盐（以山梨酸计）、糖精钠（以糖精计）、二氧化硫残留量、甜蜜素（以环己基氨基磺酸计）、三氯蔗糖</w:t>
            </w:r>
          </w:p>
        </w:tc>
        <w:tc>
          <w:tcPr>
            <w:tcW w:w="1186" w:type="pct"/>
            <w:noWrap w:val="0"/>
            <w:vAlign w:val="center"/>
          </w:tcPr>
          <w:p w14:paraId="1CD3B8B2">
            <w:pPr>
              <w:spacing w:line="300" w:lineRule="exact"/>
              <w:jc w:val="left"/>
              <w:rPr>
                <w:rFonts w:eastAsia="仿宋_GB2312"/>
                <w:color w:val="auto"/>
                <w:szCs w:val="21"/>
                <w:highlight w:val="none"/>
              </w:rPr>
            </w:pPr>
            <w:r>
              <w:rPr>
                <w:rFonts w:eastAsia="仿宋_GB2312"/>
                <w:color w:val="auto"/>
                <w:szCs w:val="21"/>
                <w:highlight w:val="none"/>
              </w:rPr>
              <w:t>合成着色剂（柠檬黄、日落黄、新红、胭脂红、赤藓红、苋菜红、诱惑红、酸性红、亮蓝）</w:t>
            </w:r>
          </w:p>
        </w:tc>
      </w:tr>
      <w:tr w14:paraId="3D2A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20D73E7F">
            <w:pPr>
              <w:spacing w:line="300" w:lineRule="exact"/>
              <w:jc w:val="center"/>
              <w:rPr>
                <w:rFonts w:eastAsia="仿宋_GB2312"/>
                <w:color w:val="auto"/>
                <w:szCs w:val="21"/>
                <w:highlight w:val="none"/>
              </w:rPr>
            </w:pPr>
          </w:p>
        </w:tc>
        <w:tc>
          <w:tcPr>
            <w:tcW w:w="367" w:type="pct"/>
            <w:vMerge w:val="continue"/>
            <w:noWrap w:val="0"/>
            <w:vAlign w:val="center"/>
          </w:tcPr>
          <w:p w14:paraId="2B82C35D">
            <w:pPr>
              <w:spacing w:line="300" w:lineRule="exact"/>
              <w:jc w:val="center"/>
              <w:rPr>
                <w:rFonts w:eastAsia="仿宋_GB2312"/>
                <w:color w:val="auto"/>
                <w:szCs w:val="21"/>
                <w:highlight w:val="none"/>
              </w:rPr>
            </w:pPr>
          </w:p>
        </w:tc>
        <w:tc>
          <w:tcPr>
            <w:tcW w:w="368" w:type="pct"/>
            <w:vMerge w:val="continue"/>
            <w:noWrap w:val="0"/>
            <w:vAlign w:val="center"/>
          </w:tcPr>
          <w:p w14:paraId="2EBC3C43">
            <w:pPr>
              <w:spacing w:line="300" w:lineRule="exact"/>
              <w:jc w:val="center"/>
              <w:rPr>
                <w:rFonts w:eastAsia="仿宋_GB2312"/>
                <w:color w:val="auto"/>
                <w:szCs w:val="21"/>
                <w:highlight w:val="none"/>
              </w:rPr>
            </w:pPr>
          </w:p>
        </w:tc>
        <w:tc>
          <w:tcPr>
            <w:tcW w:w="401" w:type="pct"/>
            <w:noWrap w:val="0"/>
            <w:vAlign w:val="center"/>
          </w:tcPr>
          <w:p w14:paraId="7DA709F3">
            <w:pPr>
              <w:spacing w:line="300" w:lineRule="exact"/>
              <w:jc w:val="center"/>
              <w:rPr>
                <w:rFonts w:eastAsia="仿宋_GB2312"/>
                <w:color w:val="auto"/>
                <w:szCs w:val="21"/>
                <w:highlight w:val="none"/>
              </w:rPr>
            </w:pPr>
            <w:r>
              <w:rPr>
                <w:rFonts w:eastAsia="仿宋_GB2312"/>
                <w:color w:val="auto"/>
                <w:szCs w:val="21"/>
                <w:highlight w:val="none"/>
              </w:rPr>
              <w:t>果酒</w:t>
            </w:r>
          </w:p>
        </w:tc>
        <w:tc>
          <w:tcPr>
            <w:tcW w:w="670" w:type="pct"/>
            <w:noWrap w:val="0"/>
            <w:vAlign w:val="center"/>
          </w:tcPr>
          <w:p w14:paraId="4807DBBC">
            <w:pPr>
              <w:spacing w:line="300" w:lineRule="exact"/>
              <w:jc w:val="center"/>
              <w:rPr>
                <w:rFonts w:eastAsia="仿宋_GB2312"/>
                <w:color w:val="auto"/>
                <w:szCs w:val="21"/>
                <w:highlight w:val="none"/>
              </w:rPr>
            </w:pPr>
            <w:r>
              <w:rPr>
                <w:rFonts w:eastAsia="仿宋_GB2312"/>
                <w:color w:val="auto"/>
                <w:szCs w:val="21"/>
                <w:highlight w:val="none"/>
              </w:rPr>
              <w:t>果酒</w:t>
            </w:r>
          </w:p>
        </w:tc>
        <w:tc>
          <w:tcPr>
            <w:tcW w:w="284" w:type="pct"/>
            <w:noWrap w:val="0"/>
            <w:vAlign w:val="center"/>
          </w:tcPr>
          <w:p w14:paraId="401DFF3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BBF5427">
            <w:pPr>
              <w:spacing w:line="300" w:lineRule="exact"/>
              <w:jc w:val="left"/>
              <w:rPr>
                <w:rFonts w:eastAsia="仿宋_GB2312"/>
                <w:color w:val="auto"/>
                <w:szCs w:val="21"/>
                <w:highlight w:val="none"/>
              </w:rPr>
            </w:pPr>
            <w:r>
              <w:rPr>
                <w:rFonts w:eastAsia="仿宋_GB2312"/>
                <w:color w:val="auto"/>
                <w:szCs w:val="21"/>
                <w:highlight w:val="none"/>
              </w:rPr>
              <w:t>酒精度、展青霉素、糖精钠（以糖精计）、甜蜜素（以环己基氨基磺酸计）、安赛蜜、二氧化硫残留量</w:t>
            </w:r>
          </w:p>
        </w:tc>
        <w:tc>
          <w:tcPr>
            <w:tcW w:w="1186" w:type="pct"/>
            <w:noWrap w:val="0"/>
            <w:vAlign w:val="center"/>
          </w:tcPr>
          <w:p w14:paraId="7D8D9A64">
            <w:pPr>
              <w:spacing w:line="300" w:lineRule="exact"/>
              <w:jc w:val="left"/>
              <w:rPr>
                <w:rFonts w:eastAsia="仿宋_GB2312"/>
                <w:color w:val="auto"/>
                <w:szCs w:val="21"/>
                <w:highlight w:val="none"/>
              </w:rPr>
            </w:pPr>
            <w:r>
              <w:rPr>
                <w:rFonts w:eastAsia="仿宋_GB2312"/>
                <w:color w:val="auto"/>
                <w:szCs w:val="21"/>
                <w:highlight w:val="none"/>
              </w:rPr>
              <w:t>酸性红</w:t>
            </w:r>
          </w:p>
        </w:tc>
      </w:tr>
      <w:tr w14:paraId="3ADB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vMerge w:val="continue"/>
            <w:noWrap w:val="0"/>
            <w:vAlign w:val="center"/>
          </w:tcPr>
          <w:p w14:paraId="6D5BBE04">
            <w:pPr>
              <w:spacing w:line="300" w:lineRule="exact"/>
              <w:jc w:val="center"/>
              <w:rPr>
                <w:rFonts w:eastAsia="仿宋_GB2312"/>
                <w:color w:val="auto"/>
                <w:szCs w:val="21"/>
                <w:highlight w:val="none"/>
              </w:rPr>
            </w:pPr>
          </w:p>
        </w:tc>
        <w:tc>
          <w:tcPr>
            <w:tcW w:w="367" w:type="pct"/>
            <w:vMerge w:val="continue"/>
            <w:noWrap w:val="0"/>
            <w:vAlign w:val="center"/>
          </w:tcPr>
          <w:p w14:paraId="24ED68B6">
            <w:pPr>
              <w:spacing w:line="300" w:lineRule="exact"/>
              <w:jc w:val="center"/>
              <w:rPr>
                <w:rFonts w:eastAsia="仿宋_GB2312"/>
                <w:color w:val="auto"/>
                <w:szCs w:val="21"/>
                <w:highlight w:val="none"/>
              </w:rPr>
            </w:pPr>
          </w:p>
        </w:tc>
        <w:tc>
          <w:tcPr>
            <w:tcW w:w="368" w:type="pct"/>
            <w:vMerge w:val="restart"/>
            <w:noWrap w:val="0"/>
            <w:vAlign w:val="center"/>
          </w:tcPr>
          <w:p w14:paraId="0BCE25E8">
            <w:pPr>
              <w:spacing w:line="300" w:lineRule="exact"/>
              <w:jc w:val="center"/>
              <w:rPr>
                <w:rFonts w:eastAsia="仿宋_GB2312"/>
                <w:color w:val="auto"/>
                <w:szCs w:val="21"/>
                <w:highlight w:val="none"/>
              </w:rPr>
            </w:pPr>
            <w:r>
              <w:rPr>
                <w:rFonts w:eastAsia="仿宋_GB2312"/>
                <w:color w:val="auto"/>
                <w:szCs w:val="21"/>
                <w:highlight w:val="none"/>
              </w:rPr>
              <w:t>其他酒</w:t>
            </w:r>
          </w:p>
        </w:tc>
        <w:tc>
          <w:tcPr>
            <w:tcW w:w="401" w:type="pct"/>
            <w:vMerge w:val="restart"/>
            <w:noWrap w:val="0"/>
            <w:vAlign w:val="center"/>
          </w:tcPr>
          <w:p w14:paraId="57E8E3B4">
            <w:pPr>
              <w:spacing w:line="300" w:lineRule="exact"/>
              <w:jc w:val="center"/>
              <w:rPr>
                <w:rFonts w:eastAsia="仿宋_GB2312"/>
                <w:color w:val="auto"/>
                <w:szCs w:val="21"/>
                <w:highlight w:val="none"/>
              </w:rPr>
            </w:pPr>
            <w:r>
              <w:rPr>
                <w:rFonts w:eastAsia="仿宋_GB2312"/>
                <w:color w:val="auto"/>
                <w:szCs w:val="21"/>
                <w:highlight w:val="none"/>
              </w:rPr>
              <w:t>配制酒</w:t>
            </w:r>
          </w:p>
        </w:tc>
        <w:tc>
          <w:tcPr>
            <w:tcW w:w="670" w:type="pct"/>
            <w:noWrap w:val="0"/>
            <w:vAlign w:val="center"/>
          </w:tcPr>
          <w:p w14:paraId="336813E9">
            <w:pPr>
              <w:spacing w:line="300" w:lineRule="exact"/>
              <w:jc w:val="center"/>
              <w:rPr>
                <w:rFonts w:eastAsia="仿宋_GB2312"/>
                <w:color w:val="auto"/>
                <w:szCs w:val="21"/>
                <w:highlight w:val="none"/>
              </w:rPr>
            </w:pPr>
            <w:r>
              <w:rPr>
                <w:rFonts w:eastAsia="仿宋_GB2312"/>
                <w:color w:val="auto"/>
                <w:szCs w:val="21"/>
                <w:highlight w:val="none"/>
              </w:rPr>
              <w:t>以蒸馏酒及食用酒精为酒基的配制酒</w:t>
            </w:r>
          </w:p>
        </w:tc>
        <w:tc>
          <w:tcPr>
            <w:tcW w:w="284" w:type="pct"/>
            <w:noWrap w:val="0"/>
            <w:vAlign w:val="center"/>
          </w:tcPr>
          <w:p w14:paraId="708DDCB7">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E86E000">
            <w:pPr>
              <w:spacing w:line="300" w:lineRule="exact"/>
              <w:jc w:val="left"/>
              <w:rPr>
                <w:rFonts w:eastAsia="仿宋_GB2312"/>
                <w:color w:val="auto"/>
                <w:szCs w:val="21"/>
                <w:highlight w:val="none"/>
              </w:rPr>
            </w:pPr>
            <w:r>
              <w:rPr>
                <w:rFonts w:eastAsia="仿宋_GB2312"/>
                <w:color w:val="auto"/>
                <w:szCs w:val="21"/>
                <w:highlight w:val="none"/>
              </w:rPr>
              <w:t>酒精度、西地那非、豪莫西地那非、硫代艾地那非、他达拉非、二硫代去甲基卡巴地那非、那非乙酰酸、去甲基卡巴地那非、去甲基他达拉非、羟基豪莫西地那非、伐地那非、育亨宾、</w:t>
            </w:r>
          </w:p>
          <w:p w14:paraId="6C2CEE5E">
            <w:pPr>
              <w:spacing w:line="300" w:lineRule="exact"/>
              <w:jc w:val="left"/>
              <w:rPr>
                <w:rFonts w:eastAsia="仿宋_GB2312"/>
                <w:color w:val="auto"/>
                <w:szCs w:val="21"/>
                <w:highlight w:val="none"/>
              </w:rPr>
            </w:pPr>
            <w:r>
              <w:rPr>
                <w:rFonts w:eastAsia="仿宋_GB2312"/>
                <w:color w:val="auto"/>
                <w:szCs w:val="21"/>
                <w:highlight w:val="none"/>
              </w:rPr>
              <w:t>甜蜜素（以环己基氨基磺酸计）、安赛蜜、纽甜</w:t>
            </w:r>
          </w:p>
        </w:tc>
        <w:tc>
          <w:tcPr>
            <w:tcW w:w="1186" w:type="pct"/>
            <w:noWrap w:val="0"/>
            <w:vAlign w:val="center"/>
          </w:tcPr>
          <w:p w14:paraId="18CFF1A8">
            <w:pPr>
              <w:spacing w:line="300" w:lineRule="exact"/>
              <w:jc w:val="left"/>
              <w:rPr>
                <w:rFonts w:eastAsia="仿宋_GB2312"/>
                <w:color w:val="auto"/>
                <w:szCs w:val="21"/>
                <w:highlight w:val="none"/>
              </w:rPr>
            </w:pPr>
            <w:r>
              <w:rPr>
                <w:rFonts w:eastAsia="仿宋_GB2312"/>
                <w:color w:val="auto"/>
                <w:szCs w:val="21"/>
                <w:highlight w:val="none"/>
              </w:rPr>
              <w:t>甲醇、氰化物（以HCN计）</w:t>
            </w:r>
          </w:p>
        </w:tc>
      </w:tr>
      <w:tr w14:paraId="5110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 w:type="pct"/>
            <w:vMerge w:val="continue"/>
            <w:noWrap w:val="0"/>
            <w:vAlign w:val="center"/>
          </w:tcPr>
          <w:p w14:paraId="560C138E">
            <w:pPr>
              <w:spacing w:line="300" w:lineRule="exact"/>
              <w:jc w:val="center"/>
              <w:rPr>
                <w:rFonts w:eastAsia="仿宋_GB2312"/>
                <w:color w:val="auto"/>
                <w:szCs w:val="21"/>
                <w:highlight w:val="none"/>
              </w:rPr>
            </w:pPr>
          </w:p>
        </w:tc>
        <w:tc>
          <w:tcPr>
            <w:tcW w:w="367" w:type="pct"/>
            <w:vMerge w:val="continue"/>
            <w:noWrap w:val="0"/>
            <w:vAlign w:val="center"/>
          </w:tcPr>
          <w:p w14:paraId="797F7F61">
            <w:pPr>
              <w:spacing w:line="300" w:lineRule="exact"/>
              <w:jc w:val="center"/>
              <w:rPr>
                <w:rFonts w:eastAsia="仿宋_GB2312"/>
                <w:color w:val="auto"/>
                <w:szCs w:val="21"/>
                <w:highlight w:val="none"/>
              </w:rPr>
            </w:pPr>
          </w:p>
        </w:tc>
        <w:tc>
          <w:tcPr>
            <w:tcW w:w="368" w:type="pct"/>
            <w:vMerge w:val="continue"/>
            <w:noWrap w:val="0"/>
            <w:vAlign w:val="center"/>
          </w:tcPr>
          <w:p w14:paraId="00DE11D5">
            <w:pPr>
              <w:spacing w:line="300" w:lineRule="exact"/>
              <w:jc w:val="center"/>
              <w:rPr>
                <w:rFonts w:eastAsia="仿宋_GB2312"/>
                <w:color w:val="auto"/>
                <w:szCs w:val="21"/>
                <w:highlight w:val="none"/>
              </w:rPr>
            </w:pPr>
          </w:p>
        </w:tc>
        <w:tc>
          <w:tcPr>
            <w:tcW w:w="401" w:type="pct"/>
            <w:vMerge w:val="continue"/>
            <w:noWrap w:val="0"/>
            <w:vAlign w:val="center"/>
          </w:tcPr>
          <w:p w14:paraId="015CC2B0">
            <w:pPr>
              <w:spacing w:line="300" w:lineRule="exact"/>
              <w:jc w:val="center"/>
              <w:rPr>
                <w:rFonts w:eastAsia="仿宋_GB2312"/>
                <w:color w:val="auto"/>
                <w:szCs w:val="21"/>
                <w:highlight w:val="none"/>
              </w:rPr>
            </w:pPr>
          </w:p>
        </w:tc>
        <w:tc>
          <w:tcPr>
            <w:tcW w:w="670" w:type="pct"/>
            <w:noWrap w:val="0"/>
            <w:vAlign w:val="center"/>
          </w:tcPr>
          <w:p w14:paraId="408197A0">
            <w:pPr>
              <w:spacing w:line="300" w:lineRule="exact"/>
              <w:jc w:val="center"/>
              <w:rPr>
                <w:rFonts w:eastAsia="仿宋_GB2312"/>
                <w:color w:val="auto"/>
                <w:szCs w:val="21"/>
                <w:highlight w:val="none"/>
              </w:rPr>
            </w:pPr>
            <w:r>
              <w:rPr>
                <w:rFonts w:eastAsia="仿宋_GB2312"/>
                <w:color w:val="auto"/>
                <w:szCs w:val="21"/>
                <w:highlight w:val="none"/>
              </w:rPr>
              <w:t>以发酵酒为</w:t>
            </w:r>
          </w:p>
          <w:p w14:paraId="29074ACD">
            <w:pPr>
              <w:spacing w:line="300" w:lineRule="exact"/>
              <w:jc w:val="center"/>
              <w:rPr>
                <w:rFonts w:eastAsia="仿宋_GB2312"/>
                <w:color w:val="auto"/>
                <w:szCs w:val="21"/>
                <w:highlight w:val="none"/>
              </w:rPr>
            </w:pPr>
            <w:r>
              <w:rPr>
                <w:rFonts w:eastAsia="仿宋_GB2312"/>
                <w:color w:val="auto"/>
                <w:szCs w:val="21"/>
                <w:highlight w:val="none"/>
              </w:rPr>
              <w:t>酒基的配制酒</w:t>
            </w:r>
          </w:p>
        </w:tc>
        <w:tc>
          <w:tcPr>
            <w:tcW w:w="284" w:type="pct"/>
            <w:noWrap w:val="0"/>
            <w:vAlign w:val="center"/>
          </w:tcPr>
          <w:p w14:paraId="618751CD">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E10DBF7">
            <w:pPr>
              <w:spacing w:line="300" w:lineRule="exact"/>
              <w:jc w:val="left"/>
              <w:rPr>
                <w:rFonts w:eastAsia="仿宋_GB2312"/>
                <w:color w:val="auto"/>
                <w:szCs w:val="21"/>
                <w:highlight w:val="none"/>
              </w:rPr>
            </w:pPr>
            <w:r>
              <w:rPr>
                <w:rFonts w:eastAsia="仿宋_GB2312"/>
                <w:color w:val="auto"/>
                <w:szCs w:val="21"/>
                <w:highlight w:val="none"/>
              </w:rPr>
              <w:t>酒精度、苯甲酸及其钠盐（以苯甲酸计）、山梨酸及其钾盐 （以山梨酸计）、甜蜜素（以环己基氨基磺酸计）、防腐剂混合使用时各自用量占其最大使用量的比例之和、安赛蜜</w:t>
            </w:r>
          </w:p>
        </w:tc>
        <w:tc>
          <w:tcPr>
            <w:tcW w:w="1186" w:type="pct"/>
            <w:noWrap w:val="0"/>
            <w:vAlign w:val="center"/>
          </w:tcPr>
          <w:p w14:paraId="751D9A98">
            <w:pPr>
              <w:spacing w:line="300" w:lineRule="exact"/>
              <w:jc w:val="left"/>
              <w:rPr>
                <w:rFonts w:eastAsia="仿宋_GB2312"/>
                <w:color w:val="auto"/>
                <w:szCs w:val="21"/>
                <w:highlight w:val="none"/>
              </w:rPr>
            </w:pPr>
          </w:p>
        </w:tc>
      </w:tr>
      <w:tr w14:paraId="5D6F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76E6470A">
            <w:pPr>
              <w:spacing w:line="300" w:lineRule="exact"/>
              <w:jc w:val="center"/>
              <w:rPr>
                <w:rFonts w:eastAsia="仿宋_GB2312"/>
                <w:color w:val="auto"/>
                <w:szCs w:val="21"/>
                <w:highlight w:val="none"/>
              </w:rPr>
            </w:pPr>
          </w:p>
        </w:tc>
        <w:tc>
          <w:tcPr>
            <w:tcW w:w="367" w:type="pct"/>
            <w:vMerge w:val="continue"/>
            <w:noWrap w:val="0"/>
            <w:vAlign w:val="center"/>
          </w:tcPr>
          <w:p w14:paraId="795B07DA">
            <w:pPr>
              <w:spacing w:line="300" w:lineRule="exact"/>
              <w:jc w:val="center"/>
              <w:rPr>
                <w:rFonts w:eastAsia="仿宋_GB2312"/>
                <w:color w:val="auto"/>
                <w:szCs w:val="21"/>
                <w:highlight w:val="none"/>
              </w:rPr>
            </w:pPr>
          </w:p>
        </w:tc>
        <w:tc>
          <w:tcPr>
            <w:tcW w:w="368" w:type="pct"/>
            <w:vMerge w:val="continue"/>
            <w:noWrap w:val="0"/>
            <w:vAlign w:val="center"/>
          </w:tcPr>
          <w:p w14:paraId="69D41A2E">
            <w:pPr>
              <w:spacing w:line="300" w:lineRule="exact"/>
              <w:jc w:val="center"/>
              <w:rPr>
                <w:rFonts w:eastAsia="仿宋_GB2312"/>
                <w:color w:val="auto"/>
                <w:szCs w:val="21"/>
                <w:highlight w:val="none"/>
              </w:rPr>
            </w:pPr>
          </w:p>
        </w:tc>
        <w:tc>
          <w:tcPr>
            <w:tcW w:w="401" w:type="pct"/>
            <w:noWrap w:val="0"/>
            <w:vAlign w:val="center"/>
          </w:tcPr>
          <w:p w14:paraId="48B81E7C">
            <w:pPr>
              <w:spacing w:line="300" w:lineRule="exact"/>
              <w:jc w:val="center"/>
              <w:rPr>
                <w:rFonts w:eastAsia="仿宋_GB2312"/>
                <w:color w:val="auto"/>
                <w:szCs w:val="21"/>
                <w:highlight w:val="none"/>
              </w:rPr>
            </w:pPr>
            <w:r>
              <w:rPr>
                <w:rFonts w:eastAsia="仿宋_GB2312"/>
                <w:color w:val="auto"/>
                <w:szCs w:val="21"/>
                <w:highlight w:val="none"/>
              </w:rPr>
              <w:t>其他蒸馏酒</w:t>
            </w:r>
          </w:p>
        </w:tc>
        <w:tc>
          <w:tcPr>
            <w:tcW w:w="670" w:type="pct"/>
            <w:noWrap w:val="0"/>
            <w:vAlign w:val="center"/>
          </w:tcPr>
          <w:p w14:paraId="52D24D47">
            <w:pPr>
              <w:spacing w:line="300" w:lineRule="exact"/>
              <w:jc w:val="center"/>
              <w:rPr>
                <w:rFonts w:eastAsia="仿宋_GB2312"/>
                <w:color w:val="auto"/>
                <w:szCs w:val="21"/>
                <w:highlight w:val="none"/>
              </w:rPr>
            </w:pPr>
            <w:r>
              <w:rPr>
                <w:rFonts w:eastAsia="仿宋_GB2312"/>
                <w:color w:val="auto"/>
                <w:szCs w:val="21"/>
                <w:highlight w:val="none"/>
              </w:rPr>
              <w:t>其他蒸馏酒</w:t>
            </w:r>
          </w:p>
        </w:tc>
        <w:tc>
          <w:tcPr>
            <w:tcW w:w="284" w:type="pct"/>
            <w:noWrap w:val="0"/>
            <w:vAlign w:val="center"/>
          </w:tcPr>
          <w:p w14:paraId="3435F7F8">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34E611BC">
            <w:pPr>
              <w:spacing w:line="300" w:lineRule="exact"/>
              <w:jc w:val="left"/>
              <w:rPr>
                <w:rFonts w:eastAsia="仿宋_GB2312"/>
                <w:color w:val="auto"/>
                <w:szCs w:val="21"/>
                <w:highlight w:val="none"/>
              </w:rPr>
            </w:pPr>
            <w:r>
              <w:rPr>
                <w:rFonts w:eastAsia="仿宋_GB2312"/>
                <w:color w:val="auto"/>
                <w:szCs w:val="21"/>
                <w:highlight w:val="none"/>
              </w:rPr>
              <w:t>酒精度、铅（以Pb计）、甲醇、氰化物（以HCN计）、甜蜜素（以环己基氨基磺酸计）、三氯蔗糖</w:t>
            </w:r>
          </w:p>
        </w:tc>
        <w:tc>
          <w:tcPr>
            <w:tcW w:w="1186" w:type="pct"/>
            <w:noWrap w:val="0"/>
            <w:vAlign w:val="center"/>
          </w:tcPr>
          <w:p w14:paraId="6BB83253">
            <w:pPr>
              <w:spacing w:line="300" w:lineRule="exact"/>
              <w:jc w:val="left"/>
              <w:rPr>
                <w:rFonts w:eastAsia="仿宋_GB2312"/>
                <w:color w:val="auto"/>
                <w:szCs w:val="21"/>
                <w:highlight w:val="none"/>
              </w:rPr>
            </w:pPr>
          </w:p>
        </w:tc>
      </w:tr>
      <w:tr w14:paraId="28D1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35B8D184">
            <w:pPr>
              <w:spacing w:line="300" w:lineRule="exact"/>
              <w:jc w:val="center"/>
              <w:rPr>
                <w:rFonts w:eastAsia="仿宋_GB2312"/>
                <w:color w:val="auto"/>
                <w:szCs w:val="21"/>
                <w:highlight w:val="none"/>
              </w:rPr>
            </w:pPr>
          </w:p>
        </w:tc>
        <w:tc>
          <w:tcPr>
            <w:tcW w:w="367" w:type="pct"/>
            <w:vMerge w:val="continue"/>
            <w:noWrap w:val="0"/>
            <w:vAlign w:val="center"/>
          </w:tcPr>
          <w:p w14:paraId="281BD6E9">
            <w:pPr>
              <w:spacing w:line="300" w:lineRule="exact"/>
              <w:jc w:val="center"/>
              <w:rPr>
                <w:rFonts w:eastAsia="仿宋_GB2312"/>
                <w:color w:val="auto"/>
                <w:szCs w:val="21"/>
                <w:highlight w:val="none"/>
              </w:rPr>
            </w:pPr>
          </w:p>
        </w:tc>
        <w:tc>
          <w:tcPr>
            <w:tcW w:w="368" w:type="pct"/>
            <w:vMerge w:val="continue"/>
            <w:noWrap w:val="0"/>
            <w:vAlign w:val="center"/>
          </w:tcPr>
          <w:p w14:paraId="12A6D9AE">
            <w:pPr>
              <w:spacing w:line="300" w:lineRule="exact"/>
              <w:jc w:val="center"/>
              <w:rPr>
                <w:rFonts w:eastAsia="仿宋_GB2312"/>
                <w:color w:val="auto"/>
                <w:szCs w:val="21"/>
                <w:highlight w:val="none"/>
              </w:rPr>
            </w:pPr>
          </w:p>
        </w:tc>
        <w:tc>
          <w:tcPr>
            <w:tcW w:w="401" w:type="pct"/>
            <w:noWrap w:val="0"/>
            <w:vAlign w:val="center"/>
          </w:tcPr>
          <w:p w14:paraId="0FAF8073">
            <w:pPr>
              <w:spacing w:line="300" w:lineRule="exact"/>
              <w:jc w:val="center"/>
              <w:rPr>
                <w:rFonts w:eastAsia="仿宋_GB2312"/>
                <w:color w:val="auto"/>
                <w:szCs w:val="21"/>
                <w:highlight w:val="none"/>
              </w:rPr>
            </w:pPr>
            <w:r>
              <w:rPr>
                <w:rFonts w:eastAsia="仿宋_GB2312"/>
                <w:color w:val="auto"/>
                <w:szCs w:val="21"/>
                <w:highlight w:val="none"/>
              </w:rPr>
              <w:t>其他发酵酒</w:t>
            </w:r>
          </w:p>
        </w:tc>
        <w:tc>
          <w:tcPr>
            <w:tcW w:w="670" w:type="pct"/>
            <w:noWrap w:val="0"/>
            <w:vAlign w:val="center"/>
          </w:tcPr>
          <w:p w14:paraId="5E0D1549">
            <w:pPr>
              <w:spacing w:line="300" w:lineRule="exact"/>
              <w:jc w:val="center"/>
              <w:rPr>
                <w:rFonts w:eastAsia="仿宋_GB2312"/>
                <w:color w:val="auto"/>
                <w:szCs w:val="21"/>
                <w:highlight w:val="none"/>
              </w:rPr>
            </w:pPr>
            <w:r>
              <w:rPr>
                <w:rFonts w:eastAsia="仿宋_GB2312"/>
                <w:color w:val="auto"/>
                <w:szCs w:val="21"/>
                <w:highlight w:val="none"/>
              </w:rPr>
              <w:t>其他发酵酒</w:t>
            </w:r>
          </w:p>
        </w:tc>
        <w:tc>
          <w:tcPr>
            <w:tcW w:w="284" w:type="pct"/>
            <w:noWrap w:val="0"/>
            <w:vAlign w:val="center"/>
          </w:tcPr>
          <w:p w14:paraId="31535207">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13E8B069">
            <w:pPr>
              <w:spacing w:line="300" w:lineRule="exact"/>
              <w:jc w:val="left"/>
              <w:rPr>
                <w:rFonts w:eastAsia="仿宋_GB2312"/>
                <w:color w:val="auto"/>
                <w:szCs w:val="21"/>
                <w:highlight w:val="none"/>
              </w:rPr>
            </w:pPr>
            <w:r>
              <w:rPr>
                <w:rFonts w:eastAsia="仿宋_GB2312"/>
                <w:color w:val="auto"/>
                <w:szCs w:val="21"/>
                <w:highlight w:val="none"/>
              </w:rPr>
              <w:t>酒精度、苯甲酸及其钠盐（以苯甲酸计）、山梨酸及其钾盐（以山梨酸计）、糖精钠（以糖精计）、甜蜜素（以环己基氨基磺酸计）、安赛蜜</w:t>
            </w:r>
          </w:p>
        </w:tc>
        <w:tc>
          <w:tcPr>
            <w:tcW w:w="1186" w:type="pct"/>
            <w:noWrap w:val="0"/>
            <w:vAlign w:val="center"/>
          </w:tcPr>
          <w:p w14:paraId="4B0E1907">
            <w:pPr>
              <w:spacing w:line="300" w:lineRule="exact"/>
              <w:jc w:val="left"/>
              <w:rPr>
                <w:rFonts w:eastAsia="仿宋_GB2312"/>
                <w:color w:val="auto"/>
                <w:szCs w:val="21"/>
                <w:highlight w:val="none"/>
              </w:rPr>
            </w:pPr>
          </w:p>
        </w:tc>
      </w:tr>
      <w:tr w14:paraId="1D0A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166" w:type="pct"/>
            <w:vMerge w:val="restart"/>
            <w:noWrap w:val="0"/>
            <w:vAlign w:val="center"/>
          </w:tcPr>
          <w:p w14:paraId="34E8F3EA">
            <w:pPr>
              <w:spacing w:line="300" w:lineRule="exact"/>
              <w:jc w:val="center"/>
              <w:rPr>
                <w:rFonts w:eastAsia="仿宋_GB2312"/>
                <w:color w:val="auto"/>
                <w:szCs w:val="21"/>
                <w:highlight w:val="none"/>
              </w:rPr>
            </w:pPr>
            <w:r>
              <w:rPr>
                <w:rFonts w:eastAsia="仿宋_GB2312"/>
                <w:color w:val="auto"/>
                <w:szCs w:val="21"/>
                <w:highlight w:val="none"/>
              </w:rPr>
              <w:t>16</w:t>
            </w:r>
          </w:p>
        </w:tc>
        <w:tc>
          <w:tcPr>
            <w:tcW w:w="367" w:type="pct"/>
            <w:vMerge w:val="restart"/>
            <w:noWrap w:val="0"/>
            <w:vAlign w:val="center"/>
          </w:tcPr>
          <w:p w14:paraId="2A7BFFB1">
            <w:pPr>
              <w:spacing w:line="300" w:lineRule="exact"/>
              <w:jc w:val="center"/>
              <w:rPr>
                <w:rFonts w:eastAsia="仿宋_GB2312"/>
                <w:color w:val="auto"/>
                <w:szCs w:val="21"/>
                <w:highlight w:val="none"/>
              </w:rPr>
            </w:pPr>
            <w:r>
              <w:rPr>
                <w:rFonts w:eastAsia="仿宋_GB2312"/>
                <w:color w:val="auto"/>
                <w:szCs w:val="21"/>
                <w:highlight w:val="none"/>
              </w:rPr>
              <w:t>蔬菜制品</w:t>
            </w:r>
          </w:p>
        </w:tc>
        <w:tc>
          <w:tcPr>
            <w:tcW w:w="368" w:type="pct"/>
            <w:vMerge w:val="restart"/>
            <w:noWrap w:val="0"/>
            <w:vAlign w:val="center"/>
          </w:tcPr>
          <w:p w14:paraId="05C2A70F">
            <w:pPr>
              <w:spacing w:line="300" w:lineRule="exact"/>
              <w:jc w:val="center"/>
              <w:rPr>
                <w:rFonts w:eastAsia="仿宋_GB2312"/>
                <w:color w:val="auto"/>
                <w:szCs w:val="21"/>
                <w:highlight w:val="none"/>
              </w:rPr>
            </w:pPr>
            <w:r>
              <w:rPr>
                <w:rFonts w:eastAsia="仿宋_GB2312"/>
                <w:color w:val="auto"/>
                <w:szCs w:val="21"/>
                <w:highlight w:val="none"/>
              </w:rPr>
              <w:t>蔬菜制品</w:t>
            </w:r>
          </w:p>
        </w:tc>
        <w:tc>
          <w:tcPr>
            <w:tcW w:w="401" w:type="pct"/>
            <w:noWrap w:val="0"/>
            <w:vAlign w:val="center"/>
          </w:tcPr>
          <w:p w14:paraId="6F881EE7">
            <w:pPr>
              <w:spacing w:line="300" w:lineRule="exact"/>
              <w:jc w:val="center"/>
              <w:rPr>
                <w:rFonts w:eastAsia="仿宋_GB2312"/>
                <w:color w:val="auto"/>
                <w:szCs w:val="21"/>
                <w:highlight w:val="none"/>
              </w:rPr>
            </w:pPr>
            <w:r>
              <w:rPr>
                <w:rFonts w:eastAsia="仿宋_GB2312"/>
                <w:color w:val="auto"/>
                <w:szCs w:val="21"/>
                <w:highlight w:val="none"/>
              </w:rPr>
              <w:t>酱腌菜</w:t>
            </w:r>
          </w:p>
        </w:tc>
        <w:tc>
          <w:tcPr>
            <w:tcW w:w="670" w:type="pct"/>
            <w:noWrap w:val="0"/>
            <w:vAlign w:val="center"/>
          </w:tcPr>
          <w:p w14:paraId="38BB6193">
            <w:pPr>
              <w:spacing w:line="300" w:lineRule="exact"/>
              <w:jc w:val="center"/>
              <w:rPr>
                <w:rFonts w:eastAsia="仿宋_GB2312"/>
                <w:color w:val="auto"/>
                <w:szCs w:val="21"/>
                <w:highlight w:val="none"/>
              </w:rPr>
            </w:pPr>
            <w:r>
              <w:rPr>
                <w:rFonts w:eastAsia="仿宋_GB2312"/>
                <w:color w:val="auto"/>
                <w:szCs w:val="21"/>
                <w:highlight w:val="none"/>
              </w:rPr>
              <w:t>酱腌菜</w:t>
            </w:r>
          </w:p>
        </w:tc>
        <w:tc>
          <w:tcPr>
            <w:tcW w:w="284" w:type="pct"/>
            <w:noWrap w:val="0"/>
            <w:vAlign w:val="center"/>
          </w:tcPr>
          <w:p w14:paraId="2CBDEB8B">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20EA2526">
            <w:pPr>
              <w:spacing w:line="300" w:lineRule="exact"/>
              <w:jc w:val="left"/>
              <w:rPr>
                <w:rFonts w:eastAsia="仿宋_GB2312"/>
                <w:color w:val="auto"/>
                <w:szCs w:val="21"/>
                <w:highlight w:val="none"/>
              </w:rPr>
            </w:pPr>
            <w:r>
              <w:rPr>
                <w:rFonts w:eastAsia="仿宋_GB2312"/>
                <w:color w:val="auto"/>
                <w:szCs w:val="21"/>
                <w:highlight w:val="none"/>
              </w:rPr>
              <w:t>铅（以Pb计）、苯甲酸及其钠盐（以苯甲酸计）、山梨酸及其钾盐（以山梨酸计）、脱氢乙酸及其钠盐（以脱氢乙酸计）、糖精钠（以糖精计）、甜蜜素（以环己基氨基磺酸计）、安赛蜜、阿斯巴甜、纽甜、三氯蔗糖、二氧化硫残留量、防腐剂混合使用时各自用量占其最大使用量的比例之和、合成着色剂（柠檬黄、日落黄、胭脂红、诱惑红）、大肠菌群</w:t>
            </w:r>
          </w:p>
        </w:tc>
        <w:tc>
          <w:tcPr>
            <w:tcW w:w="1186" w:type="pct"/>
            <w:noWrap w:val="0"/>
            <w:vAlign w:val="center"/>
          </w:tcPr>
          <w:p w14:paraId="2D5B8AC1">
            <w:pPr>
              <w:spacing w:line="300" w:lineRule="exact"/>
              <w:jc w:val="left"/>
              <w:rPr>
                <w:rFonts w:eastAsia="仿宋_GB2312"/>
                <w:color w:val="auto"/>
                <w:szCs w:val="21"/>
                <w:highlight w:val="none"/>
              </w:rPr>
            </w:pPr>
            <w:r>
              <w:rPr>
                <w:rFonts w:eastAsia="仿宋_GB2312"/>
                <w:color w:val="auto"/>
                <w:szCs w:val="21"/>
                <w:highlight w:val="none"/>
              </w:rPr>
              <w:t>亚硝酸盐（以NaNO</w:t>
            </w:r>
            <w:r>
              <w:rPr>
                <w:rFonts w:eastAsia="仿宋_GB2312"/>
                <w:color w:val="auto"/>
                <w:szCs w:val="21"/>
                <w:highlight w:val="none"/>
                <w:vertAlign w:val="subscript"/>
              </w:rPr>
              <w:t>2</w:t>
            </w:r>
            <w:r>
              <w:rPr>
                <w:rFonts w:eastAsia="仿宋_GB2312"/>
                <w:color w:val="auto"/>
                <w:szCs w:val="21"/>
                <w:highlight w:val="none"/>
              </w:rPr>
              <w:t>计）</w:t>
            </w:r>
          </w:p>
        </w:tc>
      </w:tr>
      <w:tr w14:paraId="1912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6" w:type="pct"/>
            <w:vMerge w:val="continue"/>
            <w:noWrap w:val="0"/>
            <w:vAlign w:val="center"/>
          </w:tcPr>
          <w:p w14:paraId="634E66FF">
            <w:pPr>
              <w:spacing w:line="300" w:lineRule="exact"/>
              <w:jc w:val="center"/>
              <w:rPr>
                <w:rFonts w:eastAsia="仿宋_GB2312"/>
                <w:color w:val="auto"/>
                <w:szCs w:val="21"/>
                <w:highlight w:val="none"/>
              </w:rPr>
            </w:pPr>
          </w:p>
        </w:tc>
        <w:tc>
          <w:tcPr>
            <w:tcW w:w="367" w:type="pct"/>
            <w:vMerge w:val="continue"/>
            <w:noWrap w:val="0"/>
            <w:vAlign w:val="center"/>
          </w:tcPr>
          <w:p w14:paraId="23746E29">
            <w:pPr>
              <w:spacing w:line="300" w:lineRule="exact"/>
              <w:jc w:val="center"/>
              <w:rPr>
                <w:rFonts w:eastAsia="仿宋_GB2312"/>
                <w:color w:val="auto"/>
                <w:szCs w:val="21"/>
                <w:highlight w:val="none"/>
              </w:rPr>
            </w:pPr>
          </w:p>
        </w:tc>
        <w:tc>
          <w:tcPr>
            <w:tcW w:w="368" w:type="pct"/>
            <w:vMerge w:val="continue"/>
            <w:noWrap w:val="0"/>
            <w:vAlign w:val="center"/>
          </w:tcPr>
          <w:p w14:paraId="4C10AD57">
            <w:pPr>
              <w:spacing w:line="300" w:lineRule="exact"/>
              <w:jc w:val="center"/>
              <w:rPr>
                <w:rFonts w:eastAsia="仿宋_GB2312"/>
                <w:color w:val="auto"/>
                <w:szCs w:val="21"/>
                <w:highlight w:val="none"/>
              </w:rPr>
            </w:pPr>
          </w:p>
        </w:tc>
        <w:tc>
          <w:tcPr>
            <w:tcW w:w="401" w:type="pct"/>
            <w:noWrap w:val="0"/>
            <w:vAlign w:val="center"/>
          </w:tcPr>
          <w:p w14:paraId="187D72CB">
            <w:pPr>
              <w:spacing w:line="300" w:lineRule="exact"/>
              <w:jc w:val="center"/>
              <w:rPr>
                <w:rFonts w:eastAsia="仿宋_GB2312"/>
                <w:color w:val="auto"/>
                <w:szCs w:val="21"/>
                <w:highlight w:val="none"/>
              </w:rPr>
            </w:pPr>
            <w:r>
              <w:rPr>
                <w:rFonts w:eastAsia="仿宋_GB2312"/>
                <w:color w:val="auto"/>
                <w:szCs w:val="21"/>
                <w:highlight w:val="none"/>
              </w:rPr>
              <w:t>蔬菜干制品</w:t>
            </w:r>
          </w:p>
        </w:tc>
        <w:tc>
          <w:tcPr>
            <w:tcW w:w="670" w:type="pct"/>
            <w:noWrap w:val="0"/>
            <w:vAlign w:val="center"/>
          </w:tcPr>
          <w:p w14:paraId="2858B330">
            <w:pPr>
              <w:spacing w:line="300" w:lineRule="exact"/>
              <w:jc w:val="center"/>
              <w:rPr>
                <w:rFonts w:eastAsia="仿宋_GB2312"/>
                <w:color w:val="auto"/>
                <w:szCs w:val="21"/>
                <w:highlight w:val="none"/>
              </w:rPr>
            </w:pPr>
            <w:r>
              <w:rPr>
                <w:rFonts w:eastAsia="仿宋_GB2312"/>
                <w:color w:val="auto"/>
                <w:szCs w:val="21"/>
                <w:highlight w:val="none"/>
              </w:rPr>
              <w:t>蔬菜干制品</w:t>
            </w:r>
          </w:p>
        </w:tc>
        <w:tc>
          <w:tcPr>
            <w:tcW w:w="284" w:type="pct"/>
            <w:noWrap w:val="0"/>
            <w:vAlign w:val="center"/>
          </w:tcPr>
          <w:p w14:paraId="09AF7829">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4117A503">
            <w:pPr>
              <w:spacing w:line="300" w:lineRule="exact"/>
              <w:jc w:val="left"/>
              <w:rPr>
                <w:rFonts w:eastAsia="仿宋_GB2312"/>
                <w:color w:val="auto"/>
                <w:szCs w:val="21"/>
                <w:highlight w:val="none"/>
              </w:rPr>
            </w:pPr>
            <w:r>
              <w:rPr>
                <w:rFonts w:eastAsia="仿宋_GB2312"/>
                <w:color w:val="auto"/>
                <w:szCs w:val="21"/>
                <w:highlight w:val="none"/>
              </w:rPr>
              <w:t>铅（以Pb计）、苯甲酸及其钠盐（以苯甲酸计）、山梨酸及其钾盐（以山梨酸计）、二氧化硫残留量、合成着色剂（柠檬黄、日落黄、胭脂红、苋菜红、亮蓝）</w:t>
            </w:r>
          </w:p>
        </w:tc>
        <w:tc>
          <w:tcPr>
            <w:tcW w:w="1186" w:type="pct"/>
            <w:noWrap w:val="0"/>
            <w:vAlign w:val="center"/>
          </w:tcPr>
          <w:p w14:paraId="25C8EE7B">
            <w:pPr>
              <w:spacing w:line="300" w:lineRule="exact"/>
              <w:jc w:val="left"/>
              <w:rPr>
                <w:rFonts w:eastAsia="仿宋_GB2312"/>
                <w:color w:val="auto"/>
                <w:szCs w:val="21"/>
                <w:highlight w:val="none"/>
              </w:rPr>
            </w:pPr>
            <w:r>
              <w:rPr>
                <w:rFonts w:eastAsia="仿宋_GB2312"/>
                <w:color w:val="auto"/>
                <w:szCs w:val="21"/>
                <w:highlight w:val="none"/>
              </w:rPr>
              <w:t>酸价（以脂肪计）、过氧化值（以脂肪计）、阿斯巴甜、糖精钠（以糖精计）、三氯蔗糖</w:t>
            </w:r>
          </w:p>
        </w:tc>
      </w:tr>
      <w:tr w14:paraId="7C72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 w:type="pct"/>
            <w:vMerge w:val="continue"/>
            <w:noWrap w:val="0"/>
            <w:vAlign w:val="center"/>
          </w:tcPr>
          <w:p w14:paraId="7E19C01E">
            <w:pPr>
              <w:spacing w:line="300" w:lineRule="exact"/>
              <w:jc w:val="center"/>
              <w:rPr>
                <w:rFonts w:eastAsia="仿宋_GB2312"/>
                <w:color w:val="auto"/>
                <w:szCs w:val="21"/>
                <w:highlight w:val="none"/>
              </w:rPr>
            </w:pPr>
          </w:p>
        </w:tc>
        <w:tc>
          <w:tcPr>
            <w:tcW w:w="367" w:type="pct"/>
            <w:vMerge w:val="continue"/>
            <w:noWrap w:val="0"/>
            <w:vAlign w:val="center"/>
          </w:tcPr>
          <w:p w14:paraId="43D93BF2">
            <w:pPr>
              <w:spacing w:line="300" w:lineRule="exact"/>
              <w:jc w:val="center"/>
              <w:rPr>
                <w:rFonts w:eastAsia="仿宋_GB2312"/>
                <w:color w:val="auto"/>
                <w:szCs w:val="21"/>
                <w:highlight w:val="none"/>
              </w:rPr>
            </w:pPr>
          </w:p>
        </w:tc>
        <w:tc>
          <w:tcPr>
            <w:tcW w:w="368" w:type="pct"/>
            <w:vMerge w:val="continue"/>
            <w:noWrap w:val="0"/>
            <w:vAlign w:val="center"/>
          </w:tcPr>
          <w:p w14:paraId="4575C67F">
            <w:pPr>
              <w:spacing w:line="300" w:lineRule="exact"/>
              <w:jc w:val="center"/>
              <w:rPr>
                <w:rFonts w:eastAsia="仿宋_GB2312"/>
                <w:color w:val="auto"/>
                <w:szCs w:val="21"/>
                <w:highlight w:val="none"/>
              </w:rPr>
            </w:pPr>
          </w:p>
        </w:tc>
        <w:tc>
          <w:tcPr>
            <w:tcW w:w="401" w:type="pct"/>
            <w:noWrap w:val="0"/>
            <w:vAlign w:val="center"/>
          </w:tcPr>
          <w:p w14:paraId="7C772BEC">
            <w:pPr>
              <w:spacing w:line="300" w:lineRule="exact"/>
              <w:jc w:val="center"/>
              <w:rPr>
                <w:rFonts w:eastAsia="仿宋_GB2312"/>
                <w:color w:val="auto"/>
                <w:szCs w:val="21"/>
                <w:highlight w:val="none"/>
              </w:rPr>
            </w:pPr>
            <w:r>
              <w:rPr>
                <w:rFonts w:eastAsia="仿宋_GB2312"/>
                <w:color w:val="auto"/>
                <w:szCs w:val="21"/>
                <w:highlight w:val="none"/>
              </w:rPr>
              <w:t>其他蔬菜制品</w:t>
            </w:r>
          </w:p>
        </w:tc>
        <w:tc>
          <w:tcPr>
            <w:tcW w:w="670" w:type="pct"/>
            <w:noWrap w:val="0"/>
            <w:vAlign w:val="center"/>
          </w:tcPr>
          <w:p w14:paraId="54E66BC6">
            <w:pPr>
              <w:spacing w:line="300" w:lineRule="exact"/>
              <w:jc w:val="center"/>
              <w:rPr>
                <w:rFonts w:eastAsia="仿宋_GB2312"/>
                <w:color w:val="auto"/>
                <w:szCs w:val="21"/>
                <w:highlight w:val="none"/>
              </w:rPr>
            </w:pPr>
            <w:r>
              <w:rPr>
                <w:rFonts w:eastAsia="仿宋_GB2312"/>
                <w:color w:val="auto"/>
                <w:szCs w:val="21"/>
                <w:highlight w:val="none"/>
              </w:rPr>
              <w:t>其他蔬菜制品</w:t>
            </w:r>
          </w:p>
        </w:tc>
        <w:tc>
          <w:tcPr>
            <w:tcW w:w="284" w:type="pct"/>
            <w:noWrap w:val="0"/>
            <w:vAlign w:val="center"/>
          </w:tcPr>
          <w:p w14:paraId="7FEAAAAC">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1315A921">
            <w:pPr>
              <w:spacing w:line="300" w:lineRule="exact"/>
              <w:jc w:val="left"/>
              <w:rPr>
                <w:rFonts w:eastAsia="仿宋_GB2312"/>
                <w:color w:val="auto"/>
                <w:szCs w:val="21"/>
                <w:highlight w:val="none"/>
              </w:rPr>
            </w:pPr>
            <w:r>
              <w:rPr>
                <w:rFonts w:eastAsia="仿宋_GB2312"/>
                <w:color w:val="auto"/>
                <w:szCs w:val="21"/>
                <w:highlight w:val="none"/>
              </w:rPr>
              <w:t>铅（以Pb计）、苯甲酸及其钠盐（以苯甲酸计）、山梨酸及其钾盐（以山梨酸计）、脱氢乙酸及其钠盐（以脱氢乙酸计）、二氧化硫残留量</w:t>
            </w:r>
          </w:p>
        </w:tc>
        <w:tc>
          <w:tcPr>
            <w:tcW w:w="1186" w:type="pct"/>
            <w:noWrap w:val="0"/>
            <w:vAlign w:val="center"/>
          </w:tcPr>
          <w:p w14:paraId="07CFC264">
            <w:pPr>
              <w:spacing w:line="300" w:lineRule="exact"/>
              <w:jc w:val="left"/>
              <w:rPr>
                <w:rFonts w:eastAsia="仿宋_GB2312"/>
                <w:color w:val="auto"/>
                <w:szCs w:val="21"/>
                <w:highlight w:val="none"/>
              </w:rPr>
            </w:pPr>
            <w:r>
              <w:rPr>
                <w:rFonts w:eastAsia="仿宋_GB2312"/>
                <w:color w:val="auto"/>
                <w:szCs w:val="21"/>
                <w:highlight w:val="none"/>
              </w:rPr>
              <w:t>酸价（以脂肪计）、过氧化值（以脂肪计）</w:t>
            </w:r>
          </w:p>
        </w:tc>
      </w:tr>
      <w:tr w14:paraId="1E3C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6" w:type="pct"/>
            <w:vMerge w:val="continue"/>
            <w:noWrap w:val="0"/>
            <w:vAlign w:val="center"/>
          </w:tcPr>
          <w:p w14:paraId="2CED88C2">
            <w:pPr>
              <w:spacing w:line="300" w:lineRule="exact"/>
              <w:jc w:val="center"/>
              <w:rPr>
                <w:rFonts w:eastAsia="仿宋_GB2312"/>
                <w:color w:val="auto"/>
                <w:szCs w:val="21"/>
                <w:highlight w:val="none"/>
              </w:rPr>
            </w:pPr>
          </w:p>
        </w:tc>
        <w:tc>
          <w:tcPr>
            <w:tcW w:w="367" w:type="pct"/>
            <w:vMerge w:val="continue"/>
            <w:noWrap w:val="0"/>
            <w:vAlign w:val="center"/>
          </w:tcPr>
          <w:p w14:paraId="1F20A865">
            <w:pPr>
              <w:spacing w:line="300" w:lineRule="exact"/>
              <w:jc w:val="center"/>
              <w:rPr>
                <w:rFonts w:eastAsia="仿宋_GB2312"/>
                <w:color w:val="auto"/>
                <w:szCs w:val="21"/>
                <w:highlight w:val="none"/>
              </w:rPr>
            </w:pPr>
          </w:p>
        </w:tc>
        <w:tc>
          <w:tcPr>
            <w:tcW w:w="368" w:type="pct"/>
            <w:vMerge w:val="continue"/>
            <w:noWrap w:val="0"/>
            <w:vAlign w:val="center"/>
          </w:tcPr>
          <w:p w14:paraId="7C74B4EC">
            <w:pPr>
              <w:spacing w:line="300" w:lineRule="exact"/>
              <w:jc w:val="center"/>
              <w:rPr>
                <w:rFonts w:eastAsia="仿宋_GB2312"/>
                <w:color w:val="auto"/>
                <w:szCs w:val="21"/>
                <w:highlight w:val="none"/>
              </w:rPr>
            </w:pPr>
          </w:p>
        </w:tc>
        <w:tc>
          <w:tcPr>
            <w:tcW w:w="401" w:type="pct"/>
            <w:noWrap w:val="0"/>
            <w:vAlign w:val="center"/>
          </w:tcPr>
          <w:p w14:paraId="3D7A11A0">
            <w:pPr>
              <w:spacing w:line="300" w:lineRule="exact"/>
              <w:jc w:val="center"/>
              <w:rPr>
                <w:rFonts w:eastAsia="仿宋_GB2312"/>
                <w:color w:val="auto"/>
                <w:szCs w:val="21"/>
                <w:highlight w:val="none"/>
              </w:rPr>
            </w:pPr>
            <w:r>
              <w:rPr>
                <w:rFonts w:eastAsia="仿宋_GB2312"/>
                <w:color w:val="auto"/>
                <w:szCs w:val="21"/>
                <w:highlight w:val="none"/>
              </w:rPr>
              <w:t>食用菌制品</w:t>
            </w:r>
          </w:p>
        </w:tc>
        <w:tc>
          <w:tcPr>
            <w:tcW w:w="670" w:type="pct"/>
            <w:noWrap w:val="0"/>
            <w:vAlign w:val="center"/>
          </w:tcPr>
          <w:p w14:paraId="51DE0F86">
            <w:pPr>
              <w:spacing w:line="300" w:lineRule="exact"/>
              <w:jc w:val="center"/>
              <w:rPr>
                <w:rFonts w:eastAsia="仿宋_GB2312"/>
                <w:color w:val="auto"/>
                <w:szCs w:val="21"/>
                <w:highlight w:val="none"/>
              </w:rPr>
            </w:pPr>
            <w:r>
              <w:rPr>
                <w:rFonts w:eastAsia="仿宋_GB2312"/>
                <w:color w:val="auto"/>
                <w:szCs w:val="21"/>
                <w:highlight w:val="none"/>
              </w:rPr>
              <w:t>干制食用菌</w:t>
            </w:r>
          </w:p>
        </w:tc>
        <w:tc>
          <w:tcPr>
            <w:tcW w:w="284" w:type="pct"/>
            <w:noWrap w:val="0"/>
            <w:vAlign w:val="center"/>
          </w:tcPr>
          <w:p w14:paraId="24560B3B">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131C053F">
            <w:pPr>
              <w:spacing w:line="300" w:lineRule="exact"/>
              <w:jc w:val="left"/>
              <w:rPr>
                <w:rFonts w:eastAsia="仿宋_GB2312"/>
                <w:color w:val="auto"/>
                <w:szCs w:val="21"/>
                <w:highlight w:val="none"/>
              </w:rPr>
            </w:pPr>
            <w:r>
              <w:rPr>
                <w:rFonts w:eastAsia="仿宋_GB2312"/>
                <w:color w:val="auto"/>
                <w:szCs w:val="21"/>
                <w:highlight w:val="none"/>
              </w:rPr>
              <w:t>铅（以Pb计）、镉（以Cd计）、甲基汞（以Hg计）、无机砷（以As计）</w:t>
            </w:r>
          </w:p>
        </w:tc>
        <w:tc>
          <w:tcPr>
            <w:tcW w:w="1186" w:type="pct"/>
            <w:noWrap w:val="0"/>
            <w:vAlign w:val="center"/>
          </w:tcPr>
          <w:p w14:paraId="049A6CD7">
            <w:pPr>
              <w:spacing w:line="300" w:lineRule="exact"/>
              <w:jc w:val="left"/>
              <w:rPr>
                <w:rFonts w:eastAsia="仿宋_GB2312"/>
                <w:color w:val="auto"/>
                <w:szCs w:val="21"/>
                <w:highlight w:val="none"/>
              </w:rPr>
            </w:pPr>
            <w:r>
              <w:rPr>
                <w:rFonts w:eastAsia="仿宋_GB2312"/>
                <w:color w:val="auto"/>
                <w:szCs w:val="21"/>
                <w:highlight w:val="none"/>
              </w:rPr>
              <w:t>/</w:t>
            </w:r>
          </w:p>
        </w:tc>
      </w:tr>
      <w:tr w14:paraId="5988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6" w:type="pct"/>
            <w:vMerge w:val="continue"/>
            <w:noWrap w:val="0"/>
            <w:vAlign w:val="center"/>
          </w:tcPr>
          <w:p w14:paraId="5C80D7C1">
            <w:pPr>
              <w:spacing w:line="300" w:lineRule="exact"/>
              <w:jc w:val="center"/>
              <w:rPr>
                <w:rFonts w:eastAsia="仿宋_GB2312"/>
                <w:color w:val="auto"/>
                <w:szCs w:val="21"/>
                <w:highlight w:val="none"/>
              </w:rPr>
            </w:pPr>
          </w:p>
        </w:tc>
        <w:tc>
          <w:tcPr>
            <w:tcW w:w="367" w:type="pct"/>
            <w:vMerge w:val="continue"/>
            <w:noWrap w:val="0"/>
            <w:vAlign w:val="center"/>
          </w:tcPr>
          <w:p w14:paraId="4D19267D">
            <w:pPr>
              <w:spacing w:line="300" w:lineRule="exact"/>
              <w:jc w:val="center"/>
              <w:rPr>
                <w:rFonts w:eastAsia="仿宋_GB2312"/>
                <w:color w:val="auto"/>
                <w:szCs w:val="21"/>
                <w:highlight w:val="none"/>
              </w:rPr>
            </w:pPr>
          </w:p>
        </w:tc>
        <w:tc>
          <w:tcPr>
            <w:tcW w:w="368" w:type="pct"/>
            <w:vMerge w:val="continue"/>
            <w:noWrap w:val="0"/>
            <w:vAlign w:val="center"/>
          </w:tcPr>
          <w:p w14:paraId="59C53617">
            <w:pPr>
              <w:spacing w:line="300" w:lineRule="exact"/>
              <w:jc w:val="center"/>
              <w:rPr>
                <w:rFonts w:eastAsia="仿宋_GB2312"/>
                <w:color w:val="auto"/>
                <w:szCs w:val="21"/>
                <w:highlight w:val="none"/>
              </w:rPr>
            </w:pPr>
          </w:p>
        </w:tc>
        <w:tc>
          <w:tcPr>
            <w:tcW w:w="401" w:type="pct"/>
            <w:noWrap w:val="0"/>
            <w:vAlign w:val="center"/>
          </w:tcPr>
          <w:p w14:paraId="1DEF23BB">
            <w:pPr>
              <w:spacing w:line="300" w:lineRule="exact"/>
              <w:jc w:val="center"/>
              <w:rPr>
                <w:rFonts w:eastAsia="仿宋_GB2312"/>
                <w:color w:val="auto"/>
                <w:szCs w:val="21"/>
                <w:highlight w:val="none"/>
              </w:rPr>
            </w:pPr>
            <w:r>
              <w:rPr>
                <w:rFonts w:eastAsia="仿宋_GB2312"/>
                <w:color w:val="auto"/>
                <w:szCs w:val="21"/>
                <w:highlight w:val="none"/>
              </w:rPr>
              <w:t>食用菌制品</w:t>
            </w:r>
          </w:p>
        </w:tc>
        <w:tc>
          <w:tcPr>
            <w:tcW w:w="670" w:type="pct"/>
            <w:noWrap w:val="0"/>
            <w:vAlign w:val="center"/>
          </w:tcPr>
          <w:p w14:paraId="3FE4BAF2">
            <w:pPr>
              <w:spacing w:line="300" w:lineRule="exact"/>
              <w:jc w:val="center"/>
              <w:rPr>
                <w:rFonts w:eastAsia="仿宋_GB2312"/>
                <w:color w:val="auto"/>
                <w:szCs w:val="21"/>
                <w:highlight w:val="none"/>
              </w:rPr>
            </w:pPr>
            <w:r>
              <w:rPr>
                <w:rFonts w:eastAsia="仿宋_GB2312"/>
                <w:color w:val="auto"/>
                <w:szCs w:val="21"/>
                <w:highlight w:val="none"/>
              </w:rPr>
              <w:t>腌渍食用菌</w:t>
            </w:r>
          </w:p>
        </w:tc>
        <w:tc>
          <w:tcPr>
            <w:tcW w:w="284" w:type="pct"/>
            <w:noWrap w:val="0"/>
            <w:vAlign w:val="center"/>
          </w:tcPr>
          <w:p w14:paraId="2A2AF448">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49ABEBC">
            <w:pPr>
              <w:spacing w:line="300" w:lineRule="exact"/>
              <w:jc w:val="left"/>
              <w:rPr>
                <w:rFonts w:eastAsia="仿宋_GB2312"/>
                <w:color w:val="auto"/>
                <w:szCs w:val="21"/>
                <w:highlight w:val="none"/>
              </w:rPr>
            </w:pPr>
            <w:r>
              <w:rPr>
                <w:rFonts w:eastAsia="仿宋_GB2312"/>
                <w:color w:val="auto"/>
                <w:szCs w:val="21"/>
                <w:highlight w:val="none"/>
              </w:rPr>
              <w:t>苯甲酸及其钠盐（以苯甲酸计）、山梨酸及其钾盐（以山梨酸计）、脱氢乙酸及其钠盐（以脱氢乙酸计）、防腐剂混合使用时各自用量占其最大使用量的比例之和</w:t>
            </w:r>
          </w:p>
        </w:tc>
        <w:tc>
          <w:tcPr>
            <w:tcW w:w="1186" w:type="pct"/>
            <w:noWrap w:val="0"/>
            <w:vAlign w:val="center"/>
          </w:tcPr>
          <w:p w14:paraId="38886FFF">
            <w:pPr>
              <w:spacing w:line="300" w:lineRule="exact"/>
              <w:jc w:val="left"/>
              <w:rPr>
                <w:rFonts w:eastAsia="仿宋_GB2312"/>
                <w:color w:val="auto"/>
                <w:szCs w:val="21"/>
                <w:highlight w:val="none"/>
              </w:rPr>
            </w:pPr>
            <w:r>
              <w:rPr>
                <w:rFonts w:eastAsia="仿宋_GB2312"/>
                <w:color w:val="auto"/>
                <w:szCs w:val="21"/>
                <w:highlight w:val="none"/>
              </w:rPr>
              <w:t>/</w:t>
            </w:r>
          </w:p>
        </w:tc>
      </w:tr>
      <w:tr w14:paraId="18EC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 w:type="pct"/>
            <w:vMerge w:val="restart"/>
            <w:noWrap w:val="0"/>
            <w:vAlign w:val="center"/>
          </w:tcPr>
          <w:p w14:paraId="7BA83E53">
            <w:pPr>
              <w:spacing w:line="300" w:lineRule="exact"/>
              <w:jc w:val="center"/>
              <w:rPr>
                <w:rFonts w:eastAsia="仿宋_GB2312"/>
                <w:color w:val="auto"/>
                <w:szCs w:val="21"/>
                <w:highlight w:val="none"/>
              </w:rPr>
            </w:pPr>
            <w:r>
              <w:rPr>
                <w:rFonts w:eastAsia="仿宋_GB2312"/>
                <w:color w:val="auto"/>
                <w:szCs w:val="21"/>
                <w:highlight w:val="none"/>
              </w:rPr>
              <w:t>17</w:t>
            </w:r>
          </w:p>
        </w:tc>
        <w:tc>
          <w:tcPr>
            <w:tcW w:w="367" w:type="pct"/>
            <w:vMerge w:val="restart"/>
            <w:noWrap w:val="0"/>
            <w:vAlign w:val="center"/>
          </w:tcPr>
          <w:p w14:paraId="1B53155F">
            <w:pPr>
              <w:spacing w:line="300" w:lineRule="exact"/>
              <w:jc w:val="center"/>
              <w:rPr>
                <w:rFonts w:eastAsia="仿宋_GB2312"/>
                <w:color w:val="auto"/>
                <w:szCs w:val="21"/>
                <w:highlight w:val="none"/>
              </w:rPr>
            </w:pPr>
            <w:r>
              <w:rPr>
                <w:rFonts w:eastAsia="仿宋_GB2312"/>
                <w:color w:val="auto"/>
                <w:szCs w:val="21"/>
                <w:highlight w:val="none"/>
              </w:rPr>
              <w:t>水果制品</w:t>
            </w:r>
          </w:p>
        </w:tc>
        <w:tc>
          <w:tcPr>
            <w:tcW w:w="368" w:type="pct"/>
            <w:vMerge w:val="restart"/>
            <w:noWrap w:val="0"/>
            <w:vAlign w:val="center"/>
          </w:tcPr>
          <w:p w14:paraId="3A00704F">
            <w:pPr>
              <w:spacing w:line="300" w:lineRule="exact"/>
              <w:jc w:val="center"/>
              <w:rPr>
                <w:rFonts w:eastAsia="仿宋_GB2312"/>
                <w:color w:val="auto"/>
                <w:szCs w:val="21"/>
                <w:highlight w:val="none"/>
              </w:rPr>
            </w:pPr>
            <w:r>
              <w:rPr>
                <w:rFonts w:eastAsia="仿宋_GB2312"/>
                <w:color w:val="auto"/>
                <w:szCs w:val="21"/>
                <w:highlight w:val="none"/>
              </w:rPr>
              <w:t>水果制品</w:t>
            </w:r>
          </w:p>
        </w:tc>
        <w:tc>
          <w:tcPr>
            <w:tcW w:w="401" w:type="pct"/>
            <w:noWrap w:val="0"/>
            <w:vAlign w:val="center"/>
          </w:tcPr>
          <w:p w14:paraId="2B05E3E3">
            <w:pPr>
              <w:spacing w:line="300" w:lineRule="exact"/>
              <w:jc w:val="center"/>
              <w:rPr>
                <w:rFonts w:eastAsia="仿宋_GB2312"/>
                <w:color w:val="auto"/>
                <w:szCs w:val="21"/>
                <w:highlight w:val="none"/>
              </w:rPr>
            </w:pPr>
            <w:r>
              <w:rPr>
                <w:rFonts w:eastAsia="仿宋_GB2312"/>
                <w:color w:val="auto"/>
                <w:szCs w:val="21"/>
                <w:highlight w:val="none"/>
              </w:rPr>
              <w:t>蜜饯</w:t>
            </w:r>
          </w:p>
        </w:tc>
        <w:tc>
          <w:tcPr>
            <w:tcW w:w="670" w:type="pct"/>
            <w:noWrap w:val="0"/>
            <w:vAlign w:val="center"/>
          </w:tcPr>
          <w:p w14:paraId="292B31A0">
            <w:pPr>
              <w:spacing w:line="300" w:lineRule="exact"/>
              <w:jc w:val="center"/>
              <w:rPr>
                <w:rFonts w:eastAsia="仿宋_GB2312"/>
                <w:color w:val="auto"/>
                <w:szCs w:val="21"/>
                <w:highlight w:val="none"/>
              </w:rPr>
            </w:pPr>
            <w:r>
              <w:rPr>
                <w:rFonts w:eastAsia="仿宋_GB2312"/>
                <w:color w:val="auto"/>
                <w:szCs w:val="21"/>
                <w:highlight w:val="none"/>
              </w:rPr>
              <w:t>蜜饯类、凉果类、果脯类、话化类、果糕类</w:t>
            </w:r>
          </w:p>
        </w:tc>
        <w:tc>
          <w:tcPr>
            <w:tcW w:w="284" w:type="pct"/>
            <w:noWrap w:val="0"/>
            <w:vAlign w:val="center"/>
          </w:tcPr>
          <w:p w14:paraId="49D037B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0AC597CF">
            <w:pPr>
              <w:pStyle w:val="180"/>
              <w:widowControl/>
              <w:snapToGrid w:val="0"/>
              <w:spacing w:before="0" w:after="0" w:line="300" w:lineRule="exact"/>
              <w:jc w:val="left"/>
              <w:rPr>
                <w:rFonts w:eastAsia="仿宋_GB2312"/>
                <w:color w:val="auto"/>
                <w:sz w:val="21"/>
                <w:szCs w:val="21"/>
                <w:highlight w:val="none"/>
                <w:lang w:val="en-US" w:eastAsia="zh-CN"/>
              </w:rPr>
            </w:pPr>
            <w:r>
              <w:rPr>
                <w:rFonts w:eastAsia="仿宋_GB2312"/>
                <w:color w:val="auto"/>
                <w:sz w:val="21"/>
                <w:szCs w:val="21"/>
                <w:highlight w:val="none"/>
                <w:lang w:val="en-US" w:eastAsia="zh-CN"/>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诱惑红、喹啉黄、赤藓红）、相同色泽着色剂混合使用时各自用量占其最大使用量的比例之和、乙二胺四乙酸二钠、菌落总数、大肠菌群、霉菌</w:t>
            </w:r>
          </w:p>
        </w:tc>
        <w:tc>
          <w:tcPr>
            <w:tcW w:w="1186" w:type="pct"/>
            <w:noWrap w:val="0"/>
            <w:vAlign w:val="center"/>
          </w:tcPr>
          <w:p w14:paraId="43250CD5">
            <w:pPr>
              <w:spacing w:line="300" w:lineRule="exact"/>
              <w:jc w:val="left"/>
              <w:rPr>
                <w:rFonts w:eastAsia="仿宋_GB2312"/>
                <w:color w:val="auto"/>
                <w:szCs w:val="21"/>
                <w:highlight w:val="none"/>
              </w:rPr>
            </w:pPr>
            <w:r>
              <w:rPr>
                <w:rFonts w:eastAsia="仿宋_GB2312"/>
                <w:color w:val="auto"/>
                <w:szCs w:val="21"/>
                <w:highlight w:val="none"/>
              </w:rPr>
              <w:t>二氧化钛</w:t>
            </w:r>
          </w:p>
        </w:tc>
      </w:tr>
      <w:tr w14:paraId="3FE3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31FA2718">
            <w:pPr>
              <w:spacing w:line="300" w:lineRule="exact"/>
              <w:jc w:val="center"/>
              <w:rPr>
                <w:rFonts w:eastAsia="仿宋_GB2312"/>
                <w:color w:val="auto"/>
                <w:szCs w:val="21"/>
                <w:highlight w:val="none"/>
              </w:rPr>
            </w:pPr>
          </w:p>
        </w:tc>
        <w:tc>
          <w:tcPr>
            <w:tcW w:w="367" w:type="pct"/>
            <w:vMerge w:val="continue"/>
            <w:noWrap w:val="0"/>
            <w:vAlign w:val="center"/>
          </w:tcPr>
          <w:p w14:paraId="7C4FC230">
            <w:pPr>
              <w:spacing w:line="300" w:lineRule="exact"/>
              <w:jc w:val="center"/>
              <w:rPr>
                <w:rFonts w:eastAsia="仿宋_GB2312"/>
                <w:color w:val="auto"/>
                <w:szCs w:val="21"/>
                <w:highlight w:val="none"/>
              </w:rPr>
            </w:pPr>
          </w:p>
        </w:tc>
        <w:tc>
          <w:tcPr>
            <w:tcW w:w="368" w:type="pct"/>
            <w:vMerge w:val="continue"/>
            <w:noWrap w:val="0"/>
            <w:vAlign w:val="center"/>
          </w:tcPr>
          <w:p w14:paraId="0E9F56D7">
            <w:pPr>
              <w:spacing w:line="300" w:lineRule="exact"/>
              <w:jc w:val="center"/>
              <w:rPr>
                <w:rFonts w:eastAsia="仿宋_GB2312"/>
                <w:color w:val="auto"/>
                <w:szCs w:val="21"/>
                <w:highlight w:val="none"/>
              </w:rPr>
            </w:pPr>
          </w:p>
        </w:tc>
        <w:tc>
          <w:tcPr>
            <w:tcW w:w="401" w:type="pct"/>
            <w:noWrap w:val="0"/>
            <w:vAlign w:val="center"/>
          </w:tcPr>
          <w:p w14:paraId="22A5B062">
            <w:pPr>
              <w:spacing w:line="300" w:lineRule="exact"/>
              <w:jc w:val="center"/>
              <w:rPr>
                <w:rFonts w:eastAsia="仿宋_GB2312"/>
                <w:color w:val="auto"/>
                <w:szCs w:val="21"/>
                <w:highlight w:val="none"/>
              </w:rPr>
            </w:pPr>
            <w:r>
              <w:rPr>
                <w:rFonts w:eastAsia="仿宋_GB2312"/>
                <w:color w:val="auto"/>
                <w:szCs w:val="21"/>
                <w:highlight w:val="none"/>
              </w:rPr>
              <w:t>水果干制品</w:t>
            </w:r>
          </w:p>
        </w:tc>
        <w:tc>
          <w:tcPr>
            <w:tcW w:w="670" w:type="pct"/>
            <w:noWrap w:val="0"/>
            <w:vAlign w:val="center"/>
          </w:tcPr>
          <w:p w14:paraId="45FFAFEA">
            <w:pPr>
              <w:spacing w:line="300" w:lineRule="exact"/>
              <w:jc w:val="center"/>
              <w:rPr>
                <w:rFonts w:eastAsia="仿宋_GB2312"/>
                <w:color w:val="auto"/>
                <w:szCs w:val="21"/>
                <w:highlight w:val="none"/>
              </w:rPr>
            </w:pPr>
            <w:r>
              <w:rPr>
                <w:rFonts w:eastAsia="仿宋_GB2312"/>
                <w:color w:val="auto"/>
                <w:szCs w:val="21"/>
                <w:highlight w:val="none"/>
              </w:rPr>
              <w:t>水果干制品(含干枸杞)</w:t>
            </w:r>
          </w:p>
        </w:tc>
        <w:tc>
          <w:tcPr>
            <w:tcW w:w="284" w:type="pct"/>
            <w:noWrap w:val="0"/>
            <w:vAlign w:val="center"/>
          </w:tcPr>
          <w:p w14:paraId="6C59CC7E">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6B460295">
            <w:pPr>
              <w:pStyle w:val="180"/>
              <w:widowControl/>
              <w:snapToGrid w:val="0"/>
              <w:spacing w:before="0" w:after="0" w:line="300" w:lineRule="exact"/>
              <w:jc w:val="left"/>
              <w:rPr>
                <w:rFonts w:eastAsia="仿宋_GB2312"/>
                <w:color w:val="auto"/>
                <w:sz w:val="21"/>
                <w:szCs w:val="21"/>
                <w:highlight w:val="none"/>
                <w:lang w:val="en-US" w:eastAsia="zh-CN"/>
              </w:rPr>
            </w:pPr>
            <w:r>
              <w:rPr>
                <w:rFonts w:eastAsia="仿宋_GB2312"/>
                <w:color w:val="auto"/>
                <w:sz w:val="21"/>
                <w:szCs w:val="21"/>
                <w:highlight w:val="none"/>
                <w:lang w:val="en-US" w:eastAsia="zh-CN"/>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相同色泽着色剂混合使用时各自用量占其最大使用量的比例之和、菌落总数、大肠菌群</w:t>
            </w:r>
          </w:p>
        </w:tc>
        <w:tc>
          <w:tcPr>
            <w:tcW w:w="1186" w:type="pct"/>
            <w:noWrap w:val="0"/>
            <w:vAlign w:val="center"/>
          </w:tcPr>
          <w:p w14:paraId="5B35AF1B">
            <w:pPr>
              <w:spacing w:line="300" w:lineRule="exact"/>
              <w:jc w:val="left"/>
              <w:rPr>
                <w:rFonts w:eastAsia="仿宋_GB2312"/>
                <w:color w:val="auto"/>
                <w:szCs w:val="21"/>
                <w:highlight w:val="none"/>
              </w:rPr>
            </w:pPr>
            <w:r>
              <w:rPr>
                <w:rFonts w:eastAsia="仿宋_GB2312"/>
                <w:color w:val="auto"/>
                <w:szCs w:val="21"/>
                <w:highlight w:val="none"/>
              </w:rPr>
              <w:t>霉菌、展青霉素</w:t>
            </w:r>
          </w:p>
        </w:tc>
      </w:tr>
      <w:tr w14:paraId="52F5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6" w:type="pct"/>
            <w:vMerge w:val="continue"/>
            <w:noWrap w:val="0"/>
            <w:vAlign w:val="center"/>
          </w:tcPr>
          <w:p w14:paraId="4544BF13">
            <w:pPr>
              <w:spacing w:line="300" w:lineRule="exact"/>
              <w:jc w:val="center"/>
              <w:rPr>
                <w:rFonts w:eastAsia="仿宋_GB2312"/>
                <w:color w:val="auto"/>
                <w:szCs w:val="21"/>
                <w:highlight w:val="none"/>
              </w:rPr>
            </w:pPr>
          </w:p>
        </w:tc>
        <w:tc>
          <w:tcPr>
            <w:tcW w:w="367" w:type="pct"/>
            <w:vMerge w:val="continue"/>
            <w:noWrap w:val="0"/>
            <w:vAlign w:val="center"/>
          </w:tcPr>
          <w:p w14:paraId="6E121D39">
            <w:pPr>
              <w:spacing w:line="300" w:lineRule="exact"/>
              <w:jc w:val="center"/>
              <w:rPr>
                <w:rFonts w:eastAsia="仿宋_GB2312"/>
                <w:color w:val="auto"/>
                <w:szCs w:val="21"/>
                <w:highlight w:val="none"/>
              </w:rPr>
            </w:pPr>
          </w:p>
        </w:tc>
        <w:tc>
          <w:tcPr>
            <w:tcW w:w="368" w:type="pct"/>
            <w:vMerge w:val="continue"/>
            <w:noWrap w:val="0"/>
            <w:vAlign w:val="center"/>
          </w:tcPr>
          <w:p w14:paraId="43CA580E">
            <w:pPr>
              <w:spacing w:line="300" w:lineRule="exact"/>
              <w:jc w:val="center"/>
              <w:rPr>
                <w:rFonts w:eastAsia="仿宋_GB2312"/>
                <w:color w:val="auto"/>
                <w:szCs w:val="21"/>
                <w:highlight w:val="none"/>
              </w:rPr>
            </w:pPr>
          </w:p>
        </w:tc>
        <w:tc>
          <w:tcPr>
            <w:tcW w:w="401" w:type="pct"/>
            <w:noWrap w:val="0"/>
            <w:vAlign w:val="center"/>
          </w:tcPr>
          <w:p w14:paraId="5D15BC3B">
            <w:pPr>
              <w:spacing w:line="300" w:lineRule="exact"/>
              <w:jc w:val="center"/>
              <w:rPr>
                <w:rFonts w:eastAsia="仿宋_GB2312"/>
                <w:color w:val="auto"/>
                <w:szCs w:val="21"/>
                <w:highlight w:val="none"/>
              </w:rPr>
            </w:pPr>
            <w:r>
              <w:rPr>
                <w:rFonts w:eastAsia="仿宋_GB2312"/>
                <w:color w:val="auto"/>
                <w:szCs w:val="21"/>
                <w:highlight w:val="none"/>
              </w:rPr>
              <w:t>果酱</w:t>
            </w:r>
          </w:p>
        </w:tc>
        <w:tc>
          <w:tcPr>
            <w:tcW w:w="670" w:type="pct"/>
            <w:noWrap w:val="0"/>
            <w:vAlign w:val="center"/>
          </w:tcPr>
          <w:p w14:paraId="067AD72A">
            <w:pPr>
              <w:spacing w:line="300" w:lineRule="exact"/>
              <w:jc w:val="center"/>
              <w:rPr>
                <w:rFonts w:eastAsia="仿宋_GB2312"/>
                <w:color w:val="auto"/>
                <w:szCs w:val="21"/>
                <w:highlight w:val="none"/>
              </w:rPr>
            </w:pPr>
            <w:r>
              <w:rPr>
                <w:rFonts w:eastAsia="仿宋_GB2312"/>
                <w:color w:val="auto"/>
                <w:szCs w:val="21"/>
                <w:highlight w:val="none"/>
              </w:rPr>
              <w:t>果酱</w:t>
            </w:r>
          </w:p>
        </w:tc>
        <w:tc>
          <w:tcPr>
            <w:tcW w:w="284" w:type="pct"/>
            <w:noWrap w:val="0"/>
            <w:vAlign w:val="center"/>
          </w:tcPr>
          <w:p w14:paraId="66ECDB8E">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3094BDB">
            <w:pPr>
              <w:pStyle w:val="180"/>
              <w:widowControl/>
              <w:snapToGrid w:val="0"/>
              <w:spacing w:before="0" w:after="0" w:line="300" w:lineRule="exact"/>
              <w:jc w:val="left"/>
              <w:rPr>
                <w:rFonts w:eastAsia="仿宋_GB2312"/>
                <w:color w:val="auto"/>
                <w:sz w:val="21"/>
                <w:szCs w:val="21"/>
                <w:highlight w:val="none"/>
                <w:lang w:val="en-US" w:eastAsia="zh-CN"/>
              </w:rPr>
            </w:pPr>
            <w:r>
              <w:rPr>
                <w:rFonts w:eastAsia="仿宋_GB2312"/>
                <w:color w:val="auto"/>
                <w:sz w:val="21"/>
                <w:szCs w:val="21"/>
                <w:highlight w:val="none"/>
                <w:lang w:val="en-US" w:eastAsia="zh-CN"/>
              </w:rPr>
              <w:t>脱氢乙酸及其钠盐（以脱氢乙酸计）、二氧化硫残留量、菌落总数、大肠菌群、霉菌、商业无菌</w:t>
            </w:r>
          </w:p>
        </w:tc>
        <w:tc>
          <w:tcPr>
            <w:tcW w:w="1186" w:type="pct"/>
            <w:noWrap w:val="0"/>
            <w:vAlign w:val="center"/>
          </w:tcPr>
          <w:p w14:paraId="3099B3C7">
            <w:pPr>
              <w:spacing w:line="300" w:lineRule="exact"/>
              <w:jc w:val="left"/>
              <w:rPr>
                <w:rFonts w:eastAsia="仿宋_GB2312"/>
                <w:color w:val="auto"/>
                <w:szCs w:val="21"/>
                <w:highlight w:val="none"/>
              </w:rPr>
            </w:pPr>
            <w:r>
              <w:rPr>
                <w:rFonts w:eastAsia="仿宋_GB2312"/>
                <w:color w:val="auto"/>
                <w:szCs w:val="21"/>
                <w:highlight w:val="none"/>
              </w:rPr>
              <w:t>山梨酸及其钾盐（以山梨酸计）、</w:t>
            </w:r>
            <w:r>
              <w:rPr>
                <w:rFonts w:eastAsia="仿宋_GB2312"/>
                <w:color w:val="auto"/>
                <w:kern w:val="0"/>
                <w:szCs w:val="21"/>
                <w:highlight w:val="none"/>
                <w:lang w:bidi="ar"/>
              </w:rPr>
              <w:t>三氯蔗糖、</w:t>
            </w:r>
            <w:r>
              <w:rPr>
                <w:rFonts w:eastAsia="仿宋_GB2312"/>
                <w:color w:val="auto"/>
                <w:szCs w:val="21"/>
                <w:highlight w:val="none"/>
              </w:rPr>
              <w:t>合成着色剂（亮蓝、柠檬黄、日落黄、苋菜红、胭脂红、诱惑红、喹啉黄、赤藓红）</w:t>
            </w:r>
          </w:p>
        </w:tc>
      </w:tr>
      <w:tr w14:paraId="227F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restart"/>
            <w:noWrap w:val="0"/>
            <w:vAlign w:val="center"/>
          </w:tcPr>
          <w:p w14:paraId="4D0483A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18</w:t>
            </w:r>
          </w:p>
        </w:tc>
        <w:tc>
          <w:tcPr>
            <w:tcW w:w="367" w:type="pct"/>
            <w:vMerge w:val="restart"/>
            <w:noWrap w:val="0"/>
            <w:vAlign w:val="center"/>
          </w:tcPr>
          <w:p w14:paraId="5B19555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炒货食品及坚果制品</w:t>
            </w:r>
          </w:p>
        </w:tc>
        <w:tc>
          <w:tcPr>
            <w:tcW w:w="368" w:type="pct"/>
            <w:vMerge w:val="restart"/>
            <w:noWrap w:val="0"/>
            <w:vAlign w:val="center"/>
          </w:tcPr>
          <w:p w14:paraId="6CD8C13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炒货食品及坚果制品</w:t>
            </w:r>
          </w:p>
        </w:tc>
        <w:tc>
          <w:tcPr>
            <w:tcW w:w="401" w:type="pct"/>
            <w:vMerge w:val="restart"/>
            <w:noWrap w:val="0"/>
            <w:vAlign w:val="center"/>
          </w:tcPr>
          <w:p w14:paraId="75576A8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炒货食品及坚果制品（烘炒类、油炸类、其他类）</w:t>
            </w:r>
          </w:p>
        </w:tc>
        <w:tc>
          <w:tcPr>
            <w:tcW w:w="670" w:type="pct"/>
            <w:noWrap w:val="0"/>
            <w:vAlign w:val="center"/>
          </w:tcPr>
          <w:p w14:paraId="62BEC03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瓜子</w:t>
            </w:r>
          </w:p>
        </w:tc>
        <w:tc>
          <w:tcPr>
            <w:tcW w:w="284" w:type="pct"/>
            <w:noWrap w:val="0"/>
            <w:vAlign w:val="center"/>
          </w:tcPr>
          <w:p w14:paraId="2682041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40B49B28">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酸价（以脂肪计）（KOH）、过氧化值（以脂肪计）、黄曲霉毒素B</w:t>
            </w:r>
            <w:r>
              <w:rPr>
                <w:rFonts w:eastAsia="仿宋_GB2312"/>
                <w:color w:val="auto"/>
                <w:kern w:val="0"/>
                <w:szCs w:val="21"/>
                <w:highlight w:val="none"/>
                <w:vertAlign w:val="subscript"/>
              </w:rPr>
              <w:t>1</w:t>
            </w:r>
            <w:r>
              <w:rPr>
                <w:rFonts w:eastAsia="仿宋_GB2312"/>
                <w:color w:val="auto"/>
                <w:kern w:val="0"/>
                <w:szCs w:val="21"/>
                <w:highlight w:val="none"/>
              </w:rPr>
              <w:t>、苯甲酸及其钠盐（以苯甲酸计）、山梨酸及其钾盐（以山梨酸计）、二氧化硫残留量、大肠菌群、霉菌</w:t>
            </w:r>
          </w:p>
        </w:tc>
        <w:tc>
          <w:tcPr>
            <w:tcW w:w="1186" w:type="pct"/>
            <w:noWrap w:val="0"/>
            <w:vAlign w:val="center"/>
          </w:tcPr>
          <w:p w14:paraId="23CBA23D">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铅（以Pb计）、脱氢乙酸及其钠盐（以脱氢乙酸计）、糖精钠（以糖精计）、甜蜜素（以环己基氨基磺酸计）、安赛蜜</w:t>
            </w:r>
          </w:p>
        </w:tc>
      </w:tr>
      <w:tr w14:paraId="36B9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66" w:type="pct"/>
            <w:vMerge w:val="continue"/>
            <w:noWrap w:val="0"/>
            <w:vAlign w:val="center"/>
          </w:tcPr>
          <w:p w14:paraId="5876BCB7">
            <w:pPr>
              <w:spacing w:line="300" w:lineRule="exact"/>
              <w:jc w:val="center"/>
              <w:rPr>
                <w:rFonts w:eastAsia="仿宋_GB2312"/>
                <w:color w:val="auto"/>
                <w:szCs w:val="21"/>
                <w:highlight w:val="none"/>
              </w:rPr>
            </w:pPr>
          </w:p>
        </w:tc>
        <w:tc>
          <w:tcPr>
            <w:tcW w:w="367" w:type="pct"/>
            <w:vMerge w:val="continue"/>
            <w:noWrap w:val="0"/>
            <w:vAlign w:val="center"/>
          </w:tcPr>
          <w:p w14:paraId="4F44DA7C">
            <w:pPr>
              <w:spacing w:line="300" w:lineRule="exact"/>
              <w:jc w:val="center"/>
              <w:rPr>
                <w:rFonts w:eastAsia="仿宋_GB2312"/>
                <w:color w:val="auto"/>
                <w:szCs w:val="21"/>
                <w:highlight w:val="none"/>
              </w:rPr>
            </w:pPr>
          </w:p>
        </w:tc>
        <w:tc>
          <w:tcPr>
            <w:tcW w:w="368" w:type="pct"/>
            <w:vMerge w:val="continue"/>
            <w:noWrap w:val="0"/>
            <w:vAlign w:val="center"/>
          </w:tcPr>
          <w:p w14:paraId="7A6AD327">
            <w:pPr>
              <w:spacing w:line="300" w:lineRule="exact"/>
              <w:jc w:val="center"/>
              <w:rPr>
                <w:rFonts w:eastAsia="仿宋_GB2312"/>
                <w:color w:val="auto"/>
                <w:szCs w:val="21"/>
                <w:highlight w:val="none"/>
              </w:rPr>
            </w:pPr>
          </w:p>
        </w:tc>
        <w:tc>
          <w:tcPr>
            <w:tcW w:w="401" w:type="pct"/>
            <w:vMerge w:val="continue"/>
            <w:noWrap w:val="0"/>
            <w:vAlign w:val="center"/>
          </w:tcPr>
          <w:p w14:paraId="3F1D2D84">
            <w:pPr>
              <w:spacing w:line="300" w:lineRule="exact"/>
              <w:jc w:val="center"/>
              <w:rPr>
                <w:rFonts w:eastAsia="仿宋_GB2312"/>
                <w:color w:val="auto"/>
                <w:szCs w:val="21"/>
                <w:highlight w:val="none"/>
              </w:rPr>
            </w:pPr>
          </w:p>
        </w:tc>
        <w:tc>
          <w:tcPr>
            <w:tcW w:w="670" w:type="pct"/>
            <w:noWrap w:val="0"/>
            <w:vAlign w:val="center"/>
          </w:tcPr>
          <w:p w14:paraId="539AD5D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花生制品</w:t>
            </w:r>
          </w:p>
        </w:tc>
        <w:tc>
          <w:tcPr>
            <w:tcW w:w="284" w:type="pct"/>
            <w:noWrap w:val="0"/>
            <w:vAlign w:val="center"/>
          </w:tcPr>
          <w:p w14:paraId="57ECF76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38941FB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酸价（以脂肪计）（KOH）、过氧化值（以脂肪计）、黄曲霉毒素B</w:t>
            </w:r>
            <w:r>
              <w:rPr>
                <w:rFonts w:eastAsia="仿宋_GB2312"/>
                <w:color w:val="auto"/>
                <w:kern w:val="0"/>
                <w:szCs w:val="21"/>
                <w:highlight w:val="none"/>
                <w:vertAlign w:val="subscript"/>
              </w:rPr>
              <w:t>1</w:t>
            </w:r>
            <w:r>
              <w:rPr>
                <w:rFonts w:eastAsia="仿宋_GB2312"/>
                <w:color w:val="auto"/>
                <w:kern w:val="0"/>
                <w:szCs w:val="21"/>
                <w:highlight w:val="none"/>
              </w:rPr>
              <w:t>、苯甲酸及其钠盐（以苯甲酸计）、山梨酸及其钾盐（以山梨酸计）、二氧化硫残留量、大肠菌群、霉菌</w:t>
            </w:r>
          </w:p>
        </w:tc>
        <w:tc>
          <w:tcPr>
            <w:tcW w:w="1186" w:type="pct"/>
            <w:noWrap w:val="0"/>
            <w:vAlign w:val="center"/>
          </w:tcPr>
          <w:p w14:paraId="04CE258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铅（以Pb计）、脱氢乙酸及其钠盐（以脱氢乙酸计）、糖精钠（以糖精计）、甜蜜素（以环己基氨基磺酸计）、安赛蜜</w:t>
            </w:r>
          </w:p>
        </w:tc>
      </w:tr>
      <w:tr w14:paraId="3201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5ED34055">
            <w:pPr>
              <w:spacing w:line="300" w:lineRule="exact"/>
              <w:jc w:val="center"/>
              <w:rPr>
                <w:rFonts w:eastAsia="仿宋_GB2312"/>
                <w:color w:val="auto"/>
                <w:szCs w:val="21"/>
                <w:highlight w:val="none"/>
              </w:rPr>
            </w:pPr>
          </w:p>
        </w:tc>
        <w:tc>
          <w:tcPr>
            <w:tcW w:w="367" w:type="pct"/>
            <w:vMerge w:val="continue"/>
            <w:noWrap w:val="0"/>
            <w:vAlign w:val="center"/>
          </w:tcPr>
          <w:p w14:paraId="3786033C">
            <w:pPr>
              <w:spacing w:line="300" w:lineRule="exact"/>
              <w:jc w:val="center"/>
              <w:rPr>
                <w:rFonts w:eastAsia="仿宋_GB2312"/>
                <w:color w:val="auto"/>
                <w:szCs w:val="21"/>
                <w:highlight w:val="none"/>
              </w:rPr>
            </w:pPr>
          </w:p>
        </w:tc>
        <w:tc>
          <w:tcPr>
            <w:tcW w:w="368" w:type="pct"/>
            <w:vMerge w:val="continue"/>
            <w:noWrap w:val="0"/>
            <w:vAlign w:val="center"/>
          </w:tcPr>
          <w:p w14:paraId="6183CA4E">
            <w:pPr>
              <w:spacing w:line="300" w:lineRule="exact"/>
              <w:jc w:val="center"/>
              <w:rPr>
                <w:rFonts w:eastAsia="仿宋_GB2312"/>
                <w:color w:val="auto"/>
                <w:szCs w:val="21"/>
                <w:highlight w:val="none"/>
              </w:rPr>
            </w:pPr>
          </w:p>
        </w:tc>
        <w:tc>
          <w:tcPr>
            <w:tcW w:w="401" w:type="pct"/>
            <w:vMerge w:val="continue"/>
            <w:noWrap w:val="0"/>
            <w:vAlign w:val="center"/>
          </w:tcPr>
          <w:p w14:paraId="2FEE9D91">
            <w:pPr>
              <w:spacing w:line="300" w:lineRule="exact"/>
              <w:jc w:val="center"/>
              <w:rPr>
                <w:rFonts w:eastAsia="仿宋_GB2312"/>
                <w:color w:val="auto"/>
                <w:szCs w:val="21"/>
                <w:highlight w:val="none"/>
              </w:rPr>
            </w:pPr>
          </w:p>
        </w:tc>
        <w:tc>
          <w:tcPr>
            <w:tcW w:w="670" w:type="pct"/>
            <w:noWrap w:val="0"/>
            <w:vAlign w:val="center"/>
          </w:tcPr>
          <w:p w14:paraId="587B3E1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其他炒货食品及坚果制品</w:t>
            </w:r>
          </w:p>
        </w:tc>
        <w:tc>
          <w:tcPr>
            <w:tcW w:w="284" w:type="pct"/>
            <w:noWrap w:val="0"/>
            <w:vAlign w:val="center"/>
          </w:tcPr>
          <w:p w14:paraId="1F71256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75EA194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酸价（以脂肪计）（KOH）、过氧化值（以脂肪计）、黄曲霉毒素B</w:t>
            </w:r>
            <w:r>
              <w:rPr>
                <w:rFonts w:eastAsia="仿宋_GB2312"/>
                <w:color w:val="auto"/>
                <w:kern w:val="0"/>
                <w:szCs w:val="21"/>
                <w:highlight w:val="none"/>
                <w:vertAlign w:val="subscript"/>
              </w:rPr>
              <w:t>1</w:t>
            </w:r>
            <w:r>
              <w:rPr>
                <w:rFonts w:eastAsia="仿宋_GB2312"/>
                <w:color w:val="auto"/>
                <w:kern w:val="0"/>
                <w:szCs w:val="21"/>
                <w:highlight w:val="none"/>
              </w:rPr>
              <w:t>、二氧化硫残留量、大肠菌群、霉菌</w:t>
            </w:r>
          </w:p>
        </w:tc>
        <w:tc>
          <w:tcPr>
            <w:tcW w:w="1186" w:type="pct"/>
            <w:noWrap w:val="0"/>
            <w:vAlign w:val="center"/>
          </w:tcPr>
          <w:p w14:paraId="13BEA411">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铅（以Pb计）、脱氢乙酸及其钠盐（以脱氢乙酸计）、糖精钠（以糖精计）、甜蜜素（以环己基氨基磺酸计）、安赛蜜</w:t>
            </w:r>
          </w:p>
        </w:tc>
      </w:tr>
      <w:tr w14:paraId="30B6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66" w:type="pct"/>
            <w:vMerge w:val="restart"/>
            <w:noWrap w:val="0"/>
            <w:vAlign w:val="center"/>
          </w:tcPr>
          <w:p w14:paraId="3752499E">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7"/>
                <w:sz w:val="21"/>
                <w:szCs w:val="21"/>
                <w:highlight w:val="none"/>
              </w:rPr>
              <w:t>19</w:t>
            </w:r>
          </w:p>
        </w:tc>
        <w:tc>
          <w:tcPr>
            <w:tcW w:w="367" w:type="pct"/>
            <w:vMerge w:val="restart"/>
            <w:noWrap w:val="0"/>
            <w:vAlign w:val="center"/>
          </w:tcPr>
          <w:p w14:paraId="07B9A15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7"/>
                <w:sz w:val="21"/>
                <w:szCs w:val="21"/>
                <w:highlight w:val="none"/>
              </w:rPr>
              <w:t>蛋制品</w:t>
            </w:r>
          </w:p>
        </w:tc>
        <w:tc>
          <w:tcPr>
            <w:tcW w:w="368" w:type="pct"/>
            <w:vMerge w:val="restart"/>
            <w:noWrap w:val="0"/>
            <w:vAlign w:val="center"/>
          </w:tcPr>
          <w:p w14:paraId="5BE00D77">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7"/>
                <w:sz w:val="21"/>
                <w:szCs w:val="21"/>
                <w:highlight w:val="none"/>
              </w:rPr>
              <w:t>蛋制品</w:t>
            </w:r>
          </w:p>
        </w:tc>
        <w:tc>
          <w:tcPr>
            <w:tcW w:w="401" w:type="pct"/>
            <w:noWrap w:val="0"/>
            <w:vAlign w:val="center"/>
          </w:tcPr>
          <w:p w14:paraId="6313312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3"/>
                <w:sz w:val="21"/>
                <w:szCs w:val="21"/>
                <w:highlight w:val="none"/>
              </w:rPr>
              <w:t>再制蛋</w:t>
            </w:r>
          </w:p>
        </w:tc>
        <w:tc>
          <w:tcPr>
            <w:tcW w:w="670" w:type="pct"/>
            <w:noWrap w:val="0"/>
            <w:vAlign w:val="center"/>
          </w:tcPr>
          <w:p w14:paraId="0807A6C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再制蛋</w:t>
            </w:r>
          </w:p>
        </w:tc>
        <w:tc>
          <w:tcPr>
            <w:tcW w:w="284" w:type="pct"/>
            <w:noWrap w:val="0"/>
            <w:vAlign w:val="center"/>
          </w:tcPr>
          <w:p w14:paraId="703702B3">
            <w:pPr>
              <w:pStyle w:val="132"/>
              <w:spacing w:before="183" w:line="300" w:lineRule="exact"/>
              <w:ind w:left="124"/>
              <w:jc w:val="center"/>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2158A93E">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铅（以Pb计）、苯甲酸及其钠盐（以苯甲酸计）、山梨酸及其钾盐（以山梨酸计）、菌落总数、大肠菌群、沙门氏菌</w:t>
            </w:r>
          </w:p>
        </w:tc>
        <w:tc>
          <w:tcPr>
            <w:tcW w:w="1186" w:type="pct"/>
            <w:noWrap w:val="0"/>
            <w:vAlign w:val="center"/>
          </w:tcPr>
          <w:p w14:paraId="2D3C32B4">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p>
        </w:tc>
      </w:tr>
      <w:tr w14:paraId="7821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66" w:type="pct"/>
            <w:vMerge w:val="continue"/>
            <w:noWrap w:val="0"/>
            <w:vAlign w:val="center"/>
          </w:tcPr>
          <w:p w14:paraId="0CEE9A3F">
            <w:pPr>
              <w:spacing w:line="300" w:lineRule="exact"/>
              <w:jc w:val="center"/>
              <w:rPr>
                <w:rFonts w:eastAsia="仿宋_GB2312"/>
                <w:color w:val="auto"/>
                <w:szCs w:val="21"/>
                <w:highlight w:val="none"/>
              </w:rPr>
            </w:pPr>
          </w:p>
        </w:tc>
        <w:tc>
          <w:tcPr>
            <w:tcW w:w="367" w:type="pct"/>
            <w:vMerge w:val="continue"/>
            <w:noWrap w:val="0"/>
            <w:vAlign w:val="center"/>
          </w:tcPr>
          <w:p w14:paraId="74E4BAF7">
            <w:pPr>
              <w:spacing w:line="300" w:lineRule="exact"/>
              <w:jc w:val="center"/>
              <w:rPr>
                <w:rFonts w:eastAsia="仿宋_GB2312"/>
                <w:color w:val="auto"/>
                <w:szCs w:val="21"/>
                <w:highlight w:val="none"/>
              </w:rPr>
            </w:pPr>
          </w:p>
        </w:tc>
        <w:tc>
          <w:tcPr>
            <w:tcW w:w="368" w:type="pct"/>
            <w:vMerge w:val="continue"/>
            <w:noWrap w:val="0"/>
            <w:vAlign w:val="center"/>
          </w:tcPr>
          <w:p w14:paraId="43B32554">
            <w:pPr>
              <w:spacing w:line="300" w:lineRule="exact"/>
              <w:jc w:val="center"/>
              <w:rPr>
                <w:rFonts w:eastAsia="仿宋_GB2312"/>
                <w:color w:val="auto"/>
                <w:szCs w:val="21"/>
                <w:highlight w:val="none"/>
              </w:rPr>
            </w:pPr>
          </w:p>
        </w:tc>
        <w:tc>
          <w:tcPr>
            <w:tcW w:w="401" w:type="pct"/>
            <w:noWrap w:val="0"/>
            <w:vAlign w:val="center"/>
          </w:tcPr>
          <w:p w14:paraId="74C52F1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2"/>
                <w:sz w:val="21"/>
                <w:szCs w:val="21"/>
                <w:highlight w:val="none"/>
              </w:rPr>
              <w:t>干蛋类</w:t>
            </w:r>
          </w:p>
        </w:tc>
        <w:tc>
          <w:tcPr>
            <w:tcW w:w="670" w:type="pct"/>
            <w:noWrap w:val="0"/>
            <w:vAlign w:val="center"/>
          </w:tcPr>
          <w:p w14:paraId="27728F49">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2"/>
                <w:sz w:val="21"/>
                <w:szCs w:val="21"/>
                <w:highlight w:val="none"/>
              </w:rPr>
              <w:t>干蛋类</w:t>
            </w:r>
          </w:p>
        </w:tc>
        <w:tc>
          <w:tcPr>
            <w:tcW w:w="284" w:type="pct"/>
            <w:noWrap w:val="0"/>
            <w:vAlign w:val="center"/>
          </w:tcPr>
          <w:p w14:paraId="03239117">
            <w:pPr>
              <w:pStyle w:val="132"/>
              <w:spacing w:before="214" w:line="300" w:lineRule="exact"/>
              <w:ind w:left="124"/>
              <w:jc w:val="center"/>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4AAAB6FF">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菌落总数、大肠菌群、沙门氏菌</w:t>
            </w:r>
          </w:p>
        </w:tc>
        <w:tc>
          <w:tcPr>
            <w:tcW w:w="1186" w:type="pct"/>
            <w:noWrap w:val="0"/>
            <w:vAlign w:val="center"/>
          </w:tcPr>
          <w:p w14:paraId="0137A391">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p>
        </w:tc>
      </w:tr>
      <w:tr w14:paraId="65B7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66" w:type="pct"/>
            <w:vMerge w:val="continue"/>
            <w:noWrap w:val="0"/>
            <w:vAlign w:val="center"/>
          </w:tcPr>
          <w:p w14:paraId="1AF4EDFD">
            <w:pPr>
              <w:spacing w:line="300" w:lineRule="exact"/>
              <w:jc w:val="center"/>
              <w:rPr>
                <w:rFonts w:eastAsia="仿宋_GB2312"/>
                <w:color w:val="auto"/>
                <w:szCs w:val="21"/>
                <w:highlight w:val="none"/>
              </w:rPr>
            </w:pPr>
          </w:p>
        </w:tc>
        <w:tc>
          <w:tcPr>
            <w:tcW w:w="367" w:type="pct"/>
            <w:vMerge w:val="continue"/>
            <w:noWrap w:val="0"/>
            <w:vAlign w:val="center"/>
          </w:tcPr>
          <w:p w14:paraId="3389EE7E">
            <w:pPr>
              <w:spacing w:line="300" w:lineRule="exact"/>
              <w:jc w:val="center"/>
              <w:rPr>
                <w:rFonts w:eastAsia="仿宋_GB2312"/>
                <w:color w:val="auto"/>
                <w:szCs w:val="21"/>
                <w:highlight w:val="none"/>
              </w:rPr>
            </w:pPr>
          </w:p>
        </w:tc>
        <w:tc>
          <w:tcPr>
            <w:tcW w:w="368" w:type="pct"/>
            <w:vMerge w:val="continue"/>
            <w:noWrap w:val="0"/>
            <w:vAlign w:val="center"/>
          </w:tcPr>
          <w:p w14:paraId="11CCB54E">
            <w:pPr>
              <w:spacing w:line="300" w:lineRule="exact"/>
              <w:jc w:val="center"/>
              <w:rPr>
                <w:rFonts w:eastAsia="仿宋_GB2312"/>
                <w:color w:val="auto"/>
                <w:szCs w:val="21"/>
                <w:highlight w:val="none"/>
              </w:rPr>
            </w:pPr>
          </w:p>
        </w:tc>
        <w:tc>
          <w:tcPr>
            <w:tcW w:w="401" w:type="pct"/>
            <w:noWrap w:val="0"/>
            <w:vAlign w:val="center"/>
          </w:tcPr>
          <w:p w14:paraId="4F36495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2"/>
                <w:sz w:val="21"/>
                <w:szCs w:val="21"/>
                <w:highlight w:val="none"/>
              </w:rPr>
              <w:t>冰蛋类</w:t>
            </w:r>
          </w:p>
        </w:tc>
        <w:tc>
          <w:tcPr>
            <w:tcW w:w="670" w:type="pct"/>
            <w:noWrap w:val="0"/>
            <w:vAlign w:val="center"/>
          </w:tcPr>
          <w:p w14:paraId="4AA4145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2"/>
                <w:sz w:val="21"/>
                <w:szCs w:val="21"/>
                <w:highlight w:val="none"/>
              </w:rPr>
              <w:t>冰蛋类</w:t>
            </w:r>
          </w:p>
        </w:tc>
        <w:tc>
          <w:tcPr>
            <w:tcW w:w="284" w:type="pct"/>
            <w:noWrap w:val="0"/>
            <w:vAlign w:val="center"/>
          </w:tcPr>
          <w:p w14:paraId="0F5DF7D8">
            <w:pPr>
              <w:pStyle w:val="132"/>
              <w:spacing w:before="255" w:line="300" w:lineRule="exact"/>
              <w:ind w:left="124"/>
              <w:jc w:val="center"/>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02E09CFE">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菌落总数、大肠菌群、沙门氏菌</w:t>
            </w:r>
          </w:p>
        </w:tc>
        <w:tc>
          <w:tcPr>
            <w:tcW w:w="1186" w:type="pct"/>
            <w:noWrap w:val="0"/>
            <w:vAlign w:val="center"/>
          </w:tcPr>
          <w:p w14:paraId="6FCD85E2">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p>
        </w:tc>
      </w:tr>
      <w:tr w14:paraId="2556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7F5BD28A">
            <w:pPr>
              <w:spacing w:line="300" w:lineRule="exact"/>
              <w:jc w:val="center"/>
              <w:rPr>
                <w:rFonts w:eastAsia="仿宋_GB2312"/>
                <w:color w:val="auto"/>
                <w:szCs w:val="21"/>
                <w:highlight w:val="none"/>
              </w:rPr>
            </w:pPr>
          </w:p>
        </w:tc>
        <w:tc>
          <w:tcPr>
            <w:tcW w:w="367" w:type="pct"/>
            <w:vMerge w:val="continue"/>
            <w:noWrap w:val="0"/>
            <w:vAlign w:val="center"/>
          </w:tcPr>
          <w:p w14:paraId="1AED2B95">
            <w:pPr>
              <w:spacing w:line="300" w:lineRule="exact"/>
              <w:jc w:val="center"/>
              <w:rPr>
                <w:rFonts w:eastAsia="仿宋_GB2312"/>
                <w:color w:val="auto"/>
                <w:szCs w:val="21"/>
                <w:highlight w:val="none"/>
              </w:rPr>
            </w:pPr>
          </w:p>
        </w:tc>
        <w:tc>
          <w:tcPr>
            <w:tcW w:w="368" w:type="pct"/>
            <w:vMerge w:val="continue"/>
            <w:noWrap w:val="0"/>
            <w:vAlign w:val="center"/>
          </w:tcPr>
          <w:p w14:paraId="2E5A7096">
            <w:pPr>
              <w:spacing w:line="300" w:lineRule="exact"/>
              <w:jc w:val="center"/>
              <w:rPr>
                <w:rFonts w:eastAsia="仿宋_GB2312"/>
                <w:color w:val="auto"/>
                <w:szCs w:val="21"/>
                <w:highlight w:val="none"/>
              </w:rPr>
            </w:pPr>
          </w:p>
        </w:tc>
        <w:tc>
          <w:tcPr>
            <w:tcW w:w="401" w:type="pct"/>
            <w:noWrap w:val="0"/>
            <w:vAlign w:val="center"/>
          </w:tcPr>
          <w:p w14:paraId="0FB4C51A">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pacing w:val="-3"/>
                <w:sz w:val="21"/>
                <w:szCs w:val="21"/>
                <w:highlight w:val="none"/>
              </w:rPr>
            </w:pPr>
            <w:r>
              <w:rPr>
                <w:rFonts w:ascii="Times New Roman" w:hAnsi="Times New Roman" w:eastAsia="仿宋_GB2312" w:cs="Times New Roman"/>
                <w:color w:val="auto"/>
                <w:spacing w:val="-3"/>
                <w:sz w:val="21"/>
                <w:szCs w:val="21"/>
                <w:highlight w:val="none"/>
              </w:rPr>
              <w:t>液蛋制品</w:t>
            </w:r>
          </w:p>
        </w:tc>
        <w:tc>
          <w:tcPr>
            <w:tcW w:w="670" w:type="pct"/>
            <w:noWrap w:val="0"/>
            <w:vAlign w:val="center"/>
          </w:tcPr>
          <w:p w14:paraId="1FF50BC7">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pacing w:val="-3"/>
                <w:sz w:val="21"/>
                <w:szCs w:val="21"/>
                <w:highlight w:val="none"/>
                <w:lang w:eastAsia="en-US"/>
              </w:rPr>
            </w:pPr>
            <w:r>
              <w:rPr>
                <w:rFonts w:ascii="Times New Roman" w:hAnsi="Times New Roman" w:eastAsia="仿宋_GB2312" w:cs="Times New Roman"/>
                <w:color w:val="auto"/>
                <w:spacing w:val="-3"/>
                <w:sz w:val="21"/>
                <w:szCs w:val="21"/>
                <w:highlight w:val="none"/>
              </w:rPr>
              <w:t>液蛋制品</w:t>
            </w:r>
          </w:p>
        </w:tc>
        <w:tc>
          <w:tcPr>
            <w:tcW w:w="284" w:type="pct"/>
            <w:noWrap w:val="0"/>
            <w:vAlign w:val="center"/>
          </w:tcPr>
          <w:p w14:paraId="1B1E40C3">
            <w:pPr>
              <w:pStyle w:val="132"/>
              <w:spacing w:before="196" w:line="300" w:lineRule="exact"/>
              <w:ind w:left="124"/>
              <w:jc w:val="center"/>
              <w:rPr>
                <w:rFonts w:ascii="Times New Roman" w:hAnsi="Times New Roman" w:eastAsia="仿宋_GB2312" w:cs="Times New Roman"/>
                <w:color w:val="auto"/>
                <w:spacing w:val="-3"/>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7B4F35C8">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铅（以Pb计）</w:t>
            </w:r>
            <w:r>
              <w:rPr>
                <w:rFonts w:hint="eastAsia" w:ascii="Times New Roman" w:hAnsi="Times New Roman" w:eastAsia="仿宋_GB2312" w:cs="Times New Roman"/>
                <w:color w:val="auto"/>
                <w:sz w:val="21"/>
                <w:szCs w:val="21"/>
                <w:highlight w:val="none"/>
              </w:rPr>
              <w:t>、</w:t>
            </w:r>
            <w:r>
              <w:rPr>
                <w:rFonts w:ascii="Times New Roman" w:hAnsi="Times New Roman" w:eastAsia="仿宋_GB2312" w:cs="Times New Roman"/>
                <w:color w:val="auto"/>
                <w:sz w:val="21"/>
                <w:szCs w:val="21"/>
                <w:highlight w:val="none"/>
              </w:rPr>
              <w:t>苯甲酸及其钠盐（以苯甲酸计）、山梨酸及其钾盐（以山梨酸计）、脱氢乙酸及其钠盐（以脱氢乙酸计）、菌落总数、大肠菌群</w:t>
            </w:r>
          </w:p>
        </w:tc>
        <w:tc>
          <w:tcPr>
            <w:tcW w:w="1186" w:type="pct"/>
            <w:noWrap w:val="0"/>
            <w:vAlign w:val="center"/>
          </w:tcPr>
          <w:p w14:paraId="5E93966A">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沙门氏菌</w:t>
            </w:r>
          </w:p>
        </w:tc>
      </w:tr>
      <w:tr w14:paraId="5771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45BEC520">
            <w:pPr>
              <w:spacing w:line="300" w:lineRule="exact"/>
              <w:jc w:val="center"/>
              <w:rPr>
                <w:rFonts w:eastAsia="仿宋_GB2312"/>
                <w:color w:val="auto"/>
                <w:szCs w:val="21"/>
                <w:highlight w:val="none"/>
              </w:rPr>
            </w:pPr>
          </w:p>
        </w:tc>
        <w:tc>
          <w:tcPr>
            <w:tcW w:w="367" w:type="pct"/>
            <w:vMerge w:val="continue"/>
            <w:noWrap w:val="0"/>
            <w:vAlign w:val="center"/>
          </w:tcPr>
          <w:p w14:paraId="70614FB0">
            <w:pPr>
              <w:spacing w:line="300" w:lineRule="exact"/>
              <w:jc w:val="center"/>
              <w:rPr>
                <w:rFonts w:eastAsia="仿宋_GB2312"/>
                <w:color w:val="auto"/>
                <w:szCs w:val="21"/>
                <w:highlight w:val="none"/>
              </w:rPr>
            </w:pPr>
          </w:p>
        </w:tc>
        <w:tc>
          <w:tcPr>
            <w:tcW w:w="368" w:type="pct"/>
            <w:vMerge w:val="continue"/>
            <w:noWrap w:val="0"/>
            <w:vAlign w:val="center"/>
          </w:tcPr>
          <w:p w14:paraId="222982CC">
            <w:pPr>
              <w:spacing w:line="300" w:lineRule="exact"/>
              <w:jc w:val="center"/>
              <w:rPr>
                <w:rFonts w:eastAsia="仿宋_GB2312"/>
                <w:color w:val="auto"/>
                <w:szCs w:val="21"/>
                <w:highlight w:val="none"/>
              </w:rPr>
            </w:pPr>
          </w:p>
        </w:tc>
        <w:tc>
          <w:tcPr>
            <w:tcW w:w="401" w:type="pct"/>
            <w:noWrap w:val="0"/>
            <w:vAlign w:val="center"/>
          </w:tcPr>
          <w:p w14:paraId="49710D80">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pacing w:val="-3"/>
                <w:sz w:val="21"/>
                <w:szCs w:val="21"/>
                <w:highlight w:val="none"/>
              </w:rPr>
            </w:pPr>
            <w:r>
              <w:rPr>
                <w:rFonts w:ascii="Times New Roman" w:hAnsi="Times New Roman" w:eastAsia="仿宋_GB2312" w:cs="Times New Roman"/>
                <w:color w:val="auto"/>
                <w:spacing w:val="-3"/>
                <w:sz w:val="21"/>
                <w:szCs w:val="21"/>
                <w:highlight w:val="none"/>
              </w:rPr>
              <w:t>热凝固蛋制品</w:t>
            </w:r>
          </w:p>
        </w:tc>
        <w:tc>
          <w:tcPr>
            <w:tcW w:w="670" w:type="pct"/>
            <w:noWrap w:val="0"/>
            <w:vAlign w:val="center"/>
          </w:tcPr>
          <w:p w14:paraId="493F562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pacing w:val="-3"/>
                <w:sz w:val="21"/>
                <w:szCs w:val="21"/>
                <w:highlight w:val="none"/>
                <w:lang w:eastAsia="en-US"/>
              </w:rPr>
            </w:pPr>
            <w:r>
              <w:rPr>
                <w:rFonts w:ascii="Times New Roman" w:hAnsi="Times New Roman" w:eastAsia="仿宋_GB2312" w:cs="Times New Roman"/>
                <w:color w:val="auto"/>
                <w:spacing w:val="-3"/>
                <w:sz w:val="21"/>
                <w:szCs w:val="21"/>
                <w:highlight w:val="none"/>
              </w:rPr>
              <w:t>热凝固蛋制品</w:t>
            </w:r>
          </w:p>
        </w:tc>
        <w:tc>
          <w:tcPr>
            <w:tcW w:w="284" w:type="pct"/>
            <w:noWrap w:val="0"/>
            <w:vAlign w:val="center"/>
          </w:tcPr>
          <w:p w14:paraId="7663721C">
            <w:pPr>
              <w:pStyle w:val="132"/>
              <w:spacing w:before="196" w:line="300" w:lineRule="exact"/>
              <w:ind w:left="124"/>
              <w:jc w:val="center"/>
              <w:rPr>
                <w:rFonts w:ascii="Times New Roman" w:hAnsi="Times New Roman" w:eastAsia="仿宋_GB2312" w:cs="Times New Roman"/>
                <w:color w:val="auto"/>
                <w:spacing w:val="-3"/>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759DDA9F">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铅（以Pb计）、苯甲酸及其钠盐（以苯甲酸计）、山梨酸及其钾盐（以山梨酸计）、脱氢乙酸及其钠盐（以脱氢乙酸计）、菌落总数、大肠菌群</w:t>
            </w:r>
          </w:p>
        </w:tc>
        <w:tc>
          <w:tcPr>
            <w:tcW w:w="1186" w:type="pct"/>
            <w:noWrap w:val="0"/>
            <w:vAlign w:val="center"/>
          </w:tcPr>
          <w:p w14:paraId="13E952EE">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沙门氏菌</w:t>
            </w:r>
          </w:p>
        </w:tc>
      </w:tr>
      <w:tr w14:paraId="3B7E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66" w:type="pct"/>
            <w:vMerge w:val="continue"/>
            <w:noWrap w:val="0"/>
            <w:vAlign w:val="center"/>
          </w:tcPr>
          <w:p w14:paraId="2407AA0C">
            <w:pPr>
              <w:spacing w:line="300" w:lineRule="exact"/>
              <w:jc w:val="center"/>
              <w:rPr>
                <w:rFonts w:eastAsia="仿宋_GB2312"/>
                <w:color w:val="auto"/>
                <w:szCs w:val="21"/>
                <w:highlight w:val="none"/>
              </w:rPr>
            </w:pPr>
          </w:p>
        </w:tc>
        <w:tc>
          <w:tcPr>
            <w:tcW w:w="367" w:type="pct"/>
            <w:vMerge w:val="continue"/>
            <w:noWrap w:val="0"/>
            <w:vAlign w:val="center"/>
          </w:tcPr>
          <w:p w14:paraId="2AE05FE5">
            <w:pPr>
              <w:spacing w:line="300" w:lineRule="exact"/>
              <w:jc w:val="center"/>
              <w:rPr>
                <w:rFonts w:eastAsia="仿宋_GB2312"/>
                <w:color w:val="auto"/>
                <w:szCs w:val="21"/>
                <w:highlight w:val="none"/>
              </w:rPr>
            </w:pPr>
          </w:p>
        </w:tc>
        <w:tc>
          <w:tcPr>
            <w:tcW w:w="368" w:type="pct"/>
            <w:vMerge w:val="continue"/>
            <w:noWrap w:val="0"/>
            <w:vAlign w:val="center"/>
          </w:tcPr>
          <w:p w14:paraId="3279C38A">
            <w:pPr>
              <w:spacing w:line="300" w:lineRule="exact"/>
              <w:jc w:val="center"/>
              <w:rPr>
                <w:rFonts w:eastAsia="仿宋_GB2312"/>
                <w:color w:val="auto"/>
                <w:szCs w:val="21"/>
                <w:highlight w:val="none"/>
              </w:rPr>
            </w:pPr>
          </w:p>
        </w:tc>
        <w:tc>
          <w:tcPr>
            <w:tcW w:w="401" w:type="pct"/>
            <w:noWrap w:val="0"/>
            <w:vAlign w:val="center"/>
          </w:tcPr>
          <w:p w14:paraId="1A975B57">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3"/>
                <w:sz w:val="21"/>
                <w:szCs w:val="21"/>
                <w:highlight w:val="none"/>
              </w:rPr>
              <w:t>其他类</w:t>
            </w:r>
          </w:p>
        </w:tc>
        <w:tc>
          <w:tcPr>
            <w:tcW w:w="670" w:type="pct"/>
            <w:noWrap w:val="0"/>
            <w:vAlign w:val="center"/>
          </w:tcPr>
          <w:p w14:paraId="29BCB3D5">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其他类</w:t>
            </w:r>
          </w:p>
        </w:tc>
        <w:tc>
          <w:tcPr>
            <w:tcW w:w="284" w:type="pct"/>
            <w:noWrap w:val="0"/>
            <w:vAlign w:val="center"/>
          </w:tcPr>
          <w:p w14:paraId="75E29E41">
            <w:pPr>
              <w:pStyle w:val="132"/>
              <w:spacing w:before="196" w:line="300" w:lineRule="exact"/>
              <w:ind w:left="124"/>
              <w:jc w:val="center"/>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0CE5D851">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铅（以Pb计）、苯甲酸及其钠盐（以苯甲酸计）、山梨酸及其钾盐（以山梨酸计）、脱氢乙酸及其钠盐（以脱氢乙酸计）、菌落总数、大肠菌群</w:t>
            </w:r>
          </w:p>
        </w:tc>
        <w:tc>
          <w:tcPr>
            <w:tcW w:w="1186" w:type="pct"/>
            <w:noWrap w:val="0"/>
            <w:vAlign w:val="center"/>
          </w:tcPr>
          <w:p w14:paraId="56FA9C53">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沙门氏菌</w:t>
            </w:r>
          </w:p>
        </w:tc>
      </w:tr>
      <w:tr w14:paraId="30C8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66" w:type="pct"/>
            <w:vMerge w:val="restart"/>
            <w:noWrap w:val="0"/>
            <w:vAlign w:val="center"/>
          </w:tcPr>
          <w:p w14:paraId="0662F34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20</w:t>
            </w:r>
          </w:p>
        </w:tc>
        <w:tc>
          <w:tcPr>
            <w:tcW w:w="367" w:type="pct"/>
            <w:vMerge w:val="restart"/>
            <w:noWrap w:val="0"/>
            <w:vAlign w:val="center"/>
          </w:tcPr>
          <w:p w14:paraId="649F641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可可及焙烤咖啡产品</w:t>
            </w:r>
          </w:p>
        </w:tc>
        <w:tc>
          <w:tcPr>
            <w:tcW w:w="368" w:type="pct"/>
            <w:noWrap w:val="0"/>
            <w:vAlign w:val="center"/>
          </w:tcPr>
          <w:p w14:paraId="1974930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焙炒咖啡</w:t>
            </w:r>
          </w:p>
        </w:tc>
        <w:tc>
          <w:tcPr>
            <w:tcW w:w="401" w:type="pct"/>
            <w:noWrap w:val="0"/>
            <w:vAlign w:val="center"/>
          </w:tcPr>
          <w:p w14:paraId="55AC8FA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焙炒咖啡</w:t>
            </w:r>
          </w:p>
        </w:tc>
        <w:tc>
          <w:tcPr>
            <w:tcW w:w="670" w:type="pct"/>
            <w:noWrap w:val="0"/>
            <w:vAlign w:val="center"/>
          </w:tcPr>
          <w:p w14:paraId="6C0D271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焙炒咖啡</w:t>
            </w:r>
          </w:p>
        </w:tc>
        <w:tc>
          <w:tcPr>
            <w:tcW w:w="284" w:type="pct"/>
            <w:noWrap w:val="0"/>
            <w:vAlign w:val="center"/>
          </w:tcPr>
          <w:p w14:paraId="2DF34FB9">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37F451E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咖啡因、铅（以Pb计）、赭曲霉毒素A</w:t>
            </w:r>
          </w:p>
        </w:tc>
        <w:tc>
          <w:tcPr>
            <w:tcW w:w="1186" w:type="pct"/>
            <w:noWrap w:val="0"/>
            <w:vAlign w:val="center"/>
          </w:tcPr>
          <w:p w14:paraId="1E869CBB">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160F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66" w:type="pct"/>
            <w:vMerge w:val="continue"/>
            <w:noWrap w:val="0"/>
            <w:vAlign w:val="center"/>
          </w:tcPr>
          <w:p w14:paraId="0E92D79C">
            <w:pPr>
              <w:spacing w:line="300" w:lineRule="exact"/>
              <w:jc w:val="center"/>
              <w:rPr>
                <w:rFonts w:eastAsia="仿宋_GB2312"/>
                <w:color w:val="auto"/>
                <w:szCs w:val="21"/>
                <w:highlight w:val="none"/>
              </w:rPr>
            </w:pPr>
          </w:p>
        </w:tc>
        <w:tc>
          <w:tcPr>
            <w:tcW w:w="367" w:type="pct"/>
            <w:vMerge w:val="continue"/>
            <w:noWrap w:val="0"/>
            <w:vAlign w:val="center"/>
          </w:tcPr>
          <w:p w14:paraId="4536DB82">
            <w:pPr>
              <w:spacing w:line="300" w:lineRule="exact"/>
              <w:jc w:val="center"/>
              <w:rPr>
                <w:rFonts w:eastAsia="仿宋_GB2312"/>
                <w:color w:val="auto"/>
                <w:szCs w:val="21"/>
                <w:highlight w:val="none"/>
              </w:rPr>
            </w:pPr>
          </w:p>
        </w:tc>
        <w:tc>
          <w:tcPr>
            <w:tcW w:w="368" w:type="pct"/>
            <w:noWrap w:val="0"/>
            <w:vAlign w:val="center"/>
          </w:tcPr>
          <w:p w14:paraId="64083A3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可可制品</w:t>
            </w:r>
          </w:p>
        </w:tc>
        <w:tc>
          <w:tcPr>
            <w:tcW w:w="401" w:type="pct"/>
            <w:noWrap w:val="0"/>
            <w:vAlign w:val="center"/>
          </w:tcPr>
          <w:p w14:paraId="70B93AB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可可制品</w:t>
            </w:r>
          </w:p>
        </w:tc>
        <w:tc>
          <w:tcPr>
            <w:tcW w:w="670" w:type="pct"/>
            <w:noWrap w:val="0"/>
            <w:vAlign w:val="center"/>
          </w:tcPr>
          <w:p w14:paraId="2ED81DF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可可制品</w:t>
            </w:r>
          </w:p>
        </w:tc>
        <w:tc>
          <w:tcPr>
            <w:tcW w:w="284" w:type="pct"/>
            <w:noWrap w:val="0"/>
            <w:vAlign w:val="center"/>
          </w:tcPr>
          <w:p w14:paraId="115803C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一般</w:t>
            </w:r>
          </w:p>
        </w:tc>
        <w:tc>
          <w:tcPr>
            <w:tcW w:w="1553" w:type="pct"/>
            <w:noWrap w:val="0"/>
            <w:vAlign w:val="center"/>
          </w:tcPr>
          <w:p w14:paraId="1CAF3EEE">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铅（以Pb计）、沙门氏菌</w:t>
            </w:r>
          </w:p>
        </w:tc>
        <w:tc>
          <w:tcPr>
            <w:tcW w:w="1186" w:type="pct"/>
            <w:noWrap w:val="0"/>
            <w:vAlign w:val="center"/>
          </w:tcPr>
          <w:p w14:paraId="0964AD2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w:t>
            </w:r>
          </w:p>
        </w:tc>
      </w:tr>
      <w:tr w14:paraId="37FC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restart"/>
            <w:noWrap w:val="0"/>
            <w:vAlign w:val="center"/>
          </w:tcPr>
          <w:p w14:paraId="6B21B9FC">
            <w:pPr>
              <w:spacing w:line="300" w:lineRule="exact"/>
              <w:jc w:val="center"/>
              <w:rPr>
                <w:rFonts w:eastAsia="仿宋_GB2312"/>
                <w:color w:val="auto"/>
                <w:szCs w:val="21"/>
                <w:highlight w:val="none"/>
              </w:rPr>
            </w:pPr>
            <w:r>
              <w:rPr>
                <w:rFonts w:eastAsia="仿宋_GB2312"/>
                <w:color w:val="auto"/>
                <w:szCs w:val="21"/>
                <w:highlight w:val="none"/>
              </w:rPr>
              <w:t>21</w:t>
            </w:r>
          </w:p>
        </w:tc>
        <w:tc>
          <w:tcPr>
            <w:tcW w:w="367" w:type="pct"/>
            <w:vMerge w:val="restart"/>
            <w:noWrap w:val="0"/>
            <w:vAlign w:val="center"/>
          </w:tcPr>
          <w:p w14:paraId="7C839EDE">
            <w:pPr>
              <w:spacing w:line="300" w:lineRule="exact"/>
              <w:jc w:val="center"/>
              <w:rPr>
                <w:rFonts w:eastAsia="仿宋_GB2312"/>
                <w:color w:val="auto"/>
                <w:szCs w:val="21"/>
                <w:highlight w:val="none"/>
              </w:rPr>
            </w:pPr>
            <w:r>
              <w:rPr>
                <w:rFonts w:eastAsia="仿宋_GB2312"/>
                <w:color w:val="auto"/>
                <w:szCs w:val="21"/>
                <w:highlight w:val="none"/>
              </w:rPr>
              <w:t>食糖</w:t>
            </w:r>
          </w:p>
        </w:tc>
        <w:tc>
          <w:tcPr>
            <w:tcW w:w="368" w:type="pct"/>
            <w:vMerge w:val="restart"/>
            <w:noWrap w:val="0"/>
            <w:vAlign w:val="center"/>
          </w:tcPr>
          <w:p w14:paraId="3ED43655">
            <w:pPr>
              <w:spacing w:line="300" w:lineRule="exact"/>
              <w:jc w:val="center"/>
              <w:rPr>
                <w:rFonts w:eastAsia="仿宋_GB2312"/>
                <w:color w:val="auto"/>
                <w:szCs w:val="21"/>
                <w:highlight w:val="none"/>
              </w:rPr>
            </w:pPr>
            <w:r>
              <w:rPr>
                <w:rFonts w:eastAsia="仿宋_GB2312"/>
                <w:color w:val="auto"/>
                <w:szCs w:val="21"/>
                <w:highlight w:val="none"/>
              </w:rPr>
              <w:t>食糖</w:t>
            </w:r>
          </w:p>
        </w:tc>
        <w:tc>
          <w:tcPr>
            <w:tcW w:w="401" w:type="pct"/>
            <w:vMerge w:val="restart"/>
            <w:noWrap w:val="0"/>
            <w:vAlign w:val="center"/>
          </w:tcPr>
          <w:p w14:paraId="63BD3A4E">
            <w:pPr>
              <w:spacing w:line="300" w:lineRule="exact"/>
              <w:jc w:val="center"/>
              <w:rPr>
                <w:rFonts w:eastAsia="仿宋_GB2312"/>
                <w:color w:val="auto"/>
                <w:szCs w:val="21"/>
                <w:highlight w:val="none"/>
              </w:rPr>
            </w:pPr>
            <w:r>
              <w:rPr>
                <w:rFonts w:eastAsia="仿宋_GB2312"/>
                <w:color w:val="auto"/>
                <w:szCs w:val="21"/>
                <w:highlight w:val="none"/>
              </w:rPr>
              <w:t>食糖</w:t>
            </w:r>
          </w:p>
        </w:tc>
        <w:tc>
          <w:tcPr>
            <w:tcW w:w="670" w:type="pct"/>
            <w:noWrap w:val="0"/>
            <w:vAlign w:val="center"/>
          </w:tcPr>
          <w:p w14:paraId="4119DD49">
            <w:pPr>
              <w:spacing w:line="300" w:lineRule="exact"/>
              <w:jc w:val="center"/>
              <w:rPr>
                <w:rFonts w:eastAsia="仿宋_GB2312"/>
                <w:color w:val="auto"/>
                <w:szCs w:val="21"/>
                <w:highlight w:val="none"/>
              </w:rPr>
            </w:pPr>
            <w:r>
              <w:rPr>
                <w:rFonts w:eastAsia="仿宋_GB2312"/>
                <w:color w:val="auto"/>
                <w:szCs w:val="21"/>
                <w:highlight w:val="none"/>
              </w:rPr>
              <w:t>白砂糖</w:t>
            </w:r>
          </w:p>
        </w:tc>
        <w:tc>
          <w:tcPr>
            <w:tcW w:w="284" w:type="pct"/>
            <w:noWrap w:val="0"/>
            <w:vAlign w:val="center"/>
          </w:tcPr>
          <w:p w14:paraId="30567B09">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4561265E">
            <w:pPr>
              <w:spacing w:line="300" w:lineRule="exact"/>
              <w:jc w:val="left"/>
              <w:rPr>
                <w:rFonts w:eastAsia="仿宋_GB2312"/>
                <w:color w:val="auto"/>
                <w:szCs w:val="21"/>
                <w:highlight w:val="none"/>
              </w:rPr>
            </w:pPr>
            <w:r>
              <w:rPr>
                <w:rFonts w:eastAsia="仿宋_GB2312"/>
                <w:color w:val="auto"/>
                <w:szCs w:val="21"/>
                <w:highlight w:val="none"/>
              </w:rPr>
              <w:t>蔗糖分、还原糖分、色值、干燥失重、二氧化硫残留量、螨</w:t>
            </w:r>
          </w:p>
        </w:tc>
        <w:tc>
          <w:tcPr>
            <w:tcW w:w="1186" w:type="pct"/>
            <w:noWrap w:val="0"/>
            <w:vAlign w:val="center"/>
          </w:tcPr>
          <w:p w14:paraId="64237945">
            <w:pPr>
              <w:spacing w:line="300" w:lineRule="exact"/>
              <w:jc w:val="left"/>
              <w:rPr>
                <w:rFonts w:eastAsia="仿宋_GB2312"/>
                <w:color w:val="auto"/>
                <w:szCs w:val="21"/>
                <w:highlight w:val="none"/>
              </w:rPr>
            </w:pPr>
          </w:p>
        </w:tc>
      </w:tr>
      <w:tr w14:paraId="09A5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7046B42C">
            <w:pPr>
              <w:spacing w:line="300" w:lineRule="exact"/>
              <w:jc w:val="center"/>
              <w:rPr>
                <w:rFonts w:eastAsia="仿宋_GB2312"/>
                <w:color w:val="auto"/>
                <w:szCs w:val="21"/>
                <w:highlight w:val="none"/>
              </w:rPr>
            </w:pPr>
          </w:p>
        </w:tc>
        <w:tc>
          <w:tcPr>
            <w:tcW w:w="367" w:type="pct"/>
            <w:vMerge w:val="continue"/>
            <w:noWrap w:val="0"/>
            <w:vAlign w:val="center"/>
          </w:tcPr>
          <w:p w14:paraId="5A5B68F2">
            <w:pPr>
              <w:spacing w:line="300" w:lineRule="exact"/>
              <w:jc w:val="center"/>
              <w:rPr>
                <w:rFonts w:eastAsia="仿宋_GB2312"/>
                <w:color w:val="auto"/>
                <w:szCs w:val="21"/>
                <w:highlight w:val="none"/>
              </w:rPr>
            </w:pPr>
          </w:p>
        </w:tc>
        <w:tc>
          <w:tcPr>
            <w:tcW w:w="368" w:type="pct"/>
            <w:vMerge w:val="continue"/>
            <w:noWrap w:val="0"/>
            <w:vAlign w:val="center"/>
          </w:tcPr>
          <w:p w14:paraId="0FE0A216">
            <w:pPr>
              <w:spacing w:line="300" w:lineRule="exact"/>
              <w:jc w:val="center"/>
              <w:rPr>
                <w:rFonts w:eastAsia="仿宋_GB2312"/>
                <w:color w:val="auto"/>
                <w:szCs w:val="21"/>
                <w:highlight w:val="none"/>
              </w:rPr>
            </w:pPr>
          </w:p>
        </w:tc>
        <w:tc>
          <w:tcPr>
            <w:tcW w:w="401" w:type="pct"/>
            <w:vMerge w:val="continue"/>
            <w:noWrap w:val="0"/>
            <w:vAlign w:val="center"/>
          </w:tcPr>
          <w:p w14:paraId="23B2E782">
            <w:pPr>
              <w:spacing w:line="300" w:lineRule="exact"/>
              <w:jc w:val="center"/>
              <w:rPr>
                <w:rFonts w:eastAsia="仿宋_GB2312"/>
                <w:color w:val="auto"/>
                <w:szCs w:val="21"/>
                <w:highlight w:val="none"/>
              </w:rPr>
            </w:pPr>
          </w:p>
        </w:tc>
        <w:tc>
          <w:tcPr>
            <w:tcW w:w="670" w:type="pct"/>
            <w:noWrap w:val="0"/>
            <w:vAlign w:val="center"/>
          </w:tcPr>
          <w:p w14:paraId="158A7626">
            <w:pPr>
              <w:spacing w:line="300" w:lineRule="exact"/>
              <w:jc w:val="center"/>
              <w:rPr>
                <w:rFonts w:eastAsia="仿宋_GB2312"/>
                <w:color w:val="auto"/>
                <w:szCs w:val="21"/>
                <w:highlight w:val="none"/>
              </w:rPr>
            </w:pPr>
            <w:r>
              <w:rPr>
                <w:rFonts w:eastAsia="仿宋_GB2312"/>
                <w:color w:val="auto"/>
                <w:szCs w:val="21"/>
                <w:highlight w:val="none"/>
              </w:rPr>
              <w:t>绵白糖</w:t>
            </w:r>
          </w:p>
        </w:tc>
        <w:tc>
          <w:tcPr>
            <w:tcW w:w="284" w:type="pct"/>
            <w:noWrap w:val="0"/>
            <w:vAlign w:val="center"/>
          </w:tcPr>
          <w:p w14:paraId="55591584">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1E7611D">
            <w:pPr>
              <w:spacing w:line="300" w:lineRule="exact"/>
              <w:jc w:val="left"/>
              <w:rPr>
                <w:rFonts w:eastAsia="仿宋_GB2312"/>
                <w:color w:val="auto"/>
                <w:szCs w:val="21"/>
                <w:highlight w:val="none"/>
              </w:rPr>
            </w:pPr>
            <w:r>
              <w:rPr>
                <w:rFonts w:eastAsia="仿宋_GB2312"/>
                <w:color w:val="auto"/>
                <w:szCs w:val="21"/>
                <w:highlight w:val="none"/>
              </w:rPr>
              <w:t>总糖分、还原糖分、色值、干燥失重、二氧化硫残留量、螨</w:t>
            </w:r>
          </w:p>
        </w:tc>
        <w:tc>
          <w:tcPr>
            <w:tcW w:w="1186" w:type="pct"/>
            <w:noWrap w:val="0"/>
            <w:vAlign w:val="center"/>
          </w:tcPr>
          <w:p w14:paraId="16CF2E7E">
            <w:pPr>
              <w:spacing w:line="300" w:lineRule="exact"/>
              <w:jc w:val="left"/>
              <w:rPr>
                <w:rFonts w:eastAsia="仿宋_GB2312"/>
                <w:color w:val="auto"/>
                <w:szCs w:val="21"/>
                <w:highlight w:val="none"/>
              </w:rPr>
            </w:pPr>
          </w:p>
        </w:tc>
      </w:tr>
      <w:tr w14:paraId="37C2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22DECCDE">
            <w:pPr>
              <w:spacing w:line="300" w:lineRule="exact"/>
              <w:jc w:val="center"/>
              <w:rPr>
                <w:rFonts w:eastAsia="仿宋_GB2312"/>
                <w:color w:val="auto"/>
                <w:szCs w:val="21"/>
                <w:highlight w:val="none"/>
              </w:rPr>
            </w:pPr>
          </w:p>
        </w:tc>
        <w:tc>
          <w:tcPr>
            <w:tcW w:w="367" w:type="pct"/>
            <w:vMerge w:val="continue"/>
            <w:noWrap w:val="0"/>
            <w:vAlign w:val="center"/>
          </w:tcPr>
          <w:p w14:paraId="7CA6B356">
            <w:pPr>
              <w:spacing w:line="300" w:lineRule="exact"/>
              <w:jc w:val="center"/>
              <w:rPr>
                <w:rFonts w:eastAsia="仿宋_GB2312"/>
                <w:color w:val="auto"/>
                <w:szCs w:val="21"/>
                <w:highlight w:val="none"/>
              </w:rPr>
            </w:pPr>
          </w:p>
        </w:tc>
        <w:tc>
          <w:tcPr>
            <w:tcW w:w="368" w:type="pct"/>
            <w:vMerge w:val="continue"/>
            <w:noWrap w:val="0"/>
            <w:vAlign w:val="center"/>
          </w:tcPr>
          <w:p w14:paraId="538FB276">
            <w:pPr>
              <w:spacing w:line="300" w:lineRule="exact"/>
              <w:jc w:val="center"/>
              <w:rPr>
                <w:rFonts w:eastAsia="仿宋_GB2312"/>
                <w:color w:val="auto"/>
                <w:szCs w:val="21"/>
                <w:highlight w:val="none"/>
              </w:rPr>
            </w:pPr>
          </w:p>
        </w:tc>
        <w:tc>
          <w:tcPr>
            <w:tcW w:w="401" w:type="pct"/>
            <w:vMerge w:val="continue"/>
            <w:noWrap w:val="0"/>
            <w:vAlign w:val="center"/>
          </w:tcPr>
          <w:p w14:paraId="1922C605">
            <w:pPr>
              <w:spacing w:line="300" w:lineRule="exact"/>
              <w:jc w:val="center"/>
              <w:rPr>
                <w:rFonts w:eastAsia="仿宋_GB2312"/>
                <w:color w:val="auto"/>
                <w:szCs w:val="21"/>
                <w:highlight w:val="none"/>
              </w:rPr>
            </w:pPr>
          </w:p>
        </w:tc>
        <w:tc>
          <w:tcPr>
            <w:tcW w:w="670" w:type="pct"/>
            <w:noWrap w:val="0"/>
            <w:vAlign w:val="center"/>
          </w:tcPr>
          <w:p w14:paraId="4F327407">
            <w:pPr>
              <w:spacing w:line="300" w:lineRule="exact"/>
              <w:jc w:val="center"/>
              <w:rPr>
                <w:rFonts w:eastAsia="仿宋_GB2312"/>
                <w:color w:val="auto"/>
                <w:szCs w:val="21"/>
                <w:highlight w:val="none"/>
              </w:rPr>
            </w:pPr>
            <w:r>
              <w:rPr>
                <w:rFonts w:eastAsia="仿宋_GB2312"/>
                <w:color w:val="auto"/>
                <w:szCs w:val="21"/>
                <w:highlight w:val="none"/>
              </w:rPr>
              <w:t>赤砂糖</w:t>
            </w:r>
          </w:p>
        </w:tc>
        <w:tc>
          <w:tcPr>
            <w:tcW w:w="284" w:type="pct"/>
            <w:noWrap w:val="0"/>
            <w:vAlign w:val="center"/>
          </w:tcPr>
          <w:p w14:paraId="33F4554A">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2B3A23DA">
            <w:pPr>
              <w:spacing w:line="300" w:lineRule="exact"/>
              <w:jc w:val="left"/>
              <w:rPr>
                <w:rFonts w:eastAsia="仿宋_GB2312"/>
                <w:color w:val="auto"/>
                <w:szCs w:val="21"/>
                <w:highlight w:val="none"/>
              </w:rPr>
            </w:pPr>
            <w:r>
              <w:rPr>
                <w:rFonts w:eastAsia="仿宋_GB2312"/>
                <w:color w:val="auto"/>
                <w:szCs w:val="21"/>
                <w:highlight w:val="none"/>
              </w:rPr>
              <w:t>总糖分、不溶于水杂质、干燥失重、二氧化硫残留量、螨、合成着色剂（柠檬黄、新红、苋菜红、胭脂红、日落黄、诱惑红、酸性红、喹啉黄、赤藓红）</w:t>
            </w:r>
          </w:p>
        </w:tc>
        <w:tc>
          <w:tcPr>
            <w:tcW w:w="1186" w:type="pct"/>
            <w:noWrap w:val="0"/>
            <w:vAlign w:val="center"/>
          </w:tcPr>
          <w:p w14:paraId="3B4F5114">
            <w:pPr>
              <w:spacing w:line="300" w:lineRule="exact"/>
              <w:jc w:val="left"/>
              <w:rPr>
                <w:rFonts w:eastAsia="仿宋_GB2312"/>
                <w:color w:val="auto"/>
                <w:szCs w:val="21"/>
                <w:highlight w:val="none"/>
              </w:rPr>
            </w:pPr>
          </w:p>
        </w:tc>
      </w:tr>
      <w:tr w14:paraId="4DD2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5B25A88B">
            <w:pPr>
              <w:spacing w:line="300" w:lineRule="exact"/>
              <w:jc w:val="center"/>
              <w:rPr>
                <w:rFonts w:eastAsia="仿宋_GB2312"/>
                <w:color w:val="auto"/>
                <w:szCs w:val="21"/>
                <w:highlight w:val="none"/>
              </w:rPr>
            </w:pPr>
          </w:p>
        </w:tc>
        <w:tc>
          <w:tcPr>
            <w:tcW w:w="367" w:type="pct"/>
            <w:vMerge w:val="continue"/>
            <w:noWrap w:val="0"/>
            <w:vAlign w:val="center"/>
          </w:tcPr>
          <w:p w14:paraId="59C2EE0B">
            <w:pPr>
              <w:spacing w:line="300" w:lineRule="exact"/>
              <w:jc w:val="center"/>
              <w:rPr>
                <w:rFonts w:eastAsia="仿宋_GB2312"/>
                <w:color w:val="auto"/>
                <w:szCs w:val="21"/>
                <w:highlight w:val="none"/>
              </w:rPr>
            </w:pPr>
          </w:p>
        </w:tc>
        <w:tc>
          <w:tcPr>
            <w:tcW w:w="368" w:type="pct"/>
            <w:vMerge w:val="continue"/>
            <w:noWrap w:val="0"/>
            <w:vAlign w:val="center"/>
          </w:tcPr>
          <w:p w14:paraId="4DB78206">
            <w:pPr>
              <w:spacing w:line="300" w:lineRule="exact"/>
              <w:jc w:val="center"/>
              <w:rPr>
                <w:rFonts w:eastAsia="仿宋_GB2312"/>
                <w:color w:val="auto"/>
                <w:szCs w:val="21"/>
                <w:highlight w:val="none"/>
              </w:rPr>
            </w:pPr>
          </w:p>
        </w:tc>
        <w:tc>
          <w:tcPr>
            <w:tcW w:w="401" w:type="pct"/>
            <w:vMerge w:val="continue"/>
            <w:noWrap w:val="0"/>
            <w:vAlign w:val="center"/>
          </w:tcPr>
          <w:p w14:paraId="78BABA4B">
            <w:pPr>
              <w:spacing w:line="300" w:lineRule="exact"/>
              <w:jc w:val="center"/>
              <w:rPr>
                <w:rFonts w:eastAsia="仿宋_GB2312"/>
                <w:color w:val="auto"/>
                <w:szCs w:val="21"/>
                <w:highlight w:val="none"/>
              </w:rPr>
            </w:pPr>
          </w:p>
        </w:tc>
        <w:tc>
          <w:tcPr>
            <w:tcW w:w="670" w:type="pct"/>
            <w:noWrap w:val="0"/>
            <w:vAlign w:val="center"/>
          </w:tcPr>
          <w:p w14:paraId="0F344A45">
            <w:pPr>
              <w:spacing w:line="300" w:lineRule="exact"/>
              <w:jc w:val="center"/>
              <w:rPr>
                <w:rFonts w:eastAsia="仿宋_GB2312"/>
                <w:color w:val="auto"/>
                <w:szCs w:val="21"/>
                <w:highlight w:val="none"/>
              </w:rPr>
            </w:pPr>
            <w:r>
              <w:rPr>
                <w:rFonts w:eastAsia="仿宋_GB2312"/>
                <w:color w:val="auto"/>
                <w:szCs w:val="21"/>
                <w:highlight w:val="none"/>
              </w:rPr>
              <w:t>红糖</w:t>
            </w:r>
          </w:p>
        </w:tc>
        <w:tc>
          <w:tcPr>
            <w:tcW w:w="284" w:type="pct"/>
            <w:noWrap w:val="0"/>
            <w:vAlign w:val="center"/>
          </w:tcPr>
          <w:p w14:paraId="5429804E">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2A77430">
            <w:pPr>
              <w:spacing w:line="300" w:lineRule="exact"/>
              <w:jc w:val="left"/>
              <w:rPr>
                <w:rFonts w:eastAsia="仿宋_GB2312"/>
                <w:color w:val="auto"/>
                <w:szCs w:val="21"/>
                <w:highlight w:val="none"/>
              </w:rPr>
            </w:pPr>
            <w:r>
              <w:rPr>
                <w:rFonts w:eastAsia="仿宋_GB2312"/>
                <w:color w:val="auto"/>
                <w:szCs w:val="21"/>
                <w:highlight w:val="none"/>
              </w:rPr>
              <w:t>总糖分、不溶于水杂质、干燥失重、二氧化硫残留量、螨、合成着色剂（柠檬黄、新红、苋菜红、胭脂红、日落黄、诱惑红、酸性红、喹啉黄、赤藓红）</w:t>
            </w:r>
          </w:p>
        </w:tc>
        <w:tc>
          <w:tcPr>
            <w:tcW w:w="1186" w:type="pct"/>
            <w:noWrap w:val="0"/>
            <w:vAlign w:val="center"/>
          </w:tcPr>
          <w:p w14:paraId="3D06341A">
            <w:pPr>
              <w:spacing w:line="300" w:lineRule="exact"/>
              <w:jc w:val="left"/>
              <w:rPr>
                <w:rFonts w:eastAsia="仿宋_GB2312"/>
                <w:color w:val="auto"/>
                <w:szCs w:val="21"/>
                <w:highlight w:val="none"/>
              </w:rPr>
            </w:pPr>
          </w:p>
        </w:tc>
      </w:tr>
      <w:tr w14:paraId="4085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56F345E4">
            <w:pPr>
              <w:spacing w:line="300" w:lineRule="exact"/>
              <w:jc w:val="center"/>
              <w:rPr>
                <w:rFonts w:eastAsia="仿宋_GB2312"/>
                <w:color w:val="auto"/>
                <w:szCs w:val="21"/>
                <w:highlight w:val="none"/>
              </w:rPr>
            </w:pPr>
          </w:p>
        </w:tc>
        <w:tc>
          <w:tcPr>
            <w:tcW w:w="367" w:type="pct"/>
            <w:vMerge w:val="continue"/>
            <w:noWrap w:val="0"/>
            <w:vAlign w:val="center"/>
          </w:tcPr>
          <w:p w14:paraId="07FC6ACE">
            <w:pPr>
              <w:spacing w:line="300" w:lineRule="exact"/>
              <w:jc w:val="center"/>
              <w:rPr>
                <w:rFonts w:eastAsia="仿宋_GB2312"/>
                <w:color w:val="auto"/>
                <w:szCs w:val="21"/>
                <w:highlight w:val="none"/>
              </w:rPr>
            </w:pPr>
          </w:p>
        </w:tc>
        <w:tc>
          <w:tcPr>
            <w:tcW w:w="368" w:type="pct"/>
            <w:vMerge w:val="continue"/>
            <w:noWrap w:val="0"/>
            <w:vAlign w:val="center"/>
          </w:tcPr>
          <w:p w14:paraId="3C65F51D">
            <w:pPr>
              <w:spacing w:line="300" w:lineRule="exact"/>
              <w:jc w:val="center"/>
              <w:rPr>
                <w:rFonts w:eastAsia="仿宋_GB2312"/>
                <w:color w:val="auto"/>
                <w:szCs w:val="21"/>
                <w:highlight w:val="none"/>
              </w:rPr>
            </w:pPr>
          </w:p>
        </w:tc>
        <w:tc>
          <w:tcPr>
            <w:tcW w:w="401" w:type="pct"/>
            <w:vMerge w:val="continue"/>
            <w:noWrap w:val="0"/>
            <w:vAlign w:val="center"/>
          </w:tcPr>
          <w:p w14:paraId="43D0EA69">
            <w:pPr>
              <w:spacing w:line="300" w:lineRule="exact"/>
              <w:jc w:val="center"/>
              <w:rPr>
                <w:rFonts w:eastAsia="仿宋_GB2312"/>
                <w:color w:val="auto"/>
                <w:szCs w:val="21"/>
                <w:highlight w:val="none"/>
              </w:rPr>
            </w:pPr>
          </w:p>
        </w:tc>
        <w:tc>
          <w:tcPr>
            <w:tcW w:w="670" w:type="pct"/>
            <w:noWrap w:val="0"/>
            <w:vAlign w:val="center"/>
          </w:tcPr>
          <w:p w14:paraId="257B0857">
            <w:pPr>
              <w:spacing w:line="300" w:lineRule="exact"/>
              <w:jc w:val="center"/>
              <w:rPr>
                <w:rFonts w:eastAsia="仿宋_GB2312"/>
                <w:color w:val="auto"/>
                <w:szCs w:val="21"/>
                <w:highlight w:val="none"/>
              </w:rPr>
            </w:pPr>
            <w:r>
              <w:rPr>
                <w:rFonts w:eastAsia="仿宋_GB2312"/>
                <w:color w:val="auto"/>
                <w:szCs w:val="21"/>
                <w:highlight w:val="none"/>
              </w:rPr>
              <w:t>冰糖</w:t>
            </w:r>
          </w:p>
        </w:tc>
        <w:tc>
          <w:tcPr>
            <w:tcW w:w="284" w:type="pct"/>
            <w:noWrap w:val="0"/>
            <w:vAlign w:val="center"/>
          </w:tcPr>
          <w:p w14:paraId="09D00F3E">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5B6CAAE">
            <w:pPr>
              <w:spacing w:line="300" w:lineRule="exact"/>
              <w:jc w:val="left"/>
              <w:rPr>
                <w:rFonts w:eastAsia="仿宋_GB2312"/>
                <w:color w:val="auto"/>
                <w:szCs w:val="21"/>
                <w:highlight w:val="none"/>
              </w:rPr>
            </w:pPr>
            <w:r>
              <w:rPr>
                <w:rFonts w:eastAsia="仿宋_GB2312"/>
                <w:color w:val="auto"/>
                <w:szCs w:val="21"/>
                <w:highlight w:val="none"/>
              </w:rPr>
              <w:t>蔗糖分、还原糖分、色值、干燥失重、二氧化硫残留量、螨</w:t>
            </w:r>
          </w:p>
        </w:tc>
        <w:tc>
          <w:tcPr>
            <w:tcW w:w="1186" w:type="pct"/>
            <w:noWrap w:val="0"/>
            <w:vAlign w:val="center"/>
          </w:tcPr>
          <w:p w14:paraId="773D463B">
            <w:pPr>
              <w:spacing w:line="300" w:lineRule="exact"/>
              <w:jc w:val="left"/>
              <w:rPr>
                <w:rFonts w:eastAsia="仿宋_GB2312"/>
                <w:color w:val="auto"/>
                <w:szCs w:val="21"/>
                <w:highlight w:val="none"/>
              </w:rPr>
            </w:pPr>
            <w:r>
              <w:rPr>
                <w:rFonts w:eastAsia="仿宋_GB2312"/>
                <w:color w:val="auto"/>
                <w:szCs w:val="21"/>
                <w:highlight w:val="none"/>
              </w:rPr>
              <w:t>合成着色剂（柠檬黄、新红、苋菜红、胭脂红、日落黄、诱惑红、酸性红、喹啉黄、赤藓红）</w:t>
            </w:r>
          </w:p>
        </w:tc>
      </w:tr>
      <w:tr w14:paraId="3C15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390C1086">
            <w:pPr>
              <w:spacing w:line="300" w:lineRule="exact"/>
              <w:jc w:val="center"/>
              <w:rPr>
                <w:rFonts w:eastAsia="仿宋_GB2312"/>
                <w:color w:val="auto"/>
                <w:szCs w:val="21"/>
                <w:highlight w:val="none"/>
              </w:rPr>
            </w:pPr>
          </w:p>
        </w:tc>
        <w:tc>
          <w:tcPr>
            <w:tcW w:w="367" w:type="pct"/>
            <w:vMerge w:val="continue"/>
            <w:noWrap w:val="0"/>
            <w:vAlign w:val="center"/>
          </w:tcPr>
          <w:p w14:paraId="179491C2">
            <w:pPr>
              <w:spacing w:line="300" w:lineRule="exact"/>
              <w:jc w:val="center"/>
              <w:rPr>
                <w:rFonts w:eastAsia="仿宋_GB2312"/>
                <w:color w:val="auto"/>
                <w:szCs w:val="21"/>
                <w:highlight w:val="none"/>
              </w:rPr>
            </w:pPr>
          </w:p>
        </w:tc>
        <w:tc>
          <w:tcPr>
            <w:tcW w:w="368" w:type="pct"/>
            <w:vMerge w:val="continue"/>
            <w:noWrap w:val="0"/>
            <w:vAlign w:val="center"/>
          </w:tcPr>
          <w:p w14:paraId="2641E3E9">
            <w:pPr>
              <w:spacing w:line="300" w:lineRule="exact"/>
              <w:jc w:val="center"/>
              <w:rPr>
                <w:rFonts w:eastAsia="仿宋_GB2312"/>
                <w:color w:val="auto"/>
                <w:szCs w:val="21"/>
                <w:highlight w:val="none"/>
              </w:rPr>
            </w:pPr>
          </w:p>
        </w:tc>
        <w:tc>
          <w:tcPr>
            <w:tcW w:w="401" w:type="pct"/>
            <w:vMerge w:val="continue"/>
            <w:noWrap w:val="0"/>
            <w:vAlign w:val="center"/>
          </w:tcPr>
          <w:p w14:paraId="14EBF61A">
            <w:pPr>
              <w:spacing w:line="300" w:lineRule="exact"/>
              <w:jc w:val="center"/>
              <w:rPr>
                <w:rFonts w:eastAsia="仿宋_GB2312"/>
                <w:color w:val="auto"/>
                <w:szCs w:val="21"/>
                <w:highlight w:val="none"/>
              </w:rPr>
            </w:pPr>
          </w:p>
        </w:tc>
        <w:tc>
          <w:tcPr>
            <w:tcW w:w="670" w:type="pct"/>
            <w:noWrap w:val="0"/>
            <w:vAlign w:val="center"/>
          </w:tcPr>
          <w:p w14:paraId="20E2143B">
            <w:pPr>
              <w:spacing w:line="300" w:lineRule="exact"/>
              <w:jc w:val="center"/>
              <w:rPr>
                <w:rFonts w:eastAsia="仿宋_GB2312"/>
                <w:color w:val="auto"/>
                <w:szCs w:val="21"/>
                <w:highlight w:val="none"/>
              </w:rPr>
            </w:pPr>
            <w:r>
              <w:rPr>
                <w:rFonts w:eastAsia="仿宋_GB2312"/>
                <w:color w:val="auto"/>
                <w:szCs w:val="21"/>
                <w:highlight w:val="none"/>
              </w:rPr>
              <w:t>冰片糖</w:t>
            </w:r>
          </w:p>
        </w:tc>
        <w:tc>
          <w:tcPr>
            <w:tcW w:w="284" w:type="pct"/>
            <w:noWrap w:val="0"/>
            <w:vAlign w:val="center"/>
          </w:tcPr>
          <w:p w14:paraId="4ECB2263">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B129BAC">
            <w:pPr>
              <w:spacing w:line="300" w:lineRule="exact"/>
              <w:jc w:val="left"/>
              <w:rPr>
                <w:rFonts w:eastAsia="仿宋_GB2312"/>
                <w:color w:val="auto"/>
                <w:szCs w:val="21"/>
                <w:highlight w:val="none"/>
              </w:rPr>
            </w:pPr>
            <w:r>
              <w:rPr>
                <w:rFonts w:eastAsia="仿宋_GB2312"/>
                <w:color w:val="auto"/>
                <w:szCs w:val="21"/>
                <w:highlight w:val="none"/>
              </w:rPr>
              <w:t>总糖分、还原糖分、干燥失重、二氧化硫残留量、螨、合成着色剂（柠檬黄、新红、苋菜红、胭脂红、日落黄、诱惑红、酸性红、喹啉黄、赤藓红）</w:t>
            </w:r>
          </w:p>
        </w:tc>
        <w:tc>
          <w:tcPr>
            <w:tcW w:w="1186" w:type="pct"/>
            <w:noWrap w:val="0"/>
            <w:vAlign w:val="center"/>
          </w:tcPr>
          <w:p w14:paraId="0B629A66">
            <w:pPr>
              <w:spacing w:line="300" w:lineRule="exact"/>
              <w:jc w:val="left"/>
              <w:rPr>
                <w:rFonts w:eastAsia="仿宋_GB2312"/>
                <w:color w:val="auto"/>
                <w:szCs w:val="21"/>
                <w:highlight w:val="none"/>
              </w:rPr>
            </w:pPr>
          </w:p>
        </w:tc>
      </w:tr>
      <w:tr w14:paraId="4AFD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3B9542B6">
            <w:pPr>
              <w:spacing w:line="300" w:lineRule="exact"/>
              <w:jc w:val="center"/>
              <w:rPr>
                <w:rFonts w:eastAsia="仿宋_GB2312"/>
                <w:color w:val="auto"/>
                <w:szCs w:val="21"/>
                <w:highlight w:val="none"/>
              </w:rPr>
            </w:pPr>
          </w:p>
        </w:tc>
        <w:tc>
          <w:tcPr>
            <w:tcW w:w="367" w:type="pct"/>
            <w:vMerge w:val="continue"/>
            <w:noWrap w:val="0"/>
            <w:vAlign w:val="center"/>
          </w:tcPr>
          <w:p w14:paraId="61B2C21F">
            <w:pPr>
              <w:spacing w:line="300" w:lineRule="exact"/>
              <w:jc w:val="center"/>
              <w:rPr>
                <w:rFonts w:eastAsia="仿宋_GB2312"/>
                <w:color w:val="auto"/>
                <w:szCs w:val="21"/>
                <w:highlight w:val="none"/>
              </w:rPr>
            </w:pPr>
          </w:p>
        </w:tc>
        <w:tc>
          <w:tcPr>
            <w:tcW w:w="368" w:type="pct"/>
            <w:vMerge w:val="continue"/>
            <w:noWrap w:val="0"/>
            <w:vAlign w:val="center"/>
          </w:tcPr>
          <w:p w14:paraId="10B01913">
            <w:pPr>
              <w:spacing w:line="300" w:lineRule="exact"/>
              <w:jc w:val="center"/>
              <w:rPr>
                <w:rFonts w:eastAsia="仿宋_GB2312"/>
                <w:color w:val="auto"/>
                <w:szCs w:val="21"/>
                <w:highlight w:val="none"/>
              </w:rPr>
            </w:pPr>
          </w:p>
        </w:tc>
        <w:tc>
          <w:tcPr>
            <w:tcW w:w="401" w:type="pct"/>
            <w:vMerge w:val="continue"/>
            <w:noWrap w:val="0"/>
            <w:vAlign w:val="center"/>
          </w:tcPr>
          <w:p w14:paraId="72225F06">
            <w:pPr>
              <w:spacing w:line="300" w:lineRule="exact"/>
              <w:jc w:val="center"/>
              <w:rPr>
                <w:rFonts w:eastAsia="仿宋_GB2312"/>
                <w:color w:val="auto"/>
                <w:szCs w:val="21"/>
                <w:highlight w:val="none"/>
              </w:rPr>
            </w:pPr>
          </w:p>
        </w:tc>
        <w:tc>
          <w:tcPr>
            <w:tcW w:w="670" w:type="pct"/>
            <w:noWrap w:val="0"/>
            <w:vAlign w:val="center"/>
          </w:tcPr>
          <w:p w14:paraId="55686604">
            <w:pPr>
              <w:spacing w:line="300" w:lineRule="exact"/>
              <w:jc w:val="center"/>
              <w:rPr>
                <w:rFonts w:eastAsia="仿宋_GB2312"/>
                <w:color w:val="auto"/>
                <w:szCs w:val="21"/>
                <w:highlight w:val="none"/>
              </w:rPr>
            </w:pPr>
            <w:r>
              <w:rPr>
                <w:rFonts w:eastAsia="仿宋_GB2312"/>
                <w:color w:val="auto"/>
                <w:szCs w:val="21"/>
                <w:highlight w:val="none"/>
              </w:rPr>
              <w:t>方糖</w:t>
            </w:r>
          </w:p>
        </w:tc>
        <w:tc>
          <w:tcPr>
            <w:tcW w:w="284" w:type="pct"/>
            <w:noWrap w:val="0"/>
            <w:vAlign w:val="center"/>
          </w:tcPr>
          <w:p w14:paraId="25B7250C">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68739816">
            <w:pPr>
              <w:spacing w:line="300" w:lineRule="exact"/>
              <w:jc w:val="left"/>
              <w:rPr>
                <w:rFonts w:eastAsia="仿宋_GB2312"/>
                <w:color w:val="auto"/>
                <w:szCs w:val="21"/>
                <w:highlight w:val="none"/>
              </w:rPr>
            </w:pPr>
            <w:r>
              <w:rPr>
                <w:rFonts w:eastAsia="仿宋_GB2312"/>
                <w:color w:val="auto"/>
                <w:szCs w:val="21"/>
                <w:highlight w:val="none"/>
              </w:rPr>
              <w:t>蔗糖分、还原糖分、色值、干燥失重、二氧化硫残留量、螨</w:t>
            </w:r>
          </w:p>
        </w:tc>
        <w:tc>
          <w:tcPr>
            <w:tcW w:w="1186" w:type="pct"/>
            <w:noWrap w:val="0"/>
            <w:vAlign w:val="center"/>
          </w:tcPr>
          <w:p w14:paraId="5A4DBDF7">
            <w:pPr>
              <w:spacing w:line="300" w:lineRule="exact"/>
              <w:jc w:val="left"/>
              <w:rPr>
                <w:rFonts w:eastAsia="仿宋_GB2312"/>
                <w:color w:val="auto"/>
                <w:szCs w:val="21"/>
                <w:highlight w:val="none"/>
              </w:rPr>
            </w:pPr>
          </w:p>
        </w:tc>
      </w:tr>
      <w:tr w14:paraId="2B57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406792CD">
            <w:pPr>
              <w:spacing w:line="300" w:lineRule="exact"/>
              <w:jc w:val="center"/>
              <w:rPr>
                <w:rFonts w:eastAsia="仿宋_GB2312"/>
                <w:color w:val="auto"/>
                <w:szCs w:val="21"/>
                <w:highlight w:val="none"/>
              </w:rPr>
            </w:pPr>
          </w:p>
        </w:tc>
        <w:tc>
          <w:tcPr>
            <w:tcW w:w="367" w:type="pct"/>
            <w:vMerge w:val="continue"/>
            <w:noWrap w:val="0"/>
            <w:vAlign w:val="center"/>
          </w:tcPr>
          <w:p w14:paraId="52C4449E">
            <w:pPr>
              <w:spacing w:line="300" w:lineRule="exact"/>
              <w:jc w:val="center"/>
              <w:rPr>
                <w:rFonts w:eastAsia="仿宋_GB2312"/>
                <w:color w:val="auto"/>
                <w:szCs w:val="21"/>
                <w:highlight w:val="none"/>
              </w:rPr>
            </w:pPr>
          </w:p>
        </w:tc>
        <w:tc>
          <w:tcPr>
            <w:tcW w:w="368" w:type="pct"/>
            <w:vMerge w:val="continue"/>
            <w:noWrap w:val="0"/>
            <w:vAlign w:val="center"/>
          </w:tcPr>
          <w:p w14:paraId="028384E0">
            <w:pPr>
              <w:spacing w:line="300" w:lineRule="exact"/>
              <w:jc w:val="center"/>
              <w:rPr>
                <w:rFonts w:eastAsia="仿宋_GB2312"/>
                <w:color w:val="auto"/>
                <w:szCs w:val="21"/>
                <w:highlight w:val="none"/>
              </w:rPr>
            </w:pPr>
          </w:p>
        </w:tc>
        <w:tc>
          <w:tcPr>
            <w:tcW w:w="401" w:type="pct"/>
            <w:vMerge w:val="continue"/>
            <w:noWrap w:val="0"/>
            <w:vAlign w:val="center"/>
          </w:tcPr>
          <w:p w14:paraId="5AE0EECA">
            <w:pPr>
              <w:spacing w:line="300" w:lineRule="exact"/>
              <w:jc w:val="center"/>
              <w:rPr>
                <w:rFonts w:eastAsia="仿宋_GB2312"/>
                <w:color w:val="auto"/>
                <w:szCs w:val="21"/>
                <w:highlight w:val="none"/>
              </w:rPr>
            </w:pPr>
          </w:p>
        </w:tc>
        <w:tc>
          <w:tcPr>
            <w:tcW w:w="670" w:type="pct"/>
            <w:noWrap w:val="0"/>
            <w:vAlign w:val="center"/>
          </w:tcPr>
          <w:p w14:paraId="02ED0F7B">
            <w:pPr>
              <w:spacing w:line="300" w:lineRule="exact"/>
              <w:jc w:val="center"/>
              <w:rPr>
                <w:rFonts w:eastAsia="仿宋_GB2312"/>
                <w:color w:val="auto"/>
                <w:szCs w:val="21"/>
                <w:highlight w:val="none"/>
              </w:rPr>
            </w:pPr>
            <w:r>
              <w:rPr>
                <w:rFonts w:eastAsia="仿宋_GB2312"/>
                <w:color w:val="auto"/>
                <w:szCs w:val="21"/>
                <w:highlight w:val="none"/>
              </w:rPr>
              <w:t>其他糖</w:t>
            </w:r>
          </w:p>
        </w:tc>
        <w:tc>
          <w:tcPr>
            <w:tcW w:w="284" w:type="pct"/>
            <w:noWrap w:val="0"/>
            <w:vAlign w:val="center"/>
          </w:tcPr>
          <w:p w14:paraId="67A258F9">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2DC4C0EB">
            <w:pPr>
              <w:spacing w:line="300" w:lineRule="exact"/>
              <w:jc w:val="left"/>
              <w:rPr>
                <w:rFonts w:eastAsia="仿宋_GB2312"/>
                <w:color w:val="auto"/>
                <w:szCs w:val="21"/>
                <w:highlight w:val="none"/>
              </w:rPr>
            </w:pPr>
            <w:r>
              <w:rPr>
                <w:rFonts w:eastAsia="仿宋_GB2312"/>
                <w:color w:val="auto"/>
                <w:szCs w:val="21"/>
                <w:highlight w:val="none"/>
              </w:rPr>
              <w:t>蔗糖分、总糖分、色值、还原糖分、干燥失重、二氧化硫残留量、螨、合成着色剂（柠檬黄、新红、苋菜红、胭脂红、日落黄、诱惑红、酸性红、喹啉黄、赤藓红）、菌落总数、大肠菌群、霉菌、酵母菌</w:t>
            </w:r>
          </w:p>
        </w:tc>
        <w:tc>
          <w:tcPr>
            <w:tcW w:w="1186" w:type="pct"/>
            <w:noWrap w:val="0"/>
            <w:vAlign w:val="center"/>
          </w:tcPr>
          <w:p w14:paraId="08CBA0A3">
            <w:pPr>
              <w:spacing w:line="300" w:lineRule="exact"/>
              <w:jc w:val="left"/>
              <w:rPr>
                <w:rFonts w:eastAsia="仿宋_GB2312"/>
                <w:color w:val="auto"/>
                <w:szCs w:val="21"/>
                <w:highlight w:val="none"/>
              </w:rPr>
            </w:pPr>
          </w:p>
        </w:tc>
      </w:tr>
      <w:tr w14:paraId="3042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restart"/>
            <w:noWrap w:val="0"/>
            <w:vAlign w:val="center"/>
          </w:tcPr>
          <w:p w14:paraId="35422987">
            <w:pPr>
              <w:spacing w:line="300" w:lineRule="exact"/>
              <w:jc w:val="center"/>
              <w:rPr>
                <w:rFonts w:eastAsia="仿宋_GB2312"/>
                <w:color w:val="auto"/>
                <w:szCs w:val="21"/>
                <w:highlight w:val="none"/>
              </w:rPr>
            </w:pPr>
            <w:r>
              <w:rPr>
                <w:rFonts w:eastAsia="仿宋_GB2312"/>
                <w:color w:val="auto"/>
                <w:szCs w:val="21"/>
                <w:highlight w:val="none"/>
              </w:rPr>
              <w:t>22</w:t>
            </w:r>
          </w:p>
        </w:tc>
        <w:tc>
          <w:tcPr>
            <w:tcW w:w="367" w:type="pct"/>
            <w:vMerge w:val="restart"/>
            <w:noWrap w:val="0"/>
            <w:vAlign w:val="center"/>
          </w:tcPr>
          <w:p w14:paraId="646A1594">
            <w:pPr>
              <w:spacing w:line="300" w:lineRule="exact"/>
              <w:jc w:val="center"/>
              <w:rPr>
                <w:rFonts w:eastAsia="仿宋_GB2312"/>
                <w:color w:val="auto"/>
                <w:szCs w:val="21"/>
                <w:highlight w:val="none"/>
              </w:rPr>
            </w:pPr>
            <w:r>
              <w:rPr>
                <w:rFonts w:eastAsia="仿宋_GB2312"/>
                <w:color w:val="auto"/>
                <w:szCs w:val="21"/>
                <w:highlight w:val="none"/>
              </w:rPr>
              <w:t>水产制品</w:t>
            </w:r>
          </w:p>
        </w:tc>
        <w:tc>
          <w:tcPr>
            <w:tcW w:w="368" w:type="pct"/>
            <w:vMerge w:val="restart"/>
            <w:noWrap w:val="0"/>
            <w:vAlign w:val="center"/>
          </w:tcPr>
          <w:p w14:paraId="59690DAE">
            <w:pPr>
              <w:spacing w:line="300" w:lineRule="exact"/>
              <w:jc w:val="center"/>
              <w:rPr>
                <w:rFonts w:eastAsia="仿宋_GB2312"/>
                <w:color w:val="auto"/>
                <w:szCs w:val="21"/>
                <w:highlight w:val="none"/>
              </w:rPr>
            </w:pPr>
            <w:r>
              <w:rPr>
                <w:rFonts w:eastAsia="仿宋_GB2312"/>
                <w:color w:val="auto"/>
                <w:szCs w:val="21"/>
                <w:highlight w:val="none"/>
              </w:rPr>
              <w:t>水产制品</w:t>
            </w:r>
          </w:p>
        </w:tc>
        <w:tc>
          <w:tcPr>
            <w:tcW w:w="401" w:type="pct"/>
            <w:vMerge w:val="restart"/>
            <w:noWrap w:val="0"/>
            <w:vAlign w:val="center"/>
          </w:tcPr>
          <w:p w14:paraId="2CBB0169">
            <w:pPr>
              <w:spacing w:line="300" w:lineRule="exact"/>
              <w:jc w:val="center"/>
              <w:rPr>
                <w:rFonts w:eastAsia="仿宋_GB2312"/>
                <w:color w:val="auto"/>
                <w:szCs w:val="21"/>
                <w:highlight w:val="none"/>
              </w:rPr>
            </w:pPr>
            <w:r>
              <w:rPr>
                <w:rFonts w:eastAsia="仿宋_GB2312"/>
                <w:color w:val="auto"/>
                <w:szCs w:val="21"/>
                <w:highlight w:val="none"/>
              </w:rPr>
              <w:t>干制水产品</w:t>
            </w:r>
          </w:p>
        </w:tc>
        <w:tc>
          <w:tcPr>
            <w:tcW w:w="670" w:type="pct"/>
            <w:noWrap w:val="0"/>
            <w:vAlign w:val="center"/>
          </w:tcPr>
          <w:p w14:paraId="130A95CB">
            <w:pPr>
              <w:spacing w:line="300" w:lineRule="exact"/>
              <w:jc w:val="center"/>
              <w:rPr>
                <w:rFonts w:eastAsia="仿宋_GB2312"/>
                <w:color w:val="auto"/>
                <w:szCs w:val="21"/>
                <w:highlight w:val="none"/>
              </w:rPr>
            </w:pPr>
            <w:r>
              <w:rPr>
                <w:rFonts w:eastAsia="仿宋_GB2312"/>
                <w:color w:val="auto"/>
                <w:szCs w:val="21"/>
                <w:highlight w:val="none"/>
              </w:rPr>
              <w:t>藻类干制品</w:t>
            </w:r>
          </w:p>
        </w:tc>
        <w:tc>
          <w:tcPr>
            <w:tcW w:w="284" w:type="pct"/>
            <w:noWrap w:val="0"/>
            <w:vAlign w:val="center"/>
          </w:tcPr>
          <w:p w14:paraId="3CCB83C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4CF0E84C">
            <w:pPr>
              <w:spacing w:line="300" w:lineRule="exact"/>
              <w:jc w:val="left"/>
              <w:rPr>
                <w:rFonts w:eastAsia="仿宋_GB2312"/>
                <w:color w:val="auto"/>
                <w:szCs w:val="21"/>
                <w:highlight w:val="none"/>
              </w:rPr>
            </w:pPr>
            <w:r>
              <w:rPr>
                <w:rFonts w:eastAsia="仿宋_GB2312"/>
                <w:color w:val="auto"/>
                <w:szCs w:val="21"/>
                <w:highlight w:val="none"/>
              </w:rPr>
              <w:t>铅 (以Pb计)、菌落总数、大肠菌群</w:t>
            </w:r>
          </w:p>
        </w:tc>
        <w:tc>
          <w:tcPr>
            <w:tcW w:w="1186" w:type="pct"/>
            <w:noWrap w:val="0"/>
            <w:vAlign w:val="center"/>
          </w:tcPr>
          <w:p w14:paraId="12FF483D">
            <w:pPr>
              <w:spacing w:line="300" w:lineRule="exact"/>
              <w:jc w:val="left"/>
              <w:rPr>
                <w:rFonts w:eastAsia="仿宋_GB2312"/>
                <w:color w:val="auto"/>
                <w:szCs w:val="21"/>
                <w:highlight w:val="none"/>
              </w:rPr>
            </w:pPr>
          </w:p>
        </w:tc>
      </w:tr>
      <w:tr w14:paraId="1D9B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0D8A7E07">
            <w:pPr>
              <w:spacing w:line="300" w:lineRule="exact"/>
              <w:jc w:val="center"/>
              <w:rPr>
                <w:rFonts w:eastAsia="仿宋_GB2312"/>
                <w:color w:val="auto"/>
                <w:szCs w:val="21"/>
                <w:highlight w:val="none"/>
              </w:rPr>
            </w:pPr>
          </w:p>
        </w:tc>
        <w:tc>
          <w:tcPr>
            <w:tcW w:w="367" w:type="pct"/>
            <w:vMerge w:val="continue"/>
            <w:noWrap w:val="0"/>
            <w:vAlign w:val="center"/>
          </w:tcPr>
          <w:p w14:paraId="1ACE5CF7">
            <w:pPr>
              <w:spacing w:line="300" w:lineRule="exact"/>
              <w:jc w:val="center"/>
              <w:rPr>
                <w:rFonts w:eastAsia="仿宋_GB2312"/>
                <w:color w:val="auto"/>
                <w:szCs w:val="21"/>
                <w:highlight w:val="none"/>
              </w:rPr>
            </w:pPr>
          </w:p>
        </w:tc>
        <w:tc>
          <w:tcPr>
            <w:tcW w:w="368" w:type="pct"/>
            <w:vMerge w:val="continue"/>
            <w:noWrap w:val="0"/>
            <w:vAlign w:val="center"/>
          </w:tcPr>
          <w:p w14:paraId="56F41B0F">
            <w:pPr>
              <w:spacing w:line="300" w:lineRule="exact"/>
              <w:jc w:val="center"/>
              <w:rPr>
                <w:rFonts w:eastAsia="仿宋_GB2312"/>
                <w:color w:val="auto"/>
                <w:szCs w:val="21"/>
                <w:highlight w:val="none"/>
              </w:rPr>
            </w:pPr>
          </w:p>
        </w:tc>
        <w:tc>
          <w:tcPr>
            <w:tcW w:w="401" w:type="pct"/>
            <w:vMerge w:val="continue"/>
            <w:noWrap w:val="0"/>
            <w:vAlign w:val="center"/>
          </w:tcPr>
          <w:p w14:paraId="16182911">
            <w:pPr>
              <w:spacing w:line="300" w:lineRule="exact"/>
              <w:jc w:val="center"/>
              <w:rPr>
                <w:rFonts w:eastAsia="仿宋_GB2312"/>
                <w:color w:val="auto"/>
                <w:szCs w:val="21"/>
                <w:highlight w:val="none"/>
              </w:rPr>
            </w:pPr>
          </w:p>
        </w:tc>
        <w:tc>
          <w:tcPr>
            <w:tcW w:w="670" w:type="pct"/>
            <w:noWrap w:val="0"/>
            <w:vAlign w:val="center"/>
          </w:tcPr>
          <w:p w14:paraId="353911B8">
            <w:pPr>
              <w:spacing w:line="300" w:lineRule="exact"/>
              <w:jc w:val="center"/>
              <w:rPr>
                <w:rFonts w:eastAsia="仿宋_GB2312"/>
                <w:color w:val="auto"/>
                <w:szCs w:val="21"/>
                <w:highlight w:val="none"/>
              </w:rPr>
            </w:pPr>
            <w:r>
              <w:rPr>
                <w:rFonts w:eastAsia="仿宋_GB2312"/>
                <w:color w:val="auto"/>
                <w:szCs w:val="21"/>
                <w:highlight w:val="none"/>
              </w:rPr>
              <w:t>预制动物性水产干制品</w:t>
            </w:r>
          </w:p>
        </w:tc>
        <w:tc>
          <w:tcPr>
            <w:tcW w:w="284" w:type="pct"/>
            <w:noWrap w:val="0"/>
            <w:vAlign w:val="center"/>
          </w:tcPr>
          <w:p w14:paraId="519C25B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33BAEE4">
            <w:pPr>
              <w:spacing w:line="300" w:lineRule="exact"/>
              <w:jc w:val="left"/>
              <w:rPr>
                <w:rFonts w:eastAsia="仿宋_GB2312"/>
                <w:color w:val="auto"/>
                <w:szCs w:val="21"/>
                <w:highlight w:val="none"/>
              </w:rPr>
            </w:pPr>
            <w:r>
              <w:rPr>
                <w:rFonts w:eastAsia="仿宋_GB2312"/>
                <w:color w:val="auto"/>
                <w:szCs w:val="21"/>
                <w:highlight w:val="none"/>
              </w:rPr>
              <w:t>过氧化值(以脂肪计)、铅(以Pb计)、镉(以Cd计)、苯甲酸及其钠盐 (以苯甲酸计)、山梨酸及其钾盐(以山梨酸计)、合成着色剂(柠檬黄、胭脂红、日落黄、诱惑红)</w:t>
            </w:r>
          </w:p>
        </w:tc>
        <w:tc>
          <w:tcPr>
            <w:tcW w:w="1186" w:type="pct"/>
            <w:noWrap w:val="0"/>
            <w:vAlign w:val="center"/>
          </w:tcPr>
          <w:p w14:paraId="52BE0766">
            <w:pPr>
              <w:spacing w:line="300" w:lineRule="exact"/>
              <w:jc w:val="left"/>
              <w:rPr>
                <w:rFonts w:eastAsia="仿宋_GB2312"/>
                <w:color w:val="auto"/>
                <w:szCs w:val="21"/>
                <w:highlight w:val="none"/>
              </w:rPr>
            </w:pPr>
          </w:p>
        </w:tc>
      </w:tr>
      <w:tr w14:paraId="70DB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38B9C97F">
            <w:pPr>
              <w:spacing w:line="300" w:lineRule="exact"/>
              <w:jc w:val="center"/>
              <w:rPr>
                <w:rFonts w:eastAsia="仿宋_GB2312"/>
                <w:color w:val="auto"/>
                <w:szCs w:val="21"/>
                <w:highlight w:val="none"/>
              </w:rPr>
            </w:pPr>
          </w:p>
        </w:tc>
        <w:tc>
          <w:tcPr>
            <w:tcW w:w="367" w:type="pct"/>
            <w:vMerge w:val="continue"/>
            <w:noWrap w:val="0"/>
            <w:vAlign w:val="center"/>
          </w:tcPr>
          <w:p w14:paraId="0F032CA7">
            <w:pPr>
              <w:spacing w:line="300" w:lineRule="exact"/>
              <w:jc w:val="center"/>
              <w:rPr>
                <w:rFonts w:eastAsia="仿宋_GB2312"/>
                <w:color w:val="auto"/>
                <w:szCs w:val="21"/>
                <w:highlight w:val="none"/>
              </w:rPr>
            </w:pPr>
          </w:p>
        </w:tc>
        <w:tc>
          <w:tcPr>
            <w:tcW w:w="368" w:type="pct"/>
            <w:vMerge w:val="continue"/>
            <w:noWrap w:val="0"/>
            <w:vAlign w:val="center"/>
          </w:tcPr>
          <w:p w14:paraId="087E051E">
            <w:pPr>
              <w:spacing w:line="300" w:lineRule="exact"/>
              <w:jc w:val="center"/>
              <w:rPr>
                <w:rFonts w:eastAsia="仿宋_GB2312"/>
                <w:color w:val="auto"/>
                <w:szCs w:val="21"/>
                <w:highlight w:val="none"/>
              </w:rPr>
            </w:pPr>
          </w:p>
        </w:tc>
        <w:tc>
          <w:tcPr>
            <w:tcW w:w="401" w:type="pct"/>
            <w:vMerge w:val="restart"/>
            <w:noWrap w:val="0"/>
            <w:vAlign w:val="center"/>
          </w:tcPr>
          <w:p w14:paraId="56493E4D">
            <w:pPr>
              <w:spacing w:line="300" w:lineRule="exact"/>
              <w:jc w:val="center"/>
              <w:rPr>
                <w:rFonts w:eastAsia="仿宋_GB2312"/>
                <w:color w:val="auto"/>
                <w:szCs w:val="21"/>
                <w:highlight w:val="none"/>
              </w:rPr>
            </w:pPr>
            <w:r>
              <w:rPr>
                <w:rFonts w:eastAsia="仿宋_GB2312"/>
                <w:color w:val="auto"/>
                <w:szCs w:val="21"/>
                <w:highlight w:val="none"/>
              </w:rPr>
              <w:t>盐渍水产品</w:t>
            </w:r>
          </w:p>
        </w:tc>
        <w:tc>
          <w:tcPr>
            <w:tcW w:w="670" w:type="pct"/>
            <w:noWrap w:val="0"/>
            <w:vAlign w:val="center"/>
          </w:tcPr>
          <w:p w14:paraId="6F490A53">
            <w:pPr>
              <w:spacing w:line="300" w:lineRule="exact"/>
              <w:jc w:val="center"/>
              <w:rPr>
                <w:rFonts w:eastAsia="仿宋_GB2312"/>
                <w:color w:val="auto"/>
                <w:szCs w:val="21"/>
                <w:highlight w:val="none"/>
              </w:rPr>
            </w:pPr>
            <w:r>
              <w:rPr>
                <w:rFonts w:eastAsia="仿宋_GB2312"/>
                <w:color w:val="auto"/>
                <w:szCs w:val="21"/>
                <w:highlight w:val="none"/>
              </w:rPr>
              <w:t>盐渍鱼</w:t>
            </w:r>
          </w:p>
        </w:tc>
        <w:tc>
          <w:tcPr>
            <w:tcW w:w="284" w:type="pct"/>
            <w:noWrap w:val="0"/>
            <w:vAlign w:val="center"/>
          </w:tcPr>
          <w:p w14:paraId="50C744B2">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C4E05EB">
            <w:pPr>
              <w:spacing w:line="300" w:lineRule="exact"/>
              <w:jc w:val="left"/>
              <w:rPr>
                <w:rFonts w:eastAsia="仿宋_GB2312"/>
                <w:color w:val="auto"/>
                <w:szCs w:val="21"/>
                <w:highlight w:val="none"/>
              </w:rPr>
            </w:pPr>
            <w:r>
              <w:rPr>
                <w:rFonts w:eastAsia="仿宋_GB2312"/>
                <w:color w:val="auto"/>
                <w:szCs w:val="21"/>
                <w:highlight w:val="none"/>
              </w:rPr>
              <w:t>过氧化值(以脂肪计)、组胺、镉(以Cd计)、苯甲酸及其钠盐 (以苯甲酸计)、山梨酸及其钾盐 (以山梨酸计)</w:t>
            </w:r>
          </w:p>
        </w:tc>
        <w:tc>
          <w:tcPr>
            <w:tcW w:w="1186" w:type="pct"/>
            <w:noWrap w:val="0"/>
            <w:vAlign w:val="center"/>
          </w:tcPr>
          <w:p w14:paraId="457369E2">
            <w:pPr>
              <w:spacing w:line="300" w:lineRule="exact"/>
              <w:jc w:val="left"/>
              <w:rPr>
                <w:rFonts w:eastAsia="仿宋_GB2312"/>
                <w:color w:val="auto"/>
                <w:szCs w:val="21"/>
                <w:highlight w:val="none"/>
              </w:rPr>
            </w:pPr>
          </w:p>
        </w:tc>
      </w:tr>
      <w:tr w14:paraId="65EB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638AE582">
            <w:pPr>
              <w:spacing w:line="300" w:lineRule="exact"/>
              <w:jc w:val="center"/>
              <w:rPr>
                <w:rFonts w:eastAsia="仿宋_GB2312"/>
                <w:color w:val="auto"/>
                <w:szCs w:val="21"/>
                <w:highlight w:val="none"/>
              </w:rPr>
            </w:pPr>
          </w:p>
        </w:tc>
        <w:tc>
          <w:tcPr>
            <w:tcW w:w="367" w:type="pct"/>
            <w:vMerge w:val="continue"/>
            <w:noWrap w:val="0"/>
            <w:vAlign w:val="center"/>
          </w:tcPr>
          <w:p w14:paraId="506EC9F5">
            <w:pPr>
              <w:spacing w:line="300" w:lineRule="exact"/>
              <w:jc w:val="center"/>
              <w:rPr>
                <w:rFonts w:eastAsia="仿宋_GB2312"/>
                <w:color w:val="auto"/>
                <w:szCs w:val="21"/>
                <w:highlight w:val="none"/>
              </w:rPr>
            </w:pPr>
          </w:p>
        </w:tc>
        <w:tc>
          <w:tcPr>
            <w:tcW w:w="368" w:type="pct"/>
            <w:vMerge w:val="continue"/>
            <w:noWrap w:val="0"/>
            <w:vAlign w:val="center"/>
          </w:tcPr>
          <w:p w14:paraId="7B0273E2">
            <w:pPr>
              <w:spacing w:line="300" w:lineRule="exact"/>
              <w:jc w:val="center"/>
              <w:rPr>
                <w:rFonts w:eastAsia="仿宋_GB2312"/>
                <w:color w:val="auto"/>
                <w:szCs w:val="21"/>
                <w:highlight w:val="none"/>
              </w:rPr>
            </w:pPr>
          </w:p>
        </w:tc>
        <w:tc>
          <w:tcPr>
            <w:tcW w:w="401" w:type="pct"/>
            <w:vMerge w:val="continue"/>
            <w:noWrap w:val="0"/>
            <w:vAlign w:val="center"/>
          </w:tcPr>
          <w:p w14:paraId="1F05996B">
            <w:pPr>
              <w:spacing w:line="300" w:lineRule="exact"/>
              <w:jc w:val="center"/>
              <w:rPr>
                <w:rFonts w:eastAsia="仿宋_GB2312"/>
                <w:color w:val="auto"/>
                <w:szCs w:val="21"/>
                <w:highlight w:val="none"/>
              </w:rPr>
            </w:pPr>
          </w:p>
        </w:tc>
        <w:tc>
          <w:tcPr>
            <w:tcW w:w="670" w:type="pct"/>
            <w:noWrap w:val="0"/>
            <w:vAlign w:val="center"/>
          </w:tcPr>
          <w:p w14:paraId="6C119761">
            <w:pPr>
              <w:spacing w:line="300" w:lineRule="exact"/>
              <w:jc w:val="center"/>
              <w:rPr>
                <w:rFonts w:eastAsia="仿宋_GB2312"/>
                <w:color w:val="auto"/>
                <w:szCs w:val="21"/>
                <w:highlight w:val="none"/>
              </w:rPr>
            </w:pPr>
            <w:r>
              <w:rPr>
                <w:rFonts w:eastAsia="仿宋_GB2312"/>
                <w:color w:val="auto"/>
                <w:szCs w:val="21"/>
                <w:highlight w:val="none"/>
              </w:rPr>
              <w:t>盐渍藻</w:t>
            </w:r>
          </w:p>
        </w:tc>
        <w:tc>
          <w:tcPr>
            <w:tcW w:w="284" w:type="pct"/>
            <w:noWrap w:val="0"/>
            <w:vAlign w:val="center"/>
          </w:tcPr>
          <w:p w14:paraId="4DFE648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403F78D">
            <w:pPr>
              <w:spacing w:line="300" w:lineRule="exact"/>
              <w:jc w:val="left"/>
              <w:rPr>
                <w:rFonts w:eastAsia="仿宋_GB2312"/>
                <w:color w:val="auto"/>
                <w:szCs w:val="21"/>
                <w:highlight w:val="none"/>
              </w:rPr>
            </w:pPr>
            <w:r>
              <w:rPr>
                <w:rFonts w:eastAsia="仿宋_GB2312"/>
                <w:color w:val="auto"/>
                <w:szCs w:val="21"/>
                <w:highlight w:val="none"/>
              </w:rPr>
              <w:t>铅 (以Pb计)、苯甲酸及其钠盐 (以苯甲酸计)、山梨酸及其钾盐(以山梨酸计)</w:t>
            </w:r>
          </w:p>
        </w:tc>
        <w:tc>
          <w:tcPr>
            <w:tcW w:w="1186" w:type="pct"/>
            <w:noWrap w:val="0"/>
            <w:vAlign w:val="center"/>
          </w:tcPr>
          <w:p w14:paraId="1363C364">
            <w:pPr>
              <w:spacing w:line="300" w:lineRule="exact"/>
              <w:jc w:val="left"/>
              <w:rPr>
                <w:rFonts w:eastAsia="仿宋_GB2312"/>
                <w:color w:val="auto"/>
                <w:szCs w:val="21"/>
                <w:highlight w:val="none"/>
              </w:rPr>
            </w:pPr>
          </w:p>
        </w:tc>
      </w:tr>
      <w:tr w14:paraId="472C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5666FF49">
            <w:pPr>
              <w:spacing w:line="300" w:lineRule="exact"/>
              <w:jc w:val="center"/>
              <w:rPr>
                <w:rFonts w:eastAsia="仿宋_GB2312"/>
                <w:color w:val="auto"/>
                <w:szCs w:val="21"/>
                <w:highlight w:val="none"/>
              </w:rPr>
            </w:pPr>
          </w:p>
        </w:tc>
        <w:tc>
          <w:tcPr>
            <w:tcW w:w="367" w:type="pct"/>
            <w:vMerge w:val="continue"/>
            <w:noWrap w:val="0"/>
            <w:vAlign w:val="center"/>
          </w:tcPr>
          <w:p w14:paraId="3E6177F8">
            <w:pPr>
              <w:spacing w:line="300" w:lineRule="exact"/>
              <w:jc w:val="center"/>
              <w:rPr>
                <w:rFonts w:eastAsia="仿宋_GB2312"/>
                <w:color w:val="auto"/>
                <w:szCs w:val="21"/>
                <w:highlight w:val="none"/>
              </w:rPr>
            </w:pPr>
          </w:p>
        </w:tc>
        <w:tc>
          <w:tcPr>
            <w:tcW w:w="368" w:type="pct"/>
            <w:vMerge w:val="continue"/>
            <w:noWrap w:val="0"/>
            <w:vAlign w:val="center"/>
          </w:tcPr>
          <w:p w14:paraId="2B10B3B7">
            <w:pPr>
              <w:spacing w:line="300" w:lineRule="exact"/>
              <w:jc w:val="center"/>
              <w:rPr>
                <w:rFonts w:eastAsia="仿宋_GB2312"/>
                <w:color w:val="auto"/>
                <w:szCs w:val="21"/>
                <w:highlight w:val="none"/>
              </w:rPr>
            </w:pPr>
          </w:p>
        </w:tc>
        <w:tc>
          <w:tcPr>
            <w:tcW w:w="401" w:type="pct"/>
            <w:vMerge w:val="continue"/>
            <w:noWrap w:val="0"/>
            <w:vAlign w:val="center"/>
          </w:tcPr>
          <w:p w14:paraId="42B1CEF7">
            <w:pPr>
              <w:spacing w:line="300" w:lineRule="exact"/>
              <w:jc w:val="center"/>
              <w:rPr>
                <w:rFonts w:eastAsia="仿宋_GB2312"/>
                <w:color w:val="auto"/>
                <w:szCs w:val="21"/>
                <w:highlight w:val="none"/>
              </w:rPr>
            </w:pPr>
          </w:p>
        </w:tc>
        <w:tc>
          <w:tcPr>
            <w:tcW w:w="670" w:type="pct"/>
            <w:noWrap w:val="0"/>
            <w:vAlign w:val="center"/>
          </w:tcPr>
          <w:p w14:paraId="0074EE9D">
            <w:pPr>
              <w:spacing w:line="300" w:lineRule="exact"/>
              <w:jc w:val="center"/>
              <w:rPr>
                <w:rFonts w:eastAsia="仿宋_GB2312"/>
                <w:color w:val="auto"/>
                <w:szCs w:val="21"/>
                <w:highlight w:val="none"/>
              </w:rPr>
            </w:pPr>
            <w:r>
              <w:rPr>
                <w:rFonts w:eastAsia="仿宋_GB2312"/>
                <w:color w:val="auto"/>
                <w:szCs w:val="21"/>
                <w:highlight w:val="none"/>
              </w:rPr>
              <w:t>其他盐渍水产品</w:t>
            </w:r>
          </w:p>
        </w:tc>
        <w:tc>
          <w:tcPr>
            <w:tcW w:w="284" w:type="pct"/>
            <w:noWrap w:val="0"/>
            <w:vAlign w:val="center"/>
          </w:tcPr>
          <w:p w14:paraId="1B38F03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2B22F1BE">
            <w:pPr>
              <w:spacing w:line="300" w:lineRule="exact"/>
              <w:jc w:val="left"/>
              <w:rPr>
                <w:rFonts w:eastAsia="仿宋_GB2312"/>
                <w:color w:val="auto"/>
                <w:szCs w:val="21"/>
                <w:highlight w:val="none"/>
              </w:rPr>
            </w:pPr>
            <w:r>
              <w:rPr>
                <w:rFonts w:eastAsia="仿宋_GB2312"/>
                <w:color w:val="auto"/>
                <w:szCs w:val="21"/>
                <w:highlight w:val="none"/>
              </w:rPr>
              <w:t>苯甲酸及其钠盐 (以苯甲酸计)、山梨酸及其钾盐(以山梨酸计)</w:t>
            </w:r>
          </w:p>
        </w:tc>
        <w:tc>
          <w:tcPr>
            <w:tcW w:w="1186" w:type="pct"/>
            <w:noWrap w:val="0"/>
            <w:vAlign w:val="center"/>
          </w:tcPr>
          <w:p w14:paraId="61E806C7">
            <w:pPr>
              <w:spacing w:line="300" w:lineRule="exact"/>
              <w:jc w:val="left"/>
              <w:rPr>
                <w:rFonts w:eastAsia="仿宋_GB2312"/>
                <w:color w:val="auto"/>
                <w:szCs w:val="21"/>
                <w:highlight w:val="none"/>
              </w:rPr>
            </w:pPr>
          </w:p>
        </w:tc>
      </w:tr>
      <w:tr w14:paraId="64AE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5A4284E7">
            <w:pPr>
              <w:spacing w:line="300" w:lineRule="exact"/>
              <w:jc w:val="center"/>
              <w:rPr>
                <w:rFonts w:eastAsia="仿宋_GB2312"/>
                <w:color w:val="auto"/>
                <w:szCs w:val="21"/>
                <w:highlight w:val="none"/>
              </w:rPr>
            </w:pPr>
          </w:p>
        </w:tc>
        <w:tc>
          <w:tcPr>
            <w:tcW w:w="367" w:type="pct"/>
            <w:vMerge w:val="continue"/>
            <w:noWrap w:val="0"/>
            <w:vAlign w:val="center"/>
          </w:tcPr>
          <w:p w14:paraId="2E0EC2E3">
            <w:pPr>
              <w:spacing w:line="300" w:lineRule="exact"/>
              <w:jc w:val="center"/>
              <w:rPr>
                <w:rFonts w:eastAsia="仿宋_GB2312"/>
                <w:color w:val="auto"/>
                <w:szCs w:val="21"/>
                <w:highlight w:val="none"/>
              </w:rPr>
            </w:pPr>
          </w:p>
        </w:tc>
        <w:tc>
          <w:tcPr>
            <w:tcW w:w="368" w:type="pct"/>
            <w:vMerge w:val="continue"/>
            <w:noWrap w:val="0"/>
            <w:vAlign w:val="center"/>
          </w:tcPr>
          <w:p w14:paraId="7F6F5603">
            <w:pPr>
              <w:spacing w:line="300" w:lineRule="exact"/>
              <w:jc w:val="center"/>
              <w:rPr>
                <w:rFonts w:eastAsia="仿宋_GB2312"/>
                <w:color w:val="auto"/>
                <w:szCs w:val="21"/>
                <w:highlight w:val="none"/>
              </w:rPr>
            </w:pPr>
          </w:p>
        </w:tc>
        <w:tc>
          <w:tcPr>
            <w:tcW w:w="401" w:type="pct"/>
            <w:noWrap w:val="0"/>
            <w:vAlign w:val="center"/>
          </w:tcPr>
          <w:p w14:paraId="7238D609">
            <w:pPr>
              <w:spacing w:line="300" w:lineRule="exact"/>
              <w:jc w:val="center"/>
              <w:rPr>
                <w:rFonts w:eastAsia="仿宋_GB2312"/>
                <w:color w:val="auto"/>
                <w:szCs w:val="21"/>
                <w:highlight w:val="none"/>
              </w:rPr>
            </w:pPr>
            <w:r>
              <w:rPr>
                <w:rFonts w:eastAsia="仿宋_GB2312"/>
                <w:color w:val="auto"/>
                <w:szCs w:val="21"/>
                <w:highlight w:val="none"/>
              </w:rPr>
              <w:t>鱼糜制品</w:t>
            </w:r>
          </w:p>
        </w:tc>
        <w:tc>
          <w:tcPr>
            <w:tcW w:w="670" w:type="pct"/>
            <w:noWrap w:val="0"/>
            <w:vAlign w:val="center"/>
          </w:tcPr>
          <w:p w14:paraId="05CB4549">
            <w:pPr>
              <w:spacing w:line="300" w:lineRule="exact"/>
              <w:jc w:val="center"/>
              <w:rPr>
                <w:rFonts w:eastAsia="仿宋_GB2312"/>
                <w:color w:val="auto"/>
                <w:szCs w:val="21"/>
                <w:highlight w:val="none"/>
              </w:rPr>
            </w:pPr>
            <w:r>
              <w:rPr>
                <w:rFonts w:eastAsia="仿宋_GB2312"/>
                <w:color w:val="auto"/>
                <w:szCs w:val="21"/>
                <w:highlight w:val="none"/>
              </w:rPr>
              <w:t>预制鱼糜制品</w:t>
            </w:r>
          </w:p>
        </w:tc>
        <w:tc>
          <w:tcPr>
            <w:tcW w:w="284" w:type="pct"/>
            <w:noWrap w:val="0"/>
            <w:vAlign w:val="center"/>
          </w:tcPr>
          <w:p w14:paraId="12A6E10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49EAF087">
            <w:pPr>
              <w:spacing w:line="300" w:lineRule="exact"/>
              <w:jc w:val="left"/>
              <w:rPr>
                <w:rFonts w:eastAsia="仿宋_GB2312"/>
                <w:color w:val="auto"/>
                <w:szCs w:val="21"/>
                <w:highlight w:val="none"/>
              </w:rPr>
            </w:pPr>
            <w:r>
              <w:rPr>
                <w:rFonts w:eastAsia="仿宋_GB2312"/>
                <w:color w:val="auto"/>
                <w:szCs w:val="21"/>
                <w:highlight w:val="none"/>
              </w:rPr>
              <w:t>铅 (以Pb计)、苯甲酸及其钠盐 (以苯甲酸计)、山梨酸及其钾盐 (以山梨酸计)、脱氢乙酸及其钠盐(以脱氢乙酸计)、合成着色剂(诱惑红、柠檬黄、日落黄)</w:t>
            </w:r>
          </w:p>
        </w:tc>
        <w:tc>
          <w:tcPr>
            <w:tcW w:w="1186" w:type="pct"/>
            <w:noWrap w:val="0"/>
            <w:vAlign w:val="center"/>
          </w:tcPr>
          <w:p w14:paraId="3BAEF47A">
            <w:pPr>
              <w:spacing w:line="300" w:lineRule="exact"/>
              <w:jc w:val="left"/>
              <w:rPr>
                <w:rFonts w:eastAsia="仿宋_GB2312"/>
                <w:color w:val="auto"/>
                <w:szCs w:val="21"/>
                <w:highlight w:val="none"/>
              </w:rPr>
            </w:pPr>
          </w:p>
        </w:tc>
      </w:tr>
      <w:tr w14:paraId="7521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7D6EB847">
            <w:pPr>
              <w:spacing w:line="300" w:lineRule="exact"/>
              <w:jc w:val="center"/>
              <w:rPr>
                <w:rFonts w:eastAsia="仿宋_GB2312"/>
                <w:color w:val="auto"/>
                <w:szCs w:val="21"/>
                <w:highlight w:val="none"/>
              </w:rPr>
            </w:pPr>
          </w:p>
        </w:tc>
        <w:tc>
          <w:tcPr>
            <w:tcW w:w="367" w:type="pct"/>
            <w:vMerge w:val="continue"/>
            <w:noWrap w:val="0"/>
            <w:vAlign w:val="center"/>
          </w:tcPr>
          <w:p w14:paraId="598AFE7C">
            <w:pPr>
              <w:spacing w:line="300" w:lineRule="exact"/>
              <w:jc w:val="center"/>
              <w:rPr>
                <w:rFonts w:eastAsia="仿宋_GB2312"/>
                <w:color w:val="auto"/>
                <w:szCs w:val="21"/>
                <w:highlight w:val="none"/>
              </w:rPr>
            </w:pPr>
          </w:p>
        </w:tc>
        <w:tc>
          <w:tcPr>
            <w:tcW w:w="368" w:type="pct"/>
            <w:vMerge w:val="continue"/>
            <w:noWrap w:val="0"/>
            <w:vAlign w:val="center"/>
          </w:tcPr>
          <w:p w14:paraId="4118A850">
            <w:pPr>
              <w:spacing w:line="300" w:lineRule="exact"/>
              <w:jc w:val="center"/>
              <w:rPr>
                <w:rFonts w:eastAsia="仿宋_GB2312"/>
                <w:color w:val="auto"/>
                <w:szCs w:val="21"/>
                <w:highlight w:val="none"/>
              </w:rPr>
            </w:pPr>
          </w:p>
        </w:tc>
        <w:tc>
          <w:tcPr>
            <w:tcW w:w="401" w:type="pct"/>
            <w:noWrap w:val="0"/>
            <w:vAlign w:val="center"/>
          </w:tcPr>
          <w:p w14:paraId="6ADD2F23">
            <w:pPr>
              <w:spacing w:line="300" w:lineRule="exact"/>
              <w:jc w:val="center"/>
              <w:rPr>
                <w:rFonts w:eastAsia="仿宋_GB2312"/>
                <w:color w:val="auto"/>
                <w:szCs w:val="21"/>
                <w:highlight w:val="none"/>
              </w:rPr>
            </w:pPr>
            <w:r>
              <w:rPr>
                <w:rFonts w:eastAsia="仿宋_GB2312"/>
                <w:color w:val="auto"/>
                <w:szCs w:val="21"/>
                <w:highlight w:val="none"/>
              </w:rPr>
              <w:t>熟制动物性水产制品</w:t>
            </w:r>
          </w:p>
        </w:tc>
        <w:tc>
          <w:tcPr>
            <w:tcW w:w="670" w:type="pct"/>
            <w:noWrap w:val="0"/>
            <w:vAlign w:val="center"/>
          </w:tcPr>
          <w:p w14:paraId="78298A9C">
            <w:pPr>
              <w:spacing w:line="300" w:lineRule="exact"/>
              <w:jc w:val="center"/>
              <w:rPr>
                <w:rFonts w:eastAsia="仿宋_GB2312"/>
                <w:color w:val="auto"/>
                <w:szCs w:val="21"/>
                <w:highlight w:val="none"/>
              </w:rPr>
            </w:pPr>
            <w:r>
              <w:rPr>
                <w:rFonts w:eastAsia="仿宋_GB2312"/>
                <w:color w:val="auto"/>
                <w:szCs w:val="21"/>
                <w:highlight w:val="none"/>
              </w:rPr>
              <w:t>熟制动物性水产制品</w:t>
            </w:r>
          </w:p>
        </w:tc>
        <w:tc>
          <w:tcPr>
            <w:tcW w:w="284" w:type="pct"/>
            <w:noWrap w:val="0"/>
            <w:vAlign w:val="center"/>
          </w:tcPr>
          <w:p w14:paraId="1D738F20">
            <w:pPr>
              <w:spacing w:line="300" w:lineRule="exact"/>
              <w:jc w:val="center"/>
              <w:rPr>
                <w:rFonts w:eastAsia="仿宋_GB2312"/>
                <w:color w:val="auto"/>
                <w:szCs w:val="21"/>
                <w:highlight w:val="none"/>
              </w:rPr>
            </w:pPr>
            <w:r>
              <w:rPr>
                <w:rFonts w:eastAsia="仿宋_GB2312"/>
                <w:color w:val="auto"/>
                <w:szCs w:val="21"/>
                <w:highlight w:val="none"/>
              </w:rPr>
              <w:t>高</w:t>
            </w:r>
          </w:p>
        </w:tc>
        <w:tc>
          <w:tcPr>
            <w:tcW w:w="1553" w:type="pct"/>
            <w:noWrap w:val="0"/>
            <w:vAlign w:val="center"/>
          </w:tcPr>
          <w:p w14:paraId="480D7F9E">
            <w:pPr>
              <w:spacing w:line="300" w:lineRule="exact"/>
              <w:jc w:val="left"/>
              <w:rPr>
                <w:rFonts w:eastAsia="仿宋_GB2312"/>
                <w:color w:val="auto"/>
                <w:szCs w:val="21"/>
                <w:highlight w:val="none"/>
              </w:rPr>
            </w:pPr>
            <w:r>
              <w:rPr>
                <w:rFonts w:eastAsia="仿宋_GB2312"/>
                <w:color w:val="auto"/>
                <w:szCs w:val="21"/>
                <w:highlight w:val="none"/>
              </w:rPr>
              <w:t>铅 (以Pb计) 、镉(以Cd计)</w:t>
            </w:r>
            <w:r>
              <w:rPr>
                <w:rFonts w:eastAsia="仿宋_GB2312"/>
                <w:color w:val="auto"/>
                <w:szCs w:val="21"/>
                <w:highlight w:val="none"/>
                <w:vertAlign w:val="superscript"/>
              </w:rPr>
              <w:t xml:space="preserve"> </w:t>
            </w:r>
            <w:r>
              <w:rPr>
                <w:rFonts w:eastAsia="仿宋_GB2312"/>
                <w:color w:val="auto"/>
                <w:szCs w:val="21"/>
                <w:highlight w:val="none"/>
              </w:rPr>
              <w:t>、苯甲酸及其钠盐(以苯甲酸计)、山梨酸及其钾盐 (以山梨酸计)、甜蜜素(以环己基氨基磺酸计)、脱氢乙酸及其钠盐(以脱氢乙酸计)</w:t>
            </w:r>
          </w:p>
        </w:tc>
        <w:tc>
          <w:tcPr>
            <w:tcW w:w="1186" w:type="pct"/>
            <w:noWrap w:val="0"/>
            <w:vAlign w:val="center"/>
          </w:tcPr>
          <w:p w14:paraId="7D404ADA">
            <w:pPr>
              <w:spacing w:line="300" w:lineRule="exact"/>
              <w:jc w:val="left"/>
              <w:rPr>
                <w:rFonts w:eastAsia="仿宋_GB2312"/>
                <w:color w:val="auto"/>
                <w:szCs w:val="21"/>
                <w:highlight w:val="none"/>
              </w:rPr>
            </w:pPr>
          </w:p>
        </w:tc>
      </w:tr>
      <w:tr w14:paraId="3287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09A0067A">
            <w:pPr>
              <w:spacing w:line="300" w:lineRule="exact"/>
              <w:jc w:val="center"/>
              <w:rPr>
                <w:rFonts w:eastAsia="仿宋_GB2312"/>
                <w:color w:val="auto"/>
                <w:szCs w:val="21"/>
                <w:highlight w:val="none"/>
              </w:rPr>
            </w:pPr>
          </w:p>
        </w:tc>
        <w:tc>
          <w:tcPr>
            <w:tcW w:w="367" w:type="pct"/>
            <w:vMerge w:val="continue"/>
            <w:noWrap w:val="0"/>
            <w:vAlign w:val="center"/>
          </w:tcPr>
          <w:p w14:paraId="1C7163F8">
            <w:pPr>
              <w:spacing w:line="300" w:lineRule="exact"/>
              <w:jc w:val="center"/>
              <w:rPr>
                <w:rFonts w:eastAsia="仿宋_GB2312"/>
                <w:color w:val="auto"/>
                <w:szCs w:val="21"/>
                <w:highlight w:val="none"/>
              </w:rPr>
            </w:pPr>
          </w:p>
        </w:tc>
        <w:tc>
          <w:tcPr>
            <w:tcW w:w="368" w:type="pct"/>
            <w:vMerge w:val="continue"/>
            <w:noWrap w:val="0"/>
            <w:vAlign w:val="center"/>
          </w:tcPr>
          <w:p w14:paraId="47EDD49D">
            <w:pPr>
              <w:spacing w:line="300" w:lineRule="exact"/>
              <w:jc w:val="center"/>
              <w:rPr>
                <w:rFonts w:eastAsia="仿宋_GB2312"/>
                <w:color w:val="auto"/>
                <w:szCs w:val="21"/>
                <w:highlight w:val="none"/>
              </w:rPr>
            </w:pPr>
          </w:p>
        </w:tc>
        <w:tc>
          <w:tcPr>
            <w:tcW w:w="401" w:type="pct"/>
            <w:noWrap w:val="0"/>
            <w:vAlign w:val="center"/>
          </w:tcPr>
          <w:p w14:paraId="71F7FE09">
            <w:pPr>
              <w:spacing w:line="300" w:lineRule="exact"/>
              <w:jc w:val="center"/>
              <w:rPr>
                <w:rFonts w:eastAsia="仿宋_GB2312"/>
                <w:color w:val="auto"/>
                <w:szCs w:val="21"/>
                <w:highlight w:val="none"/>
              </w:rPr>
            </w:pPr>
            <w:r>
              <w:rPr>
                <w:rFonts w:eastAsia="仿宋_GB2312"/>
                <w:color w:val="auto"/>
                <w:szCs w:val="21"/>
                <w:highlight w:val="none"/>
              </w:rPr>
              <w:t>生食水产品</w:t>
            </w:r>
          </w:p>
        </w:tc>
        <w:tc>
          <w:tcPr>
            <w:tcW w:w="670" w:type="pct"/>
            <w:noWrap w:val="0"/>
            <w:vAlign w:val="center"/>
          </w:tcPr>
          <w:p w14:paraId="66CA22C3">
            <w:pPr>
              <w:spacing w:line="300" w:lineRule="exact"/>
              <w:jc w:val="center"/>
              <w:rPr>
                <w:rFonts w:eastAsia="仿宋_GB2312"/>
                <w:color w:val="auto"/>
                <w:szCs w:val="21"/>
                <w:highlight w:val="none"/>
              </w:rPr>
            </w:pPr>
            <w:r>
              <w:rPr>
                <w:rFonts w:eastAsia="仿宋_GB2312"/>
                <w:color w:val="auto"/>
                <w:szCs w:val="21"/>
                <w:highlight w:val="none"/>
              </w:rPr>
              <w:t>生食动物性水产品</w:t>
            </w:r>
          </w:p>
        </w:tc>
        <w:tc>
          <w:tcPr>
            <w:tcW w:w="284" w:type="pct"/>
            <w:noWrap w:val="0"/>
            <w:vAlign w:val="center"/>
          </w:tcPr>
          <w:p w14:paraId="406E7559">
            <w:pPr>
              <w:spacing w:line="300" w:lineRule="exact"/>
              <w:jc w:val="center"/>
              <w:rPr>
                <w:rFonts w:eastAsia="仿宋_GB2312"/>
                <w:color w:val="auto"/>
                <w:szCs w:val="21"/>
                <w:highlight w:val="none"/>
              </w:rPr>
            </w:pPr>
            <w:r>
              <w:rPr>
                <w:rFonts w:eastAsia="仿宋_GB2312"/>
                <w:color w:val="auto"/>
                <w:szCs w:val="21"/>
                <w:highlight w:val="none"/>
              </w:rPr>
              <w:t>高</w:t>
            </w:r>
          </w:p>
        </w:tc>
        <w:tc>
          <w:tcPr>
            <w:tcW w:w="1553" w:type="pct"/>
            <w:noWrap w:val="0"/>
            <w:vAlign w:val="center"/>
          </w:tcPr>
          <w:p w14:paraId="66FF6735">
            <w:pPr>
              <w:spacing w:line="300" w:lineRule="exact"/>
              <w:jc w:val="left"/>
              <w:rPr>
                <w:rFonts w:eastAsia="仿宋_GB2312"/>
                <w:color w:val="auto"/>
                <w:szCs w:val="21"/>
                <w:highlight w:val="none"/>
              </w:rPr>
            </w:pPr>
            <w:r>
              <w:rPr>
                <w:rFonts w:eastAsia="仿宋_GB2312"/>
                <w:color w:val="auto"/>
                <w:szCs w:val="21"/>
                <w:highlight w:val="none"/>
              </w:rPr>
              <w:t>挥发性盐基氮、苯甲酸及其钠盐(以苯甲酸计)、山梨酸及其钾盐 (以山梨酸计)、铝的残留量(以即食海蜇中Al计)、菌落总数、大肠菌群、沙门氏菌、副溶血性弧菌、单核细胞增生李斯特氏菌</w:t>
            </w:r>
          </w:p>
        </w:tc>
        <w:tc>
          <w:tcPr>
            <w:tcW w:w="1186" w:type="pct"/>
            <w:noWrap w:val="0"/>
            <w:vAlign w:val="center"/>
          </w:tcPr>
          <w:p w14:paraId="0568A58A">
            <w:pPr>
              <w:spacing w:line="300" w:lineRule="exact"/>
              <w:jc w:val="left"/>
              <w:rPr>
                <w:rFonts w:eastAsia="仿宋_GB2312"/>
                <w:color w:val="auto"/>
                <w:szCs w:val="21"/>
                <w:highlight w:val="none"/>
              </w:rPr>
            </w:pPr>
          </w:p>
        </w:tc>
      </w:tr>
      <w:tr w14:paraId="2BAB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5D0589EB">
            <w:pPr>
              <w:spacing w:line="300" w:lineRule="exact"/>
              <w:jc w:val="center"/>
              <w:rPr>
                <w:rFonts w:eastAsia="仿宋_GB2312"/>
                <w:color w:val="auto"/>
                <w:szCs w:val="21"/>
                <w:highlight w:val="none"/>
              </w:rPr>
            </w:pPr>
          </w:p>
        </w:tc>
        <w:tc>
          <w:tcPr>
            <w:tcW w:w="367" w:type="pct"/>
            <w:vMerge w:val="continue"/>
            <w:noWrap w:val="0"/>
            <w:vAlign w:val="center"/>
          </w:tcPr>
          <w:p w14:paraId="0D09D202">
            <w:pPr>
              <w:spacing w:line="300" w:lineRule="exact"/>
              <w:jc w:val="center"/>
              <w:rPr>
                <w:rFonts w:eastAsia="仿宋_GB2312"/>
                <w:color w:val="auto"/>
                <w:szCs w:val="21"/>
                <w:highlight w:val="none"/>
              </w:rPr>
            </w:pPr>
          </w:p>
        </w:tc>
        <w:tc>
          <w:tcPr>
            <w:tcW w:w="368" w:type="pct"/>
            <w:vMerge w:val="continue"/>
            <w:noWrap w:val="0"/>
            <w:vAlign w:val="center"/>
          </w:tcPr>
          <w:p w14:paraId="20B25EC5">
            <w:pPr>
              <w:spacing w:line="300" w:lineRule="exact"/>
              <w:jc w:val="center"/>
              <w:rPr>
                <w:rFonts w:eastAsia="仿宋_GB2312"/>
                <w:color w:val="auto"/>
                <w:szCs w:val="21"/>
                <w:highlight w:val="none"/>
              </w:rPr>
            </w:pPr>
          </w:p>
        </w:tc>
        <w:tc>
          <w:tcPr>
            <w:tcW w:w="401" w:type="pct"/>
            <w:noWrap w:val="0"/>
            <w:vAlign w:val="center"/>
          </w:tcPr>
          <w:p w14:paraId="6733A822">
            <w:pPr>
              <w:spacing w:line="300" w:lineRule="exact"/>
              <w:jc w:val="center"/>
              <w:rPr>
                <w:rFonts w:eastAsia="仿宋_GB2312"/>
                <w:color w:val="auto"/>
                <w:szCs w:val="21"/>
                <w:highlight w:val="none"/>
              </w:rPr>
            </w:pPr>
            <w:r>
              <w:rPr>
                <w:rFonts w:eastAsia="仿宋_GB2312"/>
                <w:color w:val="auto"/>
                <w:szCs w:val="21"/>
                <w:highlight w:val="none"/>
              </w:rPr>
              <w:t>其他水产制品</w:t>
            </w:r>
          </w:p>
        </w:tc>
        <w:tc>
          <w:tcPr>
            <w:tcW w:w="670" w:type="pct"/>
            <w:noWrap w:val="0"/>
            <w:vAlign w:val="center"/>
          </w:tcPr>
          <w:p w14:paraId="5F125186">
            <w:pPr>
              <w:spacing w:line="300" w:lineRule="exact"/>
              <w:jc w:val="center"/>
              <w:rPr>
                <w:rFonts w:eastAsia="仿宋_GB2312"/>
                <w:color w:val="auto"/>
                <w:szCs w:val="21"/>
                <w:highlight w:val="none"/>
              </w:rPr>
            </w:pPr>
            <w:r>
              <w:rPr>
                <w:rFonts w:eastAsia="仿宋_GB2312"/>
                <w:color w:val="auto"/>
                <w:szCs w:val="21"/>
                <w:highlight w:val="none"/>
              </w:rPr>
              <w:t>其他水产制品</w:t>
            </w:r>
          </w:p>
        </w:tc>
        <w:tc>
          <w:tcPr>
            <w:tcW w:w="284" w:type="pct"/>
            <w:noWrap w:val="0"/>
            <w:vAlign w:val="center"/>
          </w:tcPr>
          <w:p w14:paraId="5B748036">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89894D1">
            <w:pPr>
              <w:spacing w:line="300" w:lineRule="exact"/>
              <w:jc w:val="left"/>
              <w:rPr>
                <w:rFonts w:eastAsia="仿宋_GB2312"/>
                <w:color w:val="auto"/>
                <w:szCs w:val="21"/>
                <w:highlight w:val="none"/>
              </w:rPr>
            </w:pPr>
            <w:r>
              <w:rPr>
                <w:rFonts w:eastAsia="仿宋_GB2312"/>
                <w:color w:val="auto"/>
                <w:szCs w:val="21"/>
                <w:highlight w:val="none"/>
              </w:rPr>
              <w:t>铅 (以Pb计)、苯甲酸及其钠盐(以苯甲酸计)、山梨酸及其钾盐 (以山梨酸计)、糖精钠（以糖精计）、脱氢乙酸及其钠盐(以脱氢乙酸计)、甜蜜素(以环己基氨基磺酸计)、防腐剂混合使用时各自用量占其最大使用量的比例之和、菌落总数</w:t>
            </w:r>
          </w:p>
        </w:tc>
        <w:tc>
          <w:tcPr>
            <w:tcW w:w="1186" w:type="pct"/>
            <w:noWrap w:val="0"/>
            <w:vAlign w:val="center"/>
          </w:tcPr>
          <w:p w14:paraId="30DE2F26">
            <w:pPr>
              <w:spacing w:line="300" w:lineRule="exact"/>
              <w:jc w:val="left"/>
              <w:rPr>
                <w:rFonts w:eastAsia="仿宋_GB2312"/>
                <w:color w:val="auto"/>
                <w:szCs w:val="21"/>
                <w:highlight w:val="none"/>
              </w:rPr>
            </w:pPr>
            <w:bookmarkStart w:id="8" w:name="OLE_LINK1"/>
            <w:r>
              <w:rPr>
                <w:rFonts w:eastAsia="仿宋_GB2312"/>
                <w:color w:val="auto"/>
                <w:szCs w:val="21"/>
                <w:highlight w:val="none"/>
              </w:rPr>
              <w:t>合成着色剂（柠檬黄）</w:t>
            </w:r>
            <w:bookmarkEnd w:id="8"/>
          </w:p>
        </w:tc>
      </w:tr>
      <w:tr w14:paraId="7355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restart"/>
            <w:noWrap w:val="0"/>
            <w:vAlign w:val="center"/>
          </w:tcPr>
          <w:p w14:paraId="346E6861">
            <w:pPr>
              <w:spacing w:line="300" w:lineRule="exact"/>
              <w:jc w:val="center"/>
              <w:rPr>
                <w:rFonts w:eastAsia="仿宋_GB2312"/>
                <w:color w:val="auto"/>
                <w:szCs w:val="21"/>
                <w:highlight w:val="none"/>
              </w:rPr>
            </w:pPr>
            <w:r>
              <w:rPr>
                <w:rFonts w:eastAsia="仿宋_GB2312"/>
                <w:color w:val="auto"/>
                <w:szCs w:val="21"/>
                <w:highlight w:val="none"/>
              </w:rPr>
              <w:t>23</w:t>
            </w:r>
          </w:p>
        </w:tc>
        <w:tc>
          <w:tcPr>
            <w:tcW w:w="367" w:type="pct"/>
            <w:vMerge w:val="restart"/>
            <w:noWrap w:val="0"/>
            <w:vAlign w:val="center"/>
          </w:tcPr>
          <w:p w14:paraId="2CE5649D">
            <w:pPr>
              <w:spacing w:line="300" w:lineRule="exact"/>
              <w:jc w:val="center"/>
              <w:rPr>
                <w:rFonts w:eastAsia="仿宋_GB2312"/>
                <w:color w:val="auto"/>
                <w:szCs w:val="21"/>
                <w:highlight w:val="none"/>
              </w:rPr>
            </w:pPr>
            <w:r>
              <w:rPr>
                <w:rFonts w:eastAsia="仿宋_GB2312"/>
                <w:color w:val="auto"/>
                <w:szCs w:val="21"/>
                <w:highlight w:val="none"/>
              </w:rPr>
              <w:t>淀粉及淀粉制品</w:t>
            </w:r>
          </w:p>
        </w:tc>
        <w:tc>
          <w:tcPr>
            <w:tcW w:w="368" w:type="pct"/>
            <w:vMerge w:val="restart"/>
            <w:noWrap w:val="0"/>
            <w:vAlign w:val="center"/>
          </w:tcPr>
          <w:p w14:paraId="1C6BEF41">
            <w:pPr>
              <w:spacing w:line="300" w:lineRule="exact"/>
              <w:jc w:val="center"/>
              <w:rPr>
                <w:rFonts w:eastAsia="仿宋_GB2312"/>
                <w:color w:val="auto"/>
                <w:szCs w:val="21"/>
                <w:highlight w:val="none"/>
              </w:rPr>
            </w:pPr>
            <w:r>
              <w:rPr>
                <w:rFonts w:eastAsia="仿宋_GB2312"/>
                <w:color w:val="auto"/>
                <w:szCs w:val="21"/>
                <w:highlight w:val="none"/>
              </w:rPr>
              <w:t>淀粉及淀粉制品</w:t>
            </w:r>
          </w:p>
        </w:tc>
        <w:tc>
          <w:tcPr>
            <w:tcW w:w="401" w:type="pct"/>
            <w:noWrap w:val="0"/>
            <w:vAlign w:val="center"/>
          </w:tcPr>
          <w:p w14:paraId="7A8CE280">
            <w:pPr>
              <w:spacing w:line="300" w:lineRule="exact"/>
              <w:jc w:val="center"/>
              <w:rPr>
                <w:rFonts w:eastAsia="仿宋_GB2312"/>
                <w:color w:val="auto"/>
                <w:szCs w:val="21"/>
                <w:highlight w:val="none"/>
              </w:rPr>
            </w:pPr>
            <w:r>
              <w:rPr>
                <w:rFonts w:eastAsia="仿宋_GB2312"/>
                <w:color w:val="auto"/>
                <w:szCs w:val="21"/>
                <w:highlight w:val="none"/>
              </w:rPr>
              <w:t>淀粉</w:t>
            </w:r>
          </w:p>
        </w:tc>
        <w:tc>
          <w:tcPr>
            <w:tcW w:w="670" w:type="pct"/>
            <w:noWrap w:val="0"/>
            <w:vAlign w:val="center"/>
          </w:tcPr>
          <w:p w14:paraId="2EA95ABA">
            <w:pPr>
              <w:spacing w:line="300" w:lineRule="exact"/>
              <w:jc w:val="center"/>
              <w:rPr>
                <w:rFonts w:eastAsia="仿宋_GB2312"/>
                <w:color w:val="auto"/>
                <w:szCs w:val="21"/>
                <w:highlight w:val="none"/>
              </w:rPr>
            </w:pPr>
            <w:r>
              <w:rPr>
                <w:rFonts w:eastAsia="仿宋_GB2312"/>
                <w:color w:val="auto"/>
                <w:szCs w:val="21"/>
                <w:highlight w:val="none"/>
              </w:rPr>
              <w:t>淀粉</w:t>
            </w:r>
          </w:p>
        </w:tc>
        <w:tc>
          <w:tcPr>
            <w:tcW w:w="284" w:type="pct"/>
            <w:noWrap w:val="0"/>
            <w:vAlign w:val="center"/>
          </w:tcPr>
          <w:p w14:paraId="18B5C9A7">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F5A201F">
            <w:pPr>
              <w:spacing w:line="300" w:lineRule="exact"/>
              <w:jc w:val="left"/>
              <w:rPr>
                <w:rFonts w:eastAsia="仿宋_GB2312"/>
                <w:color w:val="auto"/>
                <w:szCs w:val="21"/>
                <w:highlight w:val="none"/>
              </w:rPr>
            </w:pPr>
            <w:r>
              <w:rPr>
                <w:rFonts w:eastAsia="仿宋_GB2312"/>
                <w:color w:val="auto"/>
                <w:szCs w:val="21"/>
                <w:highlight w:val="none"/>
              </w:rPr>
              <w:t>铅（以 Pb 计）、霉菌和酵母、二氧化硫残留量、脱氢乙酸及其钠盐 (以脱氢乙酸计)、葛根素、氢氰酸、水分</w:t>
            </w:r>
          </w:p>
        </w:tc>
        <w:tc>
          <w:tcPr>
            <w:tcW w:w="1186" w:type="pct"/>
            <w:noWrap w:val="0"/>
            <w:vAlign w:val="center"/>
          </w:tcPr>
          <w:p w14:paraId="68B436C6">
            <w:pPr>
              <w:spacing w:line="300" w:lineRule="exact"/>
              <w:jc w:val="left"/>
              <w:rPr>
                <w:rFonts w:eastAsia="仿宋_GB2312"/>
                <w:color w:val="auto"/>
                <w:szCs w:val="21"/>
                <w:highlight w:val="none"/>
              </w:rPr>
            </w:pPr>
          </w:p>
        </w:tc>
      </w:tr>
      <w:tr w14:paraId="5C99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00940AD5">
            <w:pPr>
              <w:spacing w:line="300" w:lineRule="exact"/>
              <w:jc w:val="center"/>
              <w:rPr>
                <w:rFonts w:eastAsia="仿宋_GB2312"/>
                <w:color w:val="auto"/>
                <w:szCs w:val="21"/>
                <w:highlight w:val="none"/>
              </w:rPr>
            </w:pPr>
          </w:p>
        </w:tc>
        <w:tc>
          <w:tcPr>
            <w:tcW w:w="367" w:type="pct"/>
            <w:vMerge w:val="continue"/>
            <w:noWrap w:val="0"/>
            <w:vAlign w:val="center"/>
          </w:tcPr>
          <w:p w14:paraId="7AB46C61">
            <w:pPr>
              <w:spacing w:line="300" w:lineRule="exact"/>
              <w:jc w:val="center"/>
              <w:rPr>
                <w:rFonts w:eastAsia="仿宋_GB2312"/>
                <w:color w:val="auto"/>
                <w:szCs w:val="21"/>
                <w:highlight w:val="none"/>
              </w:rPr>
            </w:pPr>
          </w:p>
        </w:tc>
        <w:tc>
          <w:tcPr>
            <w:tcW w:w="368" w:type="pct"/>
            <w:vMerge w:val="continue"/>
            <w:noWrap w:val="0"/>
            <w:vAlign w:val="center"/>
          </w:tcPr>
          <w:p w14:paraId="492262AC">
            <w:pPr>
              <w:spacing w:line="300" w:lineRule="exact"/>
              <w:jc w:val="center"/>
              <w:rPr>
                <w:rFonts w:eastAsia="仿宋_GB2312"/>
                <w:color w:val="auto"/>
                <w:szCs w:val="21"/>
                <w:highlight w:val="none"/>
              </w:rPr>
            </w:pPr>
          </w:p>
        </w:tc>
        <w:tc>
          <w:tcPr>
            <w:tcW w:w="401" w:type="pct"/>
            <w:vMerge w:val="restart"/>
            <w:noWrap w:val="0"/>
            <w:vAlign w:val="center"/>
          </w:tcPr>
          <w:p w14:paraId="3298C9B7">
            <w:pPr>
              <w:spacing w:line="300" w:lineRule="exact"/>
              <w:jc w:val="center"/>
              <w:rPr>
                <w:rFonts w:eastAsia="仿宋_GB2312"/>
                <w:color w:val="auto"/>
                <w:szCs w:val="21"/>
                <w:highlight w:val="none"/>
              </w:rPr>
            </w:pPr>
            <w:r>
              <w:rPr>
                <w:rFonts w:eastAsia="仿宋_GB2312"/>
                <w:color w:val="auto"/>
                <w:szCs w:val="21"/>
                <w:highlight w:val="none"/>
              </w:rPr>
              <w:t>淀粉制品</w:t>
            </w:r>
          </w:p>
        </w:tc>
        <w:tc>
          <w:tcPr>
            <w:tcW w:w="670" w:type="pct"/>
            <w:noWrap w:val="0"/>
            <w:vAlign w:val="center"/>
          </w:tcPr>
          <w:p w14:paraId="75506DFC">
            <w:pPr>
              <w:spacing w:line="300" w:lineRule="exact"/>
              <w:jc w:val="center"/>
              <w:rPr>
                <w:rFonts w:eastAsia="仿宋_GB2312"/>
                <w:color w:val="auto"/>
                <w:szCs w:val="21"/>
                <w:highlight w:val="none"/>
              </w:rPr>
            </w:pPr>
            <w:r>
              <w:rPr>
                <w:rFonts w:eastAsia="仿宋_GB2312"/>
                <w:color w:val="auto"/>
                <w:szCs w:val="21"/>
                <w:highlight w:val="none"/>
              </w:rPr>
              <w:t>粉丝粉条</w:t>
            </w:r>
          </w:p>
        </w:tc>
        <w:tc>
          <w:tcPr>
            <w:tcW w:w="284" w:type="pct"/>
            <w:noWrap w:val="0"/>
            <w:vAlign w:val="center"/>
          </w:tcPr>
          <w:p w14:paraId="79B57FC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30E8FFBF">
            <w:pPr>
              <w:spacing w:line="300" w:lineRule="exact"/>
              <w:jc w:val="left"/>
              <w:rPr>
                <w:rFonts w:eastAsia="仿宋_GB2312"/>
                <w:color w:val="auto"/>
                <w:szCs w:val="21"/>
                <w:highlight w:val="none"/>
              </w:rPr>
            </w:pPr>
            <w:r>
              <w:rPr>
                <w:rFonts w:eastAsia="仿宋_GB2312"/>
                <w:color w:val="auto"/>
                <w:szCs w:val="21"/>
                <w:highlight w:val="none"/>
              </w:rPr>
              <w:t>苯甲酸及其钠盐(以苯甲酸计)、山梨酸及其钾盐(以山梨酸计)、脱氢乙酸及其钠盐(以脱氢乙酸计)、铝的残留量(干样品,以Al 计)、二氧化硫残留量、合成着色剂(柠檬黄、新红、苋菜红、靛蓝、胭脂红、日落黄、诱惑红、亮蓝、酸性红、喹啉黄、赤藓红)</w:t>
            </w:r>
          </w:p>
        </w:tc>
        <w:tc>
          <w:tcPr>
            <w:tcW w:w="1186" w:type="pct"/>
            <w:noWrap w:val="0"/>
            <w:vAlign w:val="center"/>
          </w:tcPr>
          <w:p w14:paraId="204FB474">
            <w:pPr>
              <w:spacing w:line="300" w:lineRule="exact"/>
              <w:jc w:val="left"/>
              <w:rPr>
                <w:rFonts w:eastAsia="仿宋_GB2312"/>
                <w:color w:val="auto"/>
                <w:szCs w:val="21"/>
                <w:highlight w:val="none"/>
              </w:rPr>
            </w:pPr>
            <w:r>
              <w:rPr>
                <w:rFonts w:eastAsia="仿宋_GB2312"/>
                <w:color w:val="auto"/>
                <w:szCs w:val="21"/>
                <w:highlight w:val="none"/>
              </w:rPr>
              <w:t>铅（以Pb计）</w:t>
            </w:r>
          </w:p>
        </w:tc>
      </w:tr>
      <w:tr w14:paraId="5D32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2161675C">
            <w:pPr>
              <w:spacing w:line="300" w:lineRule="exact"/>
              <w:jc w:val="center"/>
              <w:rPr>
                <w:rFonts w:eastAsia="仿宋_GB2312"/>
                <w:color w:val="auto"/>
                <w:szCs w:val="21"/>
                <w:highlight w:val="none"/>
              </w:rPr>
            </w:pPr>
          </w:p>
        </w:tc>
        <w:tc>
          <w:tcPr>
            <w:tcW w:w="367" w:type="pct"/>
            <w:vMerge w:val="continue"/>
            <w:noWrap w:val="0"/>
            <w:vAlign w:val="center"/>
          </w:tcPr>
          <w:p w14:paraId="3C333940">
            <w:pPr>
              <w:spacing w:line="300" w:lineRule="exact"/>
              <w:jc w:val="center"/>
              <w:rPr>
                <w:rFonts w:eastAsia="仿宋_GB2312"/>
                <w:color w:val="auto"/>
                <w:szCs w:val="21"/>
                <w:highlight w:val="none"/>
              </w:rPr>
            </w:pPr>
          </w:p>
        </w:tc>
        <w:tc>
          <w:tcPr>
            <w:tcW w:w="368" w:type="pct"/>
            <w:vMerge w:val="continue"/>
            <w:noWrap w:val="0"/>
            <w:vAlign w:val="center"/>
          </w:tcPr>
          <w:p w14:paraId="1DA05689">
            <w:pPr>
              <w:spacing w:line="300" w:lineRule="exact"/>
              <w:jc w:val="center"/>
              <w:rPr>
                <w:rFonts w:eastAsia="仿宋_GB2312"/>
                <w:color w:val="auto"/>
                <w:szCs w:val="21"/>
                <w:highlight w:val="none"/>
              </w:rPr>
            </w:pPr>
          </w:p>
        </w:tc>
        <w:tc>
          <w:tcPr>
            <w:tcW w:w="401" w:type="pct"/>
            <w:vMerge w:val="continue"/>
            <w:noWrap w:val="0"/>
            <w:vAlign w:val="center"/>
          </w:tcPr>
          <w:p w14:paraId="4C69B4B4">
            <w:pPr>
              <w:spacing w:line="300" w:lineRule="exact"/>
              <w:jc w:val="center"/>
              <w:rPr>
                <w:rFonts w:eastAsia="仿宋_GB2312"/>
                <w:color w:val="auto"/>
                <w:szCs w:val="21"/>
                <w:highlight w:val="none"/>
              </w:rPr>
            </w:pPr>
          </w:p>
        </w:tc>
        <w:tc>
          <w:tcPr>
            <w:tcW w:w="670" w:type="pct"/>
            <w:noWrap w:val="0"/>
            <w:vAlign w:val="center"/>
          </w:tcPr>
          <w:p w14:paraId="2443355C">
            <w:pPr>
              <w:spacing w:line="300" w:lineRule="exact"/>
              <w:jc w:val="center"/>
              <w:rPr>
                <w:rFonts w:eastAsia="仿宋_GB2312"/>
                <w:color w:val="auto"/>
                <w:szCs w:val="21"/>
                <w:highlight w:val="none"/>
              </w:rPr>
            </w:pPr>
            <w:r>
              <w:rPr>
                <w:rFonts w:eastAsia="仿宋_GB2312"/>
                <w:color w:val="auto"/>
                <w:szCs w:val="21"/>
                <w:highlight w:val="none"/>
              </w:rPr>
              <w:t>其他淀粉制品</w:t>
            </w:r>
          </w:p>
        </w:tc>
        <w:tc>
          <w:tcPr>
            <w:tcW w:w="284" w:type="pct"/>
            <w:noWrap w:val="0"/>
            <w:vAlign w:val="center"/>
          </w:tcPr>
          <w:p w14:paraId="6C7CA81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02166ADF">
            <w:pPr>
              <w:pStyle w:val="180"/>
              <w:widowControl/>
              <w:spacing w:line="300" w:lineRule="exact"/>
              <w:jc w:val="left"/>
              <w:rPr>
                <w:rFonts w:eastAsia="仿宋_GB2312"/>
                <w:color w:val="auto"/>
                <w:sz w:val="21"/>
                <w:szCs w:val="21"/>
                <w:highlight w:val="none"/>
                <w:lang w:val="en-US" w:eastAsia="zh-CN"/>
              </w:rPr>
            </w:pPr>
            <w:r>
              <w:rPr>
                <w:rFonts w:eastAsia="仿宋_GB2312"/>
                <w:color w:val="auto"/>
                <w:sz w:val="21"/>
                <w:szCs w:val="21"/>
                <w:highlight w:val="none"/>
                <w:lang w:val="en-US" w:eastAsia="zh-CN"/>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1186" w:type="pct"/>
            <w:noWrap w:val="0"/>
            <w:vAlign w:val="center"/>
          </w:tcPr>
          <w:p w14:paraId="4761B338">
            <w:pPr>
              <w:spacing w:line="300" w:lineRule="exact"/>
              <w:jc w:val="left"/>
              <w:rPr>
                <w:rFonts w:eastAsia="仿宋_GB2312"/>
                <w:color w:val="auto"/>
                <w:szCs w:val="21"/>
                <w:highlight w:val="none"/>
              </w:rPr>
            </w:pPr>
          </w:p>
        </w:tc>
      </w:tr>
      <w:tr w14:paraId="6B25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6" w:type="pct"/>
            <w:vMerge w:val="continue"/>
            <w:noWrap w:val="0"/>
            <w:vAlign w:val="center"/>
          </w:tcPr>
          <w:p w14:paraId="4D09151D">
            <w:pPr>
              <w:spacing w:line="300" w:lineRule="exact"/>
              <w:jc w:val="center"/>
              <w:rPr>
                <w:rFonts w:eastAsia="仿宋_GB2312"/>
                <w:color w:val="auto"/>
                <w:szCs w:val="21"/>
                <w:highlight w:val="none"/>
              </w:rPr>
            </w:pPr>
          </w:p>
        </w:tc>
        <w:tc>
          <w:tcPr>
            <w:tcW w:w="367" w:type="pct"/>
            <w:vMerge w:val="continue"/>
            <w:noWrap w:val="0"/>
            <w:vAlign w:val="center"/>
          </w:tcPr>
          <w:p w14:paraId="73A43A75">
            <w:pPr>
              <w:spacing w:line="300" w:lineRule="exact"/>
              <w:jc w:val="center"/>
              <w:rPr>
                <w:rFonts w:eastAsia="仿宋_GB2312"/>
                <w:color w:val="auto"/>
                <w:szCs w:val="21"/>
                <w:highlight w:val="none"/>
              </w:rPr>
            </w:pPr>
          </w:p>
        </w:tc>
        <w:tc>
          <w:tcPr>
            <w:tcW w:w="368" w:type="pct"/>
            <w:vMerge w:val="continue"/>
            <w:noWrap w:val="0"/>
            <w:vAlign w:val="center"/>
          </w:tcPr>
          <w:p w14:paraId="13DD5453">
            <w:pPr>
              <w:spacing w:line="300" w:lineRule="exact"/>
              <w:jc w:val="center"/>
              <w:rPr>
                <w:rFonts w:eastAsia="仿宋_GB2312"/>
                <w:color w:val="auto"/>
                <w:szCs w:val="21"/>
                <w:highlight w:val="none"/>
              </w:rPr>
            </w:pPr>
          </w:p>
        </w:tc>
        <w:tc>
          <w:tcPr>
            <w:tcW w:w="401" w:type="pct"/>
            <w:noWrap w:val="0"/>
            <w:vAlign w:val="center"/>
          </w:tcPr>
          <w:p w14:paraId="6A56FBC4">
            <w:pPr>
              <w:spacing w:line="300" w:lineRule="exact"/>
              <w:jc w:val="center"/>
              <w:rPr>
                <w:rFonts w:eastAsia="仿宋_GB2312"/>
                <w:color w:val="auto"/>
                <w:szCs w:val="21"/>
                <w:highlight w:val="none"/>
              </w:rPr>
            </w:pPr>
            <w:r>
              <w:rPr>
                <w:rFonts w:eastAsia="仿宋_GB2312"/>
                <w:color w:val="auto"/>
                <w:szCs w:val="21"/>
                <w:highlight w:val="none"/>
              </w:rPr>
              <w:t>淀粉糖</w:t>
            </w:r>
          </w:p>
        </w:tc>
        <w:tc>
          <w:tcPr>
            <w:tcW w:w="670" w:type="pct"/>
            <w:noWrap w:val="0"/>
            <w:vAlign w:val="center"/>
          </w:tcPr>
          <w:p w14:paraId="00CF7A01">
            <w:pPr>
              <w:spacing w:line="300" w:lineRule="exact"/>
              <w:jc w:val="center"/>
              <w:rPr>
                <w:rFonts w:eastAsia="仿宋_GB2312"/>
                <w:color w:val="auto"/>
                <w:szCs w:val="21"/>
                <w:highlight w:val="none"/>
              </w:rPr>
            </w:pPr>
            <w:r>
              <w:rPr>
                <w:rFonts w:eastAsia="仿宋_GB2312"/>
                <w:color w:val="auto"/>
                <w:szCs w:val="21"/>
                <w:highlight w:val="none"/>
              </w:rPr>
              <w:t>淀粉糖</w:t>
            </w:r>
          </w:p>
        </w:tc>
        <w:tc>
          <w:tcPr>
            <w:tcW w:w="284" w:type="pct"/>
            <w:noWrap w:val="0"/>
            <w:vAlign w:val="center"/>
          </w:tcPr>
          <w:p w14:paraId="240F4A8C">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757D3425">
            <w:pPr>
              <w:spacing w:line="300" w:lineRule="exact"/>
              <w:jc w:val="left"/>
              <w:rPr>
                <w:rFonts w:eastAsia="仿宋_GB2312"/>
                <w:color w:val="auto"/>
                <w:szCs w:val="21"/>
                <w:highlight w:val="none"/>
              </w:rPr>
            </w:pPr>
            <w:r>
              <w:rPr>
                <w:rFonts w:eastAsia="仿宋_GB2312"/>
                <w:color w:val="auto"/>
                <w:szCs w:val="21"/>
                <w:highlight w:val="none"/>
              </w:rPr>
              <w:t>葡萄糖含量 (以干基计,质量分数)、IMO含量(占干物质,质量分数)、IG</w:t>
            </w:r>
            <w:r>
              <w:rPr>
                <w:rFonts w:eastAsia="仿宋_GB2312"/>
                <w:color w:val="auto"/>
                <w:szCs w:val="21"/>
                <w:highlight w:val="none"/>
                <w:vertAlign w:val="subscript"/>
              </w:rPr>
              <w:t>2</w:t>
            </w:r>
            <w:r>
              <w:rPr>
                <w:rFonts w:eastAsia="仿宋_GB2312"/>
                <w:color w:val="auto"/>
                <w:szCs w:val="21"/>
                <w:highlight w:val="none"/>
              </w:rPr>
              <w:t>+P+IG</w:t>
            </w:r>
            <w:r>
              <w:rPr>
                <w:rFonts w:eastAsia="仿宋_GB2312"/>
                <w:color w:val="auto"/>
                <w:szCs w:val="21"/>
                <w:highlight w:val="none"/>
                <w:vertAlign w:val="subscript"/>
              </w:rPr>
              <w:t>3</w:t>
            </w:r>
            <w:r>
              <w:rPr>
                <w:rFonts w:eastAsia="仿宋_GB2312"/>
                <w:color w:val="auto"/>
                <w:szCs w:val="21"/>
                <w:highlight w:val="none"/>
              </w:rPr>
              <w:t>含量(占干物质,质量分数)、果糖(占干基比)、果糖+葡萄糖 (占干基比)、5-羟甲基糠醛 (以吸光度计)、果糖+葡萄糖含量(以干物质计)、果糖含量(以干物质计)、麦芽糖含量(以干物质计,质量分数)、干物质（固形物）、硫酸灰分</w:t>
            </w:r>
          </w:p>
        </w:tc>
        <w:tc>
          <w:tcPr>
            <w:tcW w:w="1186" w:type="pct"/>
            <w:noWrap w:val="0"/>
            <w:vAlign w:val="center"/>
          </w:tcPr>
          <w:p w14:paraId="77075E81">
            <w:pPr>
              <w:spacing w:line="300" w:lineRule="exact"/>
              <w:jc w:val="left"/>
              <w:rPr>
                <w:rFonts w:eastAsia="仿宋_GB2312"/>
                <w:color w:val="auto"/>
                <w:szCs w:val="21"/>
                <w:highlight w:val="none"/>
              </w:rPr>
            </w:pPr>
            <w:r>
              <w:rPr>
                <w:rFonts w:eastAsia="仿宋_GB2312"/>
                <w:color w:val="auto"/>
                <w:szCs w:val="21"/>
                <w:highlight w:val="none"/>
              </w:rPr>
              <w:t>铅（以Pb计）、总砷（以As计）</w:t>
            </w:r>
          </w:p>
        </w:tc>
      </w:tr>
      <w:tr w14:paraId="30E8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restart"/>
            <w:noWrap w:val="0"/>
            <w:vAlign w:val="center"/>
          </w:tcPr>
          <w:p w14:paraId="4B76F53E">
            <w:pPr>
              <w:spacing w:line="300" w:lineRule="exact"/>
              <w:jc w:val="center"/>
              <w:rPr>
                <w:rFonts w:eastAsia="仿宋_GB2312"/>
                <w:color w:val="auto"/>
                <w:szCs w:val="21"/>
                <w:highlight w:val="none"/>
              </w:rPr>
            </w:pPr>
            <w:r>
              <w:rPr>
                <w:rFonts w:eastAsia="仿宋_GB2312"/>
                <w:color w:val="auto"/>
                <w:szCs w:val="21"/>
                <w:highlight w:val="none"/>
              </w:rPr>
              <w:t>24</w:t>
            </w:r>
          </w:p>
        </w:tc>
        <w:tc>
          <w:tcPr>
            <w:tcW w:w="367" w:type="pct"/>
            <w:vMerge w:val="restart"/>
            <w:noWrap w:val="0"/>
            <w:vAlign w:val="center"/>
          </w:tcPr>
          <w:p w14:paraId="568600BE">
            <w:pPr>
              <w:spacing w:line="300" w:lineRule="exact"/>
              <w:jc w:val="center"/>
              <w:rPr>
                <w:rFonts w:eastAsia="仿宋_GB2312"/>
                <w:color w:val="auto"/>
                <w:szCs w:val="21"/>
                <w:highlight w:val="none"/>
              </w:rPr>
            </w:pPr>
            <w:r>
              <w:rPr>
                <w:rFonts w:eastAsia="仿宋_GB2312"/>
                <w:color w:val="auto"/>
                <w:szCs w:val="21"/>
                <w:highlight w:val="none"/>
              </w:rPr>
              <w:t>糕点</w:t>
            </w:r>
          </w:p>
        </w:tc>
        <w:tc>
          <w:tcPr>
            <w:tcW w:w="368" w:type="pct"/>
            <w:vMerge w:val="restart"/>
            <w:noWrap w:val="0"/>
            <w:vAlign w:val="center"/>
          </w:tcPr>
          <w:p w14:paraId="4EA1FF20">
            <w:pPr>
              <w:spacing w:line="300" w:lineRule="exact"/>
              <w:jc w:val="center"/>
              <w:rPr>
                <w:rFonts w:eastAsia="仿宋_GB2312"/>
                <w:color w:val="auto"/>
                <w:szCs w:val="21"/>
                <w:highlight w:val="none"/>
              </w:rPr>
            </w:pPr>
            <w:r>
              <w:rPr>
                <w:rFonts w:eastAsia="仿宋_GB2312"/>
                <w:color w:val="auto"/>
                <w:szCs w:val="21"/>
                <w:highlight w:val="none"/>
              </w:rPr>
              <w:t>糕点</w:t>
            </w:r>
          </w:p>
        </w:tc>
        <w:tc>
          <w:tcPr>
            <w:tcW w:w="401" w:type="pct"/>
            <w:noWrap w:val="0"/>
            <w:vAlign w:val="center"/>
          </w:tcPr>
          <w:p w14:paraId="07332DD9">
            <w:pPr>
              <w:spacing w:line="300" w:lineRule="exact"/>
              <w:jc w:val="center"/>
              <w:rPr>
                <w:rFonts w:eastAsia="仿宋_GB2312"/>
                <w:color w:val="auto"/>
                <w:szCs w:val="21"/>
                <w:highlight w:val="none"/>
              </w:rPr>
            </w:pPr>
            <w:r>
              <w:rPr>
                <w:rFonts w:eastAsia="仿宋_GB2312"/>
                <w:color w:val="auto"/>
                <w:szCs w:val="21"/>
                <w:highlight w:val="none"/>
              </w:rPr>
              <w:t>面包</w:t>
            </w:r>
          </w:p>
        </w:tc>
        <w:tc>
          <w:tcPr>
            <w:tcW w:w="670" w:type="pct"/>
            <w:noWrap w:val="0"/>
            <w:vAlign w:val="center"/>
          </w:tcPr>
          <w:p w14:paraId="590A722C">
            <w:pPr>
              <w:spacing w:line="300" w:lineRule="exact"/>
              <w:jc w:val="center"/>
              <w:rPr>
                <w:rFonts w:eastAsia="仿宋_GB2312"/>
                <w:color w:val="auto"/>
                <w:szCs w:val="21"/>
                <w:highlight w:val="none"/>
              </w:rPr>
            </w:pPr>
            <w:r>
              <w:rPr>
                <w:rFonts w:eastAsia="仿宋_GB2312"/>
                <w:color w:val="auto"/>
                <w:szCs w:val="21"/>
                <w:highlight w:val="none"/>
              </w:rPr>
              <w:t>面包</w:t>
            </w:r>
          </w:p>
        </w:tc>
        <w:tc>
          <w:tcPr>
            <w:tcW w:w="284" w:type="pct"/>
            <w:noWrap w:val="0"/>
            <w:vAlign w:val="center"/>
          </w:tcPr>
          <w:p w14:paraId="1323299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3978A314">
            <w:pPr>
              <w:spacing w:line="300" w:lineRule="exact"/>
              <w:jc w:val="left"/>
              <w:rPr>
                <w:rFonts w:eastAsia="仿宋_GB2312"/>
                <w:color w:val="auto"/>
                <w:szCs w:val="21"/>
                <w:highlight w:val="none"/>
              </w:rPr>
            </w:pPr>
            <w:r>
              <w:rPr>
                <w:rFonts w:eastAsia="仿宋_GB2312"/>
                <w:color w:val="auto"/>
                <w:szCs w:val="21"/>
                <w:highlight w:val="none"/>
              </w:rPr>
              <w:t>酸价(以脂肪计)(KOH) 、过氧化值(以脂肪计)、富马酸二甲酯、脱氢乙酸及其钠盐(以脱氢乙酸计)、合成着色剂(柠檬黄、日落黄、胭脂红、苋菜红、亮蓝、诱惑红、酸性红)、菌落总数、霉菌、大肠菌群、金黄色葡萄球菌、沙门氏菌</w:t>
            </w:r>
          </w:p>
        </w:tc>
        <w:tc>
          <w:tcPr>
            <w:tcW w:w="1186" w:type="pct"/>
            <w:noWrap w:val="0"/>
            <w:vAlign w:val="center"/>
          </w:tcPr>
          <w:p w14:paraId="793EE8C2">
            <w:pPr>
              <w:spacing w:line="300" w:lineRule="exact"/>
              <w:jc w:val="left"/>
              <w:rPr>
                <w:rFonts w:eastAsia="仿宋_GB2312"/>
                <w:color w:val="auto"/>
                <w:szCs w:val="21"/>
                <w:highlight w:val="none"/>
              </w:rPr>
            </w:pPr>
            <w:r>
              <w:rPr>
                <w:rFonts w:eastAsia="仿宋_GB2312"/>
                <w:color w:val="auto"/>
                <w:szCs w:val="21"/>
                <w:highlight w:val="none"/>
              </w:rPr>
              <w:t>苯甲酸及其钠盐（以苯甲酸计）、山梨酸及其钾盐（以山梨酸计）、糖精钠（以糖精计）</w:t>
            </w:r>
          </w:p>
        </w:tc>
      </w:tr>
      <w:tr w14:paraId="2A2C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F55F91C">
            <w:pPr>
              <w:spacing w:line="300" w:lineRule="exact"/>
              <w:jc w:val="center"/>
              <w:rPr>
                <w:rFonts w:eastAsia="仿宋_GB2312"/>
                <w:color w:val="auto"/>
                <w:szCs w:val="21"/>
                <w:highlight w:val="none"/>
              </w:rPr>
            </w:pPr>
          </w:p>
        </w:tc>
        <w:tc>
          <w:tcPr>
            <w:tcW w:w="367" w:type="pct"/>
            <w:vMerge w:val="continue"/>
            <w:noWrap w:val="0"/>
            <w:vAlign w:val="center"/>
          </w:tcPr>
          <w:p w14:paraId="07311B5D">
            <w:pPr>
              <w:spacing w:line="300" w:lineRule="exact"/>
              <w:jc w:val="center"/>
              <w:rPr>
                <w:rFonts w:eastAsia="仿宋_GB2312"/>
                <w:color w:val="auto"/>
                <w:szCs w:val="21"/>
                <w:highlight w:val="none"/>
              </w:rPr>
            </w:pPr>
          </w:p>
        </w:tc>
        <w:tc>
          <w:tcPr>
            <w:tcW w:w="368" w:type="pct"/>
            <w:vMerge w:val="continue"/>
            <w:noWrap w:val="0"/>
            <w:vAlign w:val="center"/>
          </w:tcPr>
          <w:p w14:paraId="58215A91">
            <w:pPr>
              <w:spacing w:line="300" w:lineRule="exact"/>
              <w:jc w:val="center"/>
              <w:rPr>
                <w:rFonts w:eastAsia="仿宋_GB2312"/>
                <w:color w:val="auto"/>
                <w:szCs w:val="21"/>
                <w:highlight w:val="none"/>
              </w:rPr>
            </w:pPr>
          </w:p>
        </w:tc>
        <w:tc>
          <w:tcPr>
            <w:tcW w:w="401" w:type="pct"/>
            <w:noWrap w:val="0"/>
            <w:vAlign w:val="center"/>
          </w:tcPr>
          <w:p w14:paraId="53AA1F8D">
            <w:pPr>
              <w:spacing w:line="300" w:lineRule="exact"/>
              <w:jc w:val="center"/>
              <w:rPr>
                <w:rFonts w:eastAsia="仿宋_GB2312"/>
                <w:color w:val="auto"/>
                <w:szCs w:val="21"/>
                <w:highlight w:val="none"/>
              </w:rPr>
            </w:pPr>
            <w:r>
              <w:rPr>
                <w:rFonts w:eastAsia="仿宋_GB2312"/>
                <w:color w:val="auto"/>
                <w:szCs w:val="21"/>
                <w:highlight w:val="none"/>
              </w:rPr>
              <w:t>月饼</w:t>
            </w:r>
          </w:p>
        </w:tc>
        <w:tc>
          <w:tcPr>
            <w:tcW w:w="670" w:type="pct"/>
            <w:noWrap w:val="0"/>
            <w:vAlign w:val="center"/>
          </w:tcPr>
          <w:p w14:paraId="01988D61">
            <w:pPr>
              <w:spacing w:line="300" w:lineRule="exact"/>
              <w:jc w:val="center"/>
              <w:rPr>
                <w:rFonts w:eastAsia="仿宋_GB2312"/>
                <w:color w:val="auto"/>
                <w:szCs w:val="21"/>
                <w:highlight w:val="none"/>
              </w:rPr>
            </w:pPr>
            <w:r>
              <w:rPr>
                <w:rFonts w:eastAsia="仿宋_GB2312"/>
                <w:color w:val="auto"/>
                <w:szCs w:val="21"/>
                <w:highlight w:val="none"/>
              </w:rPr>
              <w:t>月饼</w:t>
            </w:r>
          </w:p>
        </w:tc>
        <w:tc>
          <w:tcPr>
            <w:tcW w:w="284" w:type="pct"/>
            <w:noWrap w:val="0"/>
            <w:vAlign w:val="center"/>
          </w:tcPr>
          <w:p w14:paraId="1D87B22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4201522">
            <w:pPr>
              <w:spacing w:line="300" w:lineRule="exact"/>
              <w:jc w:val="left"/>
              <w:rPr>
                <w:rFonts w:eastAsia="仿宋_GB2312"/>
                <w:color w:val="auto"/>
                <w:szCs w:val="21"/>
                <w:highlight w:val="none"/>
              </w:rPr>
            </w:pPr>
            <w:r>
              <w:rPr>
                <w:rFonts w:eastAsia="仿宋_GB2312"/>
                <w:color w:val="auto"/>
                <w:szCs w:val="21"/>
                <w:highlight w:val="none"/>
              </w:rPr>
              <w:t>酸价(以脂肪计)(KOH)、过氧化值(以脂肪计)、富马酸二甲酯、苯甲酸及其钠盐(以苯甲酸计)、山梨酸及其钾盐(以山梨酸计)、脱氢乙酸及其钠盐(以脱氢乙酸计)、丙酸及其钠盐、钙盐（以丙酸计）、纳他霉素、合成着色剂(柠檬黄、日落黄、胭脂红、苋菜红、亮蓝、赤藓红、诱惑红)、防腐剂混合使用时各自用量占其最大使用量的比例之和、菌落总数、大肠菌群、霉菌、金黄色葡萄球菌、沙门氏菌</w:t>
            </w:r>
          </w:p>
        </w:tc>
        <w:tc>
          <w:tcPr>
            <w:tcW w:w="1186" w:type="pct"/>
            <w:noWrap w:val="0"/>
            <w:vAlign w:val="center"/>
          </w:tcPr>
          <w:p w14:paraId="1AA55726">
            <w:pPr>
              <w:spacing w:line="300" w:lineRule="exact"/>
              <w:jc w:val="left"/>
              <w:rPr>
                <w:rFonts w:eastAsia="仿宋_GB2312"/>
                <w:color w:val="auto"/>
                <w:szCs w:val="21"/>
                <w:highlight w:val="none"/>
              </w:rPr>
            </w:pPr>
            <w:r>
              <w:rPr>
                <w:rFonts w:eastAsia="仿宋_GB2312"/>
                <w:color w:val="auto"/>
                <w:szCs w:val="21"/>
                <w:highlight w:val="none"/>
              </w:rPr>
              <w:t>糖精钠（以糖精计）、铝的残留量（干样品，以Al计）</w:t>
            </w:r>
          </w:p>
        </w:tc>
      </w:tr>
      <w:tr w14:paraId="0A62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20E0C53">
            <w:pPr>
              <w:spacing w:line="300" w:lineRule="exact"/>
              <w:jc w:val="center"/>
              <w:rPr>
                <w:rFonts w:eastAsia="仿宋_GB2312"/>
                <w:color w:val="auto"/>
                <w:szCs w:val="21"/>
                <w:highlight w:val="none"/>
              </w:rPr>
            </w:pPr>
          </w:p>
        </w:tc>
        <w:tc>
          <w:tcPr>
            <w:tcW w:w="367" w:type="pct"/>
            <w:vMerge w:val="continue"/>
            <w:noWrap w:val="0"/>
            <w:vAlign w:val="center"/>
          </w:tcPr>
          <w:p w14:paraId="6D2F03B8">
            <w:pPr>
              <w:spacing w:line="300" w:lineRule="exact"/>
              <w:jc w:val="center"/>
              <w:rPr>
                <w:rFonts w:eastAsia="仿宋_GB2312"/>
                <w:color w:val="auto"/>
                <w:szCs w:val="21"/>
                <w:highlight w:val="none"/>
              </w:rPr>
            </w:pPr>
          </w:p>
        </w:tc>
        <w:tc>
          <w:tcPr>
            <w:tcW w:w="368" w:type="pct"/>
            <w:vMerge w:val="continue"/>
            <w:noWrap w:val="0"/>
            <w:vAlign w:val="center"/>
          </w:tcPr>
          <w:p w14:paraId="58169F6F">
            <w:pPr>
              <w:spacing w:line="300" w:lineRule="exact"/>
              <w:jc w:val="center"/>
              <w:rPr>
                <w:rFonts w:eastAsia="仿宋_GB2312"/>
                <w:color w:val="auto"/>
                <w:szCs w:val="21"/>
                <w:highlight w:val="none"/>
              </w:rPr>
            </w:pPr>
          </w:p>
        </w:tc>
        <w:tc>
          <w:tcPr>
            <w:tcW w:w="401" w:type="pct"/>
            <w:noWrap w:val="0"/>
            <w:vAlign w:val="center"/>
          </w:tcPr>
          <w:p w14:paraId="45DCC181">
            <w:pPr>
              <w:spacing w:line="300" w:lineRule="exact"/>
              <w:jc w:val="center"/>
              <w:rPr>
                <w:rFonts w:eastAsia="仿宋_GB2312"/>
                <w:color w:val="auto"/>
                <w:szCs w:val="21"/>
                <w:highlight w:val="none"/>
              </w:rPr>
            </w:pPr>
            <w:r>
              <w:rPr>
                <w:rFonts w:eastAsia="仿宋_GB2312"/>
                <w:color w:val="auto"/>
                <w:szCs w:val="21"/>
                <w:highlight w:val="none"/>
              </w:rPr>
              <w:t>粽子</w:t>
            </w:r>
          </w:p>
        </w:tc>
        <w:tc>
          <w:tcPr>
            <w:tcW w:w="670" w:type="pct"/>
            <w:noWrap w:val="0"/>
            <w:vAlign w:val="center"/>
          </w:tcPr>
          <w:p w14:paraId="5A750F83">
            <w:pPr>
              <w:spacing w:line="300" w:lineRule="exact"/>
              <w:jc w:val="center"/>
              <w:rPr>
                <w:rFonts w:eastAsia="仿宋_GB2312"/>
                <w:color w:val="auto"/>
                <w:szCs w:val="21"/>
                <w:highlight w:val="none"/>
              </w:rPr>
            </w:pPr>
            <w:r>
              <w:rPr>
                <w:rFonts w:eastAsia="仿宋_GB2312"/>
                <w:color w:val="auto"/>
                <w:szCs w:val="21"/>
                <w:highlight w:val="none"/>
              </w:rPr>
              <w:t>粽子</w:t>
            </w:r>
          </w:p>
        </w:tc>
        <w:tc>
          <w:tcPr>
            <w:tcW w:w="284" w:type="pct"/>
            <w:noWrap w:val="0"/>
            <w:vAlign w:val="center"/>
          </w:tcPr>
          <w:p w14:paraId="362036B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74475A40">
            <w:pPr>
              <w:spacing w:line="300" w:lineRule="exact"/>
              <w:jc w:val="left"/>
              <w:rPr>
                <w:rFonts w:eastAsia="仿宋_GB2312"/>
                <w:color w:val="auto"/>
                <w:szCs w:val="21"/>
                <w:highlight w:val="none"/>
              </w:rPr>
            </w:pPr>
            <w:r>
              <w:rPr>
                <w:rFonts w:eastAsia="仿宋_GB2312"/>
                <w:color w:val="auto"/>
                <w:szCs w:val="21"/>
                <w:highlight w:val="none"/>
              </w:rPr>
              <w:t>甜蜜素(以环己基氨基磺酸计)、山梨酸及其钾盐 ( 以山梨酸计 )、脱氢乙酸及其钠盐(以脱氢乙酸计)、糖精钠(以糖精计)、安赛蜜、菌落总数、大肠菌群、金黄色葡萄球菌、沙门氏菌、霉菌、商业无菌</w:t>
            </w:r>
          </w:p>
        </w:tc>
        <w:tc>
          <w:tcPr>
            <w:tcW w:w="1186" w:type="pct"/>
            <w:noWrap w:val="0"/>
            <w:vAlign w:val="center"/>
          </w:tcPr>
          <w:p w14:paraId="4474744F">
            <w:pPr>
              <w:spacing w:line="300" w:lineRule="exact"/>
              <w:jc w:val="left"/>
              <w:rPr>
                <w:rFonts w:eastAsia="仿宋_GB2312"/>
                <w:color w:val="auto"/>
                <w:szCs w:val="21"/>
                <w:highlight w:val="none"/>
              </w:rPr>
            </w:pPr>
            <w:r>
              <w:rPr>
                <w:rFonts w:eastAsia="仿宋_GB2312"/>
                <w:color w:val="auto"/>
                <w:szCs w:val="21"/>
                <w:highlight w:val="none"/>
              </w:rPr>
              <w:t>过氧化值（以脂肪计）</w:t>
            </w:r>
          </w:p>
        </w:tc>
      </w:tr>
      <w:tr w14:paraId="1155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35CB1BB">
            <w:pPr>
              <w:spacing w:line="300" w:lineRule="exact"/>
              <w:jc w:val="center"/>
              <w:rPr>
                <w:rFonts w:eastAsia="仿宋_GB2312"/>
                <w:color w:val="auto"/>
                <w:szCs w:val="21"/>
                <w:highlight w:val="none"/>
              </w:rPr>
            </w:pPr>
          </w:p>
        </w:tc>
        <w:tc>
          <w:tcPr>
            <w:tcW w:w="367" w:type="pct"/>
            <w:vMerge w:val="continue"/>
            <w:noWrap w:val="0"/>
            <w:vAlign w:val="center"/>
          </w:tcPr>
          <w:p w14:paraId="4B9A055A">
            <w:pPr>
              <w:spacing w:line="300" w:lineRule="exact"/>
              <w:jc w:val="center"/>
              <w:rPr>
                <w:rFonts w:eastAsia="仿宋_GB2312"/>
                <w:color w:val="auto"/>
                <w:szCs w:val="21"/>
                <w:highlight w:val="none"/>
              </w:rPr>
            </w:pPr>
          </w:p>
        </w:tc>
        <w:tc>
          <w:tcPr>
            <w:tcW w:w="368" w:type="pct"/>
            <w:vMerge w:val="continue"/>
            <w:noWrap w:val="0"/>
            <w:vAlign w:val="center"/>
          </w:tcPr>
          <w:p w14:paraId="6240F740">
            <w:pPr>
              <w:spacing w:line="300" w:lineRule="exact"/>
              <w:jc w:val="center"/>
              <w:rPr>
                <w:rFonts w:eastAsia="仿宋_GB2312"/>
                <w:color w:val="auto"/>
                <w:szCs w:val="21"/>
                <w:highlight w:val="none"/>
              </w:rPr>
            </w:pPr>
          </w:p>
        </w:tc>
        <w:tc>
          <w:tcPr>
            <w:tcW w:w="401" w:type="pct"/>
            <w:noWrap w:val="0"/>
            <w:vAlign w:val="center"/>
          </w:tcPr>
          <w:p w14:paraId="1A6BCF1D">
            <w:pPr>
              <w:spacing w:line="300" w:lineRule="exact"/>
              <w:jc w:val="center"/>
              <w:rPr>
                <w:rFonts w:eastAsia="仿宋_GB2312"/>
                <w:color w:val="auto"/>
                <w:szCs w:val="21"/>
                <w:highlight w:val="none"/>
              </w:rPr>
            </w:pPr>
            <w:r>
              <w:rPr>
                <w:rFonts w:eastAsia="仿宋_GB2312"/>
                <w:color w:val="auto"/>
                <w:szCs w:val="21"/>
                <w:highlight w:val="none"/>
              </w:rPr>
              <w:t>糕点</w:t>
            </w:r>
          </w:p>
        </w:tc>
        <w:tc>
          <w:tcPr>
            <w:tcW w:w="670" w:type="pct"/>
            <w:noWrap w:val="0"/>
            <w:vAlign w:val="center"/>
          </w:tcPr>
          <w:p w14:paraId="3A65204F">
            <w:pPr>
              <w:spacing w:line="300" w:lineRule="exact"/>
              <w:jc w:val="center"/>
              <w:rPr>
                <w:rFonts w:eastAsia="仿宋_GB2312"/>
                <w:color w:val="auto"/>
                <w:szCs w:val="21"/>
                <w:highlight w:val="none"/>
              </w:rPr>
            </w:pPr>
            <w:r>
              <w:rPr>
                <w:rFonts w:eastAsia="仿宋_GB2312"/>
                <w:color w:val="auto"/>
                <w:szCs w:val="21"/>
                <w:highlight w:val="none"/>
              </w:rPr>
              <w:t>糕点</w:t>
            </w:r>
          </w:p>
        </w:tc>
        <w:tc>
          <w:tcPr>
            <w:tcW w:w="284" w:type="pct"/>
            <w:noWrap w:val="0"/>
            <w:vAlign w:val="center"/>
          </w:tcPr>
          <w:p w14:paraId="303C831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538795DD">
            <w:pPr>
              <w:spacing w:line="300" w:lineRule="exact"/>
              <w:jc w:val="left"/>
              <w:rPr>
                <w:rFonts w:eastAsia="仿宋_GB2312"/>
                <w:color w:val="auto"/>
                <w:szCs w:val="21"/>
                <w:highlight w:val="none"/>
              </w:rPr>
            </w:pPr>
            <w:r>
              <w:rPr>
                <w:rFonts w:eastAsia="仿宋_GB2312"/>
                <w:color w:val="auto"/>
                <w:szCs w:val="21"/>
                <w:highlight w:val="none"/>
              </w:rPr>
              <w:t>酸价(以脂肪计)(KOH) 、过氧化值(以脂肪计)、富马酸二甲酯、苯甲酸及其钠盐(以苯甲酸计)、山梨酸及其钾盐(以山梨酸计)、糖精钠(以糖精计)、甜蜜素(以环己基氨基磺酸计)、铝的残留量(干样品,以Al计)、脱氢乙酸及其钠盐(以脱氢乙酸计)、丙酸及其钠盐、钙盐（以丙酸计）、纳他霉素</w:t>
            </w:r>
            <w:r>
              <w:rPr>
                <w:rFonts w:hint="eastAsia" w:eastAsia="仿宋_GB2312"/>
                <w:color w:val="auto"/>
                <w:szCs w:val="21"/>
                <w:highlight w:val="none"/>
              </w:rPr>
              <w:t>、</w:t>
            </w:r>
            <w:r>
              <w:rPr>
                <w:rFonts w:eastAsia="仿宋_GB2312"/>
                <w:color w:val="auto"/>
                <w:szCs w:val="21"/>
                <w:highlight w:val="none"/>
              </w:rPr>
              <w:t>三氯蔗糖、合成着色剂(柠檬黄、日落黄、胭脂红、苋菜红、亮蓝、赤藓红、诱惑红)、防腐剂混合使用时各自用量占其最大使用量的比例之和、菌落总数 、大肠菌群、霉菌、金黄色葡萄球菌、沙门氏菌</w:t>
            </w:r>
          </w:p>
        </w:tc>
        <w:tc>
          <w:tcPr>
            <w:tcW w:w="1186" w:type="pct"/>
            <w:noWrap w:val="0"/>
            <w:vAlign w:val="center"/>
          </w:tcPr>
          <w:p w14:paraId="173CB7DB">
            <w:pPr>
              <w:spacing w:line="300" w:lineRule="exact"/>
              <w:jc w:val="left"/>
              <w:rPr>
                <w:rFonts w:eastAsia="仿宋_GB2312"/>
                <w:color w:val="auto"/>
                <w:szCs w:val="21"/>
                <w:highlight w:val="none"/>
              </w:rPr>
            </w:pPr>
            <w:r>
              <w:rPr>
                <w:rFonts w:eastAsia="仿宋_GB2312"/>
                <w:color w:val="auto"/>
                <w:szCs w:val="21"/>
                <w:highlight w:val="none"/>
              </w:rPr>
              <w:t>丙二醇、安赛蜜</w:t>
            </w:r>
          </w:p>
        </w:tc>
      </w:tr>
      <w:tr w14:paraId="5724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restart"/>
            <w:noWrap w:val="0"/>
            <w:vAlign w:val="center"/>
          </w:tcPr>
          <w:p w14:paraId="6F1F53D4">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25</w:t>
            </w:r>
          </w:p>
        </w:tc>
        <w:tc>
          <w:tcPr>
            <w:tcW w:w="367" w:type="pct"/>
            <w:vMerge w:val="restart"/>
            <w:noWrap w:val="0"/>
            <w:vAlign w:val="center"/>
          </w:tcPr>
          <w:p w14:paraId="77DDE082">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7"/>
                <w:sz w:val="21"/>
                <w:szCs w:val="21"/>
                <w:highlight w:val="none"/>
              </w:rPr>
              <w:t>豆制品</w:t>
            </w:r>
          </w:p>
        </w:tc>
        <w:tc>
          <w:tcPr>
            <w:tcW w:w="368" w:type="pct"/>
            <w:vMerge w:val="restart"/>
            <w:noWrap w:val="0"/>
            <w:vAlign w:val="center"/>
          </w:tcPr>
          <w:p w14:paraId="616F7877">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7"/>
                <w:sz w:val="21"/>
                <w:szCs w:val="21"/>
                <w:highlight w:val="none"/>
              </w:rPr>
              <w:t>豆制品</w:t>
            </w:r>
          </w:p>
        </w:tc>
        <w:tc>
          <w:tcPr>
            <w:tcW w:w="401" w:type="pct"/>
            <w:noWrap w:val="0"/>
            <w:vAlign w:val="center"/>
          </w:tcPr>
          <w:p w14:paraId="7367D423">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发酵性豆制品</w:t>
            </w:r>
          </w:p>
        </w:tc>
        <w:tc>
          <w:tcPr>
            <w:tcW w:w="670" w:type="pct"/>
            <w:noWrap w:val="0"/>
            <w:vAlign w:val="center"/>
          </w:tcPr>
          <w:p w14:paraId="4FBB8ED9">
            <w:pPr>
              <w:pStyle w:val="132"/>
              <w:widowControl/>
              <w:kinsoku w:val="0"/>
              <w:autoSpaceDE w:val="0"/>
              <w:autoSpaceDN w:val="0"/>
              <w:adjustRightInd w:val="0"/>
              <w:snapToGrid w:val="0"/>
              <w:spacing w:line="300" w:lineRule="exact"/>
              <w:ind w:hanging="717"/>
              <w:jc w:val="center"/>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11"/>
                <w:sz w:val="21"/>
                <w:szCs w:val="21"/>
                <w:highlight w:val="none"/>
              </w:rPr>
              <w:t>腐乳</w:t>
            </w:r>
            <w:r>
              <w:rPr>
                <w:rFonts w:hint="eastAsia" w:ascii="Times New Roman" w:hAnsi="Times New Roman" w:eastAsia="仿宋_GB2312" w:cs="Times New Roman"/>
                <w:color w:val="auto"/>
                <w:spacing w:val="-11"/>
                <w:sz w:val="21"/>
                <w:szCs w:val="21"/>
                <w:highlight w:val="none"/>
              </w:rPr>
              <w:t xml:space="preserve">   腐乳</w:t>
            </w:r>
            <w:r>
              <w:rPr>
                <w:rFonts w:ascii="Times New Roman" w:hAnsi="Times New Roman" w:eastAsia="仿宋_GB2312" w:cs="Times New Roman"/>
                <w:color w:val="auto"/>
                <w:spacing w:val="-11"/>
                <w:sz w:val="21"/>
                <w:szCs w:val="21"/>
                <w:highlight w:val="none"/>
              </w:rPr>
              <w:t>、豆豉、纳豆</w:t>
            </w:r>
            <w:r>
              <w:rPr>
                <w:rFonts w:ascii="Times New Roman" w:hAnsi="Times New Roman" w:eastAsia="仿宋_GB2312" w:cs="Times New Roman"/>
                <w:color w:val="auto"/>
                <w:sz w:val="21"/>
                <w:szCs w:val="21"/>
                <w:highlight w:val="none"/>
              </w:rPr>
              <w:t>等</w:t>
            </w:r>
          </w:p>
        </w:tc>
        <w:tc>
          <w:tcPr>
            <w:tcW w:w="284" w:type="pct"/>
            <w:noWrap w:val="0"/>
            <w:vAlign w:val="center"/>
          </w:tcPr>
          <w:p w14:paraId="5C4B31B4">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485741C6">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苯甲酸及其钠盐（以苯甲酸计）、山梨酸及其钾盐（以山梨酸计）、脱氢乙酸及其钠盐（以脱氢乙酸计）、糖精钠（以糖精计）、甜蜜素（以环己基氨基磺酸计）、大肠菌群、铅（以Pb计）</w:t>
            </w:r>
          </w:p>
        </w:tc>
        <w:tc>
          <w:tcPr>
            <w:tcW w:w="1186" w:type="pct"/>
            <w:noWrap w:val="0"/>
            <w:vAlign w:val="center"/>
          </w:tcPr>
          <w:p w14:paraId="70C28C64">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黄曲霉毒素B</w:t>
            </w:r>
            <w:r>
              <w:rPr>
                <w:rFonts w:ascii="Times New Roman" w:hAnsi="Times New Roman" w:eastAsia="仿宋_GB2312" w:cs="Times New Roman"/>
                <w:color w:val="auto"/>
                <w:sz w:val="21"/>
                <w:szCs w:val="21"/>
                <w:highlight w:val="none"/>
                <w:vertAlign w:val="subscript"/>
              </w:rPr>
              <w:t>1</w:t>
            </w:r>
            <w:r>
              <w:rPr>
                <w:rFonts w:ascii="Times New Roman" w:hAnsi="Times New Roman" w:eastAsia="仿宋_GB2312" w:cs="Times New Roman"/>
                <w:color w:val="auto"/>
                <w:sz w:val="21"/>
                <w:szCs w:val="21"/>
                <w:highlight w:val="none"/>
              </w:rPr>
              <w:t>、铝的残留量（干样品，以Al计）</w:t>
            </w:r>
          </w:p>
        </w:tc>
      </w:tr>
      <w:tr w14:paraId="127A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E5AFBFA">
            <w:pPr>
              <w:spacing w:line="300" w:lineRule="exact"/>
              <w:jc w:val="center"/>
              <w:rPr>
                <w:rFonts w:eastAsia="仿宋_GB2312"/>
                <w:color w:val="auto"/>
                <w:szCs w:val="21"/>
                <w:highlight w:val="none"/>
              </w:rPr>
            </w:pPr>
          </w:p>
        </w:tc>
        <w:tc>
          <w:tcPr>
            <w:tcW w:w="367" w:type="pct"/>
            <w:vMerge w:val="continue"/>
            <w:noWrap w:val="0"/>
            <w:vAlign w:val="center"/>
          </w:tcPr>
          <w:p w14:paraId="26FAB642">
            <w:pPr>
              <w:spacing w:line="300" w:lineRule="exact"/>
              <w:jc w:val="center"/>
              <w:rPr>
                <w:rFonts w:eastAsia="仿宋_GB2312"/>
                <w:color w:val="auto"/>
                <w:szCs w:val="21"/>
                <w:highlight w:val="none"/>
              </w:rPr>
            </w:pPr>
          </w:p>
        </w:tc>
        <w:tc>
          <w:tcPr>
            <w:tcW w:w="368" w:type="pct"/>
            <w:vMerge w:val="continue"/>
            <w:noWrap w:val="0"/>
            <w:vAlign w:val="center"/>
          </w:tcPr>
          <w:p w14:paraId="0319C7F1">
            <w:pPr>
              <w:spacing w:line="300" w:lineRule="exact"/>
              <w:jc w:val="center"/>
              <w:rPr>
                <w:rFonts w:eastAsia="仿宋_GB2312"/>
                <w:color w:val="auto"/>
                <w:szCs w:val="21"/>
                <w:highlight w:val="none"/>
              </w:rPr>
            </w:pPr>
          </w:p>
        </w:tc>
        <w:tc>
          <w:tcPr>
            <w:tcW w:w="401" w:type="pct"/>
            <w:noWrap w:val="0"/>
            <w:vAlign w:val="center"/>
          </w:tcPr>
          <w:p w14:paraId="4C856140">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非发酵性豆制</w:t>
            </w:r>
            <w:r>
              <w:rPr>
                <w:rFonts w:ascii="Times New Roman" w:hAnsi="Times New Roman" w:eastAsia="仿宋_GB2312" w:cs="Times New Roman"/>
                <w:color w:val="auto"/>
                <w:sz w:val="21"/>
                <w:szCs w:val="21"/>
                <w:highlight w:val="none"/>
              </w:rPr>
              <w:t>品</w:t>
            </w:r>
          </w:p>
        </w:tc>
        <w:tc>
          <w:tcPr>
            <w:tcW w:w="670" w:type="pct"/>
            <w:noWrap w:val="0"/>
            <w:vAlign w:val="center"/>
          </w:tcPr>
          <w:p w14:paraId="7FAD92DC">
            <w:pPr>
              <w:pStyle w:val="132"/>
              <w:widowControl/>
              <w:kinsoku w:val="0"/>
              <w:autoSpaceDE w:val="0"/>
              <w:autoSpaceDN w:val="0"/>
              <w:adjustRightInd w:val="0"/>
              <w:snapToGrid w:val="0"/>
              <w:spacing w:line="300" w:lineRule="exact"/>
              <w:ind w:hanging="608"/>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12"/>
                <w:sz w:val="21"/>
                <w:szCs w:val="21"/>
                <w:highlight w:val="none"/>
              </w:rPr>
              <w:t>腐</w:t>
            </w:r>
            <w:r>
              <w:rPr>
                <w:rFonts w:ascii="Times New Roman" w:hAnsi="Times New Roman" w:eastAsia="仿宋_GB2312" w:cs="Times New Roman"/>
                <w:color w:val="auto"/>
                <w:spacing w:val="-11"/>
                <w:sz w:val="21"/>
                <w:szCs w:val="21"/>
                <w:highlight w:val="none"/>
              </w:rPr>
              <w:t>竹、腐竹、油皮及其</w:t>
            </w:r>
            <w:r>
              <w:rPr>
                <w:rFonts w:ascii="Times New Roman" w:hAnsi="Times New Roman" w:eastAsia="仿宋_GB2312" w:cs="Times New Roman"/>
                <w:color w:val="auto"/>
                <w:spacing w:val="-10"/>
                <w:sz w:val="21"/>
                <w:szCs w:val="21"/>
                <w:highlight w:val="none"/>
              </w:rPr>
              <w:t>再</w:t>
            </w:r>
            <w:r>
              <w:rPr>
                <w:rFonts w:ascii="Times New Roman" w:hAnsi="Times New Roman" w:eastAsia="仿宋_GB2312" w:cs="Times New Roman"/>
                <w:color w:val="auto"/>
                <w:spacing w:val="10"/>
                <w:sz w:val="21"/>
                <w:szCs w:val="21"/>
                <w:highlight w:val="none"/>
              </w:rPr>
              <w:t>制品</w:t>
            </w:r>
          </w:p>
        </w:tc>
        <w:tc>
          <w:tcPr>
            <w:tcW w:w="284" w:type="pct"/>
            <w:noWrap w:val="0"/>
            <w:vAlign w:val="center"/>
          </w:tcPr>
          <w:p w14:paraId="2F7A783B">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2355A058">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蛋白质、苯甲酸及其钠盐(以苯甲酸计)、山梨酸及其钾盐(以山梨酸计)、脱氢乙酸及其钠盐(以脱氢乙酸计)、二氧化硫残留量、铝的残留量(干样品，以Al计)</w:t>
            </w:r>
          </w:p>
        </w:tc>
        <w:tc>
          <w:tcPr>
            <w:tcW w:w="1186" w:type="pct"/>
            <w:noWrap w:val="0"/>
            <w:vAlign w:val="center"/>
          </w:tcPr>
          <w:p w14:paraId="1D4F38EB">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pacing w:val="1"/>
                <w:sz w:val="21"/>
                <w:szCs w:val="21"/>
                <w:highlight w:val="none"/>
              </w:rPr>
            </w:pPr>
            <w:r>
              <w:rPr>
                <w:rFonts w:ascii="Times New Roman" w:hAnsi="Times New Roman" w:eastAsia="仿宋_GB2312" w:cs="Times New Roman"/>
                <w:color w:val="auto"/>
                <w:spacing w:val="1"/>
                <w:sz w:val="21"/>
                <w:szCs w:val="21"/>
                <w:highlight w:val="none"/>
              </w:rPr>
              <w:t>铅（以Pb计）、合成着色剂(柠檬黄、日落黄)、二甲基黄、二乙基黄</w:t>
            </w:r>
          </w:p>
        </w:tc>
      </w:tr>
      <w:tr w14:paraId="6CC7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133571D6">
            <w:pPr>
              <w:spacing w:line="300" w:lineRule="exact"/>
              <w:jc w:val="center"/>
              <w:rPr>
                <w:rFonts w:eastAsia="仿宋_GB2312"/>
                <w:color w:val="auto"/>
                <w:szCs w:val="21"/>
                <w:highlight w:val="none"/>
              </w:rPr>
            </w:pPr>
          </w:p>
        </w:tc>
        <w:tc>
          <w:tcPr>
            <w:tcW w:w="367" w:type="pct"/>
            <w:vMerge w:val="continue"/>
            <w:noWrap w:val="0"/>
            <w:vAlign w:val="center"/>
          </w:tcPr>
          <w:p w14:paraId="13767236">
            <w:pPr>
              <w:spacing w:line="300" w:lineRule="exact"/>
              <w:jc w:val="center"/>
              <w:rPr>
                <w:rFonts w:eastAsia="仿宋_GB2312"/>
                <w:color w:val="auto"/>
                <w:szCs w:val="21"/>
                <w:highlight w:val="none"/>
              </w:rPr>
            </w:pPr>
          </w:p>
        </w:tc>
        <w:tc>
          <w:tcPr>
            <w:tcW w:w="368" w:type="pct"/>
            <w:vMerge w:val="continue"/>
            <w:noWrap w:val="0"/>
            <w:vAlign w:val="center"/>
          </w:tcPr>
          <w:p w14:paraId="2E4D6F89">
            <w:pPr>
              <w:spacing w:line="300" w:lineRule="exact"/>
              <w:jc w:val="center"/>
              <w:rPr>
                <w:rFonts w:eastAsia="仿宋_GB2312"/>
                <w:color w:val="auto"/>
                <w:szCs w:val="21"/>
                <w:highlight w:val="none"/>
              </w:rPr>
            </w:pPr>
          </w:p>
        </w:tc>
        <w:tc>
          <w:tcPr>
            <w:tcW w:w="401" w:type="pct"/>
            <w:noWrap w:val="0"/>
            <w:vAlign w:val="center"/>
          </w:tcPr>
          <w:p w14:paraId="0574027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非发酵性豆制</w:t>
            </w:r>
            <w:r>
              <w:rPr>
                <w:rFonts w:ascii="Times New Roman" w:hAnsi="Times New Roman" w:eastAsia="仿宋_GB2312" w:cs="Times New Roman"/>
                <w:color w:val="auto"/>
                <w:sz w:val="21"/>
                <w:szCs w:val="21"/>
                <w:highlight w:val="none"/>
              </w:rPr>
              <w:t>品</w:t>
            </w:r>
          </w:p>
        </w:tc>
        <w:tc>
          <w:tcPr>
            <w:tcW w:w="670" w:type="pct"/>
            <w:noWrap w:val="0"/>
            <w:vAlign w:val="center"/>
          </w:tcPr>
          <w:p w14:paraId="7C296C9B">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2"/>
                <w:sz w:val="21"/>
                <w:szCs w:val="21"/>
                <w:highlight w:val="none"/>
              </w:rPr>
              <w:t>豆干、豆腐</w:t>
            </w:r>
            <w:r>
              <w:rPr>
                <w:rFonts w:ascii="Times New Roman" w:hAnsi="Times New Roman" w:eastAsia="仿宋_GB2312" w:cs="Times New Roman"/>
                <w:color w:val="auto"/>
                <w:sz w:val="21"/>
                <w:szCs w:val="21"/>
                <w:highlight w:val="none"/>
              </w:rPr>
              <w:t>、豆皮等</w:t>
            </w:r>
          </w:p>
        </w:tc>
        <w:tc>
          <w:tcPr>
            <w:tcW w:w="284" w:type="pct"/>
            <w:noWrap w:val="0"/>
            <w:vAlign w:val="center"/>
          </w:tcPr>
          <w:p w14:paraId="4EA9712D">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101DCAF9">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苯甲酸及其钠盐（以苯甲酸计）、山梨酸及其钾盐（以山梨酸计）、脱氢乙酸及其钠盐（以脱氢乙酸计）、防腐剂混合使用时各自用量占其最大使用量的比例之和、铝的残留量（干样品，以Al计）、合成着色剂（柠檬黄、日落黄）、大肠菌群</w:t>
            </w:r>
          </w:p>
        </w:tc>
        <w:tc>
          <w:tcPr>
            <w:tcW w:w="1186" w:type="pct"/>
            <w:noWrap w:val="0"/>
            <w:vAlign w:val="center"/>
          </w:tcPr>
          <w:p w14:paraId="0A801279">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铅（以Pb计）、丙酸及其钠盐、钙盐（以丙酸计）、糖精钠（以糖精计）、三氯蔗糖、甜蜜素（以环己基氨基磺酸计）</w:t>
            </w:r>
          </w:p>
        </w:tc>
      </w:tr>
      <w:tr w14:paraId="1B63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569F289C">
            <w:pPr>
              <w:spacing w:line="300" w:lineRule="exact"/>
              <w:jc w:val="center"/>
              <w:rPr>
                <w:rFonts w:eastAsia="仿宋_GB2312"/>
                <w:color w:val="auto"/>
                <w:szCs w:val="21"/>
                <w:highlight w:val="none"/>
              </w:rPr>
            </w:pPr>
          </w:p>
        </w:tc>
        <w:tc>
          <w:tcPr>
            <w:tcW w:w="367" w:type="pct"/>
            <w:vMerge w:val="continue"/>
            <w:noWrap w:val="0"/>
            <w:vAlign w:val="center"/>
          </w:tcPr>
          <w:p w14:paraId="5C525BE4">
            <w:pPr>
              <w:spacing w:line="300" w:lineRule="exact"/>
              <w:jc w:val="center"/>
              <w:rPr>
                <w:rFonts w:eastAsia="仿宋_GB2312"/>
                <w:color w:val="auto"/>
                <w:szCs w:val="21"/>
                <w:highlight w:val="none"/>
              </w:rPr>
            </w:pPr>
          </w:p>
        </w:tc>
        <w:tc>
          <w:tcPr>
            <w:tcW w:w="368" w:type="pct"/>
            <w:vMerge w:val="continue"/>
            <w:noWrap w:val="0"/>
            <w:vAlign w:val="center"/>
          </w:tcPr>
          <w:p w14:paraId="23B16669">
            <w:pPr>
              <w:spacing w:line="300" w:lineRule="exact"/>
              <w:jc w:val="center"/>
              <w:rPr>
                <w:rFonts w:eastAsia="仿宋_GB2312"/>
                <w:color w:val="auto"/>
                <w:szCs w:val="21"/>
                <w:highlight w:val="none"/>
              </w:rPr>
            </w:pPr>
          </w:p>
        </w:tc>
        <w:tc>
          <w:tcPr>
            <w:tcW w:w="401" w:type="pct"/>
            <w:noWrap w:val="0"/>
            <w:vAlign w:val="center"/>
          </w:tcPr>
          <w:p w14:paraId="5016E0E0">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4"/>
                <w:sz w:val="21"/>
                <w:szCs w:val="21"/>
                <w:highlight w:val="none"/>
              </w:rPr>
              <w:t>其他豆制品</w:t>
            </w:r>
          </w:p>
        </w:tc>
        <w:tc>
          <w:tcPr>
            <w:tcW w:w="670" w:type="pct"/>
            <w:noWrap w:val="0"/>
            <w:vAlign w:val="center"/>
          </w:tcPr>
          <w:p w14:paraId="6B6F9E3F">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11"/>
                <w:sz w:val="21"/>
                <w:szCs w:val="21"/>
                <w:highlight w:val="none"/>
              </w:rPr>
              <w:t>大豆蛋白类制品等</w:t>
            </w:r>
          </w:p>
        </w:tc>
        <w:tc>
          <w:tcPr>
            <w:tcW w:w="284" w:type="pct"/>
            <w:noWrap w:val="0"/>
            <w:vAlign w:val="center"/>
          </w:tcPr>
          <w:p w14:paraId="21530526">
            <w:pPr>
              <w:pStyle w:val="132"/>
              <w:widowControl/>
              <w:kinsoku w:val="0"/>
              <w:autoSpaceDE w:val="0"/>
              <w:autoSpaceDN w:val="0"/>
              <w:adjustRightInd w:val="0"/>
              <w:snapToGrid w:val="0"/>
              <w:spacing w:line="300" w:lineRule="exact"/>
              <w:jc w:val="center"/>
              <w:textAlignment w:val="baseline"/>
              <w:rPr>
                <w:rFonts w:ascii="Times New Roman" w:hAnsi="Times New Roman" w:eastAsia="仿宋_GB2312" w:cs="Times New Roman"/>
                <w:color w:val="auto"/>
                <w:sz w:val="21"/>
                <w:szCs w:val="21"/>
                <w:highlight w:val="none"/>
                <w:lang w:eastAsia="en-US"/>
              </w:rPr>
            </w:pPr>
            <w:r>
              <w:rPr>
                <w:rFonts w:ascii="Times New Roman" w:hAnsi="Times New Roman" w:eastAsia="仿宋_GB2312" w:cs="Times New Roman"/>
                <w:color w:val="auto"/>
                <w:spacing w:val="-3"/>
                <w:sz w:val="21"/>
                <w:szCs w:val="21"/>
                <w:highlight w:val="none"/>
              </w:rPr>
              <w:t>较高</w:t>
            </w:r>
          </w:p>
        </w:tc>
        <w:tc>
          <w:tcPr>
            <w:tcW w:w="1553" w:type="pct"/>
            <w:noWrap w:val="0"/>
            <w:vAlign w:val="center"/>
          </w:tcPr>
          <w:p w14:paraId="38A0E41D">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苯甲酸及其钠盐（以苯甲酸计）、山梨酸及其钾盐（以山梨酸计）、脱氢乙酸及其钠盐（以脱氢乙酸计）、糖精钠（以糖精计）、三氯蔗糖、铝的残留量（干样品，以Al计）、大肠菌群</w:t>
            </w:r>
          </w:p>
        </w:tc>
        <w:tc>
          <w:tcPr>
            <w:tcW w:w="1186" w:type="pct"/>
            <w:noWrap w:val="0"/>
            <w:vAlign w:val="center"/>
          </w:tcPr>
          <w:p w14:paraId="065273C5">
            <w:pPr>
              <w:pStyle w:val="132"/>
              <w:widowControl/>
              <w:kinsoku w:val="0"/>
              <w:autoSpaceDE w:val="0"/>
              <w:autoSpaceDN w:val="0"/>
              <w:adjustRightInd w:val="0"/>
              <w:snapToGrid w:val="0"/>
              <w:spacing w:line="300" w:lineRule="exact"/>
              <w:jc w:val="left"/>
              <w:textAlignment w:val="baseline"/>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铅（以Pb计）、合成着色剂（柠檬黄、日落黄）</w:t>
            </w:r>
          </w:p>
        </w:tc>
      </w:tr>
      <w:tr w14:paraId="5B7C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restart"/>
            <w:noWrap w:val="0"/>
            <w:vAlign w:val="center"/>
          </w:tcPr>
          <w:p w14:paraId="0E0635F6">
            <w:pPr>
              <w:spacing w:line="300" w:lineRule="exact"/>
              <w:jc w:val="center"/>
              <w:rPr>
                <w:rFonts w:eastAsia="仿宋_GB2312"/>
                <w:color w:val="auto"/>
                <w:szCs w:val="21"/>
                <w:highlight w:val="none"/>
              </w:rPr>
            </w:pPr>
            <w:r>
              <w:rPr>
                <w:rFonts w:eastAsia="仿宋_GB2312"/>
                <w:color w:val="auto"/>
                <w:szCs w:val="21"/>
                <w:highlight w:val="none"/>
              </w:rPr>
              <w:t>26</w:t>
            </w:r>
          </w:p>
        </w:tc>
        <w:tc>
          <w:tcPr>
            <w:tcW w:w="367" w:type="pct"/>
            <w:vMerge w:val="restart"/>
            <w:noWrap w:val="0"/>
            <w:vAlign w:val="center"/>
          </w:tcPr>
          <w:p w14:paraId="7CC046D4">
            <w:pPr>
              <w:spacing w:line="300" w:lineRule="exact"/>
              <w:jc w:val="center"/>
              <w:rPr>
                <w:rFonts w:eastAsia="仿宋_GB2312"/>
                <w:color w:val="auto"/>
                <w:szCs w:val="21"/>
                <w:highlight w:val="none"/>
              </w:rPr>
            </w:pPr>
            <w:r>
              <w:rPr>
                <w:rFonts w:eastAsia="仿宋_GB2312"/>
                <w:color w:val="auto"/>
                <w:szCs w:val="21"/>
                <w:highlight w:val="none"/>
              </w:rPr>
              <w:t>蜂产品</w:t>
            </w:r>
          </w:p>
        </w:tc>
        <w:tc>
          <w:tcPr>
            <w:tcW w:w="368" w:type="pct"/>
            <w:vMerge w:val="restart"/>
            <w:noWrap w:val="0"/>
            <w:vAlign w:val="center"/>
          </w:tcPr>
          <w:p w14:paraId="7BB9DD72">
            <w:pPr>
              <w:spacing w:line="300" w:lineRule="exact"/>
              <w:jc w:val="center"/>
              <w:rPr>
                <w:rFonts w:eastAsia="仿宋_GB2312"/>
                <w:color w:val="auto"/>
                <w:szCs w:val="21"/>
                <w:highlight w:val="none"/>
              </w:rPr>
            </w:pPr>
            <w:r>
              <w:rPr>
                <w:rFonts w:eastAsia="仿宋_GB2312"/>
                <w:color w:val="auto"/>
                <w:szCs w:val="21"/>
                <w:highlight w:val="none"/>
              </w:rPr>
              <w:t>蜂产品</w:t>
            </w:r>
          </w:p>
        </w:tc>
        <w:tc>
          <w:tcPr>
            <w:tcW w:w="401" w:type="pct"/>
            <w:noWrap w:val="0"/>
            <w:vAlign w:val="center"/>
          </w:tcPr>
          <w:p w14:paraId="4A53D3BE">
            <w:pPr>
              <w:spacing w:line="300" w:lineRule="exact"/>
              <w:jc w:val="center"/>
              <w:rPr>
                <w:rFonts w:eastAsia="仿宋_GB2312"/>
                <w:color w:val="auto"/>
                <w:szCs w:val="21"/>
                <w:highlight w:val="none"/>
              </w:rPr>
            </w:pPr>
            <w:r>
              <w:rPr>
                <w:rFonts w:eastAsia="仿宋_GB2312"/>
                <w:color w:val="auto"/>
                <w:szCs w:val="21"/>
                <w:highlight w:val="none"/>
              </w:rPr>
              <w:t>蜂蜜</w:t>
            </w:r>
          </w:p>
        </w:tc>
        <w:tc>
          <w:tcPr>
            <w:tcW w:w="670" w:type="pct"/>
            <w:noWrap w:val="0"/>
            <w:vAlign w:val="center"/>
          </w:tcPr>
          <w:p w14:paraId="0F77F1A0">
            <w:pPr>
              <w:spacing w:line="300" w:lineRule="exact"/>
              <w:jc w:val="center"/>
              <w:rPr>
                <w:rFonts w:eastAsia="仿宋_GB2312"/>
                <w:color w:val="auto"/>
                <w:szCs w:val="21"/>
                <w:highlight w:val="none"/>
              </w:rPr>
            </w:pPr>
            <w:r>
              <w:rPr>
                <w:rFonts w:eastAsia="仿宋_GB2312"/>
                <w:color w:val="auto"/>
                <w:szCs w:val="21"/>
                <w:highlight w:val="none"/>
              </w:rPr>
              <w:t>蜂蜜</w:t>
            </w:r>
          </w:p>
        </w:tc>
        <w:tc>
          <w:tcPr>
            <w:tcW w:w="284" w:type="pct"/>
            <w:noWrap w:val="0"/>
            <w:vAlign w:val="center"/>
          </w:tcPr>
          <w:p w14:paraId="6B803C16">
            <w:pPr>
              <w:spacing w:line="300" w:lineRule="exact"/>
              <w:jc w:val="center"/>
              <w:rPr>
                <w:rFonts w:eastAsia="仿宋_GB2312"/>
                <w:color w:val="auto"/>
                <w:szCs w:val="21"/>
                <w:highlight w:val="none"/>
              </w:rPr>
            </w:pPr>
            <w:r>
              <w:rPr>
                <w:rFonts w:eastAsia="仿宋_GB2312"/>
                <w:color w:val="auto"/>
                <w:szCs w:val="21"/>
                <w:highlight w:val="none"/>
              </w:rPr>
              <w:t>高</w:t>
            </w:r>
          </w:p>
        </w:tc>
        <w:tc>
          <w:tcPr>
            <w:tcW w:w="1553" w:type="pct"/>
            <w:noWrap w:val="0"/>
            <w:vAlign w:val="center"/>
          </w:tcPr>
          <w:p w14:paraId="4F88D8C9">
            <w:pPr>
              <w:spacing w:line="300" w:lineRule="exact"/>
              <w:jc w:val="left"/>
              <w:rPr>
                <w:rFonts w:eastAsia="仿宋_GB2312"/>
                <w:color w:val="auto"/>
                <w:szCs w:val="21"/>
                <w:highlight w:val="none"/>
              </w:rPr>
            </w:pPr>
            <w:r>
              <w:rPr>
                <w:rFonts w:eastAsia="仿宋_GB2312"/>
                <w:color w:val="auto"/>
                <w:szCs w:val="21"/>
                <w:highlight w:val="none"/>
              </w:rPr>
              <w:t>果糖和葡萄糖、呋喃西林代谢物、菌落总数、嗜渗酵母计数、蔗糖、呋喃唑酮代谢物、甲硝唑、氟胺氰菊酯</w:t>
            </w:r>
          </w:p>
        </w:tc>
        <w:tc>
          <w:tcPr>
            <w:tcW w:w="1186" w:type="pct"/>
            <w:noWrap w:val="0"/>
            <w:vAlign w:val="center"/>
          </w:tcPr>
          <w:p w14:paraId="6D8EC957">
            <w:pPr>
              <w:spacing w:line="300" w:lineRule="exact"/>
              <w:jc w:val="left"/>
              <w:rPr>
                <w:rFonts w:eastAsia="仿宋_GB2312"/>
                <w:color w:val="auto"/>
                <w:szCs w:val="21"/>
                <w:highlight w:val="none"/>
              </w:rPr>
            </w:pPr>
            <w:r>
              <w:rPr>
                <w:rFonts w:eastAsia="仿宋_GB2312"/>
                <w:color w:val="auto"/>
                <w:szCs w:val="21"/>
                <w:highlight w:val="none"/>
              </w:rPr>
              <w:t>霉菌计数、氯霉素</w:t>
            </w:r>
          </w:p>
        </w:tc>
      </w:tr>
      <w:tr w14:paraId="4DD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6C95E81E">
            <w:pPr>
              <w:spacing w:line="300" w:lineRule="exact"/>
              <w:jc w:val="center"/>
              <w:rPr>
                <w:rFonts w:eastAsia="仿宋_GB2312"/>
                <w:color w:val="auto"/>
                <w:szCs w:val="21"/>
                <w:highlight w:val="none"/>
              </w:rPr>
            </w:pPr>
          </w:p>
        </w:tc>
        <w:tc>
          <w:tcPr>
            <w:tcW w:w="367" w:type="pct"/>
            <w:vMerge w:val="continue"/>
            <w:noWrap w:val="0"/>
            <w:vAlign w:val="center"/>
          </w:tcPr>
          <w:p w14:paraId="63598C07">
            <w:pPr>
              <w:spacing w:line="300" w:lineRule="exact"/>
              <w:jc w:val="center"/>
              <w:rPr>
                <w:rFonts w:eastAsia="仿宋_GB2312"/>
                <w:color w:val="auto"/>
                <w:szCs w:val="21"/>
                <w:highlight w:val="none"/>
              </w:rPr>
            </w:pPr>
          </w:p>
        </w:tc>
        <w:tc>
          <w:tcPr>
            <w:tcW w:w="368" w:type="pct"/>
            <w:vMerge w:val="continue"/>
            <w:noWrap w:val="0"/>
            <w:vAlign w:val="center"/>
          </w:tcPr>
          <w:p w14:paraId="1FC09DD9">
            <w:pPr>
              <w:spacing w:line="300" w:lineRule="exact"/>
              <w:jc w:val="center"/>
              <w:rPr>
                <w:rFonts w:eastAsia="仿宋_GB2312"/>
                <w:color w:val="auto"/>
                <w:szCs w:val="21"/>
                <w:highlight w:val="none"/>
              </w:rPr>
            </w:pPr>
          </w:p>
        </w:tc>
        <w:tc>
          <w:tcPr>
            <w:tcW w:w="401" w:type="pct"/>
            <w:noWrap w:val="0"/>
            <w:vAlign w:val="center"/>
          </w:tcPr>
          <w:p w14:paraId="1B4356E1">
            <w:pPr>
              <w:pStyle w:val="4"/>
              <w:widowControl/>
              <w:spacing w:line="300" w:lineRule="exact"/>
              <w:jc w:val="center"/>
              <w:outlineLvl w:val="1"/>
              <w:rPr>
                <w:rFonts w:ascii="Times New Roman" w:hAnsi="Times New Roman" w:eastAsia="仿宋_GB2312"/>
                <w:color w:val="auto"/>
                <w:sz w:val="21"/>
                <w:szCs w:val="21"/>
                <w:highlight w:val="none"/>
                <w:lang w:val="en-US" w:eastAsia="zh-CN"/>
              </w:rPr>
            </w:pPr>
            <w:r>
              <w:rPr>
                <w:rFonts w:ascii="Times New Roman" w:hAnsi="Times New Roman" w:eastAsia="仿宋_GB2312"/>
                <w:b w:val="0"/>
                <w:bCs w:val="0"/>
                <w:color w:val="auto"/>
                <w:sz w:val="21"/>
                <w:szCs w:val="21"/>
                <w:highlight w:val="none"/>
                <w:lang w:val="en-US" w:eastAsia="zh-CN"/>
              </w:rPr>
              <w:t>蜂王浆(含蜂王浆冻干品)</w:t>
            </w:r>
          </w:p>
        </w:tc>
        <w:tc>
          <w:tcPr>
            <w:tcW w:w="670" w:type="pct"/>
            <w:noWrap w:val="0"/>
            <w:vAlign w:val="center"/>
          </w:tcPr>
          <w:p w14:paraId="2917FEB1">
            <w:pPr>
              <w:pStyle w:val="4"/>
              <w:widowControl/>
              <w:spacing w:line="300" w:lineRule="exact"/>
              <w:jc w:val="center"/>
              <w:outlineLvl w:val="1"/>
              <w:rPr>
                <w:rFonts w:ascii="Times New Roman" w:hAnsi="Times New Roman" w:eastAsia="仿宋_GB2312"/>
                <w:color w:val="auto"/>
                <w:sz w:val="21"/>
                <w:szCs w:val="21"/>
                <w:highlight w:val="none"/>
                <w:lang w:val="en-US" w:eastAsia="zh-CN"/>
              </w:rPr>
            </w:pPr>
            <w:r>
              <w:rPr>
                <w:rFonts w:ascii="Times New Roman" w:hAnsi="Times New Roman" w:eastAsia="仿宋_GB2312"/>
                <w:b w:val="0"/>
                <w:bCs w:val="0"/>
                <w:color w:val="auto"/>
                <w:sz w:val="21"/>
                <w:szCs w:val="21"/>
                <w:highlight w:val="none"/>
                <w:lang w:val="en-US" w:eastAsia="zh-CN"/>
              </w:rPr>
              <w:t>蜂王浆(含蜂王浆冻干品)</w:t>
            </w:r>
          </w:p>
        </w:tc>
        <w:tc>
          <w:tcPr>
            <w:tcW w:w="284" w:type="pct"/>
            <w:noWrap w:val="0"/>
            <w:vAlign w:val="center"/>
          </w:tcPr>
          <w:p w14:paraId="2F19875E">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64A3445">
            <w:pPr>
              <w:spacing w:line="300" w:lineRule="exact"/>
              <w:jc w:val="left"/>
              <w:rPr>
                <w:rFonts w:eastAsia="仿宋_GB2312"/>
                <w:color w:val="auto"/>
                <w:szCs w:val="21"/>
                <w:highlight w:val="none"/>
              </w:rPr>
            </w:pPr>
            <w:r>
              <w:rPr>
                <w:rFonts w:eastAsia="仿宋_GB2312"/>
                <w:color w:val="auto"/>
                <w:szCs w:val="21"/>
                <w:highlight w:val="none"/>
              </w:rPr>
              <w:t>10-羟基-2-癸烯酸、酸度、蛋白质、呋喃西林代谢物</w:t>
            </w:r>
          </w:p>
        </w:tc>
        <w:tc>
          <w:tcPr>
            <w:tcW w:w="1186" w:type="pct"/>
            <w:noWrap w:val="0"/>
            <w:vAlign w:val="center"/>
          </w:tcPr>
          <w:p w14:paraId="2D99D9C0">
            <w:pPr>
              <w:spacing w:line="300" w:lineRule="exact"/>
              <w:jc w:val="left"/>
              <w:rPr>
                <w:rFonts w:eastAsia="仿宋_GB2312"/>
                <w:color w:val="auto"/>
                <w:szCs w:val="21"/>
                <w:highlight w:val="none"/>
              </w:rPr>
            </w:pPr>
          </w:p>
        </w:tc>
      </w:tr>
      <w:tr w14:paraId="4DEB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6D2ACF5E">
            <w:pPr>
              <w:spacing w:line="300" w:lineRule="exact"/>
              <w:jc w:val="center"/>
              <w:rPr>
                <w:rFonts w:eastAsia="仿宋_GB2312"/>
                <w:color w:val="auto"/>
                <w:szCs w:val="21"/>
                <w:highlight w:val="none"/>
              </w:rPr>
            </w:pPr>
          </w:p>
        </w:tc>
        <w:tc>
          <w:tcPr>
            <w:tcW w:w="367" w:type="pct"/>
            <w:vMerge w:val="continue"/>
            <w:noWrap w:val="0"/>
            <w:vAlign w:val="center"/>
          </w:tcPr>
          <w:p w14:paraId="4989870C">
            <w:pPr>
              <w:spacing w:line="300" w:lineRule="exact"/>
              <w:jc w:val="center"/>
              <w:rPr>
                <w:rFonts w:eastAsia="仿宋_GB2312"/>
                <w:color w:val="auto"/>
                <w:szCs w:val="21"/>
                <w:highlight w:val="none"/>
              </w:rPr>
            </w:pPr>
          </w:p>
        </w:tc>
        <w:tc>
          <w:tcPr>
            <w:tcW w:w="368" w:type="pct"/>
            <w:vMerge w:val="continue"/>
            <w:noWrap w:val="0"/>
            <w:vAlign w:val="center"/>
          </w:tcPr>
          <w:p w14:paraId="129BDD9A">
            <w:pPr>
              <w:spacing w:line="300" w:lineRule="exact"/>
              <w:jc w:val="center"/>
              <w:rPr>
                <w:rFonts w:eastAsia="仿宋_GB2312"/>
                <w:color w:val="auto"/>
                <w:szCs w:val="21"/>
                <w:highlight w:val="none"/>
              </w:rPr>
            </w:pPr>
          </w:p>
        </w:tc>
        <w:tc>
          <w:tcPr>
            <w:tcW w:w="401" w:type="pct"/>
            <w:noWrap w:val="0"/>
            <w:vAlign w:val="center"/>
          </w:tcPr>
          <w:p w14:paraId="2626E8DD">
            <w:pPr>
              <w:pStyle w:val="4"/>
              <w:widowControl/>
              <w:spacing w:line="300" w:lineRule="exact"/>
              <w:outlineLvl w:val="1"/>
              <w:rPr>
                <w:rFonts w:ascii="Times New Roman" w:hAnsi="Times New Roman" w:eastAsia="仿宋_GB2312"/>
                <w:color w:val="auto"/>
                <w:sz w:val="21"/>
                <w:szCs w:val="21"/>
                <w:highlight w:val="none"/>
                <w:lang w:val="en-US" w:eastAsia="zh-CN"/>
              </w:rPr>
            </w:pPr>
            <w:r>
              <w:rPr>
                <w:rFonts w:ascii="Times New Roman" w:hAnsi="Times New Roman" w:eastAsia="仿宋_GB2312"/>
                <w:b w:val="0"/>
                <w:bCs w:val="0"/>
                <w:color w:val="auto"/>
                <w:sz w:val="21"/>
                <w:szCs w:val="21"/>
                <w:highlight w:val="none"/>
                <w:lang w:val="en-US" w:eastAsia="zh-CN"/>
              </w:rPr>
              <w:t>蜂花粉</w:t>
            </w:r>
          </w:p>
        </w:tc>
        <w:tc>
          <w:tcPr>
            <w:tcW w:w="670" w:type="pct"/>
            <w:noWrap w:val="0"/>
            <w:vAlign w:val="center"/>
          </w:tcPr>
          <w:p w14:paraId="2F1274B1">
            <w:pPr>
              <w:pStyle w:val="4"/>
              <w:widowControl/>
              <w:spacing w:line="300" w:lineRule="exact"/>
              <w:ind w:firstLine="420" w:firstLineChars="200"/>
              <w:outlineLvl w:val="1"/>
              <w:rPr>
                <w:rFonts w:ascii="Times New Roman" w:hAnsi="Times New Roman" w:eastAsia="仿宋_GB2312"/>
                <w:color w:val="auto"/>
                <w:sz w:val="21"/>
                <w:szCs w:val="21"/>
                <w:highlight w:val="none"/>
                <w:lang w:val="en-US" w:eastAsia="zh-CN"/>
              </w:rPr>
            </w:pPr>
            <w:r>
              <w:rPr>
                <w:rFonts w:ascii="Times New Roman" w:hAnsi="Times New Roman" w:eastAsia="仿宋_GB2312"/>
                <w:b w:val="0"/>
                <w:bCs w:val="0"/>
                <w:color w:val="auto"/>
                <w:sz w:val="21"/>
                <w:szCs w:val="21"/>
                <w:highlight w:val="none"/>
                <w:lang w:val="en-US" w:eastAsia="zh-CN"/>
              </w:rPr>
              <w:t>蜂花粉</w:t>
            </w:r>
          </w:p>
        </w:tc>
        <w:tc>
          <w:tcPr>
            <w:tcW w:w="284" w:type="pct"/>
            <w:noWrap w:val="0"/>
            <w:vAlign w:val="center"/>
          </w:tcPr>
          <w:p w14:paraId="2CCEF7FD">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2F19C8AB">
            <w:pPr>
              <w:spacing w:line="300" w:lineRule="exact"/>
              <w:jc w:val="left"/>
              <w:rPr>
                <w:rFonts w:eastAsia="仿宋_GB2312"/>
                <w:color w:val="auto"/>
                <w:szCs w:val="21"/>
                <w:highlight w:val="none"/>
              </w:rPr>
            </w:pPr>
            <w:r>
              <w:rPr>
                <w:rFonts w:eastAsia="仿宋_GB2312"/>
                <w:color w:val="auto"/>
                <w:szCs w:val="21"/>
                <w:highlight w:val="none"/>
              </w:rPr>
              <w:t>菌落总数、大肠菌群、霉菌、铅(Pb)</w:t>
            </w:r>
          </w:p>
        </w:tc>
        <w:tc>
          <w:tcPr>
            <w:tcW w:w="1186" w:type="pct"/>
            <w:noWrap w:val="0"/>
            <w:vAlign w:val="center"/>
          </w:tcPr>
          <w:p w14:paraId="4D73F1A6">
            <w:pPr>
              <w:spacing w:line="300" w:lineRule="exact"/>
              <w:jc w:val="left"/>
              <w:rPr>
                <w:rFonts w:eastAsia="仿宋_GB2312"/>
                <w:color w:val="auto"/>
                <w:szCs w:val="21"/>
                <w:highlight w:val="none"/>
              </w:rPr>
            </w:pPr>
          </w:p>
        </w:tc>
      </w:tr>
      <w:tr w14:paraId="568B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1B286C24">
            <w:pPr>
              <w:spacing w:line="300" w:lineRule="exact"/>
              <w:jc w:val="center"/>
              <w:rPr>
                <w:rFonts w:eastAsia="仿宋_GB2312"/>
                <w:color w:val="auto"/>
                <w:szCs w:val="21"/>
                <w:highlight w:val="none"/>
              </w:rPr>
            </w:pPr>
          </w:p>
        </w:tc>
        <w:tc>
          <w:tcPr>
            <w:tcW w:w="367" w:type="pct"/>
            <w:vMerge w:val="continue"/>
            <w:noWrap w:val="0"/>
            <w:vAlign w:val="center"/>
          </w:tcPr>
          <w:p w14:paraId="44308783">
            <w:pPr>
              <w:spacing w:line="300" w:lineRule="exact"/>
              <w:jc w:val="center"/>
              <w:rPr>
                <w:rFonts w:eastAsia="仿宋_GB2312"/>
                <w:color w:val="auto"/>
                <w:szCs w:val="21"/>
                <w:highlight w:val="none"/>
              </w:rPr>
            </w:pPr>
          </w:p>
        </w:tc>
        <w:tc>
          <w:tcPr>
            <w:tcW w:w="368" w:type="pct"/>
            <w:vMerge w:val="continue"/>
            <w:noWrap w:val="0"/>
            <w:vAlign w:val="center"/>
          </w:tcPr>
          <w:p w14:paraId="06ECBC90">
            <w:pPr>
              <w:spacing w:line="300" w:lineRule="exact"/>
              <w:jc w:val="center"/>
              <w:rPr>
                <w:rFonts w:eastAsia="仿宋_GB2312"/>
                <w:color w:val="auto"/>
                <w:szCs w:val="21"/>
                <w:highlight w:val="none"/>
              </w:rPr>
            </w:pPr>
          </w:p>
        </w:tc>
        <w:tc>
          <w:tcPr>
            <w:tcW w:w="401" w:type="pct"/>
            <w:noWrap w:val="0"/>
            <w:vAlign w:val="center"/>
          </w:tcPr>
          <w:p w14:paraId="617EDBAB">
            <w:pPr>
              <w:spacing w:line="300" w:lineRule="exact"/>
              <w:rPr>
                <w:rFonts w:eastAsia="仿宋_GB2312"/>
                <w:color w:val="auto"/>
                <w:szCs w:val="21"/>
                <w:highlight w:val="none"/>
              </w:rPr>
            </w:pPr>
            <w:r>
              <w:rPr>
                <w:rFonts w:eastAsia="仿宋_GB2312"/>
                <w:color w:val="auto"/>
                <w:szCs w:val="21"/>
                <w:highlight w:val="none"/>
              </w:rPr>
              <w:t>蜂产品制品</w:t>
            </w:r>
          </w:p>
        </w:tc>
        <w:tc>
          <w:tcPr>
            <w:tcW w:w="670" w:type="pct"/>
            <w:noWrap w:val="0"/>
            <w:vAlign w:val="center"/>
          </w:tcPr>
          <w:p w14:paraId="32BB837A">
            <w:pPr>
              <w:spacing w:line="300" w:lineRule="exact"/>
              <w:jc w:val="center"/>
              <w:rPr>
                <w:rFonts w:eastAsia="仿宋_GB2312"/>
                <w:color w:val="auto"/>
                <w:szCs w:val="21"/>
                <w:highlight w:val="none"/>
              </w:rPr>
            </w:pPr>
            <w:r>
              <w:rPr>
                <w:rFonts w:eastAsia="仿宋_GB2312"/>
                <w:color w:val="auto"/>
                <w:szCs w:val="21"/>
                <w:highlight w:val="none"/>
              </w:rPr>
              <w:t>蜂产品制品</w:t>
            </w:r>
          </w:p>
        </w:tc>
        <w:tc>
          <w:tcPr>
            <w:tcW w:w="284" w:type="pct"/>
            <w:noWrap w:val="0"/>
            <w:vAlign w:val="center"/>
          </w:tcPr>
          <w:p w14:paraId="277F5F47">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50F3D617">
            <w:pPr>
              <w:spacing w:line="300" w:lineRule="exact"/>
              <w:jc w:val="left"/>
              <w:rPr>
                <w:rFonts w:eastAsia="仿宋_GB2312"/>
                <w:color w:val="auto"/>
                <w:szCs w:val="21"/>
                <w:highlight w:val="none"/>
              </w:rPr>
            </w:pPr>
            <w:r>
              <w:rPr>
                <w:rFonts w:eastAsia="仿宋_GB2312"/>
                <w:color w:val="auto"/>
                <w:szCs w:val="21"/>
                <w:highlight w:val="none"/>
              </w:rPr>
              <w:t>山梨酸及其钾盐(以山梨酸计)、合成着色剂(柠檬黄、日落黄)、菌落总数</w:t>
            </w:r>
          </w:p>
        </w:tc>
        <w:tc>
          <w:tcPr>
            <w:tcW w:w="1186" w:type="pct"/>
            <w:noWrap w:val="0"/>
            <w:vAlign w:val="center"/>
          </w:tcPr>
          <w:p w14:paraId="57745C6F">
            <w:pPr>
              <w:spacing w:line="300" w:lineRule="exact"/>
              <w:jc w:val="left"/>
              <w:rPr>
                <w:rFonts w:eastAsia="仿宋_GB2312"/>
                <w:color w:val="auto"/>
                <w:szCs w:val="21"/>
                <w:highlight w:val="none"/>
              </w:rPr>
            </w:pPr>
          </w:p>
        </w:tc>
      </w:tr>
      <w:tr w14:paraId="4A41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noWrap w:val="0"/>
            <w:vAlign w:val="center"/>
          </w:tcPr>
          <w:p w14:paraId="56170B13">
            <w:pPr>
              <w:widowControl/>
              <w:spacing w:line="300" w:lineRule="exact"/>
              <w:jc w:val="center"/>
              <w:textAlignment w:val="center"/>
              <w:rPr>
                <w:rFonts w:eastAsia="仿宋_GB2312"/>
                <w:color w:val="auto"/>
                <w:szCs w:val="21"/>
                <w:highlight w:val="none"/>
              </w:rPr>
            </w:pPr>
            <w:r>
              <w:rPr>
                <w:rFonts w:eastAsia="仿宋_GB2312"/>
                <w:color w:val="auto"/>
                <w:kern w:val="0"/>
                <w:szCs w:val="21"/>
                <w:highlight w:val="none"/>
                <w:lang w:bidi="ar"/>
              </w:rPr>
              <w:t>27</w:t>
            </w:r>
          </w:p>
        </w:tc>
        <w:tc>
          <w:tcPr>
            <w:tcW w:w="367" w:type="pct"/>
            <w:noWrap w:val="0"/>
            <w:vAlign w:val="center"/>
          </w:tcPr>
          <w:p w14:paraId="5DBC6E6D">
            <w:pPr>
              <w:widowControl/>
              <w:spacing w:line="300" w:lineRule="exact"/>
              <w:jc w:val="center"/>
              <w:textAlignment w:val="center"/>
              <w:rPr>
                <w:rFonts w:eastAsia="仿宋_GB2312"/>
                <w:color w:val="auto"/>
                <w:szCs w:val="21"/>
                <w:highlight w:val="none"/>
              </w:rPr>
            </w:pPr>
            <w:r>
              <w:rPr>
                <w:rFonts w:eastAsia="仿宋_GB2312"/>
                <w:color w:val="auto"/>
                <w:kern w:val="0"/>
                <w:szCs w:val="21"/>
                <w:highlight w:val="none"/>
                <w:lang w:bidi="ar"/>
              </w:rPr>
              <w:t>保健食品</w:t>
            </w:r>
          </w:p>
        </w:tc>
        <w:tc>
          <w:tcPr>
            <w:tcW w:w="368" w:type="pct"/>
            <w:noWrap w:val="0"/>
            <w:vAlign w:val="center"/>
          </w:tcPr>
          <w:p w14:paraId="69EBF123">
            <w:pPr>
              <w:widowControl/>
              <w:spacing w:line="300" w:lineRule="exact"/>
              <w:jc w:val="center"/>
              <w:textAlignment w:val="center"/>
              <w:rPr>
                <w:rFonts w:eastAsia="仿宋_GB2312"/>
                <w:color w:val="auto"/>
                <w:szCs w:val="21"/>
                <w:highlight w:val="none"/>
              </w:rPr>
            </w:pPr>
            <w:r>
              <w:rPr>
                <w:rFonts w:eastAsia="仿宋_GB2312"/>
                <w:color w:val="auto"/>
                <w:kern w:val="0"/>
                <w:szCs w:val="21"/>
                <w:highlight w:val="none"/>
                <w:lang w:bidi="ar"/>
              </w:rPr>
              <w:t>保健食品</w:t>
            </w:r>
          </w:p>
        </w:tc>
        <w:tc>
          <w:tcPr>
            <w:tcW w:w="401" w:type="pct"/>
            <w:noWrap w:val="0"/>
            <w:vAlign w:val="center"/>
          </w:tcPr>
          <w:p w14:paraId="746E56FD">
            <w:pPr>
              <w:widowControl/>
              <w:spacing w:line="300" w:lineRule="exact"/>
              <w:jc w:val="center"/>
              <w:textAlignment w:val="center"/>
              <w:rPr>
                <w:rFonts w:eastAsia="仿宋_GB2312"/>
                <w:color w:val="auto"/>
                <w:szCs w:val="21"/>
                <w:highlight w:val="none"/>
              </w:rPr>
            </w:pPr>
            <w:r>
              <w:rPr>
                <w:rFonts w:eastAsia="仿宋_GB2312"/>
                <w:color w:val="auto"/>
                <w:kern w:val="0"/>
                <w:szCs w:val="21"/>
                <w:highlight w:val="none"/>
                <w:lang w:bidi="ar"/>
              </w:rPr>
              <w:t>保健食品</w:t>
            </w:r>
          </w:p>
        </w:tc>
        <w:tc>
          <w:tcPr>
            <w:tcW w:w="670" w:type="pct"/>
            <w:noWrap w:val="0"/>
            <w:vAlign w:val="center"/>
          </w:tcPr>
          <w:p w14:paraId="1D5F8643">
            <w:pPr>
              <w:widowControl/>
              <w:spacing w:line="300" w:lineRule="exact"/>
              <w:jc w:val="center"/>
              <w:textAlignment w:val="center"/>
              <w:rPr>
                <w:rFonts w:eastAsia="仿宋_GB2312"/>
                <w:color w:val="auto"/>
                <w:szCs w:val="21"/>
                <w:highlight w:val="none"/>
              </w:rPr>
            </w:pPr>
            <w:r>
              <w:rPr>
                <w:rFonts w:eastAsia="仿宋_GB2312"/>
                <w:color w:val="auto"/>
                <w:kern w:val="0"/>
                <w:szCs w:val="21"/>
                <w:highlight w:val="none"/>
                <w:lang w:bidi="ar"/>
              </w:rPr>
              <w:t>保健食品</w:t>
            </w:r>
          </w:p>
        </w:tc>
        <w:tc>
          <w:tcPr>
            <w:tcW w:w="284" w:type="pct"/>
            <w:noWrap w:val="0"/>
            <w:vAlign w:val="center"/>
          </w:tcPr>
          <w:p w14:paraId="7C39CE73">
            <w:pPr>
              <w:widowControl/>
              <w:spacing w:line="300" w:lineRule="exact"/>
              <w:jc w:val="center"/>
              <w:textAlignment w:val="center"/>
              <w:rPr>
                <w:rFonts w:eastAsia="仿宋_GB2312"/>
                <w:color w:val="auto"/>
                <w:szCs w:val="21"/>
                <w:highlight w:val="none"/>
              </w:rPr>
            </w:pPr>
            <w:r>
              <w:rPr>
                <w:rFonts w:eastAsia="仿宋_GB2312"/>
                <w:color w:val="auto"/>
                <w:kern w:val="0"/>
                <w:szCs w:val="21"/>
                <w:highlight w:val="none"/>
                <w:lang w:bidi="ar"/>
              </w:rPr>
              <w:t>较高</w:t>
            </w:r>
          </w:p>
        </w:tc>
        <w:tc>
          <w:tcPr>
            <w:tcW w:w="1553" w:type="pct"/>
            <w:noWrap w:val="0"/>
            <w:vAlign w:val="center"/>
          </w:tcPr>
          <w:p w14:paraId="15CEC628">
            <w:pPr>
              <w:keepNext w:val="0"/>
              <w:keepLines w:val="0"/>
              <w:pageBreakBefore w:val="0"/>
              <w:widowControl/>
              <w:suppressLineNumbers w:val="0"/>
              <w:wordWrap/>
              <w:overflowPunct/>
              <w:topLinePunct w:val="0"/>
              <w:bidi w:val="0"/>
              <w:spacing w:line="300" w:lineRule="exact"/>
              <w:jc w:val="left"/>
              <w:textAlignment w:val="center"/>
              <w:rPr>
                <w:rFonts w:hint="eastAsia" w:eastAsia="仿宋_GB2312" w:cs="Times New Roman"/>
                <w:b/>
                <w:bCs/>
                <w:i w:val="0"/>
                <w:iCs w:val="0"/>
                <w:color w:val="000000"/>
                <w:kern w:val="0"/>
                <w:sz w:val="21"/>
                <w:szCs w:val="21"/>
                <w:highlight w:val="none"/>
                <w:u w:val="single"/>
                <w:lang w:val="en-US" w:eastAsia="zh-CN" w:bidi="ar"/>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氨基酸、10-羟基-2-癸烯酸、蛋白质、二十二碳六烯酸、二十碳五烯酸、泛酸、钙、还原糖</w:t>
            </w:r>
            <w:r>
              <w:rPr>
                <w:rFonts w:hint="eastAsia" w:ascii="Times New Roman" w:hAnsi="Times New Roman" w:eastAsia="仿宋_GB2312" w:cs="Times New Roman"/>
                <w:b/>
                <w:bCs/>
                <w:i w:val="0"/>
                <w:iCs w:val="0"/>
                <w:color w:val="000000"/>
                <w:kern w:val="0"/>
                <w:sz w:val="21"/>
                <w:szCs w:val="21"/>
                <w:highlight w:val="none"/>
                <w:u w:val="none"/>
                <w:lang w:val="en-US" w:eastAsia="zh-CN" w:bidi="ar"/>
              </w:rPr>
              <w:t>、</w:t>
            </w:r>
            <w:r>
              <w:rPr>
                <w:rFonts w:hint="default" w:ascii="Times New Roman" w:hAnsi="Times New Roman" w:eastAsia="仿宋_GB2312" w:cs="Times New Roman"/>
                <w:b/>
                <w:bCs/>
                <w:i w:val="0"/>
                <w:iCs w:val="0"/>
                <w:color w:val="000000"/>
                <w:kern w:val="0"/>
                <w:sz w:val="21"/>
                <w:szCs w:val="21"/>
                <w:highlight w:val="none"/>
                <w:u w:val="none"/>
                <w:lang w:val="en-US" w:eastAsia="zh-CN" w:bidi="ar"/>
              </w:rPr>
              <w:t>肌醇、赖氨酸、绿原酸、铁、维生素A、维生素B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1</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12</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2</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6</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、维生素C、维生素D、维生素D</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3</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、维生素E、硒、锌、烟酰胺、叶酸、免疫球蛋白IgG、总黄酮</w:t>
            </w:r>
            <w:r>
              <w:rPr>
                <w:rFonts w:hint="eastAsia" w:ascii="Times New Roman" w:hAnsi="Times New Roman" w:eastAsia="仿宋_GB2312" w:cs="Times New Roman"/>
                <w:b/>
                <w:bCs/>
                <w:i w:val="0"/>
                <w:iCs w:val="0"/>
                <w:color w:val="000000"/>
                <w:kern w:val="0"/>
                <w:sz w:val="21"/>
                <w:szCs w:val="21"/>
                <w:highlight w:val="none"/>
                <w:u w:val="none"/>
                <w:lang w:val="en-US" w:eastAsia="zh-CN" w:bidi="ar"/>
              </w:rPr>
              <w:t>、</w:t>
            </w:r>
            <w:r>
              <w:rPr>
                <w:rFonts w:hint="default" w:ascii="Times New Roman" w:hAnsi="Times New Roman" w:eastAsia="仿宋_GB2312" w:cs="Times New Roman"/>
                <w:b/>
                <w:bCs/>
                <w:i w:val="0"/>
                <w:iCs w:val="0"/>
                <w:color w:val="000000"/>
                <w:kern w:val="0"/>
                <w:sz w:val="21"/>
                <w:szCs w:val="21"/>
                <w:highlight w:val="none"/>
                <w:u w:val="none"/>
                <w:lang w:val="en-US" w:eastAsia="zh-CN" w:bidi="ar"/>
              </w:rPr>
              <w:t>总皂苷、总蒽醒、吡啶甲酸铬、芦荟苷、总三萜、嗜酸乳杆菌、双歧杆菌、水分、可溶性固形物、酸价、过氧化值、崩解时限、灰分</w:t>
            </w:r>
            <w:r>
              <w:rPr>
                <w:rFonts w:hint="eastAsia" w:eastAsia="仿宋_GB2312" w:cs="Times New Roman"/>
                <w:b/>
                <w:bCs/>
                <w:i w:val="0"/>
                <w:iCs w:val="0"/>
                <w:color w:val="000000"/>
                <w:kern w:val="0"/>
                <w:sz w:val="21"/>
                <w:szCs w:val="21"/>
                <w:highlight w:val="none"/>
                <w:u w:val="single"/>
                <w:lang w:val="en-US" w:eastAsia="zh-CN" w:bidi="ar"/>
              </w:rPr>
              <w:t>（以上部分无需资质，承诺覆盖，可出具风险监测报告。）</w:t>
            </w:r>
          </w:p>
          <w:p w14:paraId="2DB9CFAE">
            <w:pPr>
              <w:pStyle w:val="2"/>
              <w:ind w:left="0" w:leftChars="0" w:firstLine="0" w:firstLineChars="0"/>
              <w:rPr>
                <w:rFonts w:hint="eastAsia"/>
                <w:lang w:val="en-US" w:eastAsia="zh-CN"/>
              </w:rPr>
            </w:pPr>
          </w:p>
          <w:p w14:paraId="39D5F078">
            <w:pPr>
              <w:widowControl/>
              <w:spacing w:line="300" w:lineRule="exact"/>
              <w:jc w:val="left"/>
              <w:textAlignment w:val="center"/>
              <w:rPr>
                <w:rFonts w:eastAsia="仿宋_GB2312"/>
                <w:color w:val="auto"/>
                <w:szCs w:val="21"/>
                <w:highlight w:val="none"/>
              </w:rPr>
            </w:pPr>
            <w:r>
              <w:rPr>
                <w:rFonts w:eastAsia="仿宋_GB2312"/>
                <w:color w:val="auto"/>
                <w:kern w:val="0"/>
                <w:szCs w:val="21"/>
                <w:highlight w:val="none"/>
                <w:lang w:bidi="ar"/>
              </w:rPr>
              <w:t>铅(Pb)、总砷(As)、总汞(Hg)、硬胶囊壳中的铬、菌落总数、大肠菌群、霉菌和酵母、金黄色葡萄球菌、沙门氏菌、褪黑素、甘草酸、咖啡因、淫羊藿苷、葛根素、辅酶Q</w:t>
            </w:r>
            <w:r>
              <w:rPr>
                <w:rFonts w:hint="eastAsia" w:eastAsia="仿宋_GB2312"/>
                <w:color w:val="auto"/>
                <w:kern w:val="0"/>
                <w:szCs w:val="21"/>
                <w:highlight w:val="none"/>
                <w:vertAlign w:val="subscript"/>
                <w:lang w:bidi="ar"/>
              </w:rPr>
              <w:t>10</w:t>
            </w:r>
            <w:r>
              <w:rPr>
                <w:rFonts w:eastAsia="仿宋_GB2312"/>
                <w:color w:val="auto"/>
                <w:kern w:val="0"/>
                <w:szCs w:val="21"/>
                <w:highlight w:val="none"/>
                <w:lang w:bidi="ar"/>
              </w:rPr>
              <w:t>、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1186" w:type="pct"/>
            <w:noWrap w:val="0"/>
            <w:vAlign w:val="center"/>
          </w:tcPr>
          <w:p w14:paraId="60E0F960">
            <w:pPr>
              <w:spacing w:line="300" w:lineRule="exact"/>
              <w:jc w:val="left"/>
              <w:rPr>
                <w:rFonts w:eastAsia="仿宋_GB2312"/>
                <w:color w:val="auto"/>
                <w:szCs w:val="21"/>
                <w:highlight w:val="none"/>
              </w:rPr>
            </w:pPr>
          </w:p>
        </w:tc>
      </w:tr>
      <w:tr w14:paraId="5708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restart"/>
            <w:noWrap w:val="0"/>
            <w:vAlign w:val="center"/>
          </w:tcPr>
          <w:p w14:paraId="3C167BE1">
            <w:pPr>
              <w:spacing w:line="300" w:lineRule="exact"/>
              <w:jc w:val="center"/>
              <w:rPr>
                <w:rFonts w:eastAsia="仿宋_GB2312"/>
                <w:color w:val="auto"/>
                <w:spacing w:val="5"/>
                <w:szCs w:val="21"/>
                <w:highlight w:val="none"/>
              </w:rPr>
            </w:pPr>
            <w:r>
              <w:rPr>
                <w:rFonts w:hint="eastAsia" w:eastAsia="仿宋_GB2312"/>
                <w:color w:val="auto"/>
                <w:szCs w:val="21"/>
                <w:highlight w:val="none"/>
              </w:rPr>
              <w:t>28</w:t>
            </w:r>
          </w:p>
        </w:tc>
        <w:tc>
          <w:tcPr>
            <w:tcW w:w="367" w:type="pct"/>
            <w:vMerge w:val="restart"/>
            <w:noWrap w:val="0"/>
            <w:vAlign w:val="center"/>
          </w:tcPr>
          <w:p w14:paraId="12CF8D59">
            <w:pPr>
              <w:spacing w:line="300" w:lineRule="exact"/>
              <w:jc w:val="center"/>
              <w:rPr>
                <w:rFonts w:eastAsia="仿宋_GB2312"/>
                <w:color w:val="auto"/>
                <w:spacing w:val="5"/>
                <w:szCs w:val="21"/>
                <w:highlight w:val="none"/>
              </w:rPr>
            </w:pPr>
            <w:r>
              <w:rPr>
                <w:rFonts w:eastAsia="仿宋_GB2312"/>
                <w:color w:val="auto"/>
                <w:spacing w:val="5"/>
                <w:szCs w:val="21"/>
                <w:highlight w:val="none"/>
              </w:rPr>
              <w:t>餐饮食品</w:t>
            </w:r>
          </w:p>
        </w:tc>
        <w:tc>
          <w:tcPr>
            <w:tcW w:w="368" w:type="pct"/>
            <w:vMerge w:val="restart"/>
            <w:noWrap w:val="0"/>
            <w:vAlign w:val="center"/>
          </w:tcPr>
          <w:p w14:paraId="1B30E22E">
            <w:pPr>
              <w:spacing w:line="300" w:lineRule="exact"/>
              <w:jc w:val="center"/>
              <w:rPr>
                <w:rFonts w:eastAsia="仿宋_GB2312"/>
                <w:color w:val="auto"/>
                <w:spacing w:val="5"/>
                <w:szCs w:val="21"/>
                <w:highlight w:val="none"/>
              </w:rPr>
            </w:pPr>
            <w:r>
              <w:rPr>
                <w:rFonts w:eastAsia="仿宋_GB2312"/>
                <w:color w:val="auto"/>
                <w:spacing w:val="5"/>
                <w:szCs w:val="21"/>
                <w:highlight w:val="none"/>
              </w:rPr>
              <w:t>米面及其制品(自制)</w:t>
            </w:r>
          </w:p>
        </w:tc>
        <w:tc>
          <w:tcPr>
            <w:tcW w:w="401" w:type="pct"/>
            <w:vMerge w:val="restart"/>
            <w:noWrap w:val="0"/>
            <w:vAlign w:val="center"/>
          </w:tcPr>
          <w:p w14:paraId="586D6570">
            <w:pPr>
              <w:spacing w:line="300" w:lineRule="exact"/>
              <w:jc w:val="center"/>
              <w:rPr>
                <w:rFonts w:eastAsia="仿宋_GB2312"/>
                <w:color w:val="auto"/>
                <w:spacing w:val="5"/>
                <w:szCs w:val="21"/>
                <w:highlight w:val="none"/>
              </w:rPr>
            </w:pPr>
            <w:r>
              <w:rPr>
                <w:rFonts w:eastAsia="仿宋_GB2312"/>
                <w:color w:val="auto"/>
                <w:spacing w:val="5"/>
                <w:szCs w:val="21"/>
                <w:highlight w:val="none"/>
              </w:rPr>
              <w:t>小麦粉制品(自制)</w:t>
            </w:r>
          </w:p>
        </w:tc>
        <w:tc>
          <w:tcPr>
            <w:tcW w:w="670" w:type="pct"/>
            <w:noWrap w:val="0"/>
            <w:vAlign w:val="center"/>
          </w:tcPr>
          <w:p w14:paraId="62300832">
            <w:pPr>
              <w:spacing w:line="300" w:lineRule="exact"/>
              <w:jc w:val="center"/>
              <w:rPr>
                <w:rFonts w:eastAsia="仿宋_GB2312"/>
                <w:color w:val="auto"/>
                <w:spacing w:val="5"/>
                <w:szCs w:val="21"/>
                <w:highlight w:val="none"/>
              </w:rPr>
            </w:pPr>
            <w:r>
              <w:rPr>
                <w:rFonts w:eastAsia="仿宋_GB2312"/>
                <w:color w:val="auto"/>
                <w:spacing w:val="5"/>
                <w:szCs w:val="21"/>
                <w:highlight w:val="none"/>
              </w:rPr>
              <w:t>馒头花卷</w:t>
            </w:r>
          </w:p>
          <w:p w14:paraId="7BC59BE6">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7FE4AAE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2427FAB2">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苯甲酸及其钠盐(以苯甲酸计)、山梨酸及其钾盐(以山梨酸计)、糖精钠(以糖精计)、脱氢乙酸及其钠盐(以脱氢乙酸计)、甜蜜素(以环己基氨基磺酸计)、合成着色剂（柠檬黄、日落黄、胭脂红、苋菜红、亮蓝）</w:t>
            </w:r>
          </w:p>
        </w:tc>
        <w:tc>
          <w:tcPr>
            <w:tcW w:w="1186" w:type="pct"/>
            <w:noWrap w:val="0"/>
            <w:vAlign w:val="center"/>
          </w:tcPr>
          <w:p w14:paraId="2F27AA86">
            <w:pPr>
              <w:spacing w:line="300" w:lineRule="exact"/>
              <w:jc w:val="left"/>
              <w:rPr>
                <w:rFonts w:eastAsia="仿宋_GB2312"/>
                <w:color w:val="auto"/>
                <w:spacing w:val="5"/>
                <w:szCs w:val="21"/>
                <w:highlight w:val="none"/>
              </w:rPr>
            </w:pPr>
            <w:r>
              <w:rPr>
                <w:rFonts w:eastAsia="仿宋_GB2312"/>
                <w:color w:val="auto"/>
                <w:spacing w:val="5"/>
                <w:szCs w:val="21"/>
                <w:highlight w:val="none"/>
              </w:rPr>
              <w:t>铅(以Pb计)</w:t>
            </w:r>
          </w:p>
          <w:p w14:paraId="0ADC692B">
            <w:pPr>
              <w:spacing w:line="300" w:lineRule="exact"/>
              <w:jc w:val="left"/>
              <w:rPr>
                <w:rFonts w:eastAsia="仿宋_GB2312"/>
                <w:color w:val="auto"/>
                <w:spacing w:val="5"/>
                <w:szCs w:val="21"/>
                <w:highlight w:val="none"/>
              </w:rPr>
            </w:pPr>
          </w:p>
          <w:p w14:paraId="660C5CC2">
            <w:pPr>
              <w:spacing w:line="300" w:lineRule="exact"/>
              <w:jc w:val="left"/>
              <w:rPr>
                <w:rFonts w:eastAsia="仿宋_GB2312"/>
                <w:color w:val="auto"/>
                <w:spacing w:val="5"/>
                <w:szCs w:val="21"/>
                <w:highlight w:val="none"/>
              </w:rPr>
            </w:pPr>
          </w:p>
        </w:tc>
      </w:tr>
      <w:tr w14:paraId="675D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5C5F249">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379DFF78">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36917807">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6F776E2A">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0AF401D1">
            <w:pPr>
              <w:spacing w:line="300" w:lineRule="exact"/>
              <w:jc w:val="center"/>
              <w:rPr>
                <w:rFonts w:eastAsia="仿宋_GB2312"/>
                <w:color w:val="auto"/>
                <w:spacing w:val="5"/>
                <w:szCs w:val="21"/>
                <w:highlight w:val="none"/>
              </w:rPr>
            </w:pPr>
            <w:r>
              <w:rPr>
                <w:rFonts w:eastAsia="仿宋_GB2312"/>
                <w:color w:val="auto"/>
                <w:spacing w:val="5"/>
                <w:szCs w:val="21"/>
                <w:highlight w:val="none"/>
              </w:rPr>
              <w:t>包子（自制）</w:t>
            </w:r>
          </w:p>
        </w:tc>
        <w:tc>
          <w:tcPr>
            <w:tcW w:w="284" w:type="pct"/>
            <w:noWrap w:val="0"/>
            <w:vAlign w:val="center"/>
          </w:tcPr>
          <w:p w14:paraId="1AE9FB09">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0F9869EE">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苯甲酸及其钠盐(以苯甲酸计)、山梨酸及其钾盐(以山梨酸计)、糖精钠(以糖精计)、脱氢乙酸及其钠盐(以脱氢乙酸计)、甜蜜素(以环己基氨基磺酸计)</w:t>
            </w:r>
          </w:p>
        </w:tc>
        <w:tc>
          <w:tcPr>
            <w:tcW w:w="1186" w:type="pct"/>
            <w:noWrap w:val="0"/>
            <w:vAlign w:val="center"/>
          </w:tcPr>
          <w:p w14:paraId="3DAA3B7A">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359B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410E7BC1">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7989F29B">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6939F22F">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31E6E11C">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3E7E87C4">
            <w:pPr>
              <w:spacing w:line="300" w:lineRule="exact"/>
              <w:jc w:val="center"/>
              <w:rPr>
                <w:rFonts w:eastAsia="仿宋_GB2312"/>
                <w:color w:val="auto"/>
                <w:spacing w:val="5"/>
                <w:szCs w:val="21"/>
                <w:highlight w:val="none"/>
              </w:rPr>
            </w:pPr>
            <w:r>
              <w:rPr>
                <w:rFonts w:eastAsia="仿宋_GB2312"/>
                <w:color w:val="auto"/>
                <w:spacing w:val="5"/>
                <w:szCs w:val="21"/>
                <w:highlight w:val="none"/>
              </w:rPr>
              <w:t>油饼油条</w:t>
            </w:r>
          </w:p>
          <w:p w14:paraId="7204383E">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601325C6">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47A7B52A">
            <w:pPr>
              <w:spacing w:line="300" w:lineRule="exact"/>
              <w:jc w:val="left"/>
              <w:rPr>
                <w:rFonts w:eastAsia="仿宋_GB2312"/>
                <w:color w:val="auto"/>
                <w:spacing w:val="5"/>
                <w:szCs w:val="21"/>
                <w:highlight w:val="none"/>
              </w:rPr>
            </w:pPr>
            <w:r>
              <w:rPr>
                <w:rFonts w:eastAsia="仿宋_GB2312"/>
                <w:color w:val="auto"/>
                <w:spacing w:val="5"/>
                <w:szCs w:val="21"/>
                <w:highlight w:val="none"/>
              </w:rPr>
              <w:t>铝的残留量(干样品,以Al计)</w:t>
            </w:r>
          </w:p>
        </w:tc>
        <w:tc>
          <w:tcPr>
            <w:tcW w:w="1186" w:type="pct"/>
            <w:noWrap w:val="0"/>
            <w:vAlign w:val="center"/>
          </w:tcPr>
          <w:p w14:paraId="69858262">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9DD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8D7E859">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5898FDFE">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783C4456">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47785D14">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35F7CBEA">
            <w:pPr>
              <w:spacing w:line="300" w:lineRule="exact"/>
              <w:jc w:val="center"/>
              <w:rPr>
                <w:rFonts w:eastAsia="仿宋_GB2312"/>
                <w:color w:val="auto"/>
                <w:spacing w:val="5"/>
                <w:szCs w:val="21"/>
                <w:highlight w:val="none"/>
              </w:rPr>
            </w:pPr>
            <w:r>
              <w:rPr>
                <w:rFonts w:eastAsia="仿宋_GB2312"/>
                <w:color w:val="auto"/>
                <w:spacing w:val="5"/>
                <w:szCs w:val="21"/>
                <w:highlight w:val="none"/>
              </w:rPr>
              <w:t>凉皮（自制）</w:t>
            </w:r>
          </w:p>
        </w:tc>
        <w:tc>
          <w:tcPr>
            <w:tcW w:w="284" w:type="pct"/>
            <w:noWrap w:val="0"/>
            <w:vAlign w:val="center"/>
          </w:tcPr>
          <w:p w14:paraId="6024218D">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2539F2C">
            <w:pPr>
              <w:spacing w:line="300" w:lineRule="exact"/>
              <w:jc w:val="left"/>
              <w:rPr>
                <w:rFonts w:eastAsia="仿宋_GB2312"/>
                <w:color w:val="auto"/>
                <w:spacing w:val="5"/>
                <w:szCs w:val="21"/>
                <w:highlight w:val="none"/>
              </w:rPr>
            </w:pPr>
            <w:r>
              <w:rPr>
                <w:rFonts w:eastAsia="仿宋_GB2312"/>
                <w:color w:val="auto"/>
                <w:spacing w:val="5"/>
                <w:szCs w:val="21"/>
                <w:highlight w:val="none"/>
              </w:rPr>
              <w:t>脱氢乙酸及其钠盐(以脱氢乙酸计)、合成着色剂（柠檬黄、日落黄）</w:t>
            </w:r>
          </w:p>
        </w:tc>
        <w:tc>
          <w:tcPr>
            <w:tcW w:w="1186" w:type="pct"/>
            <w:noWrap w:val="0"/>
            <w:vAlign w:val="center"/>
          </w:tcPr>
          <w:p w14:paraId="1E1845EB">
            <w:pPr>
              <w:spacing w:line="300" w:lineRule="exact"/>
              <w:jc w:val="left"/>
              <w:rPr>
                <w:rFonts w:eastAsia="仿宋_GB2312"/>
                <w:color w:val="auto"/>
                <w:spacing w:val="5"/>
                <w:szCs w:val="21"/>
                <w:highlight w:val="none"/>
              </w:rPr>
            </w:pPr>
          </w:p>
        </w:tc>
      </w:tr>
      <w:tr w14:paraId="117C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B2D5B64">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D527FF0">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02D25DAA">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238B9FEC">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3927B325">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其他油炸面制品（自制）</w:t>
            </w:r>
          </w:p>
        </w:tc>
        <w:tc>
          <w:tcPr>
            <w:tcW w:w="284" w:type="pct"/>
            <w:noWrap w:val="0"/>
            <w:vAlign w:val="center"/>
          </w:tcPr>
          <w:p w14:paraId="4257542A">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5FBC2C4C">
            <w:pPr>
              <w:spacing w:line="300" w:lineRule="exact"/>
              <w:jc w:val="left"/>
              <w:rPr>
                <w:rFonts w:eastAsia="仿宋_GB2312"/>
                <w:color w:val="auto"/>
                <w:spacing w:val="5"/>
                <w:szCs w:val="21"/>
                <w:highlight w:val="none"/>
              </w:rPr>
            </w:pPr>
            <w:r>
              <w:rPr>
                <w:rFonts w:eastAsia="仿宋_GB2312"/>
                <w:color w:val="auto"/>
                <w:spacing w:val="5"/>
                <w:szCs w:val="21"/>
                <w:highlight w:val="none"/>
              </w:rPr>
              <w:t>铝的残留量(干样品,以Al计)</w:t>
            </w:r>
          </w:p>
        </w:tc>
        <w:tc>
          <w:tcPr>
            <w:tcW w:w="1186" w:type="pct"/>
            <w:noWrap w:val="0"/>
            <w:vAlign w:val="center"/>
          </w:tcPr>
          <w:p w14:paraId="23386CF6">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4280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87252A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B6A8074">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5A842762">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0FDFC6CE">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72128FB3">
            <w:pPr>
              <w:spacing w:line="300" w:lineRule="exact"/>
              <w:jc w:val="center"/>
              <w:rPr>
                <w:rFonts w:eastAsia="仿宋_GB2312"/>
                <w:color w:val="auto"/>
                <w:spacing w:val="5"/>
                <w:szCs w:val="21"/>
                <w:highlight w:val="none"/>
              </w:rPr>
            </w:pPr>
            <w:r>
              <w:rPr>
                <w:rFonts w:eastAsia="仿宋_GB2312"/>
                <w:color w:val="auto"/>
                <w:spacing w:val="5"/>
                <w:szCs w:val="21"/>
                <w:highlight w:val="none"/>
              </w:rPr>
              <w:t>水饺馄饨</w:t>
            </w:r>
          </w:p>
          <w:p w14:paraId="22F2D8C2">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7E56C5F3">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487F91C9">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苯甲酸及其钠盐(以苯甲酸计)、山梨酸及其钾盐(以山梨酸计)、脱氢乙酸及其钠盐(以脱氢乙酸计)、合成着色剂（柠檬黄、日落黄、胭脂红、苋菜红、亮蓝）</w:t>
            </w:r>
          </w:p>
        </w:tc>
        <w:tc>
          <w:tcPr>
            <w:tcW w:w="1186" w:type="pct"/>
            <w:noWrap w:val="0"/>
            <w:vAlign w:val="center"/>
          </w:tcPr>
          <w:p w14:paraId="59BD0EF7">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4C7C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3F42E02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7D6C854F">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71324D38">
            <w:pPr>
              <w:spacing w:line="300" w:lineRule="exact"/>
              <w:jc w:val="center"/>
              <w:rPr>
                <w:rFonts w:eastAsia="仿宋_GB2312"/>
                <w:color w:val="auto"/>
                <w:spacing w:val="5"/>
                <w:szCs w:val="21"/>
                <w:highlight w:val="none"/>
              </w:rPr>
            </w:pPr>
          </w:p>
        </w:tc>
        <w:tc>
          <w:tcPr>
            <w:tcW w:w="401" w:type="pct"/>
            <w:vMerge w:val="continue"/>
            <w:noWrap w:val="0"/>
            <w:vAlign w:val="center"/>
          </w:tcPr>
          <w:p w14:paraId="0794652D">
            <w:pPr>
              <w:spacing w:line="300" w:lineRule="exact"/>
              <w:jc w:val="center"/>
              <w:rPr>
                <w:rFonts w:eastAsia="仿宋_GB2312"/>
                <w:color w:val="auto"/>
                <w:spacing w:val="5"/>
                <w:szCs w:val="21"/>
                <w:highlight w:val="none"/>
              </w:rPr>
            </w:pPr>
          </w:p>
        </w:tc>
        <w:tc>
          <w:tcPr>
            <w:tcW w:w="670" w:type="pct"/>
            <w:noWrap w:val="0"/>
            <w:vAlign w:val="center"/>
          </w:tcPr>
          <w:p w14:paraId="327BD4DF">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其他发酵面制品（自制）</w:t>
            </w:r>
          </w:p>
        </w:tc>
        <w:tc>
          <w:tcPr>
            <w:tcW w:w="284" w:type="pct"/>
            <w:noWrap w:val="0"/>
            <w:vAlign w:val="center"/>
          </w:tcPr>
          <w:p w14:paraId="3DD6BE44">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63455469">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苯甲酸及其钠盐(以苯甲酸计)、山梨酸及其钾盐(以山梨酸计)、糖精钠(以糖精计)、脱氢乙酸及其钠盐(以脱氢乙酸计)、甜蜜素(以环己基氨基磺酸计)、合成着色剂（柠檬黄、日落黄）</w:t>
            </w:r>
          </w:p>
        </w:tc>
        <w:tc>
          <w:tcPr>
            <w:tcW w:w="1186" w:type="pct"/>
            <w:noWrap w:val="0"/>
            <w:vAlign w:val="center"/>
          </w:tcPr>
          <w:p w14:paraId="697D27DA">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32BC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4FFFC2A0">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6E802413">
            <w:pPr>
              <w:widowControl/>
              <w:spacing w:line="300" w:lineRule="exact"/>
              <w:jc w:val="center"/>
              <w:textAlignment w:val="center"/>
              <w:rPr>
                <w:rFonts w:eastAsia="仿宋_GB2312"/>
                <w:color w:val="auto"/>
                <w:kern w:val="0"/>
                <w:szCs w:val="21"/>
                <w:highlight w:val="none"/>
                <w:lang w:bidi="ar"/>
              </w:rPr>
            </w:pPr>
          </w:p>
        </w:tc>
        <w:tc>
          <w:tcPr>
            <w:tcW w:w="368" w:type="pct"/>
            <w:vMerge w:val="restart"/>
            <w:noWrap w:val="0"/>
            <w:vAlign w:val="center"/>
          </w:tcPr>
          <w:p w14:paraId="70869878">
            <w:pPr>
              <w:spacing w:line="300" w:lineRule="exact"/>
              <w:jc w:val="center"/>
              <w:rPr>
                <w:rFonts w:eastAsia="仿宋_GB2312"/>
                <w:color w:val="auto"/>
                <w:spacing w:val="5"/>
                <w:szCs w:val="21"/>
                <w:highlight w:val="none"/>
              </w:rPr>
            </w:pPr>
            <w:r>
              <w:rPr>
                <w:rFonts w:eastAsia="仿宋_GB2312"/>
                <w:color w:val="auto"/>
                <w:spacing w:val="5"/>
                <w:szCs w:val="21"/>
                <w:highlight w:val="none"/>
              </w:rPr>
              <w:t>肉制品(自制)</w:t>
            </w:r>
          </w:p>
        </w:tc>
        <w:tc>
          <w:tcPr>
            <w:tcW w:w="401" w:type="pct"/>
            <w:vMerge w:val="restart"/>
            <w:noWrap w:val="0"/>
            <w:vAlign w:val="center"/>
          </w:tcPr>
          <w:p w14:paraId="36F843C9">
            <w:pPr>
              <w:spacing w:line="300" w:lineRule="exact"/>
              <w:jc w:val="center"/>
              <w:rPr>
                <w:rFonts w:eastAsia="仿宋_GB2312"/>
                <w:color w:val="auto"/>
                <w:spacing w:val="5"/>
                <w:szCs w:val="21"/>
                <w:highlight w:val="none"/>
              </w:rPr>
            </w:pPr>
            <w:r>
              <w:rPr>
                <w:rFonts w:eastAsia="仿宋_GB2312"/>
                <w:color w:val="auto"/>
                <w:spacing w:val="5"/>
                <w:szCs w:val="21"/>
                <w:highlight w:val="none"/>
              </w:rPr>
              <w:t>熟肉制品(自制)</w:t>
            </w:r>
          </w:p>
        </w:tc>
        <w:tc>
          <w:tcPr>
            <w:tcW w:w="670" w:type="pct"/>
            <w:noWrap w:val="0"/>
            <w:vAlign w:val="center"/>
          </w:tcPr>
          <w:p w14:paraId="1EAE5E16">
            <w:pPr>
              <w:spacing w:line="300" w:lineRule="exact"/>
              <w:jc w:val="center"/>
              <w:rPr>
                <w:rFonts w:eastAsia="仿宋_GB2312"/>
                <w:color w:val="auto"/>
                <w:spacing w:val="5"/>
                <w:szCs w:val="21"/>
                <w:highlight w:val="none"/>
              </w:rPr>
            </w:pPr>
            <w:r>
              <w:rPr>
                <w:rFonts w:eastAsia="仿宋_GB2312"/>
                <w:color w:val="auto"/>
                <w:spacing w:val="5"/>
                <w:szCs w:val="21"/>
                <w:highlight w:val="none"/>
              </w:rPr>
              <w:t>熏烧烤肉类</w:t>
            </w:r>
          </w:p>
          <w:p w14:paraId="0B70902B">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6E2296CB">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2D15F31">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苯甲酸及其钠盐(以苯甲酸计)、山梨酸及其钾盐(以山梨酸计)、糖精钠(以糖精计)、合成着色剂（柠檬黄</w:t>
            </w:r>
            <w:r>
              <w:rPr>
                <w:rFonts w:hint="eastAsia" w:eastAsia="仿宋_GB2312"/>
                <w:color w:val="auto"/>
                <w:spacing w:val="5"/>
                <w:szCs w:val="21"/>
                <w:highlight w:val="none"/>
              </w:rPr>
              <w:t>、</w:t>
            </w:r>
            <w:r>
              <w:rPr>
                <w:rFonts w:eastAsia="仿宋_GB2312"/>
                <w:color w:val="auto"/>
                <w:spacing w:val="5"/>
                <w:szCs w:val="21"/>
                <w:highlight w:val="none"/>
              </w:rPr>
              <w:t>日落黄、胭脂红、苋菜红）、苯并[a]芘、N-二甲基亚硝胺</w:t>
            </w:r>
          </w:p>
        </w:tc>
        <w:tc>
          <w:tcPr>
            <w:tcW w:w="1186" w:type="pct"/>
            <w:noWrap w:val="0"/>
            <w:vAlign w:val="center"/>
          </w:tcPr>
          <w:p w14:paraId="7762DEDA">
            <w:pPr>
              <w:spacing w:line="300" w:lineRule="exact"/>
              <w:jc w:val="left"/>
              <w:rPr>
                <w:rFonts w:eastAsia="仿宋_GB2312"/>
                <w:color w:val="auto"/>
                <w:spacing w:val="5"/>
                <w:szCs w:val="21"/>
                <w:highlight w:val="none"/>
              </w:rPr>
            </w:pPr>
          </w:p>
          <w:p w14:paraId="3CAF8708">
            <w:pPr>
              <w:spacing w:line="300" w:lineRule="exact"/>
              <w:jc w:val="left"/>
              <w:rPr>
                <w:rFonts w:eastAsia="仿宋_GB2312"/>
                <w:color w:val="auto"/>
                <w:spacing w:val="5"/>
                <w:szCs w:val="21"/>
                <w:highlight w:val="none"/>
              </w:rPr>
            </w:pPr>
            <w:r>
              <w:rPr>
                <w:rFonts w:eastAsia="仿宋_GB2312"/>
                <w:color w:val="auto"/>
                <w:spacing w:val="5"/>
                <w:szCs w:val="21"/>
                <w:highlight w:val="none"/>
              </w:rPr>
              <w:t>铅(以Pb计)</w:t>
            </w:r>
          </w:p>
        </w:tc>
      </w:tr>
      <w:tr w14:paraId="5A27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58C98A8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032A5B2E">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78E74779">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31CB189E">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7BE751DF">
            <w:pPr>
              <w:spacing w:line="300" w:lineRule="exact"/>
              <w:jc w:val="center"/>
              <w:rPr>
                <w:rFonts w:eastAsia="仿宋_GB2312"/>
                <w:color w:val="auto"/>
                <w:spacing w:val="5"/>
                <w:szCs w:val="21"/>
                <w:highlight w:val="none"/>
              </w:rPr>
            </w:pPr>
            <w:r>
              <w:rPr>
                <w:rFonts w:eastAsia="仿宋_GB2312"/>
                <w:color w:val="auto"/>
                <w:spacing w:val="5"/>
                <w:szCs w:val="21"/>
                <w:highlight w:val="none"/>
              </w:rPr>
              <w:t>酱卤肉制品</w:t>
            </w:r>
          </w:p>
          <w:p w14:paraId="3D8F4489">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1B6782D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2DC94024">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苯甲酸及其钠盐(以苯甲酸计)、山梨酸及其钾盐(以山梨酸计)、脱氢乙酸及其钠盐(以脱氢乙酸计)、防腐剂混合使用时各自用量占其最大使用量的比例之和、合成着色剂（柠檬黄、日落黄、胭脂红、苋菜红）</w:t>
            </w:r>
          </w:p>
        </w:tc>
        <w:tc>
          <w:tcPr>
            <w:tcW w:w="1186" w:type="pct"/>
            <w:noWrap w:val="0"/>
            <w:vAlign w:val="center"/>
          </w:tcPr>
          <w:p w14:paraId="5E411860">
            <w:pPr>
              <w:spacing w:before="49" w:line="300" w:lineRule="exact"/>
              <w:ind w:left="124"/>
              <w:jc w:val="left"/>
              <w:rPr>
                <w:rFonts w:eastAsia="仿宋_GB2312"/>
                <w:color w:val="auto"/>
                <w:spacing w:val="1"/>
                <w:szCs w:val="21"/>
                <w:highlight w:val="none"/>
              </w:rPr>
            </w:pPr>
            <w:r>
              <w:rPr>
                <w:rFonts w:eastAsia="仿宋_GB2312"/>
                <w:color w:val="auto"/>
                <w:spacing w:val="1"/>
                <w:szCs w:val="21"/>
                <w:highlight w:val="none"/>
              </w:rPr>
              <w:t>/</w:t>
            </w:r>
          </w:p>
        </w:tc>
      </w:tr>
      <w:tr w14:paraId="1F69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B02341C">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2829104C">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6D6365F8">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543C559D">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57C4065F">
            <w:pPr>
              <w:spacing w:line="300" w:lineRule="exact"/>
              <w:jc w:val="center"/>
              <w:rPr>
                <w:rFonts w:eastAsia="仿宋_GB2312"/>
                <w:color w:val="auto"/>
                <w:spacing w:val="5"/>
                <w:szCs w:val="21"/>
                <w:highlight w:val="none"/>
              </w:rPr>
            </w:pPr>
            <w:r>
              <w:rPr>
                <w:rFonts w:eastAsia="仿宋_GB2312"/>
                <w:color w:val="auto"/>
                <w:spacing w:val="5"/>
                <w:szCs w:val="21"/>
                <w:highlight w:val="none"/>
              </w:rPr>
              <w:t>油炸肉制品</w:t>
            </w:r>
          </w:p>
          <w:p w14:paraId="2DCF6FEE">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2064B7B3">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5D0D1BA9">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苯甲酸及其钠盐(以苯甲酸计)、山梨酸及其钾盐(以山梨酸计)、脱氢乙酸及其钠盐(以脱氢乙酸计)、合成着色剂（柠檬黄、日落黄、胭脂红、苋菜红）</w:t>
            </w:r>
          </w:p>
        </w:tc>
        <w:tc>
          <w:tcPr>
            <w:tcW w:w="1186" w:type="pct"/>
            <w:noWrap w:val="0"/>
            <w:vAlign w:val="center"/>
          </w:tcPr>
          <w:p w14:paraId="196E8CA1">
            <w:pPr>
              <w:spacing w:before="54" w:line="300" w:lineRule="exact"/>
              <w:jc w:val="left"/>
              <w:rPr>
                <w:rFonts w:eastAsia="仿宋_GB2312"/>
                <w:color w:val="auto"/>
                <w:spacing w:val="6"/>
                <w:position w:val="1"/>
                <w:szCs w:val="21"/>
                <w:highlight w:val="none"/>
              </w:rPr>
            </w:pPr>
            <w:r>
              <w:rPr>
                <w:rFonts w:eastAsia="仿宋_GB2312"/>
                <w:color w:val="auto"/>
                <w:spacing w:val="6"/>
                <w:position w:val="1"/>
                <w:szCs w:val="21"/>
                <w:highlight w:val="none"/>
              </w:rPr>
              <w:t>/</w:t>
            </w:r>
          </w:p>
        </w:tc>
      </w:tr>
      <w:tr w14:paraId="1CA1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7C3044AB">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64EE57B6">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63AEB197">
            <w:pPr>
              <w:widowControl/>
              <w:spacing w:line="300" w:lineRule="exact"/>
              <w:jc w:val="center"/>
              <w:textAlignment w:val="center"/>
              <w:rPr>
                <w:rFonts w:eastAsia="仿宋_GB2312"/>
                <w:color w:val="auto"/>
                <w:kern w:val="0"/>
                <w:szCs w:val="21"/>
                <w:highlight w:val="none"/>
                <w:lang w:bidi="ar"/>
              </w:rPr>
            </w:pPr>
          </w:p>
        </w:tc>
        <w:tc>
          <w:tcPr>
            <w:tcW w:w="401" w:type="pct"/>
            <w:noWrap w:val="0"/>
            <w:vAlign w:val="center"/>
          </w:tcPr>
          <w:p w14:paraId="046AE0AF">
            <w:pPr>
              <w:spacing w:line="300" w:lineRule="exact"/>
              <w:jc w:val="center"/>
              <w:rPr>
                <w:rFonts w:eastAsia="仿宋_GB2312"/>
                <w:color w:val="auto"/>
                <w:spacing w:val="5"/>
                <w:szCs w:val="21"/>
                <w:highlight w:val="none"/>
              </w:rPr>
            </w:pPr>
            <w:r>
              <w:rPr>
                <w:rFonts w:eastAsia="仿宋_GB2312"/>
                <w:color w:val="auto"/>
                <w:spacing w:val="5"/>
                <w:szCs w:val="21"/>
                <w:highlight w:val="none"/>
              </w:rPr>
              <w:t>预制肉类（自制）</w:t>
            </w:r>
          </w:p>
        </w:tc>
        <w:tc>
          <w:tcPr>
            <w:tcW w:w="670" w:type="pct"/>
            <w:noWrap w:val="0"/>
            <w:vAlign w:val="center"/>
          </w:tcPr>
          <w:p w14:paraId="232CDC64">
            <w:pPr>
              <w:spacing w:line="300" w:lineRule="exact"/>
              <w:jc w:val="center"/>
              <w:rPr>
                <w:rFonts w:eastAsia="仿宋_GB2312"/>
                <w:color w:val="auto"/>
                <w:spacing w:val="5"/>
                <w:szCs w:val="21"/>
                <w:highlight w:val="none"/>
                <w:lang w:eastAsia="en-US"/>
              </w:rPr>
            </w:pPr>
            <w:r>
              <w:rPr>
                <w:rFonts w:eastAsia="仿宋_GB2312"/>
                <w:color w:val="auto"/>
                <w:spacing w:val="5"/>
                <w:szCs w:val="21"/>
                <w:highlight w:val="none"/>
                <w:lang w:eastAsia="en-US"/>
              </w:rPr>
              <w:t>肉</w:t>
            </w:r>
            <w:r>
              <w:rPr>
                <w:rFonts w:eastAsia="仿宋_GB2312"/>
                <w:color w:val="auto"/>
                <w:spacing w:val="5"/>
                <w:szCs w:val="21"/>
                <w:highlight w:val="none"/>
              </w:rPr>
              <w:t>糜制品</w:t>
            </w:r>
          </w:p>
          <w:p w14:paraId="0F69E5D2">
            <w:pPr>
              <w:spacing w:line="300" w:lineRule="exact"/>
              <w:jc w:val="center"/>
              <w:rPr>
                <w:rFonts w:eastAsia="仿宋_GB2312"/>
                <w:color w:val="auto"/>
                <w:spacing w:val="5"/>
                <w:szCs w:val="21"/>
                <w:highlight w:val="none"/>
              </w:rPr>
            </w:pPr>
            <w:r>
              <w:rPr>
                <w:rFonts w:eastAsia="仿宋_GB2312"/>
                <w:color w:val="auto"/>
                <w:spacing w:val="5"/>
                <w:szCs w:val="21"/>
                <w:highlight w:val="none"/>
                <w:lang w:eastAsia="en-US"/>
              </w:rPr>
              <w:t>（自制）</w:t>
            </w:r>
          </w:p>
        </w:tc>
        <w:tc>
          <w:tcPr>
            <w:tcW w:w="284" w:type="pct"/>
            <w:noWrap w:val="0"/>
            <w:vAlign w:val="center"/>
          </w:tcPr>
          <w:p w14:paraId="3082DCD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6CF267CB">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苯甲酸及其钠盐(以苯甲酸计)、山梨酸及其钾盐(以山梨酸计)、脱氢乙酸及其钠盐(以脱氢乙酸计)、防腐剂混合使用时各自用量占其最大使用量的比例之和、合成着色剂（柠檬黄 、日落黄、胭脂红）</w:t>
            </w:r>
          </w:p>
        </w:tc>
        <w:tc>
          <w:tcPr>
            <w:tcW w:w="1186" w:type="pct"/>
            <w:noWrap w:val="0"/>
            <w:vAlign w:val="center"/>
          </w:tcPr>
          <w:p w14:paraId="3A86D549">
            <w:pPr>
              <w:spacing w:before="54" w:line="300" w:lineRule="exact"/>
              <w:jc w:val="left"/>
              <w:rPr>
                <w:rFonts w:eastAsia="仿宋_GB2312"/>
                <w:color w:val="auto"/>
                <w:spacing w:val="6"/>
                <w:position w:val="1"/>
                <w:szCs w:val="21"/>
                <w:highlight w:val="none"/>
              </w:rPr>
            </w:pPr>
            <w:r>
              <w:rPr>
                <w:rFonts w:hint="eastAsia" w:eastAsia="仿宋_GB2312"/>
                <w:color w:val="auto"/>
                <w:spacing w:val="6"/>
                <w:position w:val="1"/>
                <w:szCs w:val="21"/>
                <w:highlight w:val="none"/>
              </w:rPr>
              <w:t>/</w:t>
            </w:r>
          </w:p>
        </w:tc>
      </w:tr>
      <w:tr w14:paraId="08C2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4679CBE1">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AAAB5CF">
            <w:pPr>
              <w:widowControl/>
              <w:spacing w:line="300" w:lineRule="exact"/>
              <w:jc w:val="center"/>
              <w:textAlignment w:val="center"/>
              <w:rPr>
                <w:rFonts w:eastAsia="仿宋_GB2312"/>
                <w:color w:val="auto"/>
                <w:kern w:val="0"/>
                <w:szCs w:val="21"/>
                <w:highlight w:val="none"/>
                <w:lang w:bidi="ar"/>
              </w:rPr>
            </w:pPr>
          </w:p>
        </w:tc>
        <w:tc>
          <w:tcPr>
            <w:tcW w:w="368" w:type="pct"/>
            <w:vMerge w:val="restart"/>
            <w:noWrap w:val="0"/>
            <w:vAlign w:val="center"/>
          </w:tcPr>
          <w:p w14:paraId="6BD02C6E">
            <w:pPr>
              <w:spacing w:line="300" w:lineRule="exact"/>
              <w:jc w:val="center"/>
              <w:rPr>
                <w:rFonts w:eastAsia="仿宋_GB2312"/>
                <w:color w:val="auto"/>
                <w:spacing w:val="5"/>
                <w:szCs w:val="21"/>
                <w:highlight w:val="none"/>
              </w:rPr>
            </w:pPr>
            <w:r>
              <w:rPr>
                <w:rFonts w:eastAsia="仿宋_GB2312"/>
                <w:color w:val="auto"/>
                <w:spacing w:val="5"/>
                <w:szCs w:val="21"/>
                <w:highlight w:val="none"/>
              </w:rPr>
              <w:t>调味料</w:t>
            </w:r>
          </w:p>
          <w:p w14:paraId="5312C379">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401" w:type="pct"/>
            <w:vMerge w:val="restart"/>
            <w:noWrap w:val="0"/>
            <w:vAlign w:val="center"/>
          </w:tcPr>
          <w:p w14:paraId="7455D637">
            <w:pPr>
              <w:spacing w:line="300" w:lineRule="exact"/>
              <w:jc w:val="center"/>
              <w:rPr>
                <w:rFonts w:eastAsia="仿宋_GB2312"/>
                <w:color w:val="auto"/>
                <w:spacing w:val="5"/>
                <w:szCs w:val="21"/>
                <w:highlight w:val="none"/>
              </w:rPr>
            </w:pPr>
            <w:r>
              <w:rPr>
                <w:rFonts w:eastAsia="仿宋_GB2312"/>
                <w:color w:val="auto"/>
                <w:spacing w:val="5"/>
                <w:szCs w:val="21"/>
                <w:highlight w:val="none"/>
              </w:rPr>
              <w:t>调味料</w:t>
            </w:r>
          </w:p>
          <w:p w14:paraId="2B2F74FB">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670" w:type="pct"/>
            <w:noWrap w:val="0"/>
            <w:vAlign w:val="center"/>
          </w:tcPr>
          <w:p w14:paraId="1834939A">
            <w:pPr>
              <w:spacing w:line="300" w:lineRule="exact"/>
              <w:jc w:val="center"/>
              <w:rPr>
                <w:rFonts w:eastAsia="仿宋_GB2312"/>
                <w:color w:val="auto"/>
                <w:spacing w:val="5"/>
                <w:szCs w:val="21"/>
                <w:highlight w:val="none"/>
              </w:rPr>
            </w:pPr>
            <w:r>
              <w:rPr>
                <w:rFonts w:eastAsia="仿宋_GB2312"/>
                <w:color w:val="auto"/>
                <w:spacing w:val="5"/>
                <w:szCs w:val="21"/>
                <w:highlight w:val="none"/>
              </w:rPr>
              <w:t>火锅麻辣烫底料(自制)</w:t>
            </w:r>
          </w:p>
        </w:tc>
        <w:tc>
          <w:tcPr>
            <w:tcW w:w="284" w:type="pct"/>
            <w:noWrap w:val="0"/>
            <w:vAlign w:val="center"/>
          </w:tcPr>
          <w:p w14:paraId="5F146AB7">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4A6233CC">
            <w:pPr>
              <w:spacing w:line="300" w:lineRule="exact"/>
              <w:jc w:val="left"/>
              <w:rPr>
                <w:rFonts w:eastAsia="仿宋_GB2312"/>
                <w:color w:val="auto"/>
                <w:spacing w:val="5"/>
                <w:szCs w:val="21"/>
                <w:highlight w:val="none"/>
              </w:rPr>
            </w:pPr>
            <w:r>
              <w:rPr>
                <w:rFonts w:eastAsia="仿宋_GB2312"/>
                <w:color w:val="auto"/>
                <w:spacing w:val="5"/>
                <w:szCs w:val="21"/>
                <w:highlight w:val="none"/>
              </w:rPr>
              <w:t>罂粟碱、吗啡、可待因、那可丁</w:t>
            </w:r>
          </w:p>
        </w:tc>
        <w:tc>
          <w:tcPr>
            <w:tcW w:w="1186" w:type="pct"/>
            <w:noWrap w:val="0"/>
            <w:vAlign w:val="center"/>
          </w:tcPr>
          <w:p w14:paraId="59F77A21">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33F8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7030BBC1">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7E15356">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7B82B9EC">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21B92980">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5D8AB391">
            <w:pPr>
              <w:spacing w:line="300" w:lineRule="exact"/>
              <w:jc w:val="center"/>
              <w:rPr>
                <w:rFonts w:eastAsia="仿宋_GB2312"/>
                <w:color w:val="auto"/>
                <w:spacing w:val="5"/>
                <w:szCs w:val="21"/>
                <w:highlight w:val="none"/>
              </w:rPr>
            </w:pPr>
            <w:r>
              <w:rPr>
                <w:rFonts w:eastAsia="仿宋_GB2312"/>
                <w:color w:val="auto"/>
                <w:spacing w:val="5"/>
                <w:szCs w:val="21"/>
                <w:highlight w:val="none"/>
              </w:rPr>
              <w:t>蘸料(自制)</w:t>
            </w:r>
          </w:p>
        </w:tc>
        <w:tc>
          <w:tcPr>
            <w:tcW w:w="284" w:type="pct"/>
            <w:noWrap w:val="0"/>
            <w:vAlign w:val="center"/>
          </w:tcPr>
          <w:p w14:paraId="78FE15CA">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F01D524">
            <w:pPr>
              <w:spacing w:line="300" w:lineRule="exact"/>
              <w:jc w:val="left"/>
              <w:rPr>
                <w:rFonts w:eastAsia="仿宋_GB2312"/>
                <w:color w:val="auto"/>
                <w:spacing w:val="5"/>
                <w:szCs w:val="21"/>
                <w:highlight w:val="none"/>
              </w:rPr>
            </w:pPr>
            <w:r>
              <w:rPr>
                <w:rFonts w:eastAsia="仿宋_GB2312"/>
                <w:color w:val="auto"/>
                <w:spacing w:val="5"/>
                <w:szCs w:val="21"/>
                <w:highlight w:val="none"/>
              </w:rPr>
              <w:t>罂粟碱、吗啡、可待因、那可丁</w:t>
            </w:r>
          </w:p>
        </w:tc>
        <w:tc>
          <w:tcPr>
            <w:tcW w:w="1186" w:type="pct"/>
            <w:noWrap w:val="0"/>
            <w:vAlign w:val="center"/>
          </w:tcPr>
          <w:p w14:paraId="47DFF1F9">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B10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4AC239D5">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74179BA0">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5ECF87C1">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1D6D7F60">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43B5ACE2">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其他调味料(自制)</w:t>
            </w:r>
          </w:p>
        </w:tc>
        <w:tc>
          <w:tcPr>
            <w:tcW w:w="284" w:type="pct"/>
            <w:noWrap w:val="0"/>
            <w:vAlign w:val="center"/>
          </w:tcPr>
          <w:p w14:paraId="1694F6D4">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254068D4">
            <w:pPr>
              <w:spacing w:line="300" w:lineRule="exact"/>
              <w:jc w:val="left"/>
              <w:rPr>
                <w:rFonts w:eastAsia="仿宋_GB2312"/>
                <w:color w:val="auto"/>
                <w:spacing w:val="5"/>
                <w:szCs w:val="21"/>
                <w:highlight w:val="none"/>
              </w:rPr>
            </w:pPr>
            <w:r>
              <w:rPr>
                <w:rFonts w:eastAsia="仿宋_GB2312"/>
                <w:color w:val="auto"/>
                <w:spacing w:val="5"/>
                <w:szCs w:val="21"/>
                <w:highlight w:val="none"/>
              </w:rPr>
              <w:t>罂粟碱、吗啡、可待因、那可丁</w:t>
            </w:r>
          </w:p>
        </w:tc>
        <w:tc>
          <w:tcPr>
            <w:tcW w:w="1186" w:type="pct"/>
            <w:noWrap w:val="0"/>
            <w:vAlign w:val="center"/>
          </w:tcPr>
          <w:p w14:paraId="7CE2E1FE">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618F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D1F1B17">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76BD485E">
            <w:pPr>
              <w:widowControl/>
              <w:spacing w:line="300" w:lineRule="exact"/>
              <w:jc w:val="center"/>
              <w:textAlignment w:val="center"/>
              <w:rPr>
                <w:rFonts w:eastAsia="仿宋_GB2312"/>
                <w:color w:val="auto"/>
                <w:kern w:val="0"/>
                <w:szCs w:val="21"/>
                <w:highlight w:val="none"/>
                <w:lang w:bidi="ar"/>
              </w:rPr>
            </w:pPr>
          </w:p>
        </w:tc>
        <w:tc>
          <w:tcPr>
            <w:tcW w:w="368" w:type="pct"/>
            <w:noWrap w:val="0"/>
            <w:vAlign w:val="center"/>
          </w:tcPr>
          <w:p w14:paraId="015E6D22">
            <w:pPr>
              <w:spacing w:line="300" w:lineRule="exact"/>
              <w:jc w:val="center"/>
              <w:rPr>
                <w:rFonts w:eastAsia="仿宋_GB2312"/>
                <w:color w:val="auto"/>
                <w:spacing w:val="5"/>
                <w:szCs w:val="21"/>
                <w:highlight w:val="none"/>
              </w:rPr>
            </w:pPr>
            <w:r>
              <w:rPr>
                <w:rFonts w:eastAsia="仿宋_GB2312"/>
                <w:color w:val="auto"/>
                <w:spacing w:val="5"/>
                <w:szCs w:val="21"/>
                <w:highlight w:val="none"/>
              </w:rPr>
              <w:t>预制水产制品</w:t>
            </w:r>
          </w:p>
          <w:p w14:paraId="3AC2C3B9">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401" w:type="pct"/>
            <w:noWrap w:val="0"/>
            <w:vAlign w:val="center"/>
          </w:tcPr>
          <w:p w14:paraId="09A3B0B1">
            <w:pPr>
              <w:spacing w:line="300" w:lineRule="exact"/>
              <w:jc w:val="center"/>
              <w:rPr>
                <w:rFonts w:eastAsia="仿宋_GB2312"/>
                <w:color w:val="auto"/>
                <w:spacing w:val="5"/>
                <w:szCs w:val="21"/>
                <w:highlight w:val="none"/>
              </w:rPr>
            </w:pPr>
            <w:r>
              <w:rPr>
                <w:rFonts w:eastAsia="仿宋_GB2312"/>
                <w:color w:val="auto"/>
                <w:spacing w:val="5"/>
                <w:szCs w:val="21"/>
                <w:highlight w:val="none"/>
              </w:rPr>
              <w:t>预制水产制品</w:t>
            </w:r>
          </w:p>
          <w:p w14:paraId="710194B1">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670" w:type="pct"/>
            <w:noWrap w:val="0"/>
            <w:vAlign w:val="center"/>
          </w:tcPr>
          <w:p w14:paraId="2A6BC8C3">
            <w:pPr>
              <w:spacing w:line="300" w:lineRule="exact"/>
              <w:jc w:val="center"/>
              <w:rPr>
                <w:rFonts w:eastAsia="仿宋_GB2312"/>
                <w:color w:val="auto"/>
                <w:spacing w:val="5"/>
                <w:szCs w:val="21"/>
                <w:highlight w:val="none"/>
              </w:rPr>
            </w:pPr>
            <w:r>
              <w:rPr>
                <w:rFonts w:eastAsia="仿宋_GB2312"/>
                <w:color w:val="auto"/>
                <w:spacing w:val="5"/>
                <w:szCs w:val="21"/>
                <w:highlight w:val="none"/>
              </w:rPr>
              <w:t>生食动物性水产品(自制)</w:t>
            </w:r>
          </w:p>
        </w:tc>
        <w:tc>
          <w:tcPr>
            <w:tcW w:w="284" w:type="pct"/>
            <w:noWrap w:val="0"/>
            <w:vAlign w:val="center"/>
          </w:tcPr>
          <w:p w14:paraId="58FE1EF7">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6D5E8788">
            <w:pPr>
              <w:spacing w:line="300" w:lineRule="exact"/>
              <w:jc w:val="left"/>
              <w:rPr>
                <w:rFonts w:eastAsia="仿宋_GB2312"/>
                <w:color w:val="auto"/>
                <w:spacing w:val="5"/>
                <w:szCs w:val="21"/>
                <w:highlight w:val="none"/>
              </w:rPr>
            </w:pPr>
            <w:r>
              <w:rPr>
                <w:rFonts w:eastAsia="仿宋_GB2312"/>
                <w:color w:val="auto"/>
                <w:spacing w:val="5"/>
                <w:szCs w:val="21"/>
                <w:highlight w:val="none"/>
              </w:rPr>
              <w:t>铝的残留量(以即食海蜇中Al计)</w:t>
            </w:r>
          </w:p>
        </w:tc>
        <w:tc>
          <w:tcPr>
            <w:tcW w:w="1186" w:type="pct"/>
            <w:noWrap w:val="0"/>
            <w:vAlign w:val="center"/>
          </w:tcPr>
          <w:p w14:paraId="4E4B1BDE">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77A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A50F4C5">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19EBE153">
            <w:pPr>
              <w:widowControl/>
              <w:spacing w:line="300" w:lineRule="exact"/>
              <w:jc w:val="center"/>
              <w:textAlignment w:val="center"/>
              <w:rPr>
                <w:rFonts w:eastAsia="仿宋_GB2312"/>
                <w:color w:val="auto"/>
                <w:kern w:val="0"/>
                <w:szCs w:val="21"/>
                <w:highlight w:val="none"/>
                <w:lang w:bidi="ar"/>
              </w:rPr>
            </w:pPr>
          </w:p>
        </w:tc>
        <w:tc>
          <w:tcPr>
            <w:tcW w:w="368" w:type="pct"/>
            <w:noWrap w:val="0"/>
            <w:vAlign w:val="center"/>
          </w:tcPr>
          <w:p w14:paraId="01F4E8AE">
            <w:pPr>
              <w:spacing w:line="300" w:lineRule="exact"/>
              <w:jc w:val="center"/>
              <w:rPr>
                <w:rFonts w:eastAsia="仿宋_GB2312"/>
                <w:color w:val="auto"/>
                <w:spacing w:val="5"/>
                <w:szCs w:val="21"/>
                <w:highlight w:val="none"/>
              </w:rPr>
            </w:pPr>
            <w:r>
              <w:rPr>
                <w:rFonts w:eastAsia="仿宋_GB2312"/>
                <w:color w:val="auto"/>
                <w:spacing w:val="5"/>
                <w:szCs w:val="21"/>
                <w:highlight w:val="none"/>
              </w:rPr>
              <w:t>坚果及籽类食品</w:t>
            </w:r>
          </w:p>
          <w:p w14:paraId="7FC29DB3">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401" w:type="pct"/>
            <w:noWrap w:val="0"/>
            <w:vAlign w:val="center"/>
          </w:tcPr>
          <w:p w14:paraId="013CBE34">
            <w:pPr>
              <w:spacing w:line="300" w:lineRule="exact"/>
              <w:jc w:val="center"/>
              <w:rPr>
                <w:rFonts w:eastAsia="仿宋_GB2312"/>
                <w:color w:val="auto"/>
                <w:spacing w:val="5"/>
                <w:szCs w:val="21"/>
                <w:highlight w:val="none"/>
              </w:rPr>
            </w:pPr>
            <w:r>
              <w:rPr>
                <w:rFonts w:eastAsia="仿宋_GB2312"/>
                <w:color w:val="auto"/>
                <w:spacing w:val="5"/>
                <w:szCs w:val="21"/>
                <w:highlight w:val="none"/>
              </w:rPr>
              <w:t>坚果及籽类食品</w:t>
            </w:r>
          </w:p>
          <w:p w14:paraId="4016F6DC">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670" w:type="pct"/>
            <w:noWrap w:val="0"/>
            <w:vAlign w:val="center"/>
          </w:tcPr>
          <w:p w14:paraId="68A0A226">
            <w:pPr>
              <w:spacing w:line="300" w:lineRule="exact"/>
              <w:jc w:val="center"/>
              <w:rPr>
                <w:rFonts w:eastAsia="仿宋_GB2312"/>
                <w:color w:val="auto"/>
                <w:spacing w:val="5"/>
                <w:szCs w:val="21"/>
                <w:highlight w:val="none"/>
              </w:rPr>
            </w:pPr>
            <w:r>
              <w:rPr>
                <w:rFonts w:eastAsia="仿宋_GB2312"/>
                <w:color w:val="auto"/>
                <w:spacing w:val="5"/>
                <w:szCs w:val="21"/>
                <w:highlight w:val="none"/>
              </w:rPr>
              <w:t>花生制品</w:t>
            </w:r>
          </w:p>
          <w:p w14:paraId="602BF4DE">
            <w:pPr>
              <w:spacing w:line="300" w:lineRule="exact"/>
              <w:jc w:val="center"/>
              <w:rPr>
                <w:rFonts w:eastAsia="仿宋_GB2312"/>
                <w:color w:val="auto"/>
                <w:spacing w:val="5"/>
                <w:szCs w:val="21"/>
                <w:highlight w:val="none"/>
              </w:rPr>
            </w:pPr>
            <w:r>
              <w:rPr>
                <w:rFonts w:eastAsia="仿宋_GB2312"/>
                <w:color w:val="auto"/>
                <w:spacing w:val="5"/>
                <w:szCs w:val="21"/>
                <w:highlight w:val="none"/>
              </w:rPr>
              <w:t>(自制)</w:t>
            </w:r>
          </w:p>
        </w:tc>
        <w:tc>
          <w:tcPr>
            <w:tcW w:w="284" w:type="pct"/>
            <w:noWrap w:val="0"/>
            <w:vAlign w:val="center"/>
          </w:tcPr>
          <w:p w14:paraId="1D645D75">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059F057">
            <w:pPr>
              <w:spacing w:line="300" w:lineRule="exact"/>
              <w:jc w:val="left"/>
              <w:rPr>
                <w:rFonts w:eastAsia="仿宋_GB2312"/>
                <w:color w:val="auto"/>
                <w:spacing w:val="5"/>
                <w:szCs w:val="21"/>
                <w:highlight w:val="none"/>
              </w:rPr>
            </w:pPr>
            <w:r>
              <w:rPr>
                <w:rFonts w:eastAsia="仿宋_GB2312"/>
                <w:color w:val="auto"/>
                <w:spacing w:val="5"/>
                <w:szCs w:val="21"/>
                <w:highlight w:val="none"/>
              </w:rPr>
              <w:t>黄曲霉毒素B</w:t>
            </w:r>
            <w:r>
              <w:rPr>
                <w:rFonts w:eastAsia="仿宋_GB2312"/>
                <w:color w:val="auto"/>
                <w:spacing w:val="5"/>
                <w:szCs w:val="21"/>
                <w:highlight w:val="none"/>
                <w:vertAlign w:val="subscript"/>
              </w:rPr>
              <w:t>1</w:t>
            </w:r>
            <w:r>
              <w:rPr>
                <w:rFonts w:eastAsia="仿宋_GB2312"/>
                <w:color w:val="auto"/>
                <w:spacing w:val="5"/>
                <w:szCs w:val="21"/>
                <w:highlight w:val="none"/>
              </w:rPr>
              <w:t>、苯甲酸及其钠盐(以苯甲酸计)、山梨酸及其钾盐(以山梨酸计)、脱氢乙酸及其钠盐(以脱氢乙酸计)</w:t>
            </w:r>
          </w:p>
        </w:tc>
        <w:tc>
          <w:tcPr>
            <w:tcW w:w="1186" w:type="pct"/>
            <w:noWrap w:val="0"/>
            <w:vAlign w:val="center"/>
          </w:tcPr>
          <w:p w14:paraId="44809861">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734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0DC1546">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7258E5CF">
            <w:pPr>
              <w:widowControl/>
              <w:spacing w:line="300" w:lineRule="exact"/>
              <w:jc w:val="center"/>
              <w:textAlignment w:val="center"/>
              <w:rPr>
                <w:rFonts w:eastAsia="仿宋_GB2312"/>
                <w:color w:val="auto"/>
                <w:kern w:val="0"/>
                <w:szCs w:val="21"/>
                <w:highlight w:val="none"/>
                <w:lang w:bidi="ar"/>
              </w:rPr>
            </w:pPr>
          </w:p>
        </w:tc>
        <w:tc>
          <w:tcPr>
            <w:tcW w:w="368" w:type="pct"/>
            <w:noWrap w:val="0"/>
            <w:vAlign w:val="center"/>
          </w:tcPr>
          <w:p w14:paraId="555E5EAB">
            <w:pPr>
              <w:spacing w:line="300" w:lineRule="exact"/>
              <w:jc w:val="center"/>
              <w:rPr>
                <w:rFonts w:eastAsia="仿宋_GB2312"/>
                <w:color w:val="auto"/>
                <w:spacing w:val="5"/>
                <w:szCs w:val="21"/>
                <w:highlight w:val="none"/>
              </w:rPr>
            </w:pPr>
            <w:r>
              <w:rPr>
                <w:rFonts w:eastAsia="仿宋_GB2312"/>
                <w:color w:val="auto"/>
                <w:spacing w:val="5"/>
                <w:szCs w:val="21"/>
                <w:highlight w:val="none"/>
              </w:rPr>
              <w:t>焙烤食品(自制)</w:t>
            </w:r>
          </w:p>
        </w:tc>
        <w:tc>
          <w:tcPr>
            <w:tcW w:w="401" w:type="pct"/>
            <w:noWrap w:val="0"/>
            <w:vAlign w:val="center"/>
          </w:tcPr>
          <w:p w14:paraId="58A00E94">
            <w:pPr>
              <w:spacing w:line="300" w:lineRule="exact"/>
              <w:jc w:val="center"/>
              <w:rPr>
                <w:rFonts w:eastAsia="仿宋_GB2312"/>
                <w:color w:val="auto"/>
                <w:spacing w:val="5"/>
                <w:szCs w:val="21"/>
                <w:highlight w:val="none"/>
              </w:rPr>
            </w:pPr>
            <w:r>
              <w:rPr>
                <w:rFonts w:eastAsia="仿宋_GB2312"/>
                <w:color w:val="auto"/>
                <w:spacing w:val="5"/>
                <w:szCs w:val="21"/>
                <w:highlight w:val="none"/>
              </w:rPr>
              <w:t>焙烤食品(自制)</w:t>
            </w:r>
          </w:p>
        </w:tc>
        <w:tc>
          <w:tcPr>
            <w:tcW w:w="670" w:type="pct"/>
            <w:noWrap w:val="0"/>
            <w:vAlign w:val="center"/>
          </w:tcPr>
          <w:p w14:paraId="0F703E00">
            <w:pPr>
              <w:spacing w:line="300" w:lineRule="exact"/>
              <w:jc w:val="center"/>
              <w:rPr>
                <w:rFonts w:eastAsia="仿宋_GB2312"/>
                <w:color w:val="auto"/>
                <w:spacing w:val="5"/>
                <w:szCs w:val="21"/>
                <w:highlight w:val="none"/>
              </w:rPr>
            </w:pPr>
            <w:r>
              <w:rPr>
                <w:rFonts w:eastAsia="仿宋_GB2312"/>
                <w:color w:val="auto"/>
                <w:spacing w:val="5"/>
                <w:szCs w:val="21"/>
                <w:highlight w:val="none"/>
              </w:rPr>
              <w:t>糕点(自制)</w:t>
            </w:r>
          </w:p>
        </w:tc>
        <w:tc>
          <w:tcPr>
            <w:tcW w:w="284" w:type="pct"/>
            <w:noWrap w:val="0"/>
            <w:vAlign w:val="center"/>
          </w:tcPr>
          <w:p w14:paraId="6382ED26">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3B15927">
            <w:pPr>
              <w:spacing w:line="300" w:lineRule="exact"/>
              <w:jc w:val="left"/>
              <w:rPr>
                <w:rFonts w:eastAsia="仿宋_GB2312"/>
                <w:color w:val="auto"/>
                <w:spacing w:val="5"/>
                <w:szCs w:val="21"/>
                <w:highlight w:val="none"/>
              </w:rPr>
            </w:pPr>
            <w:r>
              <w:rPr>
                <w:rFonts w:eastAsia="仿宋_GB2312"/>
                <w:color w:val="auto"/>
                <w:spacing w:val="5"/>
                <w:szCs w:val="21"/>
                <w:highlight w:val="none"/>
              </w:rPr>
              <w:t>酸价(以脂肪计)(KOH)、过氧化值(以脂肪计)、山梨酸及其钾盐(以山梨酸计)、脱氢乙酸及其钠盐(以脱氢乙酸计)、铝的残留量(干样品，以AI计)、防腐剂混合使用时各自用量占其最大使用量的比例之和</w:t>
            </w:r>
          </w:p>
        </w:tc>
        <w:tc>
          <w:tcPr>
            <w:tcW w:w="1186" w:type="pct"/>
            <w:noWrap w:val="0"/>
            <w:vAlign w:val="center"/>
          </w:tcPr>
          <w:p w14:paraId="19A48E34">
            <w:pPr>
              <w:spacing w:line="300" w:lineRule="exact"/>
              <w:jc w:val="left"/>
              <w:rPr>
                <w:rFonts w:eastAsia="仿宋_GB2312"/>
                <w:color w:val="auto"/>
                <w:spacing w:val="5"/>
                <w:szCs w:val="21"/>
                <w:highlight w:val="none"/>
              </w:rPr>
            </w:pPr>
            <w:r>
              <w:rPr>
                <w:rFonts w:eastAsia="仿宋_GB2312"/>
                <w:color w:val="auto"/>
                <w:spacing w:val="5"/>
                <w:szCs w:val="21"/>
                <w:highlight w:val="none"/>
              </w:rPr>
              <w:t>糖精钠(以糖精计)</w:t>
            </w:r>
          </w:p>
        </w:tc>
      </w:tr>
      <w:tr w14:paraId="03D8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3A49053">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2DCE6355">
            <w:pPr>
              <w:widowControl/>
              <w:spacing w:line="300" w:lineRule="exact"/>
              <w:jc w:val="center"/>
              <w:textAlignment w:val="center"/>
              <w:rPr>
                <w:rFonts w:eastAsia="仿宋_GB2312"/>
                <w:color w:val="auto"/>
                <w:kern w:val="0"/>
                <w:szCs w:val="21"/>
                <w:highlight w:val="none"/>
                <w:lang w:bidi="ar"/>
              </w:rPr>
            </w:pPr>
          </w:p>
        </w:tc>
        <w:tc>
          <w:tcPr>
            <w:tcW w:w="368" w:type="pct"/>
            <w:noWrap w:val="0"/>
            <w:vAlign w:val="center"/>
          </w:tcPr>
          <w:p w14:paraId="19206BF5">
            <w:pPr>
              <w:spacing w:line="300" w:lineRule="exact"/>
              <w:jc w:val="center"/>
              <w:rPr>
                <w:rFonts w:eastAsia="仿宋_GB2312"/>
                <w:color w:val="auto"/>
                <w:spacing w:val="5"/>
                <w:szCs w:val="21"/>
                <w:highlight w:val="none"/>
              </w:rPr>
            </w:pPr>
            <w:r>
              <w:rPr>
                <w:rFonts w:eastAsia="仿宋_GB2312"/>
                <w:color w:val="auto"/>
                <w:spacing w:val="5"/>
                <w:szCs w:val="21"/>
                <w:highlight w:val="none"/>
              </w:rPr>
              <w:t>食用油、油脂及其制品(自制)</w:t>
            </w:r>
          </w:p>
        </w:tc>
        <w:tc>
          <w:tcPr>
            <w:tcW w:w="401" w:type="pct"/>
            <w:noWrap w:val="0"/>
            <w:vAlign w:val="center"/>
          </w:tcPr>
          <w:p w14:paraId="405A7A6E">
            <w:pPr>
              <w:spacing w:line="300" w:lineRule="exact"/>
              <w:jc w:val="center"/>
              <w:rPr>
                <w:rFonts w:eastAsia="仿宋_GB2312"/>
                <w:color w:val="auto"/>
                <w:spacing w:val="5"/>
                <w:szCs w:val="21"/>
                <w:highlight w:val="none"/>
              </w:rPr>
            </w:pPr>
            <w:r>
              <w:rPr>
                <w:rFonts w:eastAsia="仿宋_GB2312"/>
                <w:color w:val="auto"/>
                <w:spacing w:val="5"/>
                <w:szCs w:val="21"/>
                <w:highlight w:val="none"/>
              </w:rPr>
              <w:t>食用油、油脂及其制品(自制)</w:t>
            </w:r>
          </w:p>
        </w:tc>
        <w:tc>
          <w:tcPr>
            <w:tcW w:w="670" w:type="pct"/>
            <w:noWrap w:val="0"/>
            <w:vAlign w:val="center"/>
          </w:tcPr>
          <w:p w14:paraId="304F40E6">
            <w:pPr>
              <w:spacing w:line="300" w:lineRule="exact"/>
              <w:jc w:val="center"/>
              <w:rPr>
                <w:rFonts w:eastAsia="仿宋_GB2312"/>
                <w:color w:val="auto"/>
                <w:spacing w:val="5"/>
                <w:szCs w:val="21"/>
                <w:highlight w:val="none"/>
              </w:rPr>
            </w:pPr>
            <w:r>
              <w:rPr>
                <w:rFonts w:eastAsia="仿宋_GB2312"/>
                <w:color w:val="auto"/>
                <w:spacing w:val="5"/>
                <w:szCs w:val="21"/>
                <w:highlight w:val="none"/>
              </w:rPr>
              <w:t>煎炸过程用油</w:t>
            </w:r>
          </w:p>
        </w:tc>
        <w:tc>
          <w:tcPr>
            <w:tcW w:w="284" w:type="pct"/>
            <w:noWrap w:val="0"/>
            <w:vAlign w:val="center"/>
          </w:tcPr>
          <w:p w14:paraId="763C3610">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27F7B945">
            <w:pPr>
              <w:spacing w:line="300" w:lineRule="exact"/>
              <w:jc w:val="left"/>
              <w:rPr>
                <w:rFonts w:eastAsia="仿宋_GB2312"/>
                <w:color w:val="auto"/>
                <w:spacing w:val="5"/>
                <w:szCs w:val="21"/>
                <w:highlight w:val="none"/>
              </w:rPr>
            </w:pPr>
            <w:r>
              <w:rPr>
                <w:rFonts w:eastAsia="仿宋_GB2312"/>
                <w:color w:val="auto"/>
                <w:spacing w:val="5"/>
                <w:szCs w:val="21"/>
                <w:highlight w:val="none"/>
              </w:rPr>
              <w:t>极性组分、酸价(以脂肪计)(KOH)</w:t>
            </w:r>
          </w:p>
        </w:tc>
        <w:tc>
          <w:tcPr>
            <w:tcW w:w="1186" w:type="pct"/>
            <w:noWrap w:val="0"/>
            <w:vAlign w:val="center"/>
          </w:tcPr>
          <w:p w14:paraId="24191CEA">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1F79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748EA1E8">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2686A862">
            <w:pPr>
              <w:widowControl/>
              <w:spacing w:line="300" w:lineRule="exact"/>
              <w:jc w:val="center"/>
              <w:textAlignment w:val="center"/>
              <w:rPr>
                <w:rFonts w:eastAsia="仿宋_GB2312"/>
                <w:color w:val="auto"/>
                <w:kern w:val="0"/>
                <w:szCs w:val="21"/>
                <w:highlight w:val="none"/>
                <w:lang w:bidi="ar"/>
              </w:rPr>
            </w:pPr>
          </w:p>
        </w:tc>
        <w:tc>
          <w:tcPr>
            <w:tcW w:w="368" w:type="pct"/>
            <w:noWrap w:val="0"/>
            <w:vAlign w:val="center"/>
          </w:tcPr>
          <w:p w14:paraId="3CD806C1">
            <w:pPr>
              <w:spacing w:line="300" w:lineRule="exact"/>
              <w:jc w:val="center"/>
              <w:rPr>
                <w:rFonts w:eastAsia="仿宋_GB2312"/>
                <w:color w:val="auto"/>
                <w:spacing w:val="5"/>
                <w:szCs w:val="21"/>
                <w:highlight w:val="none"/>
              </w:rPr>
            </w:pPr>
            <w:r>
              <w:rPr>
                <w:rFonts w:eastAsia="仿宋_GB2312"/>
                <w:color w:val="auto"/>
                <w:spacing w:val="5"/>
                <w:szCs w:val="21"/>
                <w:highlight w:val="none"/>
              </w:rPr>
              <w:t>淀粉制品(自制)</w:t>
            </w:r>
          </w:p>
        </w:tc>
        <w:tc>
          <w:tcPr>
            <w:tcW w:w="401" w:type="pct"/>
            <w:noWrap w:val="0"/>
            <w:vAlign w:val="center"/>
          </w:tcPr>
          <w:p w14:paraId="1DDDCE81">
            <w:pPr>
              <w:spacing w:line="300" w:lineRule="exact"/>
              <w:jc w:val="center"/>
              <w:rPr>
                <w:rFonts w:eastAsia="仿宋_GB2312"/>
                <w:color w:val="auto"/>
                <w:spacing w:val="5"/>
                <w:szCs w:val="21"/>
                <w:highlight w:val="none"/>
              </w:rPr>
            </w:pPr>
            <w:r>
              <w:rPr>
                <w:rFonts w:eastAsia="仿宋_GB2312"/>
                <w:color w:val="auto"/>
                <w:spacing w:val="5"/>
                <w:szCs w:val="21"/>
                <w:highlight w:val="none"/>
              </w:rPr>
              <w:t>粉丝粉条(自制)</w:t>
            </w:r>
          </w:p>
        </w:tc>
        <w:tc>
          <w:tcPr>
            <w:tcW w:w="670" w:type="pct"/>
            <w:noWrap w:val="0"/>
            <w:vAlign w:val="center"/>
          </w:tcPr>
          <w:p w14:paraId="3173D175">
            <w:pPr>
              <w:spacing w:line="300" w:lineRule="exact"/>
              <w:jc w:val="center"/>
              <w:rPr>
                <w:rFonts w:eastAsia="仿宋_GB2312"/>
                <w:color w:val="auto"/>
                <w:spacing w:val="5"/>
                <w:szCs w:val="21"/>
                <w:highlight w:val="none"/>
              </w:rPr>
            </w:pPr>
            <w:r>
              <w:rPr>
                <w:rFonts w:eastAsia="仿宋_GB2312"/>
                <w:color w:val="auto"/>
                <w:spacing w:val="5"/>
                <w:szCs w:val="21"/>
                <w:highlight w:val="none"/>
              </w:rPr>
              <w:t>粉丝粉条(自制)</w:t>
            </w:r>
          </w:p>
        </w:tc>
        <w:tc>
          <w:tcPr>
            <w:tcW w:w="284" w:type="pct"/>
            <w:noWrap w:val="0"/>
            <w:vAlign w:val="center"/>
          </w:tcPr>
          <w:p w14:paraId="6F83481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33E7F322">
            <w:pPr>
              <w:spacing w:line="300" w:lineRule="exact"/>
              <w:jc w:val="left"/>
              <w:rPr>
                <w:rFonts w:eastAsia="仿宋_GB2312"/>
                <w:color w:val="auto"/>
                <w:spacing w:val="5"/>
                <w:szCs w:val="21"/>
                <w:highlight w:val="none"/>
              </w:rPr>
            </w:pPr>
            <w:r>
              <w:rPr>
                <w:rFonts w:eastAsia="仿宋_GB2312"/>
                <w:color w:val="auto"/>
                <w:spacing w:val="5"/>
                <w:szCs w:val="21"/>
                <w:highlight w:val="none"/>
              </w:rPr>
              <w:t>铝的残留量(干样品，以Al计)、脱氢乙酸及其钠盐(以脱氢乙酸计)</w:t>
            </w:r>
          </w:p>
        </w:tc>
        <w:tc>
          <w:tcPr>
            <w:tcW w:w="1186" w:type="pct"/>
            <w:noWrap w:val="0"/>
            <w:vAlign w:val="center"/>
          </w:tcPr>
          <w:p w14:paraId="1B3E1DFB">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7BF3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45BF5066">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116FA4D3">
            <w:pPr>
              <w:widowControl/>
              <w:spacing w:line="300" w:lineRule="exact"/>
              <w:jc w:val="center"/>
              <w:textAlignment w:val="center"/>
              <w:rPr>
                <w:rFonts w:eastAsia="仿宋_GB2312"/>
                <w:color w:val="auto"/>
                <w:kern w:val="0"/>
                <w:szCs w:val="21"/>
                <w:highlight w:val="none"/>
                <w:lang w:bidi="ar"/>
              </w:rPr>
            </w:pPr>
          </w:p>
        </w:tc>
        <w:tc>
          <w:tcPr>
            <w:tcW w:w="368" w:type="pct"/>
            <w:vMerge w:val="restart"/>
            <w:noWrap w:val="0"/>
            <w:vAlign w:val="center"/>
          </w:tcPr>
          <w:p w14:paraId="21E9AEAF">
            <w:pPr>
              <w:spacing w:line="300" w:lineRule="exact"/>
              <w:jc w:val="center"/>
              <w:rPr>
                <w:rFonts w:eastAsia="仿宋_GB2312"/>
                <w:color w:val="auto"/>
                <w:spacing w:val="5"/>
                <w:szCs w:val="21"/>
                <w:highlight w:val="none"/>
              </w:rPr>
            </w:pPr>
            <w:r>
              <w:rPr>
                <w:rFonts w:eastAsia="仿宋_GB2312"/>
                <w:color w:val="auto"/>
                <w:spacing w:val="5"/>
                <w:szCs w:val="21"/>
                <w:highlight w:val="none"/>
              </w:rPr>
              <w:t>饮料(自制)</w:t>
            </w:r>
          </w:p>
        </w:tc>
        <w:tc>
          <w:tcPr>
            <w:tcW w:w="401" w:type="pct"/>
            <w:vMerge w:val="restart"/>
            <w:noWrap w:val="0"/>
            <w:vAlign w:val="center"/>
          </w:tcPr>
          <w:p w14:paraId="704846A5">
            <w:pPr>
              <w:spacing w:line="300" w:lineRule="exact"/>
              <w:jc w:val="center"/>
              <w:rPr>
                <w:rFonts w:eastAsia="仿宋_GB2312"/>
                <w:color w:val="auto"/>
                <w:spacing w:val="5"/>
                <w:szCs w:val="21"/>
                <w:highlight w:val="none"/>
              </w:rPr>
            </w:pPr>
            <w:r>
              <w:rPr>
                <w:rFonts w:eastAsia="仿宋_GB2312"/>
                <w:color w:val="auto"/>
                <w:spacing w:val="5"/>
                <w:szCs w:val="21"/>
                <w:highlight w:val="none"/>
              </w:rPr>
              <w:t>饮料(自制)</w:t>
            </w:r>
          </w:p>
        </w:tc>
        <w:tc>
          <w:tcPr>
            <w:tcW w:w="670" w:type="pct"/>
            <w:noWrap w:val="0"/>
            <w:vAlign w:val="center"/>
          </w:tcPr>
          <w:p w14:paraId="58F6C02D">
            <w:pPr>
              <w:spacing w:line="300" w:lineRule="exact"/>
              <w:jc w:val="center"/>
              <w:rPr>
                <w:rFonts w:eastAsia="仿宋_GB2312"/>
                <w:color w:val="auto"/>
                <w:spacing w:val="5"/>
                <w:szCs w:val="21"/>
                <w:highlight w:val="none"/>
              </w:rPr>
            </w:pPr>
            <w:r>
              <w:rPr>
                <w:rFonts w:eastAsia="仿宋_GB2312"/>
                <w:color w:val="auto"/>
                <w:spacing w:val="5"/>
                <w:szCs w:val="21"/>
                <w:highlight w:val="none"/>
              </w:rPr>
              <w:t>奶茶(自制)</w:t>
            </w:r>
          </w:p>
          <w:p w14:paraId="0EC5DAF1">
            <w:pPr>
              <w:spacing w:line="300" w:lineRule="exact"/>
              <w:jc w:val="center"/>
              <w:rPr>
                <w:rFonts w:eastAsia="仿宋_GB2312"/>
                <w:color w:val="auto"/>
                <w:spacing w:val="5"/>
                <w:szCs w:val="21"/>
                <w:highlight w:val="none"/>
              </w:rPr>
            </w:pPr>
          </w:p>
        </w:tc>
        <w:tc>
          <w:tcPr>
            <w:tcW w:w="284" w:type="pct"/>
            <w:noWrap w:val="0"/>
            <w:vAlign w:val="center"/>
          </w:tcPr>
          <w:p w14:paraId="44A83654">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67ADEDA1">
            <w:pPr>
              <w:pStyle w:val="132"/>
              <w:spacing w:before="84" w:line="300" w:lineRule="exact"/>
              <w:jc w:val="left"/>
              <w:rPr>
                <w:rFonts w:ascii="Times New Roman" w:hAnsi="Times New Roman" w:eastAsia="仿宋_GB2312" w:cs="Times New Roman"/>
                <w:color w:val="auto"/>
                <w:spacing w:val="5"/>
                <w:sz w:val="21"/>
                <w:szCs w:val="21"/>
                <w:highlight w:val="none"/>
              </w:rPr>
            </w:pPr>
            <w:r>
              <w:rPr>
                <w:rFonts w:ascii="Times New Roman" w:hAnsi="Times New Roman" w:eastAsia="仿宋_GB2312" w:cs="Times New Roman"/>
                <w:color w:val="auto"/>
                <w:spacing w:val="5"/>
                <w:sz w:val="21"/>
                <w:szCs w:val="21"/>
                <w:highlight w:val="none"/>
              </w:rPr>
              <w:t>脱氢乙酸及其钠盐(以脱氢乙酸计)、糖精钠(以糖精计)、合成着色剂</w:t>
            </w:r>
            <w:r>
              <w:rPr>
                <w:rFonts w:ascii="Times New Roman" w:hAnsi="Times New Roman" w:eastAsia="仿宋_GB2312" w:cs="Times New Roman"/>
                <w:color w:val="auto"/>
                <w:sz w:val="21"/>
                <w:szCs w:val="21"/>
                <w:highlight w:val="none"/>
              </w:rPr>
              <w:t>（苋菜红、胭脂红、柠檬黄、日落黄、亮蓝）</w:t>
            </w:r>
          </w:p>
        </w:tc>
        <w:tc>
          <w:tcPr>
            <w:tcW w:w="1186" w:type="pct"/>
            <w:noWrap w:val="0"/>
            <w:vAlign w:val="center"/>
          </w:tcPr>
          <w:p w14:paraId="1B0DAE2F">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D03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5E71118">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7FF543F">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1C239C9F">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4326ABFF">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3246C751">
            <w:pPr>
              <w:spacing w:line="300" w:lineRule="exact"/>
              <w:jc w:val="center"/>
              <w:rPr>
                <w:rFonts w:eastAsia="仿宋_GB2312"/>
                <w:color w:val="auto"/>
                <w:spacing w:val="5"/>
                <w:szCs w:val="21"/>
                <w:highlight w:val="none"/>
              </w:rPr>
            </w:pPr>
            <w:r>
              <w:rPr>
                <w:rFonts w:eastAsia="仿宋_GB2312"/>
                <w:color w:val="auto"/>
                <w:spacing w:val="5"/>
                <w:szCs w:val="21"/>
                <w:highlight w:val="none"/>
              </w:rPr>
              <w:t>豆浆（自制）</w:t>
            </w:r>
          </w:p>
        </w:tc>
        <w:tc>
          <w:tcPr>
            <w:tcW w:w="284" w:type="pct"/>
            <w:noWrap w:val="0"/>
            <w:vAlign w:val="center"/>
          </w:tcPr>
          <w:p w14:paraId="24F1C59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D395EB9">
            <w:pPr>
              <w:spacing w:line="300" w:lineRule="exact"/>
              <w:jc w:val="left"/>
              <w:rPr>
                <w:rFonts w:eastAsia="仿宋_GB2312"/>
                <w:color w:val="auto"/>
                <w:spacing w:val="5"/>
                <w:szCs w:val="21"/>
                <w:highlight w:val="none"/>
              </w:rPr>
            </w:pPr>
            <w:r>
              <w:rPr>
                <w:rFonts w:eastAsia="仿宋_GB2312"/>
                <w:color w:val="auto"/>
                <w:spacing w:val="5"/>
                <w:szCs w:val="21"/>
                <w:highlight w:val="none"/>
              </w:rPr>
              <w:t>糖精钠(以糖精计)、甜蜜素(以环己基氨基磺酸计)、</w:t>
            </w:r>
            <w:r>
              <w:rPr>
                <w:rFonts w:eastAsia="仿宋_GB2312"/>
                <w:color w:val="auto"/>
                <w:szCs w:val="21"/>
                <w:highlight w:val="none"/>
              </w:rPr>
              <w:t>安赛蜜、三氯蔗糖、</w:t>
            </w:r>
            <w:r>
              <w:rPr>
                <w:rFonts w:eastAsia="仿宋_GB2312"/>
                <w:color w:val="auto"/>
                <w:spacing w:val="5"/>
                <w:szCs w:val="21"/>
                <w:highlight w:val="none"/>
              </w:rPr>
              <w:t>苯甲酸及其钠盐（以苯甲酸计）、山梨酸及其钾盐(以山梨酸计)</w:t>
            </w:r>
          </w:p>
        </w:tc>
        <w:tc>
          <w:tcPr>
            <w:tcW w:w="1186" w:type="pct"/>
            <w:noWrap w:val="0"/>
            <w:vAlign w:val="center"/>
          </w:tcPr>
          <w:p w14:paraId="2FE5BF1F">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4F72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A61A2B2">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3E6980F3">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47F4B562">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12E40627">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60E0E111">
            <w:pPr>
              <w:spacing w:line="300" w:lineRule="exact"/>
              <w:jc w:val="center"/>
              <w:rPr>
                <w:rFonts w:eastAsia="仿宋_GB2312"/>
                <w:color w:val="auto"/>
                <w:spacing w:val="5"/>
                <w:szCs w:val="21"/>
                <w:highlight w:val="none"/>
              </w:rPr>
            </w:pPr>
            <w:r>
              <w:rPr>
                <w:rFonts w:eastAsia="仿宋_GB2312"/>
                <w:color w:val="auto"/>
                <w:spacing w:val="5"/>
                <w:szCs w:val="21"/>
                <w:highlight w:val="none"/>
              </w:rPr>
              <w:t>果蔬汁类及其饮料（自制）</w:t>
            </w:r>
          </w:p>
        </w:tc>
        <w:tc>
          <w:tcPr>
            <w:tcW w:w="284" w:type="pct"/>
            <w:noWrap w:val="0"/>
            <w:vAlign w:val="center"/>
          </w:tcPr>
          <w:p w14:paraId="12C24BA7">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71C056C3">
            <w:pPr>
              <w:spacing w:line="300" w:lineRule="exact"/>
              <w:jc w:val="left"/>
              <w:rPr>
                <w:rFonts w:eastAsia="仿宋_GB2312"/>
                <w:color w:val="auto"/>
                <w:szCs w:val="21"/>
                <w:highlight w:val="none"/>
              </w:rPr>
            </w:pPr>
            <w:r>
              <w:rPr>
                <w:rFonts w:eastAsia="仿宋_GB2312"/>
                <w:color w:val="auto"/>
                <w:szCs w:val="21"/>
                <w:highlight w:val="none"/>
              </w:rPr>
              <w:t>安赛蜜、三氯蔗糖、</w:t>
            </w:r>
            <w:r>
              <w:rPr>
                <w:rFonts w:eastAsia="仿宋_GB2312"/>
                <w:color w:val="auto"/>
                <w:spacing w:val="5"/>
                <w:szCs w:val="21"/>
                <w:highlight w:val="none"/>
              </w:rPr>
              <w:t>糖精钠(以糖精计)、甜蜜素(以环己基氨基磺酸计)、合成着色剂</w:t>
            </w:r>
            <w:r>
              <w:rPr>
                <w:rFonts w:eastAsia="仿宋_GB2312"/>
                <w:color w:val="auto"/>
                <w:szCs w:val="21"/>
                <w:highlight w:val="none"/>
              </w:rPr>
              <w:t>（苋菜红、胭脂红、柠檬黄、日落黄、亮蓝）</w:t>
            </w:r>
          </w:p>
        </w:tc>
        <w:tc>
          <w:tcPr>
            <w:tcW w:w="1186" w:type="pct"/>
            <w:noWrap w:val="0"/>
            <w:vAlign w:val="center"/>
          </w:tcPr>
          <w:p w14:paraId="57F2128C">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1795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8599454">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03860B9F">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11033099">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38A35C26">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197F8723">
            <w:pPr>
              <w:spacing w:line="300" w:lineRule="exact"/>
              <w:jc w:val="center"/>
              <w:rPr>
                <w:rFonts w:eastAsia="仿宋_GB2312"/>
                <w:color w:val="auto"/>
                <w:spacing w:val="5"/>
                <w:szCs w:val="21"/>
                <w:highlight w:val="none"/>
              </w:rPr>
            </w:pPr>
            <w:r>
              <w:rPr>
                <w:rFonts w:eastAsia="仿宋_GB2312"/>
                <w:color w:val="auto"/>
                <w:spacing w:val="5"/>
                <w:szCs w:val="21"/>
                <w:highlight w:val="none"/>
              </w:rPr>
              <w:t>其他饮料(自制)</w:t>
            </w:r>
          </w:p>
        </w:tc>
        <w:tc>
          <w:tcPr>
            <w:tcW w:w="284" w:type="pct"/>
            <w:noWrap w:val="0"/>
            <w:vAlign w:val="center"/>
          </w:tcPr>
          <w:p w14:paraId="2517E53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30111034">
            <w:pPr>
              <w:spacing w:line="300" w:lineRule="exact"/>
              <w:jc w:val="left"/>
              <w:rPr>
                <w:rFonts w:eastAsia="仿宋_GB2312"/>
                <w:color w:val="auto"/>
                <w:szCs w:val="21"/>
                <w:highlight w:val="none"/>
              </w:rPr>
            </w:pPr>
            <w:r>
              <w:rPr>
                <w:rFonts w:eastAsia="仿宋_GB2312"/>
                <w:color w:val="auto"/>
                <w:szCs w:val="21"/>
                <w:highlight w:val="none"/>
              </w:rPr>
              <w:t>安赛蜜、三氯蔗糖、</w:t>
            </w:r>
            <w:r>
              <w:rPr>
                <w:rFonts w:eastAsia="仿宋_GB2312"/>
                <w:color w:val="auto"/>
                <w:spacing w:val="5"/>
                <w:szCs w:val="21"/>
                <w:highlight w:val="none"/>
              </w:rPr>
              <w:t>糖精钠(以糖精计)、甜蜜素(以环己基氨基磺酸计)、合成着色剂</w:t>
            </w:r>
            <w:r>
              <w:rPr>
                <w:rFonts w:eastAsia="仿宋_GB2312"/>
                <w:color w:val="auto"/>
                <w:szCs w:val="21"/>
                <w:highlight w:val="none"/>
              </w:rPr>
              <w:t>（苋菜红、胭脂红、柠檬黄、日落黄、亮蓝）</w:t>
            </w:r>
          </w:p>
        </w:tc>
        <w:tc>
          <w:tcPr>
            <w:tcW w:w="1186" w:type="pct"/>
            <w:noWrap w:val="0"/>
            <w:vAlign w:val="center"/>
          </w:tcPr>
          <w:p w14:paraId="7774B7D8">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5F50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01D7334">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38D6B950">
            <w:pPr>
              <w:widowControl/>
              <w:spacing w:line="300" w:lineRule="exact"/>
              <w:jc w:val="center"/>
              <w:textAlignment w:val="center"/>
              <w:rPr>
                <w:rFonts w:eastAsia="仿宋_GB2312"/>
                <w:color w:val="auto"/>
                <w:kern w:val="0"/>
                <w:szCs w:val="21"/>
                <w:highlight w:val="none"/>
                <w:lang w:bidi="ar"/>
              </w:rPr>
            </w:pPr>
          </w:p>
        </w:tc>
        <w:tc>
          <w:tcPr>
            <w:tcW w:w="368" w:type="pct"/>
            <w:vMerge w:val="restart"/>
            <w:noWrap w:val="0"/>
            <w:vAlign w:val="center"/>
          </w:tcPr>
          <w:p w14:paraId="36C84926">
            <w:pPr>
              <w:spacing w:line="300" w:lineRule="exact"/>
              <w:jc w:val="center"/>
              <w:rPr>
                <w:rFonts w:eastAsia="仿宋_GB2312"/>
                <w:color w:val="auto"/>
                <w:spacing w:val="5"/>
                <w:szCs w:val="21"/>
                <w:highlight w:val="none"/>
              </w:rPr>
            </w:pPr>
            <w:r>
              <w:rPr>
                <w:rFonts w:eastAsia="仿宋_GB2312"/>
                <w:color w:val="auto"/>
                <w:spacing w:val="5"/>
                <w:szCs w:val="21"/>
                <w:highlight w:val="none"/>
              </w:rPr>
              <w:t>餐饮具</w:t>
            </w:r>
          </w:p>
          <w:p w14:paraId="5FE53A2C">
            <w:pPr>
              <w:spacing w:line="300" w:lineRule="exact"/>
              <w:jc w:val="center"/>
              <w:rPr>
                <w:rFonts w:eastAsia="仿宋_GB2312"/>
                <w:color w:val="auto"/>
                <w:spacing w:val="5"/>
                <w:szCs w:val="21"/>
                <w:highlight w:val="none"/>
              </w:rPr>
            </w:pPr>
          </w:p>
        </w:tc>
        <w:tc>
          <w:tcPr>
            <w:tcW w:w="401" w:type="pct"/>
            <w:vMerge w:val="restart"/>
            <w:noWrap w:val="0"/>
            <w:vAlign w:val="center"/>
          </w:tcPr>
          <w:p w14:paraId="72665D27">
            <w:pPr>
              <w:spacing w:line="300" w:lineRule="exact"/>
              <w:jc w:val="center"/>
              <w:rPr>
                <w:rFonts w:eastAsia="仿宋_GB2312"/>
                <w:color w:val="auto"/>
                <w:spacing w:val="5"/>
                <w:szCs w:val="21"/>
                <w:highlight w:val="none"/>
              </w:rPr>
            </w:pPr>
            <w:r>
              <w:rPr>
                <w:rFonts w:eastAsia="仿宋_GB2312"/>
                <w:color w:val="auto"/>
                <w:spacing w:val="5"/>
                <w:szCs w:val="21"/>
                <w:highlight w:val="none"/>
              </w:rPr>
              <w:t>复用餐饮具</w:t>
            </w:r>
          </w:p>
          <w:p w14:paraId="63EE6921">
            <w:pPr>
              <w:spacing w:line="300" w:lineRule="exact"/>
              <w:jc w:val="center"/>
              <w:rPr>
                <w:rFonts w:eastAsia="仿宋_GB2312"/>
                <w:color w:val="auto"/>
                <w:spacing w:val="5"/>
                <w:szCs w:val="21"/>
                <w:highlight w:val="none"/>
              </w:rPr>
            </w:pPr>
          </w:p>
        </w:tc>
        <w:tc>
          <w:tcPr>
            <w:tcW w:w="670" w:type="pct"/>
            <w:noWrap w:val="0"/>
            <w:vAlign w:val="center"/>
          </w:tcPr>
          <w:p w14:paraId="507BCEDB">
            <w:pPr>
              <w:spacing w:line="300" w:lineRule="exact"/>
              <w:jc w:val="center"/>
              <w:rPr>
                <w:rFonts w:eastAsia="仿宋_GB2312"/>
                <w:color w:val="auto"/>
                <w:spacing w:val="5"/>
                <w:szCs w:val="21"/>
                <w:highlight w:val="none"/>
              </w:rPr>
            </w:pPr>
            <w:r>
              <w:rPr>
                <w:rFonts w:eastAsia="仿宋_GB2312"/>
                <w:color w:val="auto"/>
                <w:spacing w:val="5"/>
                <w:szCs w:val="21"/>
                <w:highlight w:val="none"/>
              </w:rPr>
              <w:t>复用餐饮具(餐馆自行消毒)</w:t>
            </w:r>
          </w:p>
        </w:tc>
        <w:tc>
          <w:tcPr>
            <w:tcW w:w="284" w:type="pct"/>
            <w:noWrap w:val="0"/>
            <w:vAlign w:val="center"/>
          </w:tcPr>
          <w:p w14:paraId="631C72A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5C5E44B9">
            <w:pPr>
              <w:spacing w:line="300" w:lineRule="exact"/>
              <w:jc w:val="left"/>
              <w:rPr>
                <w:rFonts w:eastAsia="仿宋_GB2312"/>
                <w:color w:val="auto"/>
                <w:spacing w:val="5"/>
                <w:szCs w:val="21"/>
                <w:highlight w:val="none"/>
              </w:rPr>
            </w:pPr>
            <w:r>
              <w:rPr>
                <w:rFonts w:eastAsia="仿宋_GB2312"/>
                <w:color w:val="auto"/>
                <w:spacing w:val="5"/>
                <w:szCs w:val="21"/>
                <w:highlight w:val="none"/>
              </w:rPr>
              <w:t>阴离子合成洗涤剂(以十二烷基苯酸钠计)、大肠菌群</w:t>
            </w:r>
          </w:p>
        </w:tc>
        <w:tc>
          <w:tcPr>
            <w:tcW w:w="1186" w:type="pct"/>
            <w:noWrap w:val="0"/>
            <w:vAlign w:val="center"/>
          </w:tcPr>
          <w:p w14:paraId="3EF9C2F4">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E96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4E9E165">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51642DD4">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344B699F">
            <w:pPr>
              <w:widowControl/>
              <w:spacing w:line="300" w:lineRule="exact"/>
              <w:jc w:val="center"/>
              <w:textAlignment w:val="center"/>
              <w:rPr>
                <w:rFonts w:eastAsia="仿宋_GB2312"/>
                <w:color w:val="auto"/>
                <w:kern w:val="0"/>
                <w:szCs w:val="21"/>
                <w:highlight w:val="none"/>
                <w:lang w:bidi="ar"/>
              </w:rPr>
            </w:pPr>
          </w:p>
        </w:tc>
        <w:tc>
          <w:tcPr>
            <w:tcW w:w="401" w:type="pct"/>
            <w:vMerge w:val="continue"/>
            <w:noWrap w:val="0"/>
            <w:vAlign w:val="center"/>
          </w:tcPr>
          <w:p w14:paraId="639DEE5D">
            <w:pPr>
              <w:widowControl/>
              <w:spacing w:line="300" w:lineRule="exact"/>
              <w:jc w:val="center"/>
              <w:textAlignment w:val="center"/>
              <w:rPr>
                <w:rFonts w:eastAsia="仿宋_GB2312"/>
                <w:color w:val="auto"/>
                <w:kern w:val="0"/>
                <w:szCs w:val="21"/>
                <w:highlight w:val="none"/>
                <w:lang w:bidi="ar"/>
              </w:rPr>
            </w:pPr>
          </w:p>
        </w:tc>
        <w:tc>
          <w:tcPr>
            <w:tcW w:w="670" w:type="pct"/>
            <w:noWrap w:val="0"/>
            <w:vAlign w:val="center"/>
          </w:tcPr>
          <w:p w14:paraId="555C457A">
            <w:pPr>
              <w:spacing w:line="300" w:lineRule="exact"/>
              <w:jc w:val="center"/>
              <w:rPr>
                <w:rFonts w:eastAsia="仿宋_GB2312"/>
                <w:color w:val="auto"/>
                <w:spacing w:val="5"/>
                <w:szCs w:val="21"/>
                <w:highlight w:val="none"/>
              </w:rPr>
            </w:pPr>
            <w:r>
              <w:rPr>
                <w:rFonts w:eastAsia="仿宋_GB2312"/>
                <w:color w:val="auto"/>
                <w:spacing w:val="5"/>
                <w:szCs w:val="21"/>
                <w:highlight w:val="none"/>
              </w:rPr>
              <w:t>复用餐饮具(集中清洗消毒服务单位消毒)</w:t>
            </w:r>
          </w:p>
        </w:tc>
        <w:tc>
          <w:tcPr>
            <w:tcW w:w="284" w:type="pct"/>
            <w:noWrap w:val="0"/>
            <w:vAlign w:val="center"/>
          </w:tcPr>
          <w:p w14:paraId="7290F264">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52AA6246">
            <w:pPr>
              <w:spacing w:line="300" w:lineRule="exact"/>
              <w:jc w:val="left"/>
              <w:rPr>
                <w:rFonts w:eastAsia="仿宋_GB2312"/>
                <w:color w:val="auto"/>
                <w:spacing w:val="5"/>
                <w:szCs w:val="21"/>
                <w:highlight w:val="none"/>
              </w:rPr>
            </w:pPr>
            <w:r>
              <w:rPr>
                <w:rFonts w:eastAsia="仿宋_GB2312"/>
                <w:color w:val="auto"/>
                <w:spacing w:val="5"/>
                <w:szCs w:val="21"/>
                <w:highlight w:val="none"/>
              </w:rPr>
              <w:t>阴离子合成洗涤剂(以十二烷基苯酸钠计)、大肠菌群</w:t>
            </w:r>
          </w:p>
        </w:tc>
        <w:tc>
          <w:tcPr>
            <w:tcW w:w="1186" w:type="pct"/>
            <w:noWrap w:val="0"/>
            <w:vAlign w:val="center"/>
          </w:tcPr>
          <w:p w14:paraId="3E499777">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271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66" w:type="pct"/>
            <w:vMerge w:val="continue"/>
            <w:noWrap w:val="0"/>
            <w:vAlign w:val="center"/>
          </w:tcPr>
          <w:p w14:paraId="292D5092">
            <w:pPr>
              <w:widowControl/>
              <w:spacing w:line="300" w:lineRule="exact"/>
              <w:jc w:val="center"/>
              <w:textAlignment w:val="center"/>
              <w:rPr>
                <w:rFonts w:eastAsia="仿宋_GB2312"/>
                <w:color w:val="auto"/>
                <w:kern w:val="0"/>
                <w:szCs w:val="21"/>
                <w:highlight w:val="none"/>
                <w:lang w:bidi="ar"/>
              </w:rPr>
            </w:pPr>
          </w:p>
        </w:tc>
        <w:tc>
          <w:tcPr>
            <w:tcW w:w="367" w:type="pct"/>
            <w:vMerge w:val="continue"/>
            <w:noWrap w:val="0"/>
            <w:vAlign w:val="center"/>
          </w:tcPr>
          <w:p w14:paraId="472D7A86">
            <w:pPr>
              <w:widowControl/>
              <w:spacing w:line="300" w:lineRule="exact"/>
              <w:jc w:val="center"/>
              <w:textAlignment w:val="center"/>
              <w:rPr>
                <w:rFonts w:eastAsia="仿宋_GB2312"/>
                <w:color w:val="auto"/>
                <w:kern w:val="0"/>
                <w:szCs w:val="21"/>
                <w:highlight w:val="none"/>
                <w:lang w:bidi="ar"/>
              </w:rPr>
            </w:pPr>
          </w:p>
        </w:tc>
        <w:tc>
          <w:tcPr>
            <w:tcW w:w="368" w:type="pct"/>
            <w:vMerge w:val="restart"/>
            <w:noWrap w:val="0"/>
            <w:vAlign w:val="center"/>
          </w:tcPr>
          <w:p w14:paraId="56ACA7E3">
            <w:pPr>
              <w:spacing w:line="300" w:lineRule="exact"/>
              <w:jc w:val="center"/>
              <w:rPr>
                <w:rFonts w:eastAsia="仿宋_GB2312"/>
                <w:color w:val="auto"/>
                <w:spacing w:val="5"/>
                <w:szCs w:val="21"/>
                <w:highlight w:val="none"/>
              </w:rPr>
            </w:pPr>
            <w:r>
              <w:rPr>
                <w:rFonts w:eastAsia="仿宋_GB2312"/>
                <w:color w:val="auto"/>
                <w:spacing w:val="5"/>
                <w:szCs w:val="21"/>
                <w:highlight w:val="none"/>
              </w:rPr>
              <w:t>果蔬类制品（自制）</w:t>
            </w:r>
          </w:p>
        </w:tc>
        <w:tc>
          <w:tcPr>
            <w:tcW w:w="401" w:type="pct"/>
            <w:noWrap w:val="0"/>
            <w:vAlign w:val="center"/>
          </w:tcPr>
          <w:p w14:paraId="2DC4064B">
            <w:pPr>
              <w:spacing w:line="300" w:lineRule="exact"/>
              <w:jc w:val="center"/>
              <w:rPr>
                <w:rFonts w:eastAsia="仿宋_GB2312"/>
                <w:color w:val="auto"/>
                <w:spacing w:val="5"/>
                <w:szCs w:val="21"/>
                <w:highlight w:val="none"/>
              </w:rPr>
            </w:pPr>
            <w:r>
              <w:rPr>
                <w:rFonts w:eastAsia="仿宋_GB2312"/>
                <w:color w:val="auto"/>
                <w:spacing w:val="5"/>
                <w:szCs w:val="21"/>
                <w:highlight w:val="none"/>
              </w:rPr>
              <w:t>蔬菜类制品（自制）</w:t>
            </w:r>
          </w:p>
        </w:tc>
        <w:tc>
          <w:tcPr>
            <w:tcW w:w="670" w:type="pct"/>
            <w:noWrap w:val="0"/>
            <w:vAlign w:val="center"/>
          </w:tcPr>
          <w:p w14:paraId="36E2F15E">
            <w:pPr>
              <w:spacing w:line="300" w:lineRule="exact"/>
              <w:jc w:val="center"/>
              <w:rPr>
                <w:rFonts w:eastAsia="仿宋_GB2312"/>
                <w:color w:val="auto"/>
                <w:spacing w:val="5"/>
                <w:szCs w:val="21"/>
                <w:highlight w:val="none"/>
              </w:rPr>
            </w:pPr>
            <w:r>
              <w:rPr>
                <w:rFonts w:eastAsia="仿宋_GB2312"/>
                <w:color w:val="auto"/>
                <w:spacing w:val="5"/>
                <w:szCs w:val="21"/>
                <w:highlight w:val="none"/>
              </w:rPr>
              <w:t>酱腌菜（自制）</w:t>
            </w:r>
          </w:p>
        </w:tc>
        <w:tc>
          <w:tcPr>
            <w:tcW w:w="284" w:type="pct"/>
            <w:noWrap w:val="0"/>
            <w:vAlign w:val="center"/>
          </w:tcPr>
          <w:p w14:paraId="74B7C752">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0F7B650D">
            <w:pPr>
              <w:spacing w:line="300" w:lineRule="exact"/>
              <w:jc w:val="left"/>
              <w:rPr>
                <w:rFonts w:eastAsia="仿宋_GB2312"/>
                <w:color w:val="auto"/>
                <w:spacing w:val="5"/>
                <w:szCs w:val="21"/>
                <w:highlight w:val="none"/>
              </w:rPr>
            </w:pPr>
            <w:r>
              <w:rPr>
                <w:rFonts w:eastAsia="仿宋_GB2312"/>
                <w:color w:val="auto"/>
                <w:spacing w:val="5"/>
                <w:szCs w:val="21"/>
                <w:highlight w:val="none"/>
              </w:rPr>
              <w:t>二氧化硫残留量、甜蜜素(以环己基氨基磺酸计)、糖精钠(以糖精计)、苯甲酸及其钠盐(以苯甲酸计)、山梨酸及其钾盐(以山梨酸计)</w:t>
            </w:r>
            <w:r>
              <w:rPr>
                <w:rFonts w:hint="eastAsia" w:eastAsia="仿宋_GB2312"/>
                <w:color w:val="auto"/>
                <w:spacing w:val="5"/>
                <w:szCs w:val="21"/>
                <w:highlight w:val="none"/>
              </w:rPr>
              <w:t>、</w:t>
            </w:r>
            <w:r>
              <w:rPr>
                <w:rFonts w:eastAsia="仿宋_GB2312"/>
                <w:color w:val="auto"/>
                <w:spacing w:val="5"/>
                <w:szCs w:val="21"/>
                <w:highlight w:val="none"/>
              </w:rPr>
              <w:t>脱氢乙酸及其钠盐(以脱氢乙酸计)</w:t>
            </w:r>
          </w:p>
        </w:tc>
        <w:tc>
          <w:tcPr>
            <w:tcW w:w="1186" w:type="pct"/>
            <w:noWrap w:val="0"/>
            <w:vAlign w:val="center"/>
          </w:tcPr>
          <w:p w14:paraId="668973C2">
            <w:pPr>
              <w:spacing w:line="300" w:lineRule="exact"/>
              <w:jc w:val="left"/>
              <w:rPr>
                <w:rFonts w:eastAsia="仿宋_GB2312"/>
                <w:color w:val="auto"/>
                <w:spacing w:val="2"/>
                <w:szCs w:val="21"/>
                <w:highlight w:val="none"/>
              </w:rPr>
            </w:pPr>
          </w:p>
        </w:tc>
      </w:tr>
      <w:tr w14:paraId="7F37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noWrap w:val="0"/>
            <w:vAlign w:val="center"/>
          </w:tcPr>
          <w:p w14:paraId="160C5209">
            <w:pPr>
              <w:widowControl/>
              <w:spacing w:line="300" w:lineRule="exact"/>
              <w:jc w:val="center"/>
              <w:textAlignment w:val="center"/>
              <w:rPr>
                <w:rFonts w:eastAsia="仿宋_GB2312"/>
                <w:color w:val="auto"/>
                <w:kern w:val="0"/>
                <w:szCs w:val="21"/>
                <w:highlight w:val="none"/>
                <w:lang w:bidi="ar"/>
              </w:rPr>
            </w:pPr>
          </w:p>
        </w:tc>
        <w:tc>
          <w:tcPr>
            <w:tcW w:w="367" w:type="pct"/>
            <w:noWrap w:val="0"/>
            <w:vAlign w:val="center"/>
          </w:tcPr>
          <w:p w14:paraId="74B5A951">
            <w:pPr>
              <w:widowControl/>
              <w:spacing w:line="300" w:lineRule="exact"/>
              <w:jc w:val="center"/>
              <w:textAlignment w:val="center"/>
              <w:rPr>
                <w:rFonts w:eastAsia="仿宋_GB2312"/>
                <w:color w:val="auto"/>
                <w:kern w:val="0"/>
                <w:szCs w:val="21"/>
                <w:highlight w:val="none"/>
                <w:lang w:bidi="ar"/>
              </w:rPr>
            </w:pPr>
          </w:p>
        </w:tc>
        <w:tc>
          <w:tcPr>
            <w:tcW w:w="368" w:type="pct"/>
            <w:vMerge w:val="continue"/>
            <w:noWrap w:val="0"/>
            <w:vAlign w:val="center"/>
          </w:tcPr>
          <w:p w14:paraId="3B2D73F6">
            <w:pPr>
              <w:widowControl/>
              <w:spacing w:line="300" w:lineRule="exact"/>
              <w:jc w:val="center"/>
              <w:textAlignment w:val="center"/>
              <w:rPr>
                <w:rFonts w:eastAsia="仿宋_GB2312"/>
                <w:color w:val="auto"/>
                <w:kern w:val="0"/>
                <w:szCs w:val="21"/>
                <w:highlight w:val="none"/>
                <w:lang w:bidi="ar"/>
              </w:rPr>
            </w:pPr>
          </w:p>
        </w:tc>
        <w:tc>
          <w:tcPr>
            <w:tcW w:w="401" w:type="pct"/>
            <w:noWrap w:val="0"/>
            <w:vAlign w:val="center"/>
          </w:tcPr>
          <w:p w14:paraId="510D4CA3">
            <w:pPr>
              <w:spacing w:line="300" w:lineRule="exact"/>
              <w:jc w:val="center"/>
              <w:rPr>
                <w:rFonts w:eastAsia="仿宋_GB2312"/>
                <w:color w:val="auto"/>
                <w:spacing w:val="5"/>
                <w:szCs w:val="21"/>
                <w:highlight w:val="none"/>
              </w:rPr>
            </w:pPr>
            <w:r>
              <w:rPr>
                <w:rFonts w:eastAsia="仿宋_GB2312"/>
                <w:color w:val="auto"/>
                <w:spacing w:val="5"/>
                <w:szCs w:val="21"/>
                <w:highlight w:val="none"/>
              </w:rPr>
              <w:t>水果类食品（自制）</w:t>
            </w:r>
          </w:p>
        </w:tc>
        <w:tc>
          <w:tcPr>
            <w:tcW w:w="670" w:type="pct"/>
            <w:noWrap w:val="0"/>
            <w:vAlign w:val="center"/>
          </w:tcPr>
          <w:p w14:paraId="6A876869">
            <w:pPr>
              <w:spacing w:line="300" w:lineRule="exact"/>
              <w:jc w:val="center"/>
              <w:rPr>
                <w:rFonts w:eastAsia="仿宋_GB2312"/>
                <w:color w:val="auto"/>
                <w:spacing w:val="5"/>
                <w:szCs w:val="21"/>
                <w:highlight w:val="none"/>
              </w:rPr>
            </w:pPr>
            <w:r>
              <w:rPr>
                <w:rFonts w:eastAsia="仿宋_GB2312"/>
                <w:color w:val="auto"/>
                <w:spacing w:val="5"/>
                <w:szCs w:val="21"/>
                <w:highlight w:val="none"/>
              </w:rPr>
              <w:t>即食鲜切水果（自制）</w:t>
            </w:r>
          </w:p>
        </w:tc>
        <w:tc>
          <w:tcPr>
            <w:tcW w:w="284" w:type="pct"/>
            <w:noWrap w:val="0"/>
            <w:vAlign w:val="center"/>
          </w:tcPr>
          <w:p w14:paraId="7CD09133">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553" w:type="pct"/>
            <w:noWrap w:val="0"/>
            <w:vAlign w:val="center"/>
          </w:tcPr>
          <w:p w14:paraId="6083E45B">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苯甲酸及其钠盐(以苯甲酸计)、山梨酸及其钾盐(以山梨酸计)、脱氢乙酸及其钠盐(以脱氢乙酸计)、糖精钠(以糖精计)、甜蜜素(</w:t>
            </w:r>
            <w:r>
              <w:rPr>
                <w:rFonts w:hint="eastAsia" w:eastAsia="仿宋_GB2312"/>
                <w:color w:val="auto"/>
                <w:spacing w:val="5"/>
                <w:szCs w:val="21"/>
                <w:highlight w:val="none"/>
              </w:rPr>
              <w:t>以环己基氨基磺酸计</w:t>
            </w:r>
            <w:r>
              <w:rPr>
                <w:rFonts w:eastAsia="仿宋_GB2312"/>
                <w:color w:val="auto"/>
                <w:spacing w:val="5"/>
                <w:szCs w:val="21"/>
                <w:highlight w:val="none"/>
              </w:rPr>
              <w:t>)、合成着色剂（苋菜红、胭脂红、柠檬黄、日落黄、亮蓝）</w:t>
            </w:r>
          </w:p>
        </w:tc>
        <w:tc>
          <w:tcPr>
            <w:tcW w:w="1186" w:type="pct"/>
            <w:noWrap w:val="0"/>
            <w:vAlign w:val="center"/>
          </w:tcPr>
          <w:p w14:paraId="4491F934">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4745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restart"/>
            <w:noWrap w:val="0"/>
            <w:vAlign w:val="center"/>
          </w:tcPr>
          <w:p w14:paraId="5217524B">
            <w:pPr>
              <w:spacing w:line="300" w:lineRule="exact"/>
              <w:jc w:val="center"/>
              <w:rPr>
                <w:rFonts w:eastAsia="仿宋_GB2312"/>
                <w:color w:val="auto"/>
                <w:szCs w:val="21"/>
                <w:highlight w:val="none"/>
              </w:rPr>
            </w:pPr>
            <w:r>
              <w:rPr>
                <w:rFonts w:hint="eastAsia" w:eastAsia="仿宋_GB2312"/>
                <w:color w:val="auto"/>
                <w:szCs w:val="21"/>
                <w:highlight w:val="none"/>
              </w:rPr>
              <w:t>29</w:t>
            </w:r>
          </w:p>
        </w:tc>
        <w:tc>
          <w:tcPr>
            <w:tcW w:w="367" w:type="pct"/>
            <w:vMerge w:val="restart"/>
            <w:noWrap w:val="0"/>
            <w:vAlign w:val="center"/>
          </w:tcPr>
          <w:p w14:paraId="4A83F646">
            <w:pPr>
              <w:spacing w:line="300" w:lineRule="exact"/>
              <w:jc w:val="center"/>
              <w:rPr>
                <w:rFonts w:eastAsia="仿宋_GB2312"/>
                <w:color w:val="auto"/>
                <w:szCs w:val="21"/>
                <w:highlight w:val="none"/>
              </w:rPr>
            </w:pPr>
            <w:r>
              <w:rPr>
                <w:rFonts w:eastAsia="仿宋_GB2312"/>
                <w:color w:val="auto"/>
                <w:szCs w:val="21"/>
                <w:highlight w:val="none"/>
              </w:rPr>
              <w:t>食品添加剂</w:t>
            </w:r>
          </w:p>
        </w:tc>
        <w:tc>
          <w:tcPr>
            <w:tcW w:w="368" w:type="pct"/>
            <w:vMerge w:val="restart"/>
            <w:noWrap w:val="0"/>
            <w:vAlign w:val="center"/>
          </w:tcPr>
          <w:p w14:paraId="7B03AA96">
            <w:pPr>
              <w:spacing w:line="300" w:lineRule="exact"/>
              <w:jc w:val="center"/>
              <w:rPr>
                <w:rFonts w:eastAsia="仿宋_GB2312"/>
                <w:color w:val="auto"/>
                <w:szCs w:val="21"/>
                <w:highlight w:val="none"/>
              </w:rPr>
            </w:pPr>
            <w:r>
              <w:rPr>
                <w:rFonts w:eastAsia="仿宋_GB2312"/>
                <w:color w:val="auto"/>
                <w:szCs w:val="21"/>
                <w:highlight w:val="none"/>
              </w:rPr>
              <w:t>食品添加剂</w:t>
            </w:r>
          </w:p>
        </w:tc>
        <w:tc>
          <w:tcPr>
            <w:tcW w:w="401" w:type="pct"/>
            <w:noWrap w:val="0"/>
            <w:vAlign w:val="center"/>
          </w:tcPr>
          <w:p w14:paraId="499E13FA">
            <w:pPr>
              <w:spacing w:line="300" w:lineRule="exact"/>
              <w:jc w:val="center"/>
              <w:rPr>
                <w:rFonts w:eastAsia="仿宋_GB2312"/>
                <w:color w:val="auto"/>
                <w:szCs w:val="21"/>
                <w:highlight w:val="none"/>
              </w:rPr>
            </w:pPr>
            <w:r>
              <w:rPr>
                <w:rFonts w:eastAsia="仿宋_GB2312"/>
                <w:color w:val="auto"/>
                <w:szCs w:val="21"/>
                <w:highlight w:val="none"/>
              </w:rPr>
              <w:t>单一食品添加剂</w:t>
            </w:r>
          </w:p>
        </w:tc>
        <w:tc>
          <w:tcPr>
            <w:tcW w:w="670" w:type="pct"/>
            <w:noWrap w:val="0"/>
            <w:vAlign w:val="center"/>
          </w:tcPr>
          <w:p w14:paraId="66FFDF3C">
            <w:pPr>
              <w:spacing w:line="300" w:lineRule="exact"/>
              <w:jc w:val="center"/>
              <w:rPr>
                <w:rFonts w:eastAsia="仿宋_GB2312"/>
                <w:color w:val="auto"/>
                <w:szCs w:val="21"/>
                <w:highlight w:val="none"/>
              </w:rPr>
            </w:pPr>
            <w:r>
              <w:rPr>
                <w:rFonts w:eastAsia="仿宋_GB2312"/>
                <w:color w:val="auto"/>
                <w:szCs w:val="21"/>
                <w:highlight w:val="none"/>
              </w:rPr>
              <w:t>明胶</w:t>
            </w:r>
          </w:p>
        </w:tc>
        <w:tc>
          <w:tcPr>
            <w:tcW w:w="284" w:type="pct"/>
            <w:noWrap w:val="0"/>
            <w:vAlign w:val="center"/>
          </w:tcPr>
          <w:p w14:paraId="3CD04CA3">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3B262FE1">
            <w:pPr>
              <w:spacing w:line="300" w:lineRule="exact"/>
              <w:jc w:val="left"/>
              <w:rPr>
                <w:rFonts w:eastAsia="仿宋_GB2312"/>
                <w:color w:val="auto"/>
                <w:szCs w:val="21"/>
                <w:highlight w:val="none"/>
              </w:rPr>
            </w:pPr>
            <w:r>
              <w:rPr>
                <w:rFonts w:eastAsia="仿宋_GB2312"/>
                <w:color w:val="auto"/>
                <w:szCs w:val="21"/>
                <w:highlight w:val="none"/>
              </w:rPr>
              <w:t>铬(Cr)、铅(Pb)、总砷(As)、二氧化硫、过氧化物</w:t>
            </w:r>
          </w:p>
        </w:tc>
        <w:tc>
          <w:tcPr>
            <w:tcW w:w="1186" w:type="pct"/>
            <w:noWrap w:val="0"/>
            <w:vAlign w:val="center"/>
          </w:tcPr>
          <w:p w14:paraId="1C5C1C96">
            <w:pPr>
              <w:spacing w:line="300" w:lineRule="exact"/>
              <w:jc w:val="left"/>
              <w:rPr>
                <w:rFonts w:eastAsia="仿宋_GB2312"/>
                <w:color w:val="auto"/>
                <w:szCs w:val="21"/>
                <w:highlight w:val="none"/>
              </w:rPr>
            </w:pPr>
            <w:r>
              <w:rPr>
                <w:rFonts w:eastAsia="仿宋_GB2312"/>
                <w:color w:val="auto"/>
                <w:szCs w:val="21"/>
                <w:highlight w:val="none"/>
              </w:rPr>
              <w:t>/</w:t>
            </w:r>
          </w:p>
        </w:tc>
      </w:tr>
      <w:tr w14:paraId="6179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595D8FAF">
            <w:pPr>
              <w:spacing w:line="300" w:lineRule="exact"/>
              <w:jc w:val="center"/>
              <w:rPr>
                <w:rFonts w:eastAsia="仿宋_GB2312"/>
                <w:color w:val="auto"/>
                <w:szCs w:val="21"/>
                <w:highlight w:val="none"/>
              </w:rPr>
            </w:pPr>
          </w:p>
        </w:tc>
        <w:tc>
          <w:tcPr>
            <w:tcW w:w="367" w:type="pct"/>
            <w:vMerge w:val="continue"/>
            <w:noWrap w:val="0"/>
            <w:vAlign w:val="center"/>
          </w:tcPr>
          <w:p w14:paraId="2F2E95E7">
            <w:pPr>
              <w:spacing w:line="300" w:lineRule="exact"/>
              <w:jc w:val="center"/>
              <w:rPr>
                <w:rFonts w:eastAsia="仿宋_GB2312"/>
                <w:color w:val="auto"/>
                <w:szCs w:val="21"/>
                <w:highlight w:val="none"/>
              </w:rPr>
            </w:pPr>
          </w:p>
        </w:tc>
        <w:tc>
          <w:tcPr>
            <w:tcW w:w="368" w:type="pct"/>
            <w:vMerge w:val="continue"/>
            <w:noWrap w:val="0"/>
            <w:vAlign w:val="center"/>
          </w:tcPr>
          <w:p w14:paraId="7E1E1395">
            <w:pPr>
              <w:spacing w:line="300" w:lineRule="exact"/>
              <w:jc w:val="center"/>
              <w:rPr>
                <w:rFonts w:eastAsia="仿宋_GB2312"/>
                <w:color w:val="auto"/>
                <w:szCs w:val="21"/>
                <w:highlight w:val="none"/>
              </w:rPr>
            </w:pPr>
          </w:p>
        </w:tc>
        <w:tc>
          <w:tcPr>
            <w:tcW w:w="401" w:type="pct"/>
            <w:noWrap w:val="0"/>
            <w:vAlign w:val="center"/>
          </w:tcPr>
          <w:p w14:paraId="4A9AB383">
            <w:pPr>
              <w:spacing w:line="300" w:lineRule="exact"/>
              <w:jc w:val="center"/>
              <w:rPr>
                <w:rFonts w:eastAsia="仿宋_GB2312"/>
                <w:color w:val="auto"/>
                <w:szCs w:val="21"/>
                <w:highlight w:val="none"/>
              </w:rPr>
            </w:pPr>
            <w:r>
              <w:rPr>
                <w:rFonts w:eastAsia="仿宋_GB2312"/>
                <w:color w:val="auto"/>
                <w:szCs w:val="21"/>
                <w:highlight w:val="none"/>
              </w:rPr>
              <w:t>复配食品添加剂</w:t>
            </w:r>
          </w:p>
        </w:tc>
        <w:tc>
          <w:tcPr>
            <w:tcW w:w="670" w:type="pct"/>
            <w:noWrap w:val="0"/>
            <w:vAlign w:val="center"/>
          </w:tcPr>
          <w:p w14:paraId="7DCB4B84">
            <w:pPr>
              <w:spacing w:line="300" w:lineRule="exact"/>
              <w:jc w:val="center"/>
              <w:rPr>
                <w:rFonts w:eastAsia="仿宋_GB2312"/>
                <w:color w:val="auto"/>
                <w:szCs w:val="21"/>
                <w:highlight w:val="none"/>
              </w:rPr>
            </w:pPr>
            <w:r>
              <w:rPr>
                <w:rFonts w:eastAsia="仿宋_GB2312"/>
                <w:color w:val="auto"/>
                <w:szCs w:val="21"/>
                <w:highlight w:val="none"/>
              </w:rPr>
              <w:t>复配食品添加剂</w:t>
            </w:r>
          </w:p>
        </w:tc>
        <w:tc>
          <w:tcPr>
            <w:tcW w:w="284" w:type="pct"/>
            <w:noWrap w:val="0"/>
            <w:vAlign w:val="center"/>
          </w:tcPr>
          <w:p w14:paraId="098DC809">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553" w:type="pct"/>
            <w:noWrap w:val="0"/>
            <w:vAlign w:val="center"/>
          </w:tcPr>
          <w:p w14:paraId="648E70EF">
            <w:pPr>
              <w:spacing w:line="300" w:lineRule="exact"/>
              <w:jc w:val="left"/>
              <w:rPr>
                <w:rFonts w:eastAsia="仿宋_GB2312"/>
                <w:color w:val="auto"/>
                <w:szCs w:val="21"/>
                <w:highlight w:val="none"/>
              </w:rPr>
            </w:pPr>
            <w:r>
              <w:rPr>
                <w:rFonts w:eastAsia="仿宋_GB2312"/>
                <w:color w:val="auto"/>
                <w:szCs w:val="21"/>
                <w:highlight w:val="none"/>
              </w:rPr>
              <w:t>铅(Pb)、砷(以As计)、致病性微生物</w:t>
            </w:r>
          </w:p>
        </w:tc>
        <w:tc>
          <w:tcPr>
            <w:tcW w:w="1186" w:type="pct"/>
            <w:noWrap w:val="0"/>
            <w:vAlign w:val="center"/>
          </w:tcPr>
          <w:p w14:paraId="4B8E11E3">
            <w:pPr>
              <w:spacing w:line="300" w:lineRule="exact"/>
              <w:jc w:val="left"/>
              <w:rPr>
                <w:rFonts w:eastAsia="仿宋_GB2312"/>
                <w:color w:val="auto"/>
                <w:szCs w:val="21"/>
                <w:highlight w:val="none"/>
              </w:rPr>
            </w:pPr>
            <w:r>
              <w:rPr>
                <w:rFonts w:eastAsia="仿宋_GB2312"/>
                <w:color w:val="auto"/>
                <w:szCs w:val="21"/>
                <w:highlight w:val="none"/>
              </w:rPr>
              <w:t>/</w:t>
            </w:r>
          </w:p>
        </w:tc>
      </w:tr>
      <w:tr w14:paraId="270F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D4FD625">
            <w:pPr>
              <w:spacing w:line="300" w:lineRule="exact"/>
              <w:jc w:val="center"/>
              <w:rPr>
                <w:rFonts w:eastAsia="仿宋_GB2312"/>
                <w:color w:val="auto"/>
                <w:szCs w:val="21"/>
                <w:highlight w:val="none"/>
              </w:rPr>
            </w:pPr>
          </w:p>
        </w:tc>
        <w:tc>
          <w:tcPr>
            <w:tcW w:w="367" w:type="pct"/>
            <w:vMerge w:val="continue"/>
            <w:noWrap w:val="0"/>
            <w:vAlign w:val="center"/>
          </w:tcPr>
          <w:p w14:paraId="5EB38B7A">
            <w:pPr>
              <w:spacing w:line="300" w:lineRule="exact"/>
              <w:jc w:val="center"/>
              <w:rPr>
                <w:rFonts w:eastAsia="仿宋_GB2312"/>
                <w:color w:val="auto"/>
                <w:szCs w:val="21"/>
                <w:highlight w:val="none"/>
              </w:rPr>
            </w:pPr>
          </w:p>
        </w:tc>
        <w:tc>
          <w:tcPr>
            <w:tcW w:w="368" w:type="pct"/>
            <w:vMerge w:val="continue"/>
            <w:noWrap w:val="0"/>
            <w:vAlign w:val="center"/>
          </w:tcPr>
          <w:p w14:paraId="6B6C5D39">
            <w:pPr>
              <w:spacing w:line="300" w:lineRule="exact"/>
              <w:jc w:val="center"/>
              <w:rPr>
                <w:rFonts w:eastAsia="仿宋_GB2312"/>
                <w:color w:val="auto"/>
                <w:szCs w:val="21"/>
                <w:highlight w:val="none"/>
              </w:rPr>
            </w:pPr>
          </w:p>
        </w:tc>
        <w:tc>
          <w:tcPr>
            <w:tcW w:w="401" w:type="pct"/>
            <w:noWrap w:val="0"/>
            <w:vAlign w:val="center"/>
          </w:tcPr>
          <w:p w14:paraId="7E7B91B0">
            <w:pPr>
              <w:spacing w:line="300" w:lineRule="exact"/>
              <w:jc w:val="center"/>
              <w:rPr>
                <w:rFonts w:eastAsia="仿宋_GB2312"/>
                <w:color w:val="auto"/>
                <w:szCs w:val="21"/>
                <w:highlight w:val="none"/>
              </w:rPr>
            </w:pPr>
            <w:r>
              <w:rPr>
                <w:rFonts w:eastAsia="仿宋_GB2312"/>
                <w:color w:val="auto"/>
                <w:szCs w:val="21"/>
                <w:highlight w:val="none"/>
              </w:rPr>
              <w:t>食品用香精</w:t>
            </w:r>
          </w:p>
        </w:tc>
        <w:tc>
          <w:tcPr>
            <w:tcW w:w="670" w:type="pct"/>
            <w:noWrap w:val="0"/>
            <w:vAlign w:val="center"/>
          </w:tcPr>
          <w:p w14:paraId="0F1D0C10">
            <w:pPr>
              <w:spacing w:line="300" w:lineRule="exact"/>
              <w:jc w:val="center"/>
              <w:rPr>
                <w:rFonts w:eastAsia="仿宋_GB2312"/>
                <w:color w:val="auto"/>
                <w:szCs w:val="21"/>
                <w:highlight w:val="none"/>
              </w:rPr>
            </w:pPr>
            <w:r>
              <w:rPr>
                <w:rFonts w:eastAsia="仿宋_GB2312"/>
                <w:color w:val="auto"/>
                <w:szCs w:val="21"/>
                <w:highlight w:val="none"/>
              </w:rPr>
              <w:t>食品用香精</w:t>
            </w:r>
          </w:p>
        </w:tc>
        <w:tc>
          <w:tcPr>
            <w:tcW w:w="284" w:type="pct"/>
            <w:noWrap w:val="0"/>
            <w:vAlign w:val="center"/>
          </w:tcPr>
          <w:p w14:paraId="08544B3A">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D82F135">
            <w:pPr>
              <w:spacing w:line="300" w:lineRule="exact"/>
              <w:jc w:val="left"/>
              <w:rPr>
                <w:rFonts w:eastAsia="仿宋_GB2312"/>
                <w:color w:val="auto"/>
                <w:szCs w:val="21"/>
                <w:highlight w:val="none"/>
              </w:rPr>
            </w:pPr>
            <w:r>
              <w:rPr>
                <w:rFonts w:eastAsia="仿宋_GB2312"/>
                <w:color w:val="auto"/>
                <w:szCs w:val="21"/>
                <w:highlight w:val="none"/>
              </w:rPr>
              <w:t>砷(以As计)含量/无机砷含量、菌落总数</w:t>
            </w:r>
          </w:p>
        </w:tc>
        <w:tc>
          <w:tcPr>
            <w:tcW w:w="1186" w:type="pct"/>
            <w:noWrap w:val="0"/>
            <w:vAlign w:val="center"/>
          </w:tcPr>
          <w:p w14:paraId="73FB4B36">
            <w:pPr>
              <w:spacing w:line="300" w:lineRule="exact"/>
              <w:jc w:val="left"/>
              <w:rPr>
                <w:rFonts w:eastAsia="仿宋_GB2312"/>
                <w:color w:val="auto"/>
                <w:szCs w:val="21"/>
                <w:highlight w:val="none"/>
              </w:rPr>
            </w:pPr>
            <w:r>
              <w:rPr>
                <w:rFonts w:eastAsia="仿宋_GB2312"/>
                <w:color w:val="auto"/>
                <w:szCs w:val="21"/>
                <w:highlight w:val="none"/>
              </w:rPr>
              <w:t>/</w:t>
            </w:r>
          </w:p>
        </w:tc>
      </w:tr>
      <w:tr w14:paraId="49A9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7AC49FFE">
            <w:pPr>
              <w:spacing w:line="300" w:lineRule="exact"/>
              <w:jc w:val="center"/>
              <w:rPr>
                <w:rFonts w:eastAsia="仿宋_GB2312"/>
                <w:color w:val="auto"/>
                <w:szCs w:val="21"/>
                <w:highlight w:val="none"/>
              </w:rPr>
            </w:pPr>
          </w:p>
        </w:tc>
        <w:tc>
          <w:tcPr>
            <w:tcW w:w="367" w:type="pct"/>
            <w:vMerge w:val="continue"/>
            <w:noWrap w:val="0"/>
            <w:vAlign w:val="center"/>
          </w:tcPr>
          <w:p w14:paraId="6F3135EE">
            <w:pPr>
              <w:spacing w:line="300" w:lineRule="exact"/>
              <w:jc w:val="center"/>
              <w:rPr>
                <w:rFonts w:eastAsia="仿宋_GB2312"/>
                <w:color w:val="auto"/>
                <w:szCs w:val="21"/>
                <w:highlight w:val="none"/>
              </w:rPr>
            </w:pPr>
          </w:p>
        </w:tc>
        <w:tc>
          <w:tcPr>
            <w:tcW w:w="368" w:type="pct"/>
            <w:vMerge w:val="continue"/>
            <w:noWrap w:val="0"/>
            <w:vAlign w:val="center"/>
          </w:tcPr>
          <w:p w14:paraId="019A845A">
            <w:pPr>
              <w:spacing w:line="300" w:lineRule="exact"/>
              <w:jc w:val="center"/>
              <w:rPr>
                <w:rFonts w:eastAsia="仿宋_GB2312"/>
                <w:color w:val="auto"/>
                <w:szCs w:val="21"/>
                <w:highlight w:val="none"/>
              </w:rPr>
            </w:pPr>
          </w:p>
        </w:tc>
        <w:tc>
          <w:tcPr>
            <w:tcW w:w="401" w:type="pct"/>
            <w:vMerge w:val="restart"/>
            <w:noWrap w:val="0"/>
            <w:vAlign w:val="center"/>
          </w:tcPr>
          <w:p w14:paraId="06199FF5">
            <w:pPr>
              <w:spacing w:line="300" w:lineRule="exact"/>
              <w:jc w:val="center"/>
              <w:rPr>
                <w:rFonts w:eastAsia="仿宋_GB2312"/>
                <w:color w:val="auto"/>
                <w:szCs w:val="21"/>
                <w:highlight w:val="none"/>
              </w:rPr>
            </w:pPr>
            <w:r>
              <w:rPr>
                <w:rFonts w:eastAsia="仿宋_GB2312"/>
                <w:color w:val="auto"/>
                <w:szCs w:val="21"/>
                <w:highlight w:val="none"/>
              </w:rPr>
              <w:t>单一食品添加剂</w:t>
            </w:r>
          </w:p>
          <w:p w14:paraId="51767873">
            <w:pPr>
              <w:spacing w:line="300" w:lineRule="exact"/>
              <w:jc w:val="center"/>
              <w:rPr>
                <w:rFonts w:eastAsia="仿宋_GB2312"/>
                <w:color w:val="auto"/>
                <w:szCs w:val="21"/>
                <w:highlight w:val="none"/>
              </w:rPr>
            </w:pPr>
          </w:p>
        </w:tc>
        <w:tc>
          <w:tcPr>
            <w:tcW w:w="670" w:type="pct"/>
            <w:noWrap w:val="0"/>
            <w:vAlign w:val="center"/>
          </w:tcPr>
          <w:p w14:paraId="5B6F911D">
            <w:pPr>
              <w:spacing w:line="300" w:lineRule="exact"/>
              <w:jc w:val="center"/>
              <w:rPr>
                <w:rFonts w:eastAsia="仿宋_GB2312"/>
                <w:color w:val="auto"/>
                <w:szCs w:val="21"/>
                <w:highlight w:val="none"/>
              </w:rPr>
            </w:pPr>
            <w:r>
              <w:rPr>
                <w:rFonts w:eastAsia="仿宋_GB2312"/>
                <w:color w:val="auto"/>
                <w:szCs w:val="21"/>
                <w:highlight w:val="none"/>
              </w:rPr>
              <w:t>糖精钠</w:t>
            </w:r>
          </w:p>
        </w:tc>
        <w:tc>
          <w:tcPr>
            <w:tcW w:w="284" w:type="pct"/>
            <w:noWrap w:val="0"/>
            <w:vAlign w:val="center"/>
          </w:tcPr>
          <w:p w14:paraId="2688B0E5">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52C18E1">
            <w:pPr>
              <w:spacing w:line="300" w:lineRule="exact"/>
              <w:jc w:val="left"/>
              <w:rPr>
                <w:rFonts w:eastAsia="仿宋_GB2312"/>
                <w:color w:val="auto"/>
                <w:szCs w:val="21"/>
                <w:highlight w:val="none"/>
              </w:rPr>
            </w:pPr>
            <w:r>
              <w:rPr>
                <w:rFonts w:eastAsia="仿宋_GB2312"/>
                <w:color w:val="auto"/>
                <w:szCs w:val="21"/>
                <w:highlight w:val="none"/>
              </w:rPr>
              <w:t>糖精钠含量、干燥失重、总砷(以 As 计)、铅(Pb)、酸度和碱度、苯甲酸盐和水杨酸盐</w:t>
            </w:r>
          </w:p>
        </w:tc>
        <w:tc>
          <w:tcPr>
            <w:tcW w:w="1186" w:type="pct"/>
            <w:noWrap w:val="0"/>
            <w:vAlign w:val="center"/>
          </w:tcPr>
          <w:p w14:paraId="6E034BF0">
            <w:pPr>
              <w:spacing w:line="300" w:lineRule="exact"/>
              <w:jc w:val="left"/>
              <w:rPr>
                <w:rFonts w:eastAsia="仿宋_GB2312"/>
                <w:color w:val="auto"/>
                <w:szCs w:val="21"/>
                <w:highlight w:val="none"/>
              </w:rPr>
            </w:pPr>
            <w:r>
              <w:rPr>
                <w:rFonts w:eastAsia="仿宋_GB2312"/>
                <w:color w:val="auto"/>
                <w:szCs w:val="21"/>
                <w:highlight w:val="none"/>
              </w:rPr>
              <w:t>/</w:t>
            </w:r>
          </w:p>
        </w:tc>
      </w:tr>
      <w:tr w14:paraId="19F8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noWrap w:val="0"/>
            <w:vAlign w:val="center"/>
          </w:tcPr>
          <w:p w14:paraId="1B8D3CDC">
            <w:pPr>
              <w:spacing w:line="300" w:lineRule="exact"/>
              <w:jc w:val="center"/>
              <w:rPr>
                <w:rFonts w:eastAsia="仿宋_GB2312"/>
                <w:color w:val="auto"/>
                <w:szCs w:val="21"/>
                <w:highlight w:val="none"/>
              </w:rPr>
            </w:pPr>
          </w:p>
        </w:tc>
        <w:tc>
          <w:tcPr>
            <w:tcW w:w="367" w:type="pct"/>
            <w:vMerge w:val="continue"/>
            <w:noWrap w:val="0"/>
            <w:vAlign w:val="center"/>
          </w:tcPr>
          <w:p w14:paraId="6D275A44">
            <w:pPr>
              <w:spacing w:line="300" w:lineRule="exact"/>
              <w:jc w:val="center"/>
              <w:rPr>
                <w:rFonts w:eastAsia="仿宋_GB2312"/>
                <w:color w:val="auto"/>
                <w:szCs w:val="21"/>
                <w:highlight w:val="none"/>
              </w:rPr>
            </w:pPr>
          </w:p>
        </w:tc>
        <w:tc>
          <w:tcPr>
            <w:tcW w:w="368" w:type="pct"/>
            <w:vMerge w:val="continue"/>
            <w:noWrap w:val="0"/>
            <w:vAlign w:val="center"/>
          </w:tcPr>
          <w:p w14:paraId="78890A2E">
            <w:pPr>
              <w:spacing w:line="300" w:lineRule="exact"/>
              <w:jc w:val="center"/>
              <w:rPr>
                <w:rFonts w:eastAsia="仿宋_GB2312"/>
                <w:color w:val="auto"/>
                <w:szCs w:val="21"/>
                <w:highlight w:val="none"/>
              </w:rPr>
            </w:pPr>
          </w:p>
        </w:tc>
        <w:tc>
          <w:tcPr>
            <w:tcW w:w="401" w:type="pct"/>
            <w:vMerge w:val="continue"/>
            <w:noWrap w:val="0"/>
            <w:vAlign w:val="center"/>
          </w:tcPr>
          <w:p w14:paraId="4DEAE88C">
            <w:pPr>
              <w:spacing w:line="300" w:lineRule="exact"/>
              <w:jc w:val="center"/>
              <w:rPr>
                <w:rFonts w:eastAsia="仿宋_GB2312"/>
                <w:color w:val="auto"/>
                <w:szCs w:val="21"/>
                <w:highlight w:val="none"/>
              </w:rPr>
            </w:pPr>
          </w:p>
        </w:tc>
        <w:tc>
          <w:tcPr>
            <w:tcW w:w="670" w:type="pct"/>
            <w:noWrap w:val="0"/>
            <w:vAlign w:val="center"/>
          </w:tcPr>
          <w:p w14:paraId="499F6EE8">
            <w:pPr>
              <w:pStyle w:val="4"/>
              <w:keepNext w:val="0"/>
              <w:keepLines w:val="0"/>
              <w:spacing w:before="120" w:beforeLines="50" w:after="120" w:afterLines="50" w:line="300" w:lineRule="exact"/>
              <w:jc w:val="center"/>
              <w:outlineLvl w:val="1"/>
              <w:rPr>
                <w:rFonts w:ascii="Times New Roman" w:hAnsi="Times New Roman" w:eastAsia="仿宋_GB2312"/>
                <w:b w:val="0"/>
                <w:bCs w:val="0"/>
                <w:color w:val="auto"/>
                <w:sz w:val="21"/>
                <w:szCs w:val="21"/>
                <w:highlight w:val="none"/>
                <w:lang w:val="en-US" w:eastAsia="zh-CN"/>
              </w:rPr>
            </w:pPr>
            <w:r>
              <w:rPr>
                <w:rFonts w:ascii="Times New Roman" w:hAnsi="Times New Roman" w:eastAsia="仿宋_GB2312"/>
                <w:b w:val="0"/>
                <w:bCs w:val="0"/>
                <w:color w:val="auto"/>
                <w:sz w:val="21"/>
                <w:szCs w:val="21"/>
                <w:highlight w:val="none"/>
                <w:lang w:val="en-US" w:eastAsia="zh-CN"/>
              </w:rPr>
              <w:t>环己基氨基磺酸钠(又名甜蜜素)</w:t>
            </w:r>
          </w:p>
        </w:tc>
        <w:tc>
          <w:tcPr>
            <w:tcW w:w="284" w:type="pct"/>
            <w:noWrap w:val="0"/>
            <w:vAlign w:val="center"/>
          </w:tcPr>
          <w:p w14:paraId="47945B78">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A23ACFA">
            <w:pPr>
              <w:spacing w:line="300" w:lineRule="exact"/>
              <w:jc w:val="left"/>
              <w:rPr>
                <w:rFonts w:eastAsia="仿宋_GB2312"/>
                <w:color w:val="auto"/>
                <w:szCs w:val="21"/>
                <w:highlight w:val="none"/>
              </w:rPr>
            </w:pPr>
            <w:r>
              <w:rPr>
                <w:rFonts w:eastAsia="仿宋_GB2312"/>
                <w:color w:val="auto"/>
                <w:szCs w:val="21"/>
                <w:highlight w:val="none"/>
              </w:rPr>
              <w:t>环己基氨基磺酸钠含量(以干基计)、硫酸盐（以SO</w:t>
            </w:r>
            <w:r>
              <w:rPr>
                <w:rFonts w:eastAsia="仿宋_GB2312"/>
                <w:color w:val="auto"/>
                <w:szCs w:val="21"/>
                <w:highlight w:val="none"/>
                <w:vertAlign w:val="subscript"/>
              </w:rPr>
              <w:t>4</w:t>
            </w:r>
            <w:r>
              <w:rPr>
                <w:rFonts w:eastAsia="仿宋_GB2312"/>
                <w:color w:val="auto"/>
                <w:szCs w:val="21"/>
                <w:highlight w:val="none"/>
              </w:rPr>
              <w:t>计）、干燥减量、重金属(以Pb计)、砷(As)</w:t>
            </w:r>
          </w:p>
        </w:tc>
        <w:tc>
          <w:tcPr>
            <w:tcW w:w="1186" w:type="pct"/>
            <w:noWrap w:val="0"/>
            <w:vAlign w:val="center"/>
          </w:tcPr>
          <w:p w14:paraId="4C95FAE9">
            <w:pPr>
              <w:spacing w:line="300" w:lineRule="exact"/>
              <w:jc w:val="left"/>
              <w:rPr>
                <w:rFonts w:hint="eastAsia" w:eastAsia="仿宋_GB2312"/>
                <w:color w:val="auto"/>
                <w:szCs w:val="21"/>
                <w:highlight w:val="none"/>
              </w:rPr>
            </w:pPr>
            <w:r>
              <w:rPr>
                <w:rFonts w:hint="eastAsia" w:eastAsia="仿宋_GB2312"/>
                <w:color w:val="auto"/>
                <w:szCs w:val="21"/>
                <w:highlight w:val="none"/>
              </w:rPr>
              <w:t>/</w:t>
            </w:r>
          </w:p>
        </w:tc>
      </w:tr>
      <w:tr w14:paraId="5FB4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1F5F72CD">
            <w:pPr>
              <w:spacing w:line="300" w:lineRule="exact"/>
              <w:jc w:val="center"/>
              <w:rPr>
                <w:rFonts w:eastAsia="仿宋_GB2312"/>
                <w:color w:val="auto"/>
                <w:szCs w:val="21"/>
                <w:highlight w:val="none"/>
              </w:rPr>
            </w:pPr>
          </w:p>
        </w:tc>
        <w:tc>
          <w:tcPr>
            <w:tcW w:w="367" w:type="pct"/>
            <w:vMerge w:val="continue"/>
            <w:noWrap w:val="0"/>
            <w:vAlign w:val="center"/>
          </w:tcPr>
          <w:p w14:paraId="6A44D5D3">
            <w:pPr>
              <w:spacing w:line="300" w:lineRule="exact"/>
              <w:jc w:val="center"/>
              <w:rPr>
                <w:rFonts w:eastAsia="仿宋_GB2312"/>
                <w:color w:val="auto"/>
                <w:szCs w:val="21"/>
                <w:highlight w:val="none"/>
              </w:rPr>
            </w:pPr>
          </w:p>
        </w:tc>
        <w:tc>
          <w:tcPr>
            <w:tcW w:w="368" w:type="pct"/>
            <w:vMerge w:val="continue"/>
            <w:noWrap w:val="0"/>
            <w:vAlign w:val="center"/>
          </w:tcPr>
          <w:p w14:paraId="3CDAB365">
            <w:pPr>
              <w:spacing w:line="300" w:lineRule="exact"/>
              <w:jc w:val="center"/>
              <w:rPr>
                <w:rFonts w:eastAsia="仿宋_GB2312"/>
                <w:color w:val="auto"/>
                <w:szCs w:val="21"/>
                <w:highlight w:val="none"/>
              </w:rPr>
            </w:pPr>
          </w:p>
        </w:tc>
        <w:tc>
          <w:tcPr>
            <w:tcW w:w="401" w:type="pct"/>
            <w:vMerge w:val="continue"/>
            <w:noWrap w:val="0"/>
            <w:vAlign w:val="center"/>
          </w:tcPr>
          <w:p w14:paraId="319291E1">
            <w:pPr>
              <w:spacing w:line="300" w:lineRule="exact"/>
              <w:jc w:val="center"/>
              <w:rPr>
                <w:rFonts w:eastAsia="仿宋_GB2312"/>
                <w:color w:val="auto"/>
                <w:szCs w:val="21"/>
                <w:highlight w:val="none"/>
              </w:rPr>
            </w:pPr>
          </w:p>
        </w:tc>
        <w:tc>
          <w:tcPr>
            <w:tcW w:w="670" w:type="pct"/>
            <w:noWrap w:val="0"/>
            <w:vAlign w:val="center"/>
          </w:tcPr>
          <w:p w14:paraId="3F8EF860">
            <w:pPr>
              <w:spacing w:line="300" w:lineRule="exact"/>
              <w:jc w:val="center"/>
              <w:rPr>
                <w:rFonts w:eastAsia="仿宋_GB2312"/>
                <w:color w:val="auto"/>
                <w:szCs w:val="21"/>
                <w:highlight w:val="none"/>
              </w:rPr>
            </w:pPr>
            <w:r>
              <w:rPr>
                <w:rFonts w:eastAsia="仿宋_GB2312"/>
                <w:color w:val="auto"/>
                <w:szCs w:val="21"/>
                <w:highlight w:val="none"/>
              </w:rPr>
              <w:t>碳酸钠</w:t>
            </w:r>
          </w:p>
        </w:tc>
        <w:tc>
          <w:tcPr>
            <w:tcW w:w="284" w:type="pct"/>
            <w:noWrap w:val="0"/>
            <w:vAlign w:val="center"/>
          </w:tcPr>
          <w:p w14:paraId="6902A4BC">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5F6C060A">
            <w:pPr>
              <w:spacing w:line="300" w:lineRule="exact"/>
              <w:jc w:val="left"/>
              <w:rPr>
                <w:rFonts w:eastAsia="仿宋_GB2312"/>
                <w:color w:val="auto"/>
                <w:szCs w:val="21"/>
                <w:highlight w:val="none"/>
              </w:rPr>
            </w:pPr>
            <w:r>
              <w:rPr>
                <w:rFonts w:eastAsia="仿宋_GB2312"/>
                <w:color w:val="auto"/>
                <w:szCs w:val="21"/>
                <w:highlight w:val="none"/>
              </w:rPr>
              <w:t>总碱量 (以Na</w:t>
            </w:r>
            <w:r>
              <w:rPr>
                <w:rFonts w:eastAsia="仿宋_GB2312"/>
                <w:color w:val="auto"/>
                <w:szCs w:val="21"/>
                <w:highlight w:val="none"/>
                <w:vertAlign w:val="subscript"/>
              </w:rPr>
              <w:t>2</w:t>
            </w:r>
            <w:r>
              <w:rPr>
                <w:rFonts w:eastAsia="仿宋_GB2312"/>
                <w:color w:val="auto"/>
                <w:szCs w:val="21"/>
                <w:highlight w:val="none"/>
              </w:rPr>
              <w:t>CO</w:t>
            </w:r>
            <w:r>
              <w:rPr>
                <w:rFonts w:eastAsia="仿宋_GB2312"/>
                <w:color w:val="auto"/>
                <w:szCs w:val="21"/>
                <w:highlight w:val="none"/>
                <w:vertAlign w:val="subscript"/>
              </w:rPr>
              <w:t>3</w:t>
            </w:r>
            <w:r>
              <w:rPr>
                <w:rFonts w:eastAsia="仿宋_GB2312"/>
                <w:color w:val="auto"/>
                <w:szCs w:val="21"/>
                <w:highlight w:val="none"/>
              </w:rPr>
              <w:t>计) (以干基计)、总碱量 (以Na</w:t>
            </w:r>
            <w:r>
              <w:rPr>
                <w:rFonts w:eastAsia="仿宋_GB2312"/>
                <w:color w:val="auto"/>
                <w:szCs w:val="21"/>
                <w:highlight w:val="none"/>
                <w:vertAlign w:val="subscript"/>
              </w:rPr>
              <w:t>2</w:t>
            </w:r>
            <w:r>
              <w:rPr>
                <w:rFonts w:eastAsia="仿宋_GB2312"/>
                <w:color w:val="auto"/>
                <w:szCs w:val="21"/>
                <w:highlight w:val="none"/>
              </w:rPr>
              <w:t>CO</w:t>
            </w:r>
            <w:r>
              <w:rPr>
                <w:rFonts w:eastAsia="仿宋_GB2312"/>
                <w:color w:val="auto"/>
                <w:szCs w:val="21"/>
                <w:highlight w:val="none"/>
                <w:vertAlign w:val="subscript"/>
              </w:rPr>
              <w:t>3</w:t>
            </w:r>
            <w:r>
              <w:rPr>
                <w:rFonts w:eastAsia="仿宋_GB2312"/>
                <w:color w:val="auto"/>
                <w:szCs w:val="21"/>
                <w:highlight w:val="none"/>
              </w:rPr>
              <w:t>计) (以湿基计)、水不溶物 (以干基计)、氯化物(以NaCl计)(以干基计)</w:t>
            </w:r>
          </w:p>
        </w:tc>
        <w:tc>
          <w:tcPr>
            <w:tcW w:w="1186" w:type="pct"/>
            <w:noWrap w:val="0"/>
            <w:vAlign w:val="center"/>
          </w:tcPr>
          <w:p w14:paraId="0CE3A774">
            <w:pPr>
              <w:spacing w:line="300" w:lineRule="exact"/>
              <w:jc w:val="left"/>
              <w:rPr>
                <w:rFonts w:eastAsia="仿宋_GB2312"/>
                <w:color w:val="auto"/>
                <w:szCs w:val="21"/>
                <w:highlight w:val="none"/>
              </w:rPr>
            </w:pPr>
            <w:r>
              <w:rPr>
                <w:rFonts w:eastAsia="仿宋_GB2312"/>
                <w:color w:val="auto"/>
                <w:szCs w:val="21"/>
                <w:highlight w:val="none"/>
              </w:rPr>
              <w:t>铅(Pb)(以干基计)、砷(As)(以干基计)</w:t>
            </w:r>
          </w:p>
        </w:tc>
      </w:tr>
      <w:tr w14:paraId="493D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765B72AC">
            <w:pPr>
              <w:spacing w:line="300" w:lineRule="exact"/>
              <w:jc w:val="center"/>
              <w:rPr>
                <w:rFonts w:eastAsia="仿宋_GB2312"/>
                <w:color w:val="auto"/>
                <w:szCs w:val="21"/>
                <w:highlight w:val="none"/>
              </w:rPr>
            </w:pPr>
          </w:p>
        </w:tc>
        <w:tc>
          <w:tcPr>
            <w:tcW w:w="367" w:type="pct"/>
            <w:vMerge w:val="continue"/>
            <w:noWrap w:val="0"/>
            <w:vAlign w:val="center"/>
          </w:tcPr>
          <w:p w14:paraId="17E69596">
            <w:pPr>
              <w:spacing w:line="300" w:lineRule="exact"/>
              <w:jc w:val="center"/>
              <w:rPr>
                <w:rFonts w:eastAsia="仿宋_GB2312"/>
                <w:color w:val="auto"/>
                <w:szCs w:val="21"/>
                <w:highlight w:val="none"/>
              </w:rPr>
            </w:pPr>
          </w:p>
        </w:tc>
        <w:tc>
          <w:tcPr>
            <w:tcW w:w="368" w:type="pct"/>
            <w:vMerge w:val="continue"/>
            <w:noWrap w:val="0"/>
            <w:vAlign w:val="center"/>
          </w:tcPr>
          <w:p w14:paraId="7424826E">
            <w:pPr>
              <w:spacing w:line="300" w:lineRule="exact"/>
              <w:jc w:val="center"/>
              <w:rPr>
                <w:rFonts w:eastAsia="仿宋_GB2312"/>
                <w:color w:val="auto"/>
                <w:szCs w:val="21"/>
                <w:highlight w:val="none"/>
              </w:rPr>
            </w:pPr>
          </w:p>
        </w:tc>
        <w:tc>
          <w:tcPr>
            <w:tcW w:w="401" w:type="pct"/>
            <w:vMerge w:val="continue"/>
            <w:noWrap w:val="0"/>
            <w:vAlign w:val="center"/>
          </w:tcPr>
          <w:p w14:paraId="1D0C7196">
            <w:pPr>
              <w:spacing w:line="300" w:lineRule="exact"/>
              <w:jc w:val="center"/>
              <w:rPr>
                <w:rFonts w:eastAsia="仿宋_GB2312"/>
                <w:color w:val="auto"/>
                <w:szCs w:val="21"/>
                <w:highlight w:val="none"/>
              </w:rPr>
            </w:pPr>
          </w:p>
        </w:tc>
        <w:tc>
          <w:tcPr>
            <w:tcW w:w="670" w:type="pct"/>
            <w:noWrap w:val="0"/>
            <w:vAlign w:val="center"/>
          </w:tcPr>
          <w:p w14:paraId="2719057D">
            <w:pPr>
              <w:spacing w:line="300" w:lineRule="exact"/>
              <w:jc w:val="center"/>
              <w:rPr>
                <w:rFonts w:eastAsia="仿宋_GB2312"/>
                <w:color w:val="auto"/>
                <w:szCs w:val="21"/>
                <w:highlight w:val="none"/>
              </w:rPr>
            </w:pPr>
            <w:r>
              <w:rPr>
                <w:rFonts w:eastAsia="仿宋_GB2312"/>
                <w:color w:val="auto"/>
                <w:szCs w:val="21"/>
                <w:highlight w:val="none"/>
              </w:rPr>
              <w:t>碳酸氢钠</w:t>
            </w:r>
          </w:p>
        </w:tc>
        <w:tc>
          <w:tcPr>
            <w:tcW w:w="284" w:type="pct"/>
            <w:noWrap w:val="0"/>
            <w:vAlign w:val="center"/>
          </w:tcPr>
          <w:p w14:paraId="6B5DE52E">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53A37BEA">
            <w:pPr>
              <w:spacing w:line="300" w:lineRule="exact"/>
              <w:jc w:val="left"/>
              <w:rPr>
                <w:rFonts w:eastAsia="仿宋_GB2312"/>
                <w:color w:val="auto"/>
                <w:szCs w:val="21"/>
                <w:highlight w:val="none"/>
              </w:rPr>
            </w:pPr>
            <w:r>
              <w:rPr>
                <w:rFonts w:eastAsia="仿宋_GB2312"/>
                <w:color w:val="auto"/>
                <w:szCs w:val="21"/>
                <w:highlight w:val="none"/>
              </w:rPr>
              <w:t>总碱量 (以NaHCO</w:t>
            </w:r>
            <w:r>
              <w:rPr>
                <w:rFonts w:eastAsia="仿宋_GB2312"/>
                <w:color w:val="auto"/>
                <w:szCs w:val="21"/>
                <w:highlight w:val="none"/>
                <w:vertAlign w:val="subscript"/>
              </w:rPr>
              <w:t>3</w:t>
            </w:r>
            <w:r>
              <w:rPr>
                <w:rFonts w:eastAsia="仿宋_GB2312"/>
                <w:color w:val="auto"/>
                <w:szCs w:val="21"/>
                <w:highlight w:val="none"/>
              </w:rPr>
              <w:t>计)、干燥减量、pH(10g/L水溶液)、铵盐、澄清度、氯化物(以Cl 计)</w:t>
            </w:r>
          </w:p>
        </w:tc>
        <w:tc>
          <w:tcPr>
            <w:tcW w:w="1186" w:type="pct"/>
            <w:noWrap w:val="0"/>
            <w:vAlign w:val="center"/>
          </w:tcPr>
          <w:p w14:paraId="7646B90A">
            <w:pPr>
              <w:spacing w:line="300" w:lineRule="exact"/>
              <w:jc w:val="left"/>
              <w:rPr>
                <w:rFonts w:eastAsia="仿宋_GB2312"/>
                <w:color w:val="auto"/>
                <w:szCs w:val="21"/>
                <w:highlight w:val="none"/>
              </w:rPr>
            </w:pPr>
            <w:r>
              <w:rPr>
                <w:rFonts w:eastAsia="仿宋_GB2312"/>
                <w:color w:val="auto"/>
                <w:szCs w:val="21"/>
                <w:highlight w:val="none"/>
              </w:rPr>
              <w:t>白度、砷(As)、重金属 (以Pb计)</w:t>
            </w:r>
          </w:p>
        </w:tc>
      </w:tr>
      <w:tr w14:paraId="70BC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FB99C62">
            <w:pPr>
              <w:spacing w:line="300" w:lineRule="exact"/>
              <w:jc w:val="center"/>
              <w:rPr>
                <w:rFonts w:eastAsia="仿宋_GB2312"/>
                <w:color w:val="auto"/>
                <w:szCs w:val="21"/>
                <w:highlight w:val="none"/>
              </w:rPr>
            </w:pPr>
          </w:p>
        </w:tc>
        <w:tc>
          <w:tcPr>
            <w:tcW w:w="367" w:type="pct"/>
            <w:vMerge w:val="continue"/>
            <w:noWrap w:val="0"/>
            <w:vAlign w:val="center"/>
          </w:tcPr>
          <w:p w14:paraId="448C1BB5">
            <w:pPr>
              <w:spacing w:line="300" w:lineRule="exact"/>
              <w:jc w:val="center"/>
              <w:rPr>
                <w:rFonts w:eastAsia="仿宋_GB2312"/>
                <w:color w:val="auto"/>
                <w:szCs w:val="21"/>
                <w:highlight w:val="none"/>
              </w:rPr>
            </w:pPr>
          </w:p>
        </w:tc>
        <w:tc>
          <w:tcPr>
            <w:tcW w:w="368" w:type="pct"/>
            <w:vMerge w:val="continue"/>
            <w:noWrap w:val="0"/>
            <w:vAlign w:val="center"/>
          </w:tcPr>
          <w:p w14:paraId="6CF1B4BD">
            <w:pPr>
              <w:spacing w:line="300" w:lineRule="exact"/>
              <w:jc w:val="center"/>
              <w:rPr>
                <w:rFonts w:eastAsia="仿宋_GB2312"/>
                <w:color w:val="auto"/>
                <w:szCs w:val="21"/>
                <w:highlight w:val="none"/>
              </w:rPr>
            </w:pPr>
          </w:p>
        </w:tc>
        <w:tc>
          <w:tcPr>
            <w:tcW w:w="401" w:type="pct"/>
            <w:vMerge w:val="continue"/>
            <w:noWrap w:val="0"/>
            <w:vAlign w:val="center"/>
          </w:tcPr>
          <w:p w14:paraId="26F7F57B">
            <w:pPr>
              <w:spacing w:line="300" w:lineRule="exact"/>
              <w:jc w:val="center"/>
              <w:rPr>
                <w:rFonts w:eastAsia="仿宋_GB2312"/>
                <w:color w:val="auto"/>
                <w:szCs w:val="21"/>
                <w:highlight w:val="none"/>
              </w:rPr>
            </w:pPr>
          </w:p>
        </w:tc>
        <w:tc>
          <w:tcPr>
            <w:tcW w:w="670" w:type="pct"/>
            <w:noWrap w:val="0"/>
            <w:vAlign w:val="center"/>
          </w:tcPr>
          <w:p w14:paraId="5F1E8B70">
            <w:pPr>
              <w:spacing w:line="300" w:lineRule="exact"/>
              <w:jc w:val="center"/>
              <w:rPr>
                <w:rFonts w:eastAsia="仿宋_GB2312"/>
                <w:color w:val="auto"/>
                <w:szCs w:val="21"/>
                <w:highlight w:val="none"/>
              </w:rPr>
            </w:pPr>
            <w:r>
              <w:rPr>
                <w:rFonts w:eastAsia="仿宋_GB2312"/>
                <w:color w:val="auto"/>
                <w:szCs w:val="21"/>
                <w:highlight w:val="none"/>
              </w:rPr>
              <w:t>焦糖色</w:t>
            </w:r>
          </w:p>
        </w:tc>
        <w:tc>
          <w:tcPr>
            <w:tcW w:w="284" w:type="pct"/>
            <w:noWrap w:val="0"/>
            <w:vAlign w:val="center"/>
          </w:tcPr>
          <w:p w14:paraId="3356FF04">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26B837F3">
            <w:pPr>
              <w:spacing w:line="300" w:lineRule="exact"/>
              <w:jc w:val="left"/>
              <w:rPr>
                <w:rFonts w:eastAsia="仿宋_GB2312"/>
                <w:color w:val="auto"/>
                <w:szCs w:val="21"/>
                <w:highlight w:val="none"/>
              </w:rPr>
            </w:pPr>
            <w:r>
              <w:rPr>
                <w:rFonts w:eastAsia="仿宋_GB2312"/>
                <w:color w:val="auto"/>
                <w:szCs w:val="21"/>
                <w:highlight w:val="none"/>
              </w:rPr>
              <w:t xml:space="preserve">吸光度 </w:t>
            </w:r>
            <m:oMath>
              <m:sSubSup>
                <m:sSubSupPr>
                  <m:ctrlPr>
                    <w:rPr>
                      <w:rFonts w:hint="default" w:ascii="Cambria Math" w:hAnsi="Cambria Math" w:eastAsia="仿宋_GB2312" w:cs="Times New Roman"/>
                      <w:color w:val="000000"/>
                      <w:sz w:val="21"/>
                      <w:szCs w:val="21"/>
                      <w:highlight w:val="none"/>
                    </w:rPr>
                  </m:ctrlPr>
                </m:sSubSupPr>
                <m:e>
                  <m:r>
                    <m:rPr>
                      <m:nor/>
                      <m:sty m:val="p"/>
                    </m:rPr>
                    <w:rPr>
                      <w:rFonts w:hint="default" w:ascii="Times New Roman" w:hAnsi="Times New Roman" w:eastAsia="仿宋_GB2312" w:cs="Times New Roman"/>
                      <w:b w:val="0"/>
                      <w:i w:val="0"/>
                      <w:color w:val="000000"/>
                      <w:sz w:val="21"/>
                      <w:szCs w:val="21"/>
                      <w:highlight w:val="none"/>
                    </w:rPr>
                    <m:t>E</m:t>
                  </m:r>
                  <m:ctrlPr>
                    <w:rPr>
                      <w:rFonts w:hint="default" w:ascii="Cambria Math" w:hAnsi="Cambria Math" w:eastAsia="仿宋_GB2312" w:cs="Times New Roman"/>
                      <w:color w:val="000000"/>
                      <w:sz w:val="21"/>
                      <w:szCs w:val="21"/>
                      <w:highlight w:val="none"/>
                    </w:rPr>
                  </m:ctrlPr>
                </m:e>
                <m:sub>
                  <m:r>
                    <m:rPr>
                      <m:nor/>
                      <m:sty m:val="p"/>
                    </m:rPr>
                    <w:rPr>
                      <w:rFonts w:hint="default" w:ascii="Times New Roman" w:hAnsi="Times New Roman" w:eastAsia="仿宋_GB2312" w:cs="Times New Roman"/>
                      <w:b w:val="0"/>
                      <w:i w:val="0"/>
                      <w:color w:val="000000"/>
                      <w:sz w:val="21"/>
                      <w:szCs w:val="21"/>
                      <w:highlight w:val="none"/>
                    </w:rPr>
                    <m:t>lcm</m:t>
                  </m:r>
                  <m:ctrlPr>
                    <w:rPr>
                      <w:rFonts w:hint="default" w:ascii="Cambria Math" w:hAnsi="Cambria Math" w:eastAsia="仿宋_GB2312" w:cs="Times New Roman"/>
                      <w:color w:val="000000"/>
                      <w:sz w:val="21"/>
                      <w:szCs w:val="21"/>
                      <w:highlight w:val="none"/>
                    </w:rPr>
                  </m:ctrlPr>
                </m:sub>
                <m:sup>
                  <m:r>
                    <m:rPr>
                      <m:nor/>
                      <m:sty m:val="p"/>
                    </m:rPr>
                    <w:rPr>
                      <w:rFonts w:hint="default" w:ascii="Times New Roman" w:hAnsi="Times New Roman" w:eastAsia="仿宋_GB2312" w:cs="Times New Roman"/>
                      <w:b w:val="0"/>
                      <w:i w:val="0"/>
                      <w:color w:val="000000"/>
                      <w:sz w:val="21"/>
                      <w:szCs w:val="21"/>
                      <w:highlight w:val="none"/>
                    </w:rPr>
                    <m:t>0.1%</m:t>
                  </m:r>
                  <m:ctrlPr>
                    <w:rPr>
                      <w:rFonts w:hint="default" w:ascii="Cambria Math" w:hAnsi="Cambria Math" w:eastAsia="仿宋_GB2312" w:cs="Times New Roman"/>
                      <w:color w:val="000000"/>
                      <w:sz w:val="21"/>
                      <w:szCs w:val="21"/>
                      <w:highlight w:val="none"/>
                    </w:rPr>
                  </m:ctrlPr>
                </m:sup>
              </m:sSubSup>
              <m:d>
                <m:dPr>
                  <m:ctrlPr>
                    <w:rPr>
                      <w:rFonts w:hint="default" w:ascii="Cambria Math" w:hAnsi="Cambria Math" w:eastAsia="仿宋_GB2312" w:cs="Times New Roman"/>
                      <w:color w:val="000000"/>
                      <w:sz w:val="21"/>
                      <w:szCs w:val="21"/>
                      <w:highlight w:val="none"/>
                    </w:rPr>
                  </m:ctrlPr>
                </m:dPr>
                <m:e>
                  <m:r>
                    <m:rPr>
                      <m:nor/>
                      <m:sty m:val="p"/>
                    </m:rPr>
                    <w:rPr>
                      <w:rFonts w:hint="default" w:ascii="Times New Roman" w:hAnsi="Times New Roman" w:eastAsia="仿宋_GB2312" w:cs="Times New Roman"/>
                      <w:b w:val="0"/>
                      <w:i w:val="0"/>
                      <w:color w:val="000000"/>
                      <w:sz w:val="21"/>
                      <w:szCs w:val="21"/>
                      <w:highlight w:val="none"/>
                    </w:rPr>
                    <m:t>610 nm</m:t>
                  </m:r>
                  <m:ctrlPr>
                    <w:rPr>
                      <w:rFonts w:hint="default" w:ascii="Cambria Math" w:hAnsi="Cambria Math" w:eastAsia="仿宋_GB2312" w:cs="Times New Roman"/>
                      <w:color w:val="000000"/>
                      <w:sz w:val="21"/>
                      <w:szCs w:val="21"/>
                      <w:highlight w:val="none"/>
                    </w:rPr>
                  </m:ctrlPr>
                </m:e>
              </m:d>
            </m:oMath>
            <w:r>
              <w:rPr>
                <w:rFonts w:eastAsia="仿宋_GB2312"/>
                <w:color w:val="auto"/>
                <w:szCs w:val="21"/>
                <w:highlight w:val="none"/>
              </w:rPr>
              <w:t>、氨氮(以N计)、二氧化硫(以SO</w:t>
            </w:r>
            <w:r>
              <w:rPr>
                <w:rFonts w:eastAsia="仿宋_GB2312"/>
                <w:color w:val="auto"/>
                <w:szCs w:val="21"/>
                <w:highlight w:val="none"/>
                <w:vertAlign w:val="subscript"/>
              </w:rPr>
              <w:t>2</w:t>
            </w:r>
            <w:r>
              <w:rPr>
                <w:rFonts w:eastAsia="仿宋_GB2312"/>
                <w:color w:val="auto"/>
                <w:szCs w:val="21"/>
                <w:highlight w:val="none"/>
              </w:rPr>
              <w:t>计)、4-甲基咪唑、总氮(以N计)、总硫(以S计)</w:t>
            </w:r>
          </w:p>
        </w:tc>
        <w:tc>
          <w:tcPr>
            <w:tcW w:w="1186" w:type="pct"/>
            <w:noWrap w:val="0"/>
            <w:vAlign w:val="center"/>
          </w:tcPr>
          <w:p w14:paraId="68B9788A">
            <w:pPr>
              <w:spacing w:line="300" w:lineRule="exact"/>
              <w:jc w:val="left"/>
              <w:rPr>
                <w:rFonts w:eastAsia="仿宋_GB2312"/>
                <w:color w:val="auto"/>
                <w:szCs w:val="21"/>
                <w:highlight w:val="none"/>
              </w:rPr>
            </w:pPr>
            <w:r>
              <w:rPr>
                <w:rFonts w:eastAsia="仿宋_GB2312"/>
                <w:color w:val="auto"/>
                <w:szCs w:val="21"/>
                <w:highlight w:val="none"/>
              </w:rPr>
              <w:t>总砷(以As计)、铅(Pb)</w:t>
            </w:r>
          </w:p>
          <w:p w14:paraId="5361681E">
            <w:pPr>
              <w:spacing w:line="300" w:lineRule="exact"/>
              <w:jc w:val="left"/>
              <w:rPr>
                <w:rFonts w:eastAsia="仿宋_GB2312"/>
                <w:color w:val="auto"/>
                <w:szCs w:val="21"/>
                <w:highlight w:val="none"/>
              </w:rPr>
            </w:pPr>
            <w:r>
              <w:rPr>
                <w:rFonts w:eastAsia="仿宋_GB2312"/>
                <w:color w:val="auto"/>
                <w:szCs w:val="21"/>
                <w:highlight w:val="none"/>
              </w:rPr>
              <w:t>、总汞 (以Hg计)</w:t>
            </w:r>
          </w:p>
        </w:tc>
      </w:tr>
      <w:tr w14:paraId="5A66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48A08AAD">
            <w:pPr>
              <w:spacing w:line="300" w:lineRule="exact"/>
              <w:jc w:val="center"/>
              <w:rPr>
                <w:rFonts w:eastAsia="仿宋_GB2312"/>
                <w:color w:val="auto"/>
                <w:szCs w:val="21"/>
                <w:highlight w:val="none"/>
              </w:rPr>
            </w:pPr>
          </w:p>
        </w:tc>
        <w:tc>
          <w:tcPr>
            <w:tcW w:w="367" w:type="pct"/>
            <w:vMerge w:val="continue"/>
            <w:noWrap w:val="0"/>
            <w:vAlign w:val="center"/>
          </w:tcPr>
          <w:p w14:paraId="4E0AE994">
            <w:pPr>
              <w:spacing w:line="300" w:lineRule="exact"/>
              <w:jc w:val="center"/>
              <w:rPr>
                <w:rFonts w:eastAsia="仿宋_GB2312"/>
                <w:color w:val="auto"/>
                <w:szCs w:val="21"/>
                <w:highlight w:val="none"/>
              </w:rPr>
            </w:pPr>
          </w:p>
        </w:tc>
        <w:tc>
          <w:tcPr>
            <w:tcW w:w="368" w:type="pct"/>
            <w:vMerge w:val="continue"/>
            <w:noWrap w:val="0"/>
            <w:vAlign w:val="center"/>
          </w:tcPr>
          <w:p w14:paraId="3804AD22">
            <w:pPr>
              <w:spacing w:line="300" w:lineRule="exact"/>
              <w:jc w:val="center"/>
              <w:rPr>
                <w:rFonts w:eastAsia="仿宋_GB2312"/>
                <w:color w:val="auto"/>
                <w:szCs w:val="21"/>
                <w:highlight w:val="none"/>
              </w:rPr>
            </w:pPr>
          </w:p>
        </w:tc>
        <w:tc>
          <w:tcPr>
            <w:tcW w:w="401" w:type="pct"/>
            <w:vMerge w:val="continue"/>
            <w:noWrap w:val="0"/>
            <w:vAlign w:val="center"/>
          </w:tcPr>
          <w:p w14:paraId="2FC310B1">
            <w:pPr>
              <w:spacing w:line="300" w:lineRule="exact"/>
              <w:jc w:val="center"/>
              <w:rPr>
                <w:rFonts w:eastAsia="仿宋_GB2312"/>
                <w:color w:val="auto"/>
                <w:szCs w:val="21"/>
                <w:highlight w:val="none"/>
              </w:rPr>
            </w:pPr>
          </w:p>
        </w:tc>
        <w:tc>
          <w:tcPr>
            <w:tcW w:w="670" w:type="pct"/>
            <w:noWrap w:val="0"/>
            <w:vAlign w:val="center"/>
          </w:tcPr>
          <w:p w14:paraId="165E708C">
            <w:pPr>
              <w:spacing w:line="300" w:lineRule="exact"/>
              <w:jc w:val="center"/>
              <w:rPr>
                <w:rFonts w:eastAsia="仿宋_GB2312"/>
                <w:color w:val="auto"/>
                <w:szCs w:val="21"/>
                <w:highlight w:val="none"/>
              </w:rPr>
            </w:pPr>
            <w:r>
              <w:rPr>
                <w:rFonts w:eastAsia="仿宋_GB2312"/>
                <w:color w:val="auto"/>
                <w:szCs w:val="21"/>
                <w:highlight w:val="none"/>
              </w:rPr>
              <w:t>蜂蜡</w:t>
            </w:r>
          </w:p>
        </w:tc>
        <w:tc>
          <w:tcPr>
            <w:tcW w:w="284" w:type="pct"/>
            <w:noWrap w:val="0"/>
            <w:vAlign w:val="center"/>
          </w:tcPr>
          <w:p w14:paraId="4AF1360C">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495F7FCC">
            <w:pPr>
              <w:spacing w:line="300" w:lineRule="exact"/>
              <w:jc w:val="left"/>
              <w:rPr>
                <w:rFonts w:eastAsia="仿宋_GB2312"/>
                <w:color w:val="auto"/>
                <w:szCs w:val="21"/>
                <w:highlight w:val="none"/>
              </w:rPr>
            </w:pPr>
            <w:r>
              <w:rPr>
                <w:rFonts w:eastAsia="仿宋_GB2312"/>
                <w:color w:val="auto"/>
                <w:szCs w:val="21"/>
                <w:highlight w:val="none"/>
              </w:rPr>
              <w:t>过氧化值、酸值(以KOH计)、皂化值(以KOH计)、熔程、甘油和其他多元醇、巴西棕榈蜡、纯白地蜡、石蜡及其他蜡、脂肪、日本蜡、松脂和皂质</w:t>
            </w:r>
          </w:p>
        </w:tc>
        <w:tc>
          <w:tcPr>
            <w:tcW w:w="1186" w:type="pct"/>
            <w:noWrap w:val="0"/>
            <w:vAlign w:val="center"/>
          </w:tcPr>
          <w:p w14:paraId="39729C5A">
            <w:pPr>
              <w:spacing w:line="300" w:lineRule="exact"/>
              <w:jc w:val="left"/>
              <w:rPr>
                <w:rFonts w:eastAsia="仿宋_GB2312"/>
                <w:color w:val="auto"/>
                <w:szCs w:val="21"/>
                <w:highlight w:val="none"/>
              </w:rPr>
            </w:pPr>
            <w:r>
              <w:rPr>
                <w:rFonts w:eastAsia="仿宋_GB2312"/>
                <w:color w:val="auto"/>
                <w:szCs w:val="21"/>
                <w:highlight w:val="none"/>
              </w:rPr>
              <w:t>铅(Pb)</w:t>
            </w:r>
          </w:p>
        </w:tc>
      </w:tr>
      <w:tr w14:paraId="2617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34C1C5F">
            <w:pPr>
              <w:spacing w:line="300" w:lineRule="exact"/>
              <w:jc w:val="center"/>
              <w:rPr>
                <w:rFonts w:eastAsia="仿宋_GB2312"/>
                <w:color w:val="auto"/>
                <w:szCs w:val="21"/>
                <w:highlight w:val="none"/>
              </w:rPr>
            </w:pPr>
          </w:p>
        </w:tc>
        <w:tc>
          <w:tcPr>
            <w:tcW w:w="367" w:type="pct"/>
            <w:vMerge w:val="continue"/>
            <w:noWrap w:val="0"/>
            <w:vAlign w:val="center"/>
          </w:tcPr>
          <w:p w14:paraId="5BC49E81">
            <w:pPr>
              <w:spacing w:line="300" w:lineRule="exact"/>
              <w:jc w:val="center"/>
              <w:rPr>
                <w:rFonts w:eastAsia="仿宋_GB2312"/>
                <w:color w:val="auto"/>
                <w:szCs w:val="21"/>
                <w:highlight w:val="none"/>
              </w:rPr>
            </w:pPr>
          </w:p>
        </w:tc>
        <w:tc>
          <w:tcPr>
            <w:tcW w:w="368" w:type="pct"/>
            <w:vMerge w:val="continue"/>
            <w:noWrap w:val="0"/>
            <w:vAlign w:val="center"/>
          </w:tcPr>
          <w:p w14:paraId="42249A2F">
            <w:pPr>
              <w:spacing w:line="300" w:lineRule="exact"/>
              <w:jc w:val="center"/>
              <w:rPr>
                <w:rFonts w:eastAsia="仿宋_GB2312"/>
                <w:color w:val="auto"/>
                <w:szCs w:val="21"/>
                <w:highlight w:val="none"/>
              </w:rPr>
            </w:pPr>
          </w:p>
        </w:tc>
        <w:tc>
          <w:tcPr>
            <w:tcW w:w="401" w:type="pct"/>
            <w:vMerge w:val="continue"/>
            <w:noWrap w:val="0"/>
            <w:vAlign w:val="center"/>
          </w:tcPr>
          <w:p w14:paraId="010ABB1D">
            <w:pPr>
              <w:spacing w:line="300" w:lineRule="exact"/>
              <w:jc w:val="center"/>
              <w:rPr>
                <w:rFonts w:eastAsia="仿宋_GB2312"/>
                <w:color w:val="auto"/>
                <w:szCs w:val="21"/>
                <w:highlight w:val="none"/>
              </w:rPr>
            </w:pPr>
          </w:p>
        </w:tc>
        <w:tc>
          <w:tcPr>
            <w:tcW w:w="670" w:type="pct"/>
            <w:noWrap w:val="0"/>
            <w:vAlign w:val="center"/>
          </w:tcPr>
          <w:p w14:paraId="4663A255">
            <w:pPr>
              <w:spacing w:line="300" w:lineRule="exact"/>
              <w:jc w:val="center"/>
              <w:rPr>
                <w:rFonts w:eastAsia="仿宋_GB2312"/>
                <w:color w:val="auto"/>
                <w:szCs w:val="21"/>
                <w:highlight w:val="none"/>
              </w:rPr>
            </w:pPr>
            <w:r>
              <w:rPr>
                <w:rFonts w:eastAsia="仿宋_GB2312"/>
                <w:color w:val="auto"/>
                <w:szCs w:val="21"/>
                <w:highlight w:val="none"/>
              </w:rPr>
              <w:t>红曲米</w:t>
            </w:r>
          </w:p>
        </w:tc>
        <w:tc>
          <w:tcPr>
            <w:tcW w:w="284" w:type="pct"/>
            <w:noWrap w:val="0"/>
            <w:vAlign w:val="center"/>
          </w:tcPr>
          <w:p w14:paraId="206069BF">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6D936487">
            <w:pPr>
              <w:spacing w:line="300" w:lineRule="exact"/>
              <w:jc w:val="left"/>
              <w:rPr>
                <w:rFonts w:eastAsia="仿宋_GB2312"/>
                <w:color w:val="auto"/>
                <w:szCs w:val="21"/>
                <w:highlight w:val="none"/>
              </w:rPr>
            </w:pPr>
            <w:r>
              <w:rPr>
                <w:rFonts w:eastAsia="仿宋_GB2312"/>
                <w:color w:val="auto"/>
                <w:szCs w:val="21"/>
                <w:highlight w:val="none"/>
              </w:rPr>
              <w:t>水分、黄曲霉毒素B</w:t>
            </w:r>
            <w:r>
              <w:rPr>
                <w:rFonts w:eastAsia="仿宋_GB2312"/>
                <w:color w:val="auto"/>
                <w:szCs w:val="21"/>
                <w:highlight w:val="none"/>
                <w:vertAlign w:val="subscript"/>
              </w:rPr>
              <w:t>1</w:t>
            </w:r>
            <w:r>
              <w:rPr>
                <w:rFonts w:eastAsia="仿宋_GB2312"/>
                <w:color w:val="auto"/>
                <w:szCs w:val="21"/>
                <w:highlight w:val="none"/>
              </w:rPr>
              <w:t>、色价、细度 150μm ( 100目) 通过率、大肠菌群、沙门氏菌、志贺氏菌、金黄色葡萄球菌</w:t>
            </w:r>
          </w:p>
        </w:tc>
        <w:tc>
          <w:tcPr>
            <w:tcW w:w="1186" w:type="pct"/>
            <w:noWrap w:val="0"/>
            <w:vAlign w:val="center"/>
          </w:tcPr>
          <w:p w14:paraId="2C3BD64D">
            <w:pPr>
              <w:spacing w:line="300" w:lineRule="exact"/>
              <w:jc w:val="left"/>
              <w:rPr>
                <w:rFonts w:eastAsia="仿宋_GB2312"/>
                <w:color w:val="auto"/>
                <w:szCs w:val="21"/>
                <w:highlight w:val="none"/>
              </w:rPr>
            </w:pPr>
            <w:r>
              <w:rPr>
                <w:rFonts w:eastAsia="仿宋_GB2312"/>
                <w:color w:val="auto"/>
                <w:szCs w:val="21"/>
                <w:highlight w:val="none"/>
              </w:rPr>
              <w:t>总砷(以As计)、重金属(以Pb计)</w:t>
            </w:r>
          </w:p>
        </w:tc>
      </w:tr>
      <w:tr w14:paraId="4CEA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0BD2B05E">
            <w:pPr>
              <w:spacing w:line="300" w:lineRule="exact"/>
              <w:jc w:val="center"/>
              <w:rPr>
                <w:rFonts w:eastAsia="仿宋_GB2312"/>
                <w:color w:val="auto"/>
                <w:szCs w:val="21"/>
                <w:highlight w:val="none"/>
              </w:rPr>
            </w:pPr>
          </w:p>
        </w:tc>
        <w:tc>
          <w:tcPr>
            <w:tcW w:w="367" w:type="pct"/>
            <w:vMerge w:val="continue"/>
            <w:noWrap w:val="0"/>
            <w:vAlign w:val="center"/>
          </w:tcPr>
          <w:p w14:paraId="4ACA1677">
            <w:pPr>
              <w:spacing w:line="300" w:lineRule="exact"/>
              <w:jc w:val="center"/>
              <w:rPr>
                <w:rFonts w:eastAsia="仿宋_GB2312"/>
                <w:color w:val="auto"/>
                <w:szCs w:val="21"/>
                <w:highlight w:val="none"/>
              </w:rPr>
            </w:pPr>
          </w:p>
        </w:tc>
        <w:tc>
          <w:tcPr>
            <w:tcW w:w="368" w:type="pct"/>
            <w:vMerge w:val="continue"/>
            <w:noWrap w:val="0"/>
            <w:vAlign w:val="center"/>
          </w:tcPr>
          <w:p w14:paraId="65A43761">
            <w:pPr>
              <w:spacing w:line="300" w:lineRule="exact"/>
              <w:jc w:val="center"/>
              <w:rPr>
                <w:rFonts w:eastAsia="仿宋_GB2312"/>
                <w:color w:val="auto"/>
                <w:szCs w:val="21"/>
                <w:highlight w:val="none"/>
              </w:rPr>
            </w:pPr>
          </w:p>
        </w:tc>
        <w:tc>
          <w:tcPr>
            <w:tcW w:w="401" w:type="pct"/>
            <w:vMerge w:val="continue"/>
            <w:noWrap w:val="0"/>
            <w:vAlign w:val="center"/>
          </w:tcPr>
          <w:p w14:paraId="24442C37">
            <w:pPr>
              <w:spacing w:line="300" w:lineRule="exact"/>
              <w:jc w:val="center"/>
              <w:rPr>
                <w:rFonts w:eastAsia="仿宋_GB2312"/>
                <w:color w:val="auto"/>
                <w:szCs w:val="21"/>
                <w:highlight w:val="none"/>
              </w:rPr>
            </w:pPr>
          </w:p>
        </w:tc>
        <w:tc>
          <w:tcPr>
            <w:tcW w:w="670" w:type="pct"/>
            <w:noWrap w:val="0"/>
            <w:vAlign w:val="center"/>
          </w:tcPr>
          <w:p w14:paraId="128B7AE5">
            <w:pPr>
              <w:spacing w:line="300" w:lineRule="exact"/>
              <w:jc w:val="center"/>
              <w:rPr>
                <w:rFonts w:eastAsia="仿宋_GB2312"/>
                <w:color w:val="auto"/>
                <w:szCs w:val="21"/>
                <w:highlight w:val="none"/>
              </w:rPr>
            </w:pPr>
            <w:r>
              <w:rPr>
                <w:rFonts w:eastAsia="仿宋_GB2312"/>
                <w:color w:val="auto"/>
                <w:szCs w:val="21"/>
                <w:highlight w:val="none"/>
              </w:rPr>
              <w:t>红曲红</w:t>
            </w:r>
          </w:p>
        </w:tc>
        <w:tc>
          <w:tcPr>
            <w:tcW w:w="284" w:type="pct"/>
            <w:noWrap w:val="0"/>
            <w:vAlign w:val="center"/>
          </w:tcPr>
          <w:p w14:paraId="6042EA57">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59AA1D68">
            <w:pPr>
              <w:spacing w:line="300" w:lineRule="exact"/>
              <w:jc w:val="left"/>
              <w:rPr>
                <w:rFonts w:eastAsia="仿宋_GB2312"/>
                <w:color w:val="auto"/>
                <w:szCs w:val="21"/>
                <w:highlight w:val="none"/>
              </w:rPr>
            </w:pPr>
            <w:r>
              <w:rPr>
                <w:rFonts w:eastAsia="仿宋_GB2312"/>
                <w:color w:val="auto"/>
                <w:szCs w:val="21"/>
                <w:highlight w:val="none"/>
              </w:rPr>
              <w:t>色价</w:t>
            </w:r>
            <m:oMath>
              <m:sSubSup>
                <m:sSubSupPr>
                  <m:ctrlPr>
                    <w:rPr>
                      <w:rFonts w:hint="default" w:ascii="Cambria Math" w:hAnsi="Cambria Math" w:eastAsia="仿宋_GB2312" w:cs="Times New Roman"/>
                      <w:color w:val="000000"/>
                      <w:sz w:val="21"/>
                      <w:szCs w:val="21"/>
                      <w:highlight w:val="none"/>
                    </w:rPr>
                  </m:ctrlPr>
                </m:sSubSupPr>
                <m:e>
                  <m:r>
                    <m:rPr>
                      <m:nor/>
                      <m:sty m:val="p"/>
                    </m:rPr>
                    <w:rPr>
                      <w:rFonts w:hint="default" w:ascii="Times New Roman" w:hAnsi="Times New Roman" w:eastAsia="仿宋_GB2312" w:cs="Times New Roman"/>
                      <w:b w:val="0"/>
                      <w:i w:val="0"/>
                      <w:color w:val="000000"/>
                      <w:sz w:val="21"/>
                      <w:szCs w:val="21"/>
                      <w:highlight w:val="none"/>
                    </w:rPr>
                    <m:t>E</m:t>
                  </m:r>
                  <m:ctrlPr>
                    <w:rPr>
                      <w:rFonts w:hint="default" w:ascii="Cambria Math" w:hAnsi="Cambria Math" w:eastAsia="仿宋_GB2312" w:cs="Times New Roman"/>
                      <w:color w:val="000000"/>
                      <w:sz w:val="21"/>
                      <w:szCs w:val="21"/>
                      <w:highlight w:val="none"/>
                    </w:rPr>
                  </m:ctrlPr>
                </m:e>
                <m:sub>
                  <m:r>
                    <m:rPr>
                      <m:nor/>
                      <m:sty m:val="p"/>
                    </m:rPr>
                    <w:rPr>
                      <w:rFonts w:hint="default" w:ascii="Times New Roman" w:hAnsi="Times New Roman" w:eastAsia="仿宋_GB2312" w:cs="Times New Roman"/>
                      <w:b w:val="0"/>
                      <w:i w:val="0"/>
                      <w:color w:val="000000"/>
                      <w:sz w:val="21"/>
                      <w:szCs w:val="21"/>
                      <w:highlight w:val="none"/>
                    </w:rPr>
                    <m:t>1 cm</m:t>
                  </m:r>
                  <m:ctrlPr>
                    <w:rPr>
                      <w:rFonts w:hint="default" w:ascii="Cambria Math" w:hAnsi="Cambria Math" w:eastAsia="仿宋_GB2312" w:cs="Times New Roman"/>
                      <w:color w:val="000000"/>
                      <w:sz w:val="21"/>
                      <w:szCs w:val="21"/>
                      <w:highlight w:val="none"/>
                    </w:rPr>
                  </m:ctrlPr>
                </m:sub>
                <m:sup>
                  <m:r>
                    <m:rPr>
                      <m:nor/>
                      <m:sty m:val="p"/>
                    </m:rPr>
                    <w:rPr>
                      <w:rFonts w:hint="default" w:ascii="Times New Roman" w:hAnsi="Times New Roman" w:eastAsia="仿宋_GB2312" w:cs="Times New Roman"/>
                      <w:b w:val="0"/>
                      <w:i w:val="0"/>
                      <w:color w:val="000000"/>
                      <w:sz w:val="21"/>
                      <w:szCs w:val="21"/>
                      <w:highlight w:val="none"/>
                    </w:rPr>
                    <m:t>1%</m:t>
                  </m:r>
                  <m:ctrlPr>
                    <w:rPr>
                      <w:rFonts w:hint="default" w:ascii="Cambria Math" w:hAnsi="Cambria Math" w:eastAsia="仿宋_GB2312" w:cs="Times New Roman"/>
                      <w:color w:val="000000"/>
                      <w:sz w:val="21"/>
                      <w:szCs w:val="21"/>
                      <w:highlight w:val="none"/>
                    </w:rPr>
                  </m:ctrlPr>
                </m:sup>
              </m:sSubSup>
              <m:d>
                <m:dPr>
                  <m:ctrlPr>
                    <w:rPr>
                      <w:rFonts w:hint="default" w:ascii="Cambria Math" w:hAnsi="Cambria Math" w:eastAsia="仿宋_GB2312" w:cs="Times New Roman"/>
                      <w:color w:val="000000"/>
                      <w:sz w:val="21"/>
                      <w:szCs w:val="21"/>
                      <w:highlight w:val="none"/>
                    </w:rPr>
                  </m:ctrlPr>
                </m:dPr>
                <m:e>
                  <m:r>
                    <m:rPr>
                      <m:nor/>
                      <m:sty m:val="p"/>
                    </m:rPr>
                    <w:rPr>
                      <w:rFonts w:hint="default" w:ascii="Times New Roman" w:hAnsi="Times New Roman" w:eastAsia="仿宋_GB2312" w:cs="Times New Roman"/>
                      <w:b w:val="0"/>
                      <w:i w:val="0"/>
                      <w:color w:val="000000"/>
                      <w:sz w:val="21"/>
                      <w:szCs w:val="21"/>
                      <w:highlight w:val="none"/>
                    </w:rPr>
                    <m:t>495±10</m:t>
                  </m:r>
                  <m:ctrlPr>
                    <w:rPr>
                      <w:rFonts w:hint="default" w:ascii="Cambria Math" w:hAnsi="Cambria Math" w:eastAsia="仿宋_GB2312" w:cs="Times New Roman"/>
                      <w:color w:val="000000"/>
                      <w:sz w:val="21"/>
                      <w:szCs w:val="21"/>
                      <w:highlight w:val="none"/>
                    </w:rPr>
                  </m:ctrlPr>
                </m:e>
              </m:d>
              <m:r>
                <m:rPr>
                  <m:nor/>
                  <m:sty m:val="p"/>
                </m:rPr>
                <w:rPr>
                  <w:rFonts w:hint="default" w:ascii="Times New Roman" w:hAnsi="Times New Roman" w:eastAsia="仿宋_GB2312" w:cs="Times New Roman"/>
                  <w:b w:val="0"/>
                  <w:i w:val="0"/>
                  <w:color w:val="000000"/>
                  <w:sz w:val="21"/>
                  <w:szCs w:val="21"/>
                  <w:highlight w:val="none"/>
                </w:rPr>
                <m:t>nm</m:t>
              </m:r>
            </m:oMath>
            <w:r>
              <w:rPr>
                <w:rFonts w:eastAsia="仿宋_GB2312"/>
                <w:color w:val="auto"/>
                <w:szCs w:val="21"/>
                <w:highlight w:val="none"/>
              </w:rPr>
              <w:t>、干燥减量、铅(Pb)、砷(As)</w:t>
            </w:r>
          </w:p>
        </w:tc>
        <w:tc>
          <w:tcPr>
            <w:tcW w:w="1186" w:type="pct"/>
            <w:noWrap w:val="0"/>
            <w:vAlign w:val="center"/>
          </w:tcPr>
          <w:p w14:paraId="29E056E7">
            <w:pPr>
              <w:spacing w:line="300" w:lineRule="exact"/>
              <w:jc w:val="left"/>
              <w:rPr>
                <w:rFonts w:eastAsia="仿宋_GB2312"/>
                <w:color w:val="auto"/>
                <w:szCs w:val="21"/>
                <w:highlight w:val="none"/>
              </w:rPr>
            </w:pPr>
            <w:r>
              <w:rPr>
                <w:rFonts w:eastAsia="仿宋_GB2312"/>
                <w:color w:val="auto"/>
                <w:szCs w:val="21"/>
                <w:highlight w:val="none"/>
              </w:rPr>
              <w:t>/</w:t>
            </w:r>
          </w:p>
        </w:tc>
      </w:tr>
      <w:tr w14:paraId="5D0F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7C0B0CCE">
            <w:pPr>
              <w:spacing w:line="300" w:lineRule="exact"/>
              <w:jc w:val="center"/>
              <w:rPr>
                <w:rFonts w:eastAsia="仿宋_GB2312"/>
                <w:color w:val="auto"/>
                <w:szCs w:val="21"/>
                <w:highlight w:val="none"/>
              </w:rPr>
            </w:pPr>
          </w:p>
        </w:tc>
        <w:tc>
          <w:tcPr>
            <w:tcW w:w="367" w:type="pct"/>
            <w:vMerge w:val="continue"/>
            <w:noWrap w:val="0"/>
            <w:vAlign w:val="center"/>
          </w:tcPr>
          <w:p w14:paraId="49BBACF8">
            <w:pPr>
              <w:spacing w:line="300" w:lineRule="exact"/>
              <w:jc w:val="center"/>
              <w:rPr>
                <w:rFonts w:eastAsia="仿宋_GB2312"/>
                <w:color w:val="auto"/>
                <w:szCs w:val="21"/>
                <w:highlight w:val="none"/>
              </w:rPr>
            </w:pPr>
          </w:p>
        </w:tc>
        <w:tc>
          <w:tcPr>
            <w:tcW w:w="368" w:type="pct"/>
            <w:vMerge w:val="continue"/>
            <w:noWrap w:val="0"/>
            <w:vAlign w:val="center"/>
          </w:tcPr>
          <w:p w14:paraId="1DBF576B">
            <w:pPr>
              <w:spacing w:line="300" w:lineRule="exact"/>
              <w:jc w:val="center"/>
              <w:rPr>
                <w:rFonts w:eastAsia="仿宋_GB2312"/>
                <w:color w:val="auto"/>
                <w:szCs w:val="21"/>
                <w:highlight w:val="none"/>
              </w:rPr>
            </w:pPr>
          </w:p>
        </w:tc>
        <w:tc>
          <w:tcPr>
            <w:tcW w:w="401" w:type="pct"/>
            <w:vMerge w:val="continue"/>
            <w:noWrap w:val="0"/>
            <w:vAlign w:val="center"/>
          </w:tcPr>
          <w:p w14:paraId="7EFC76E0">
            <w:pPr>
              <w:spacing w:line="300" w:lineRule="exact"/>
              <w:jc w:val="center"/>
              <w:rPr>
                <w:rFonts w:eastAsia="仿宋_GB2312"/>
                <w:color w:val="auto"/>
                <w:szCs w:val="21"/>
                <w:highlight w:val="none"/>
              </w:rPr>
            </w:pPr>
          </w:p>
        </w:tc>
        <w:tc>
          <w:tcPr>
            <w:tcW w:w="670" w:type="pct"/>
            <w:noWrap w:val="0"/>
            <w:vAlign w:val="center"/>
          </w:tcPr>
          <w:p w14:paraId="522CAD49">
            <w:pPr>
              <w:spacing w:line="300" w:lineRule="exact"/>
              <w:jc w:val="center"/>
              <w:rPr>
                <w:rFonts w:eastAsia="仿宋_GB2312"/>
                <w:color w:val="auto"/>
                <w:szCs w:val="21"/>
                <w:highlight w:val="none"/>
              </w:rPr>
            </w:pPr>
            <w:r>
              <w:rPr>
                <w:rFonts w:eastAsia="仿宋_GB2312"/>
                <w:color w:val="auto"/>
                <w:szCs w:val="21"/>
                <w:highlight w:val="none"/>
              </w:rPr>
              <w:t>红曲黄色素</w:t>
            </w:r>
          </w:p>
        </w:tc>
        <w:tc>
          <w:tcPr>
            <w:tcW w:w="284" w:type="pct"/>
            <w:noWrap w:val="0"/>
            <w:vAlign w:val="center"/>
          </w:tcPr>
          <w:p w14:paraId="48C0AC50">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0752B653">
            <w:pPr>
              <w:spacing w:line="300" w:lineRule="exact"/>
              <w:jc w:val="left"/>
              <w:rPr>
                <w:rFonts w:eastAsia="仿宋_GB2312"/>
                <w:color w:val="auto"/>
                <w:szCs w:val="21"/>
                <w:highlight w:val="none"/>
              </w:rPr>
            </w:pPr>
            <w:r>
              <w:rPr>
                <w:rFonts w:eastAsia="仿宋_GB2312"/>
                <w:color w:val="auto"/>
                <w:szCs w:val="21"/>
                <w:highlight w:val="none"/>
              </w:rPr>
              <w:t>色价</w:t>
            </w:r>
            <m:oMath>
              <m:sSubSup>
                <m:sSubSupPr>
                  <m:ctrlPr>
                    <w:rPr>
                      <w:rFonts w:hint="default" w:ascii="Cambria Math" w:hAnsi="Cambria Math" w:eastAsia="仿宋_GB2312" w:cs="Times New Roman"/>
                      <w:color w:val="000000"/>
                      <w:sz w:val="21"/>
                      <w:szCs w:val="21"/>
                      <w:highlight w:val="none"/>
                    </w:rPr>
                  </m:ctrlPr>
                </m:sSubSupPr>
                <m:e>
                  <m:r>
                    <m:rPr>
                      <m:nor/>
                      <m:sty m:val="p"/>
                    </m:rPr>
                    <w:rPr>
                      <w:rFonts w:hint="default" w:ascii="Times New Roman" w:hAnsi="Times New Roman" w:eastAsia="仿宋_GB2312" w:cs="Times New Roman"/>
                      <w:b w:val="0"/>
                      <w:i w:val="0"/>
                      <w:color w:val="000000"/>
                      <w:sz w:val="21"/>
                      <w:szCs w:val="21"/>
                      <w:highlight w:val="none"/>
                    </w:rPr>
                    <m:t>E</m:t>
                  </m:r>
                  <m:ctrlPr>
                    <w:rPr>
                      <w:rFonts w:hint="default" w:ascii="Cambria Math" w:hAnsi="Cambria Math" w:eastAsia="仿宋_GB2312" w:cs="Times New Roman"/>
                      <w:color w:val="000000"/>
                      <w:sz w:val="21"/>
                      <w:szCs w:val="21"/>
                      <w:highlight w:val="none"/>
                    </w:rPr>
                  </m:ctrlPr>
                </m:e>
                <m:sub>
                  <m:r>
                    <m:rPr>
                      <m:nor/>
                      <m:sty m:val="p"/>
                    </m:rPr>
                    <w:rPr>
                      <w:rFonts w:hint="default" w:ascii="Times New Roman" w:hAnsi="Times New Roman" w:eastAsia="仿宋_GB2312" w:cs="Times New Roman"/>
                      <w:b w:val="0"/>
                      <w:i w:val="0"/>
                      <w:color w:val="000000"/>
                      <w:sz w:val="21"/>
                      <w:szCs w:val="21"/>
                      <w:highlight w:val="none"/>
                    </w:rPr>
                    <m:t>1 cm</m:t>
                  </m:r>
                  <m:ctrlPr>
                    <w:rPr>
                      <w:rFonts w:hint="default" w:ascii="Cambria Math" w:hAnsi="Cambria Math" w:eastAsia="仿宋_GB2312" w:cs="Times New Roman"/>
                      <w:color w:val="000000"/>
                      <w:sz w:val="21"/>
                      <w:szCs w:val="21"/>
                      <w:highlight w:val="none"/>
                    </w:rPr>
                  </m:ctrlPr>
                </m:sub>
                <m:sup>
                  <m:r>
                    <m:rPr>
                      <m:nor/>
                      <m:sty m:val="p"/>
                    </m:rPr>
                    <w:rPr>
                      <w:rFonts w:hint="default" w:ascii="Times New Roman" w:hAnsi="Times New Roman" w:eastAsia="仿宋_GB2312" w:cs="Times New Roman"/>
                      <w:b w:val="0"/>
                      <w:i w:val="0"/>
                      <w:color w:val="000000"/>
                      <w:sz w:val="21"/>
                      <w:szCs w:val="21"/>
                      <w:highlight w:val="none"/>
                    </w:rPr>
                    <m:t>1%</m:t>
                  </m:r>
                  <m:ctrlPr>
                    <w:rPr>
                      <w:rFonts w:hint="default" w:ascii="Cambria Math" w:hAnsi="Cambria Math" w:eastAsia="仿宋_GB2312" w:cs="Times New Roman"/>
                      <w:color w:val="000000"/>
                      <w:sz w:val="21"/>
                      <w:szCs w:val="21"/>
                      <w:highlight w:val="none"/>
                    </w:rPr>
                  </m:ctrlPr>
                </m:sup>
              </m:sSubSup>
              <m:d>
                <m:dPr>
                  <m:ctrlPr>
                    <w:rPr>
                      <w:rFonts w:hint="default" w:ascii="Cambria Math" w:hAnsi="Cambria Math" w:eastAsia="仿宋_GB2312" w:cs="Times New Roman"/>
                      <w:color w:val="000000"/>
                      <w:sz w:val="21"/>
                      <w:szCs w:val="21"/>
                      <w:highlight w:val="none"/>
                    </w:rPr>
                  </m:ctrlPr>
                </m:dPr>
                <m:e>
                  <m:r>
                    <m:rPr>
                      <m:nor/>
                      <m:sty m:val="p"/>
                    </m:rPr>
                    <w:rPr>
                      <w:rFonts w:hint="default" w:ascii="Times New Roman" w:hAnsi="Times New Roman" w:eastAsia="仿宋_GB2312" w:cs="Times New Roman"/>
                      <w:b w:val="0"/>
                      <w:i w:val="0"/>
                      <w:color w:val="000000"/>
                      <w:sz w:val="21"/>
                      <w:szCs w:val="21"/>
                      <w:highlight w:val="none"/>
                    </w:rPr>
                    <m:t>476±10</m:t>
                  </m:r>
                  <m:ctrlPr>
                    <w:rPr>
                      <w:rFonts w:hint="default" w:ascii="Cambria Math" w:hAnsi="Cambria Math" w:eastAsia="仿宋_GB2312" w:cs="Times New Roman"/>
                      <w:color w:val="000000"/>
                      <w:sz w:val="21"/>
                      <w:szCs w:val="21"/>
                      <w:highlight w:val="none"/>
                    </w:rPr>
                  </m:ctrlPr>
                </m:e>
              </m:d>
              <m:r>
                <m:rPr>
                  <m:nor/>
                  <m:sty m:val="p"/>
                </m:rPr>
                <w:rPr>
                  <w:rFonts w:hint="default" w:ascii="Times New Roman" w:hAnsi="Times New Roman" w:eastAsia="仿宋_GB2312" w:cs="Times New Roman"/>
                  <w:b w:val="0"/>
                  <w:i w:val="0"/>
                  <w:color w:val="000000"/>
                  <w:sz w:val="21"/>
                  <w:szCs w:val="21"/>
                  <w:highlight w:val="none"/>
                </w:rPr>
                <m:t>nm</m:t>
              </m:r>
            </m:oMath>
            <w:r>
              <w:rPr>
                <w:rFonts w:eastAsia="仿宋_GB2312"/>
                <w:color w:val="auto"/>
                <w:szCs w:val="21"/>
                <w:highlight w:val="none"/>
              </w:rPr>
              <w:t>、干燥减量、灼烧残渣、铅(Pb)、总砷(以As计)</w:t>
            </w:r>
          </w:p>
        </w:tc>
        <w:tc>
          <w:tcPr>
            <w:tcW w:w="1186" w:type="pct"/>
            <w:noWrap w:val="0"/>
            <w:vAlign w:val="center"/>
          </w:tcPr>
          <w:p w14:paraId="362C1D77">
            <w:pPr>
              <w:spacing w:line="300" w:lineRule="exact"/>
              <w:jc w:val="left"/>
              <w:rPr>
                <w:rFonts w:eastAsia="仿宋_GB2312"/>
                <w:color w:val="auto"/>
                <w:szCs w:val="21"/>
                <w:highlight w:val="none"/>
              </w:rPr>
            </w:pPr>
            <w:r>
              <w:rPr>
                <w:rFonts w:eastAsia="仿宋_GB2312"/>
                <w:color w:val="auto"/>
                <w:szCs w:val="21"/>
                <w:highlight w:val="none"/>
              </w:rPr>
              <w:t>/</w:t>
            </w:r>
          </w:p>
        </w:tc>
      </w:tr>
      <w:tr w14:paraId="126A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293D677C">
            <w:pPr>
              <w:spacing w:line="300" w:lineRule="exact"/>
              <w:jc w:val="center"/>
              <w:rPr>
                <w:rFonts w:eastAsia="仿宋_GB2312"/>
                <w:color w:val="auto"/>
                <w:szCs w:val="21"/>
                <w:highlight w:val="none"/>
              </w:rPr>
            </w:pPr>
          </w:p>
        </w:tc>
        <w:tc>
          <w:tcPr>
            <w:tcW w:w="367" w:type="pct"/>
            <w:vMerge w:val="continue"/>
            <w:noWrap w:val="0"/>
            <w:vAlign w:val="center"/>
          </w:tcPr>
          <w:p w14:paraId="30CDCEC2">
            <w:pPr>
              <w:spacing w:line="300" w:lineRule="exact"/>
              <w:jc w:val="center"/>
              <w:rPr>
                <w:rFonts w:eastAsia="仿宋_GB2312"/>
                <w:color w:val="auto"/>
                <w:szCs w:val="21"/>
                <w:highlight w:val="none"/>
              </w:rPr>
            </w:pPr>
          </w:p>
        </w:tc>
        <w:tc>
          <w:tcPr>
            <w:tcW w:w="368" w:type="pct"/>
            <w:vMerge w:val="continue"/>
            <w:noWrap w:val="0"/>
            <w:vAlign w:val="center"/>
          </w:tcPr>
          <w:p w14:paraId="0571655A">
            <w:pPr>
              <w:spacing w:line="300" w:lineRule="exact"/>
              <w:jc w:val="center"/>
              <w:rPr>
                <w:rFonts w:eastAsia="仿宋_GB2312"/>
                <w:color w:val="auto"/>
                <w:szCs w:val="21"/>
                <w:highlight w:val="none"/>
              </w:rPr>
            </w:pPr>
          </w:p>
        </w:tc>
        <w:tc>
          <w:tcPr>
            <w:tcW w:w="401" w:type="pct"/>
            <w:vMerge w:val="continue"/>
            <w:noWrap w:val="0"/>
            <w:vAlign w:val="center"/>
          </w:tcPr>
          <w:p w14:paraId="1B5D2FE1">
            <w:pPr>
              <w:spacing w:line="300" w:lineRule="exact"/>
              <w:jc w:val="center"/>
              <w:rPr>
                <w:rFonts w:eastAsia="仿宋_GB2312"/>
                <w:color w:val="auto"/>
                <w:szCs w:val="21"/>
                <w:highlight w:val="none"/>
              </w:rPr>
            </w:pPr>
          </w:p>
        </w:tc>
        <w:tc>
          <w:tcPr>
            <w:tcW w:w="670" w:type="pct"/>
            <w:noWrap w:val="0"/>
            <w:vAlign w:val="center"/>
          </w:tcPr>
          <w:p w14:paraId="12DDC0C3">
            <w:pPr>
              <w:spacing w:line="300" w:lineRule="exact"/>
              <w:jc w:val="center"/>
              <w:rPr>
                <w:rFonts w:eastAsia="仿宋_GB2312"/>
                <w:color w:val="auto"/>
                <w:szCs w:val="21"/>
                <w:highlight w:val="none"/>
              </w:rPr>
            </w:pPr>
            <w:r>
              <w:rPr>
                <w:rFonts w:eastAsia="仿宋_GB2312"/>
                <w:color w:val="auto"/>
                <w:szCs w:val="21"/>
                <w:highlight w:val="none"/>
              </w:rPr>
              <w:t>胶基</w:t>
            </w:r>
          </w:p>
        </w:tc>
        <w:tc>
          <w:tcPr>
            <w:tcW w:w="284" w:type="pct"/>
            <w:noWrap w:val="0"/>
            <w:vAlign w:val="center"/>
          </w:tcPr>
          <w:p w14:paraId="4F4DF10D">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585B591">
            <w:pPr>
              <w:spacing w:line="300" w:lineRule="exact"/>
              <w:jc w:val="left"/>
              <w:rPr>
                <w:rFonts w:eastAsia="仿宋_GB2312"/>
                <w:color w:val="auto"/>
                <w:szCs w:val="21"/>
                <w:highlight w:val="none"/>
              </w:rPr>
            </w:pPr>
            <w:r>
              <w:rPr>
                <w:rFonts w:eastAsia="仿宋_GB2312"/>
                <w:color w:val="auto"/>
                <w:szCs w:val="21"/>
                <w:highlight w:val="none"/>
              </w:rPr>
              <w:t>铅(Pb)、总砷(以As计)</w:t>
            </w:r>
          </w:p>
        </w:tc>
        <w:tc>
          <w:tcPr>
            <w:tcW w:w="1186" w:type="pct"/>
            <w:noWrap w:val="0"/>
            <w:vAlign w:val="center"/>
          </w:tcPr>
          <w:p w14:paraId="34480B4A">
            <w:pPr>
              <w:spacing w:line="300" w:lineRule="exact"/>
              <w:jc w:val="left"/>
              <w:rPr>
                <w:rFonts w:eastAsia="仿宋_GB2312"/>
                <w:color w:val="auto"/>
                <w:szCs w:val="21"/>
                <w:highlight w:val="none"/>
              </w:rPr>
            </w:pPr>
            <w:r>
              <w:rPr>
                <w:rFonts w:eastAsia="仿宋_GB2312"/>
                <w:color w:val="auto"/>
                <w:szCs w:val="21"/>
                <w:highlight w:val="none"/>
              </w:rPr>
              <w:t>/</w:t>
            </w:r>
          </w:p>
        </w:tc>
      </w:tr>
      <w:tr w14:paraId="3CB5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6579BD25">
            <w:pPr>
              <w:spacing w:line="300" w:lineRule="exact"/>
              <w:jc w:val="center"/>
              <w:rPr>
                <w:rFonts w:eastAsia="仿宋_GB2312"/>
                <w:color w:val="auto"/>
                <w:szCs w:val="21"/>
                <w:highlight w:val="none"/>
              </w:rPr>
            </w:pPr>
          </w:p>
        </w:tc>
        <w:tc>
          <w:tcPr>
            <w:tcW w:w="367" w:type="pct"/>
            <w:vMerge w:val="continue"/>
            <w:noWrap w:val="0"/>
            <w:vAlign w:val="center"/>
          </w:tcPr>
          <w:p w14:paraId="7C9ECD50">
            <w:pPr>
              <w:spacing w:line="300" w:lineRule="exact"/>
              <w:jc w:val="center"/>
              <w:rPr>
                <w:rFonts w:eastAsia="仿宋_GB2312"/>
                <w:color w:val="auto"/>
                <w:szCs w:val="21"/>
                <w:highlight w:val="none"/>
              </w:rPr>
            </w:pPr>
          </w:p>
        </w:tc>
        <w:tc>
          <w:tcPr>
            <w:tcW w:w="368" w:type="pct"/>
            <w:vMerge w:val="continue"/>
            <w:noWrap w:val="0"/>
            <w:vAlign w:val="center"/>
          </w:tcPr>
          <w:p w14:paraId="2D4D66DA">
            <w:pPr>
              <w:spacing w:line="300" w:lineRule="exact"/>
              <w:jc w:val="center"/>
              <w:rPr>
                <w:rFonts w:eastAsia="仿宋_GB2312"/>
                <w:color w:val="auto"/>
                <w:szCs w:val="21"/>
                <w:highlight w:val="none"/>
              </w:rPr>
            </w:pPr>
          </w:p>
        </w:tc>
        <w:tc>
          <w:tcPr>
            <w:tcW w:w="401" w:type="pct"/>
            <w:vMerge w:val="continue"/>
            <w:noWrap w:val="0"/>
            <w:vAlign w:val="center"/>
          </w:tcPr>
          <w:p w14:paraId="33FA923D">
            <w:pPr>
              <w:spacing w:line="300" w:lineRule="exact"/>
              <w:jc w:val="center"/>
              <w:rPr>
                <w:rFonts w:eastAsia="仿宋_GB2312"/>
                <w:color w:val="auto"/>
                <w:szCs w:val="21"/>
                <w:highlight w:val="none"/>
              </w:rPr>
            </w:pPr>
          </w:p>
        </w:tc>
        <w:tc>
          <w:tcPr>
            <w:tcW w:w="670" w:type="pct"/>
            <w:noWrap w:val="0"/>
            <w:vAlign w:val="center"/>
          </w:tcPr>
          <w:p w14:paraId="655327B6">
            <w:pPr>
              <w:spacing w:line="300" w:lineRule="exact"/>
              <w:jc w:val="center"/>
              <w:rPr>
                <w:rFonts w:eastAsia="仿宋_GB2312"/>
                <w:color w:val="auto"/>
                <w:szCs w:val="21"/>
                <w:highlight w:val="none"/>
              </w:rPr>
            </w:pPr>
            <w:r>
              <w:rPr>
                <w:rFonts w:eastAsia="仿宋_GB2312"/>
                <w:color w:val="auto"/>
                <w:szCs w:val="21"/>
                <w:highlight w:val="none"/>
              </w:rPr>
              <w:t>食品工业用酶制剂</w:t>
            </w:r>
          </w:p>
          <w:p w14:paraId="7B2D86C3">
            <w:pPr>
              <w:spacing w:line="300" w:lineRule="exact"/>
              <w:jc w:val="center"/>
              <w:rPr>
                <w:rFonts w:eastAsia="仿宋_GB2312"/>
                <w:color w:val="auto"/>
                <w:szCs w:val="21"/>
                <w:highlight w:val="none"/>
              </w:rPr>
            </w:pPr>
          </w:p>
        </w:tc>
        <w:tc>
          <w:tcPr>
            <w:tcW w:w="284" w:type="pct"/>
            <w:noWrap w:val="0"/>
            <w:vAlign w:val="center"/>
          </w:tcPr>
          <w:p w14:paraId="7ADDE3E9">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6D78D14A">
            <w:pPr>
              <w:spacing w:line="300" w:lineRule="exact"/>
              <w:jc w:val="left"/>
              <w:rPr>
                <w:rFonts w:eastAsia="仿宋_GB2312"/>
                <w:color w:val="auto"/>
                <w:szCs w:val="21"/>
                <w:highlight w:val="none"/>
              </w:rPr>
            </w:pPr>
            <w:r>
              <w:rPr>
                <w:rFonts w:eastAsia="仿宋_GB2312"/>
                <w:color w:val="auto"/>
                <w:szCs w:val="21"/>
                <w:highlight w:val="none"/>
              </w:rPr>
              <w:t>菌落总数、大肠菌群、大肠埃希氏菌、沙门氏菌、抗菌活性</w:t>
            </w:r>
          </w:p>
        </w:tc>
        <w:tc>
          <w:tcPr>
            <w:tcW w:w="1186" w:type="pct"/>
            <w:noWrap w:val="0"/>
            <w:vAlign w:val="center"/>
          </w:tcPr>
          <w:p w14:paraId="2D2FFAC0">
            <w:pPr>
              <w:spacing w:line="300" w:lineRule="exact"/>
              <w:jc w:val="left"/>
              <w:rPr>
                <w:rFonts w:eastAsia="仿宋_GB2312"/>
                <w:color w:val="auto"/>
                <w:szCs w:val="21"/>
                <w:highlight w:val="none"/>
              </w:rPr>
            </w:pPr>
            <w:r>
              <w:rPr>
                <w:rFonts w:eastAsia="仿宋_GB2312"/>
                <w:color w:val="auto"/>
                <w:szCs w:val="21"/>
                <w:highlight w:val="none"/>
              </w:rPr>
              <w:t>铅(Pb)、总砷(以As计)</w:t>
            </w:r>
          </w:p>
        </w:tc>
      </w:tr>
      <w:tr w14:paraId="02AC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vMerge w:val="continue"/>
            <w:noWrap w:val="0"/>
            <w:vAlign w:val="center"/>
          </w:tcPr>
          <w:p w14:paraId="39ADD2FC">
            <w:pPr>
              <w:spacing w:line="300" w:lineRule="exact"/>
              <w:jc w:val="center"/>
              <w:rPr>
                <w:rFonts w:eastAsia="仿宋_GB2312"/>
                <w:color w:val="auto"/>
                <w:szCs w:val="21"/>
                <w:highlight w:val="none"/>
              </w:rPr>
            </w:pPr>
          </w:p>
        </w:tc>
        <w:tc>
          <w:tcPr>
            <w:tcW w:w="367" w:type="pct"/>
            <w:vMerge w:val="continue"/>
            <w:noWrap w:val="0"/>
            <w:vAlign w:val="center"/>
          </w:tcPr>
          <w:p w14:paraId="75CE95FD">
            <w:pPr>
              <w:spacing w:line="300" w:lineRule="exact"/>
              <w:jc w:val="center"/>
              <w:rPr>
                <w:rFonts w:eastAsia="仿宋_GB2312"/>
                <w:color w:val="auto"/>
                <w:szCs w:val="21"/>
                <w:highlight w:val="none"/>
              </w:rPr>
            </w:pPr>
          </w:p>
        </w:tc>
        <w:tc>
          <w:tcPr>
            <w:tcW w:w="368" w:type="pct"/>
            <w:vMerge w:val="continue"/>
            <w:noWrap w:val="0"/>
            <w:vAlign w:val="center"/>
          </w:tcPr>
          <w:p w14:paraId="514EDB35">
            <w:pPr>
              <w:spacing w:line="300" w:lineRule="exact"/>
              <w:jc w:val="center"/>
              <w:rPr>
                <w:rFonts w:eastAsia="仿宋_GB2312"/>
                <w:color w:val="auto"/>
                <w:szCs w:val="21"/>
                <w:highlight w:val="none"/>
              </w:rPr>
            </w:pPr>
          </w:p>
        </w:tc>
        <w:tc>
          <w:tcPr>
            <w:tcW w:w="401" w:type="pct"/>
            <w:vMerge w:val="continue"/>
            <w:noWrap w:val="0"/>
            <w:vAlign w:val="center"/>
          </w:tcPr>
          <w:p w14:paraId="41FCFEDD">
            <w:pPr>
              <w:spacing w:line="300" w:lineRule="exact"/>
              <w:jc w:val="center"/>
              <w:rPr>
                <w:rFonts w:eastAsia="仿宋_GB2312"/>
                <w:color w:val="auto"/>
                <w:szCs w:val="21"/>
                <w:highlight w:val="none"/>
              </w:rPr>
            </w:pPr>
          </w:p>
        </w:tc>
        <w:tc>
          <w:tcPr>
            <w:tcW w:w="670" w:type="pct"/>
            <w:noWrap w:val="0"/>
            <w:vAlign w:val="center"/>
          </w:tcPr>
          <w:p w14:paraId="4B823BC5">
            <w:pPr>
              <w:spacing w:line="300" w:lineRule="exact"/>
              <w:jc w:val="center"/>
              <w:rPr>
                <w:rFonts w:eastAsia="仿宋_GB2312"/>
                <w:color w:val="auto"/>
                <w:szCs w:val="21"/>
                <w:highlight w:val="none"/>
              </w:rPr>
            </w:pPr>
            <w:r>
              <w:rPr>
                <w:rFonts w:eastAsia="仿宋_GB2312"/>
                <w:color w:val="auto"/>
                <w:szCs w:val="21"/>
                <w:highlight w:val="none"/>
              </w:rPr>
              <w:t>碳酸钙（包括轻质和重质碳酸钙）</w:t>
            </w:r>
          </w:p>
        </w:tc>
        <w:tc>
          <w:tcPr>
            <w:tcW w:w="284" w:type="pct"/>
            <w:noWrap w:val="0"/>
            <w:vAlign w:val="center"/>
          </w:tcPr>
          <w:p w14:paraId="3767CE9C">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553" w:type="pct"/>
            <w:noWrap w:val="0"/>
            <w:vAlign w:val="center"/>
          </w:tcPr>
          <w:p w14:paraId="3573A01C">
            <w:pPr>
              <w:spacing w:line="300" w:lineRule="exact"/>
              <w:jc w:val="left"/>
              <w:rPr>
                <w:rFonts w:eastAsia="仿宋_GB2312"/>
                <w:color w:val="auto"/>
                <w:szCs w:val="21"/>
                <w:highlight w:val="none"/>
              </w:rPr>
            </w:pPr>
            <w:r>
              <w:rPr>
                <w:rFonts w:eastAsia="仿宋_GB2312"/>
                <w:color w:val="auto"/>
                <w:szCs w:val="21"/>
                <w:highlight w:val="none"/>
              </w:rPr>
              <w:t>碳酸钙（CaCO</w:t>
            </w:r>
            <w:r>
              <w:rPr>
                <w:rFonts w:eastAsia="仿宋_GB2312"/>
                <w:color w:val="auto"/>
                <w:szCs w:val="21"/>
                <w:highlight w:val="none"/>
                <w:vertAlign w:val="subscript"/>
              </w:rPr>
              <w:t>3</w:t>
            </w:r>
            <w:r>
              <w:rPr>
                <w:rFonts w:eastAsia="仿宋_GB2312"/>
                <w:color w:val="auto"/>
                <w:szCs w:val="21"/>
                <w:highlight w:val="none"/>
              </w:rPr>
              <w:t>）含量（以干基计）、盐酸不溶物、游离碱、镁和碱金属、干燥减量</w:t>
            </w:r>
          </w:p>
        </w:tc>
        <w:tc>
          <w:tcPr>
            <w:tcW w:w="1186" w:type="pct"/>
            <w:noWrap w:val="0"/>
            <w:vAlign w:val="center"/>
          </w:tcPr>
          <w:p w14:paraId="4A10F60C">
            <w:pPr>
              <w:spacing w:line="300" w:lineRule="exact"/>
              <w:jc w:val="left"/>
              <w:rPr>
                <w:rFonts w:eastAsia="仿宋_GB2312"/>
                <w:color w:val="auto"/>
                <w:szCs w:val="21"/>
                <w:highlight w:val="none"/>
              </w:rPr>
            </w:pPr>
            <w:r>
              <w:rPr>
                <w:rFonts w:eastAsia="仿宋_GB2312"/>
                <w:color w:val="auto"/>
                <w:szCs w:val="21"/>
                <w:highlight w:val="none"/>
              </w:rPr>
              <w:t>/</w:t>
            </w:r>
          </w:p>
        </w:tc>
      </w:tr>
      <w:tr w14:paraId="7E09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 w:type="pct"/>
            <w:noWrap w:val="0"/>
            <w:vAlign w:val="center"/>
          </w:tcPr>
          <w:p w14:paraId="22A7B14B">
            <w:pPr>
              <w:spacing w:line="300" w:lineRule="exact"/>
              <w:jc w:val="center"/>
              <w:rPr>
                <w:rFonts w:eastAsia="仿宋_GB2312"/>
                <w:color w:val="auto"/>
                <w:szCs w:val="21"/>
                <w:highlight w:val="none"/>
              </w:rPr>
            </w:pPr>
            <w:r>
              <w:rPr>
                <w:rFonts w:hint="eastAsia" w:eastAsia="仿宋_GB2312"/>
                <w:color w:val="auto"/>
                <w:szCs w:val="21"/>
                <w:highlight w:val="none"/>
              </w:rPr>
              <w:t>30</w:t>
            </w:r>
          </w:p>
        </w:tc>
        <w:tc>
          <w:tcPr>
            <w:tcW w:w="367" w:type="pct"/>
            <w:noWrap w:val="0"/>
            <w:vAlign w:val="center"/>
          </w:tcPr>
          <w:p w14:paraId="29406682">
            <w:pPr>
              <w:spacing w:line="300" w:lineRule="exact"/>
              <w:jc w:val="center"/>
              <w:rPr>
                <w:rFonts w:eastAsia="仿宋_GB2312"/>
                <w:color w:val="auto"/>
                <w:szCs w:val="21"/>
                <w:highlight w:val="none"/>
              </w:rPr>
            </w:pPr>
            <w:r>
              <w:rPr>
                <w:rFonts w:eastAsia="仿宋_GB2312"/>
                <w:color w:val="auto"/>
                <w:spacing w:val="5"/>
                <w:szCs w:val="21"/>
                <w:highlight w:val="none"/>
              </w:rPr>
              <w:t>其他食品</w:t>
            </w:r>
          </w:p>
        </w:tc>
        <w:tc>
          <w:tcPr>
            <w:tcW w:w="368" w:type="pct"/>
            <w:noWrap w:val="0"/>
            <w:vAlign w:val="center"/>
          </w:tcPr>
          <w:p w14:paraId="0E1849FD">
            <w:pPr>
              <w:spacing w:line="300" w:lineRule="exact"/>
              <w:jc w:val="center"/>
              <w:rPr>
                <w:rFonts w:eastAsia="仿宋_GB2312"/>
                <w:color w:val="auto"/>
                <w:szCs w:val="21"/>
                <w:highlight w:val="none"/>
              </w:rPr>
            </w:pPr>
            <w:r>
              <w:rPr>
                <w:rFonts w:eastAsia="仿宋_GB2312"/>
                <w:color w:val="auto"/>
                <w:spacing w:val="5"/>
                <w:szCs w:val="21"/>
                <w:highlight w:val="none"/>
              </w:rPr>
              <w:t>其他食品</w:t>
            </w:r>
          </w:p>
        </w:tc>
        <w:tc>
          <w:tcPr>
            <w:tcW w:w="401" w:type="pct"/>
            <w:noWrap w:val="0"/>
            <w:vAlign w:val="center"/>
          </w:tcPr>
          <w:p w14:paraId="5C9A7033">
            <w:pPr>
              <w:spacing w:line="300" w:lineRule="exact"/>
              <w:jc w:val="center"/>
              <w:rPr>
                <w:rFonts w:eastAsia="仿宋_GB2312"/>
                <w:color w:val="auto"/>
                <w:szCs w:val="21"/>
                <w:highlight w:val="none"/>
              </w:rPr>
            </w:pPr>
            <w:r>
              <w:rPr>
                <w:rFonts w:eastAsia="仿宋_GB2312"/>
                <w:color w:val="auto"/>
                <w:spacing w:val="5"/>
                <w:szCs w:val="21"/>
                <w:highlight w:val="none"/>
              </w:rPr>
              <w:t>其他食品</w:t>
            </w:r>
          </w:p>
        </w:tc>
        <w:tc>
          <w:tcPr>
            <w:tcW w:w="670" w:type="pct"/>
            <w:noWrap w:val="0"/>
            <w:vAlign w:val="center"/>
          </w:tcPr>
          <w:p w14:paraId="487DDAD1">
            <w:pPr>
              <w:spacing w:line="300" w:lineRule="exact"/>
              <w:jc w:val="center"/>
              <w:rPr>
                <w:rFonts w:eastAsia="仿宋_GB2312"/>
                <w:color w:val="auto"/>
                <w:szCs w:val="21"/>
                <w:highlight w:val="none"/>
              </w:rPr>
            </w:pPr>
            <w:r>
              <w:rPr>
                <w:rFonts w:eastAsia="仿宋_GB2312"/>
                <w:color w:val="auto"/>
                <w:spacing w:val="5"/>
                <w:szCs w:val="21"/>
                <w:highlight w:val="none"/>
              </w:rPr>
              <w:t>螺蛳粉、老友粉、桂林米粉等地方特色粉类</w:t>
            </w:r>
          </w:p>
        </w:tc>
        <w:tc>
          <w:tcPr>
            <w:tcW w:w="284" w:type="pct"/>
            <w:noWrap w:val="0"/>
            <w:vAlign w:val="center"/>
          </w:tcPr>
          <w:p w14:paraId="5EBCAFC1">
            <w:pPr>
              <w:spacing w:line="300" w:lineRule="exact"/>
              <w:jc w:val="center"/>
              <w:rPr>
                <w:rFonts w:eastAsia="仿宋_GB2312"/>
                <w:color w:val="auto"/>
                <w:szCs w:val="21"/>
                <w:highlight w:val="none"/>
              </w:rPr>
            </w:pPr>
            <w:r>
              <w:rPr>
                <w:rFonts w:eastAsia="仿宋_GB2312"/>
                <w:color w:val="auto"/>
                <w:spacing w:val="5"/>
                <w:szCs w:val="21"/>
                <w:highlight w:val="none"/>
              </w:rPr>
              <w:t>较高</w:t>
            </w:r>
          </w:p>
        </w:tc>
        <w:tc>
          <w:tcPr>
            <w:tcW w:w="1553" w:type="pct"/>
            <w:noWrap w:val="0"/>
            <w:vAlign w:val="center"/>
          </w:tcPr>
          <w:p w14:paraId="48A40500">
            <w:pPr>
              <w:spacing w:line="300" w:lineRule="exact"/>
              <w:jc w:val="left"/>
              <w:rPr>
                <w:rFonts w:eastAsia="仿宋_GB2312"/>
                <w:color w:val="auto"/>
                <w:szCs w:val="21"/>
                <w:highlight w:val="none"/>
              </w:rPr>
            </w:pPr>
            <w:r>
              <w:rPr>
                <w:rFonts w:eastAsia="仿宋_GB2312"/>
                <w:color w:val="auto"/>
                <w:spacing w:val="5"/>
                <w:szCs w:val="21"/>
                <w:highlight w:val="none"/>
              </w:rPr>
              <w:t>过氧化值(以脂肪计)、苯甲酸及其钠盐（以苯甲酸计）、山梨酸及其钾盐（以山梨酸计）、脱氢乙酸及其钠盐(以脱氢乙酸计)、霉菌、菌落总数</w:t>
            </w:r>
          </w:p>
        </w:tc>
        <w:tc>
          <w:tcPr>
            <w:tcW w:w="1186" w:type="pct"/>
            <w:noWrap w:val="0"/>
            <w:vAlign w:val="center"/>
          </w:tcPr>
          <w:p w14:paraId="50DD2501">
            <w:pPr>
              <w:spacing w:line="300" w:lineRule="exact"/>
              <w:jc w:val="left"/>
              <w:rPr>
                <w:rFonts w:eastAsia="仿宋_GB2312"/>
                <w:color w:val="auto"/>
                <w:szCs w:val="21"/>
                <w:highlight w:val="none"/>
              </w:rPr>
            </w:pPr>
            <w:r>
              <w:rPr>
                <w:rFonts w:eastAsia="仿宋_GB2312"/>
                <w:color w:val="auto"/>
                <w:spacing w:val="5"/>
                <w:szCs w:val="21"/>
                <w:highlight w:val="none"/>
              </w:rPr>
              <w:t>大肠菌群、黄曲霉毒素B</w:t>
            </w:r>
            <w:r>
              <w:rPr>
                <w:rFonts w:eastAsia="仿宋_GB2312"/>
                <w:color w:val="auto"/>
                <w:spacing w:val="5"/>
                <w:szCs w:val="21"/>
                <w:highlight w:val="none"/>
                <w:vertAlign w:val="subscript"/>
              </w:rPr>
              <w:t>1</w:t>
            </w:r>
          </w:p>
        </w:tc>
      </w:tr>
      <w:tr w14:paraId="3E0E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47719638">
            <w:pPr>
              <w:spacing w:line="300" w:lineRule="exact"/>
              <w:jc w:val="left"/>
              <w:rPr>
                <w:rFonts w:eastAsia="仿宋_GB2312"/>
                <w:color w:val="auto"/>
                <w:spacing w:val="5"/>
                <w:szCs w:val="21"/>
                <w:highlight w:val="none"/>
              </w:rPr>
            </w:pPr>
            <w:r>
              <w:rPr>
                <w:rFonts w:hint="eastAsia" w:ascii="仿宋_GB2312" w:hAnsi="仿宋_GB2312" w:eastAsia="仿宋_GB2312" w:cs="仿宋_GB2312"/>
                <w:b/>
                <w:bCs/>
                <w:color w:val="auto"/>
                <w:kern w:val="1"/>
                <w:szCs w:val="21"/>
                <w:highlight w:val="none"/>
              </w:rPr>
              <w:t>注：延伸项目不做强制检验要求，各级市场监管部门可根据监管需要自行选取延伸检验项目检验。</w:t>
            </w:r>
          </w:p>
        </w:tc>
      </w:tr>
    </w:tbl>
    <w:p w14:paraId="1A20B37D">
      <w:pPr>
        <w:rPr>
          <w:rFonts w:eastAsia="黑体"/>
          <w:color w:val="auto"/>
          <w:kern w:val="1"/>
          <w:sz w:val="32"/>
          <w:szCs w:val="32"/>
          <w:highlight w:val="none"/>
        </w:rPr>
      </w:pPr>
    </w:p>
    <w:p w14:paraId="6AB6BF33">
      <w:pPr>
        <w:rPr>
          <w:rFonts w:eastAsia="黑体"/>
          <w:color w:val="auto"/>
          <w:kern w:val="1"/>
          <w:sz w:val="32"/>
          <w:szCs w:val="32"/>
          <w:highlight w:val="none"/>
        </w:rPr>
      </w:pPr>
    </w:p>
    <w:p w14:paraId="585AAE7E">
      <w:pPr>
        <w:rPr>
          <w:rFonts w:eastAsia="黑体"/>
          <w:color w:val="auto"/>
          <w:kern w:val="1"/>
          <w:sz w:val="32"/>
          <w:szCs w:val="32"/>
          <w:highlight w:val="none"/>
        </w:rPr>
      </w:pPr>
    </w:p>
    <w:p w14:paraId="24D3A99E">
      <w:pPr>
        <w:rPr>
          <w:rFonts w:eastAsia="黑体"/>
          <w:color w:val="auto"/>
          <w:kern w:val="1"/>
          <w:sz w:val="32"/>
          <w:szCs w:val="32"/>
          <w:highlight w:val="none"/>
        </w:rPr>
      </w:pPr>
    </w:p>
    <w:p w14:paraId="220E7183">
      <w:pPr>
        <w:rPr>
          <w:rFonts w:eastAsia="黑体"/>
          <w:color w:val="auto"/>
          <w:kern w:val="1"/>
          <w:sz w:val="32"/>
          <w:szCs w:val="32"/>
          <w:highlight w:val="none"/>
        </w:rPr>
      </w:pPr>
    </w:p>
    <w:p w14:paraId="7D105375">
      <w:pPr>
        <w:jc w:val="center"/>
        <w:rPr>
          <w:rFonts w:hint="eastAsia" w:eastAsia="方正小标宋简体"/>
          <w:color w:val="auto"/>
          <w:sz w:val="44"/>
          <w:szCs w:val="44"/>
          <w:highlight w:val="none"/>
        </w:rPr>
      </w:pPr>
      <w:r>
        <w:rPr>
          <w:rFonts w:eastAsia="黑体"/>
          <w:color w:val="auto"/>
          <w:kern w:val="1"/>
          <w:sz w:val="32"/>
          <w:szCs w:val="32"/>
          <w:highlight w:val="none"/>
        </w:rPr>
        <w:br w:type="page"/>
      </w:r>
      <w:r>
        <w:rPr>
          <w:rFonts w:hint="eastAsia" w:eastAsia="方正小标宋简体"/>
          <w:color w:val="auto"/>
          <w:sz w:val="44"/>
          <w:szCs w:val="44"/>
          <w:highlight w:val="none"/>
        </w:rPr>
        <w:t>附件2：2026年自治区转移支付各市食用农产品抽检品种及项目表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18"/>
        <w:gridCol w:w="1019"/>
        <w:gridCol w:w="1240"/>
        <w:gridCol w:w="1719"/>
        <w:gridCol w:w="790"/>
        <w:gridCol w:w="4969"/>
        <w:gridCol w:w="2986"/>
      </w:tblGrid>
      <w:tr w14:paraId="0B98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8" w:type="pct"/>
            <w:noWrap w:val="0"/>
            <w:vAlign w:val="center"/>
          </w:tcPr>
          <w:p w14:paraId="0A46F4D1">
            <w:pPr>
              <w:spacing w:line="300" w:lineRule="exact"/>
              <w:jc w:val="center"/>
              <w:rPr>
                <w:rFonts w:eastAsia="仿宋_GB2312"/>
                <w:color w:val="auto"/>
                <w:kern w:val="0"/>
                <w:szCs w:val="21"/>
                <w:highlight w:val="none"/>
              </w:rPr>
            </w:pPr>
            <w:r>
              <w:rPr>
                <w:rFonts w:eastAsia="仿宋_GB2312"/>
                <w:b/>
                <w:bCs/>
                <w:color w:val="auto"/>
                <w:szCs w:val="21"/>
                <w:highlight w:val="none"/>
              </w:rPr>
              <w:t>序号</w:t>
            </w:r>
          </w:p>
        </w:tc>
        <w:tc>
          <w:tcPr>
            <w:tcW w:w="360" w:type="pct"/>
            <w:noWrap w:val="0"/>
            <w:vAlign w:val="center"/>
          </w:tcPr>
          <w:p w14:paraId="0821A116">
            <w:pPr>
              <w:spacing w:line="300" w:lineRule="exact"/>
              <w:jc w:val="center"/>
              <w:rPr>
                <w:rFonts w:eastAsia="仿宋_GB2312"/>
                <w:color w:val="auto"/>
                <w:kern w:val="0"/>
                <w:szCs w:val="21"/>
                <w:highlight w:val="none"/>
              </w:rPr>
            </w:pPr>
            <w:r>
              <w:rPr>
                <w:rFonts w:eastAsia="仿宋_GB2312"/>
                <w:b/>
                <w:bCs/>
                <w:color w:val="auto"/>
                <w:szCs w:val="21"/>
                <w:highlight w:val="none"/>
              </w:rPr>
              <w:t>食品大类（一级）</w:t>
            </w:r>
          </w:p>
        </w:tc>
        <w:tc>
          <w:tcPr>
            <w:tcW w:w="360" w:type="pct"/>
            <w:noWrap w:val="0"/>
            <w:vAlign w:val="center"/>
          </w:tcPr>
          <w:p w14:paraId="60434D4D">
            <w:pPr>
              <w:spacing w:line="300" w:lineRule="exact"/>
              <w:jc w:val="center"/>
              <w:rPr>
                <w:rFonts w:eastAsia="仿宋_GB2312"/>
                <w:color w:val="auto"/>
                <w:kern w:val="0"/>
                <w:szCs w:val="21"/>
                <w:highlight w:val="none"/>
              </w:rPr>
            </w:pPr>
            <w:r>
              <w:rPr>
                <w:rFonts w:eastAsia="仿宋_GB2312"/>
                <w:b/>
                <w:bCs/>
                <w:color w:val="auto"/>
                <w:szCs w:val="21"/>
                <w:highlight w:val="none"/>
              </w:rPr>
              <w:t>食品亚类（二级）</w:t>
            </w:r>
          </w:p>
        </w:tc>
        <w:tc>
          <w:tcPr>
            <w:tcW w:w="438" w:type="pct"/>
            <w:noWrap w:val="0"/>
            <w:vAlign w:val="center"/>
          </w:tcPr>
          <w:p w14:paraId="2C325544">
            <w:pPr>
              <w:spacing w:line="300" w:lineRule="exact"/>
              <w:jc w:val="center"/>
              <w:rPr>
                <w:rFonts w:eastAsia="仿宋_GB2312"/>
                <w:color w:val="auto"/>
                <w:kern w:val="0"/>
                <w:szCs w:val="21"/>
                <w:highlight w:val="none"/>
              </w:rPr>
            </w:pPr>
            <w:r>
              <w:rPr>
                <w:rFonts w:eastAsia="仿宋_GB2312"/>
                <w:b/>
                <w:bCs/>
                <w:color w:val="auto"/>
                <w:szCs w:val="21"/>
                <w:highlight w:val="none"/>
              </w:rPr>
              <w:t>食品品种（三级）</w:t>
            </w:r>
          </w:p>
        </w:tc>
        <w:tc>
          <w:tcPr>
            <w:tcW w:w="607" w:type="pct"/>
            <w:noWrap w:val="0"/>
            <w:vAlign w:val="center"/>
          </w:tcPr>
          <w:p w14:paraId="6755D160">
            <w:pPr>
              <w:spacing w:line="300" w:lineRule="exact"/>
              <w:jc w:val="center"/>
              <w:rPr>
                <w:rFonts w:eastAsia="仿宋_GB2312"/>
                <w:color w:val="auto"/>
                <w:kern w:val="0"/>
                <w:szCs w:val="21"/>
                <w:highlight w:val="none"/>
              </w:rPr>
            </w:pPr>
            <w:r>
              <w:rPr>
                <w:rFonts w:eastAsia="仿宋_GB2312"/>
                <w:b/>
                <w:bCs/>
                <w:color w:val="auto"/>
                <w:szCs w:val="21"/>
                <w:highlight w:val="none"/>
              </w:rPr>
              <w:t>食品细类（四级）</w:t>
            </w:r>
          </w:p>
        </w:tc>
        <w:tc>
          <w:tcPr>
            <w:tcW w:w="279" w:type="pct"/>
            <w:noWrap w:val="0"/>
            <w:vAlign w:val="center"/>
          </w:tcPr>
          <w:p w14:paraId="15783D15">
            <w:pPr>
              <w:spacing w:line="300" w:lineRule="exact"/>
              <w:jc w:val="center"/>
              <w:rPr>
                <w:rFonts w:eastAsia="仿宋_GB2312"/>
                <w:color w:val="auto"/>
                <w:kern w:val="0"/>
                <w:szCs w:val="21"/>
                <w:highlight w:val="none"/>
              </w:rPr>
            </w:pPr>
            <w:r>
              <w:rPr>
                <w:rFonts w:eastAsia="仿宋_GB2312"/>
                <w:b/>
                <w:bCs/>
                <w:color w:val="auto"/>
                <w:szCs w:val="21"/>
                <w:highlight w:val="none"/>
              </w:rPr>
              <w:t>风险等级</w:t>
            </w:r>
          </w:p>
        </w:tc>
        <w:tc>
          <w:tcPr>
            <w:tcW w:w="1754" w:type="pct"/>
            <w:noWrap w:val="0"/>
            <w:vAlign w:val="center"/>
          </w:tcPr>
          <w:p w14:paraId="5AC24969">
            <w:pPr>
              <w:spacing w:line="300" w:lineRule="exact"/>
              <w:jc w:val="center"/>
              <w:rPr>
                <w:rFonts w:eastAsia="仿宋_GB2312"/>
                <w:b/>
                <w:bCs/>
                <w:color w:val="auto"/>
                <w:szCs w:val="21"/>
                <w:highlight w:val="none"/>
              </w:rPr>
            </w:pPr>
            <w:r>
              <w:rPr>
                <w:rFonts w:eastAsia="仿宋_GB2312"/>
                <w:b/>
                <w:bCs/>
                <w:color w:val="auto"/>
                <w:szCs w:val="21"/>
                <w:highlight w:val="none"/>
              </w:rPr>
              <w:t>必检项目</w:t>
            </w:r>
          </w:p>
        </w:tc>
        <w:tc>
          <w:tcPr>
            <w:tcW w:w="1051" w:type="pct"/>
            <w:noWrap w:val="0"/>
            <w:vAlign w:val="center"/>
          </w:tcPr>
          <w:p w14:paraId="5EF38AC4">
            <w:pPr>
              <w:spacing w:line="300" w:lineRule="exact"/>
              <w:jc w:val="center"/>
              <w:rPr>
                <w:rFonts w:eastAsia="仿宋_GB2312"/>
                <w:b/>
                <w:bCs/>
                <w:color w:val="auto"/>
                <w:szCs w:val="21"/>
                <w:highlight w:val="none"/>
              </w:rPr>
            </w:pPr>
            <w:r>
              <w:rPr>
                <w:rFonts w:eastAsia="仿宋_GB2312"/>
                <w:b/>
                <w:bCs/>
                <w:color w:val="auto"/>
                <w:szCs w:val="21"/>
                <w:highlight w:val="none"/>
              </w:rPr>
              <w:t>选检项目</w:t>
            </w:r>
          </w:p>
        </w:tc>
      </w:tr>
      <w:tr w14:paraId="7AE5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noWrap w:val="0"/>
            <w:vAlign w:val="center"/>
          </w:tcPr>
          <w:p w14:paraId="1A8163B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1</w:t>
            </w:r>
          </w:p>
        </w:tc>
        <w:tc>
          <w:tcPr>
            <w:tcW w:w="360" w:type="pct"/>
            <w:vMerge w:val="restart"/>
            <w:noWrap w:val="0"/>
            <w:vAlign w:val="center"/>
          </w:tcPr>
          <w:p w14:paraId="0222465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畜禽肉及副产品</w:t>
            </w:r>
          </w:p>
        </w:tc>
        <w:tc>
          <w:tcPr>
            <w:tcW w:w="360" w:type="pct"/>
            <w:vMerge w:val="restart"/>
            <w:noWrap w:val="0"/>
            <w:vAlign w:val="center"/>
          </w:tcPr>
          <w:p w14:paraId="37AC66A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畜禽肉及副产品</w:t>
            </w:r>
          </w:p>
        </w:tc>
        <w:tc>
          <w:tcPr>
            <w:tcW w:w="438" w:type="pct"/>
            <w:vMerge w:val="restart"/>
            <w:noWrap w:val="0"/>
            <w:vAlign w:val="center"/>
          </w:tcPr>
          <w:p w14:paraId="712F1C7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畜肉</w:t>
            </w:r>
          </w:p>
        </w:tc>
        <w:tc>
          <w:tcPr>
            <w:tcW w:w="607" w:type="pct"/>
            <w:noWrap w:val="0"/>
            <w:vAlign w:val="center"/>
          </w:tcPr>
          <w:p w14:paraId="4526C9FC">
            <w:pPr>
              <w:widowControl/>
              <w:spacing w:line="300" w:lineRule="exact"/>
              <w:jc w:val="center"/>
              <w:rPr>
                <w:rFonts w:hint="eastAsia" w:eastAsia="仿宋_GB2312"/>
                <w:color w:val="auto"/>
                <w:kern w:val="0"/>
                <w:szCs w:val="21"/>
                <w:highlight w:val="none"/>
              </w:rPr>
            </w:pPr>
            <w:r>
              <w:rPr>
                <w:rFonts w:eastAsia="仿宋_GB2312"/>
                <w:color w:val="auto"/>
                <w:kern w:val="0"/>
                <w:szCs w:val="21"/>
                <w:highlight w:val="none"/>
              </w:rPr>
              <w:t>猪肉</w:t>
            </w:r>
            <w:r>
              <w:rPr>
                <w:rFonts w:hint="eastAsia" w:eastAsia="仿宋_GB2312"/>
                <w:color w:val="auto"/>
                <w:kern w:val="0"/>
                <w:szCs w:val="21"/>
                <w:highlight w:val="none"/>
              </w:rPr>
              <w:t>*</w:t>
            </w:r>
          </w:p>
        </w:tc>
        <w:tc>
          <w:tcPr>
            <w:tcW w:w="279" w:type="pct"/>
            <w:noWrap w:val="0"/>
            <w:vAlign w:val="center"/>
          </w:tcPr>
          <w:p w14:paraId="0A5AF2B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2B100538">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恩诺沙星、氟苯尼考、磺胺类 (总量)、氯霉素、沙丁胺醇、多西环素</w:t>
            </w:r>
          </w:p>
        </w:tc>
        <w:tc>
          <w:tcPr>
            <w:tcW w:w="1051" w:type="pct"/>
            <w:noWrap w:val="0"/>
            <w:vAlign w:val="center"/>
          </w:tcPr>
          <w:p w14:paraId="2A29D0D7">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水分、呋喃唑酮代谢物、呋喃西林代谢物、克伦特罗、莱克多巴胺</w:t>
            </w:r>
          </w:p>
        </w:tc>
      </w:tr>
      <w:tr w14:paraId="4FB4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29E28BA">
            <w:pPr>
              <w:spacing w:line="300" w:lineRule="exact"/>
              <w:jc w:val="center"/>
              <w:rPr>
                <w:rFonts w:eastAsia="仿宋_GB2312"/>
                <w:color w:val="auto"/>
                <w:szCs w:val="21"/>
                <w:highlight w:val="none"/>
              </w:rPr>
            </w:pPr>
          </w:p>
        </w:tc>
        <w:tc>
          <w:tcPr>
            <w:tcW w:w="360" w:type="pct"/>
            <w:vMerge w:val="continue"/>
            <w:noWrap w:val="0"/>
            <w:vAlign w:val="center"/>
          </w:tcPr>
          <w:p w14:paraId="31A57494">
            <w:pPr>
              <w:spacing w:line="300" w:lineRule="exact"/>
              <w:jc w:val="center"/>
              <w:rPr>
                <w:rFonts w:eastAsia="仿宋_GB2312"/>
                <w:color w:val="auto"/>
                <w:szCs w:val="21"/>
                <w:highlight w:val="none"/>
              </w:rPr>
            </w:pPr>
          </w:p>
        </w:tc>
        <w:tc>
          <w:tcPr>
            <w:tcW w:w="360" w:type="pct"/>
            <w:vMerge w:val="continue"/>
            <w:noWrap w:val="0"/>
            <w:vAlign w:val="center"/>
          </w:tcPr>
          <w:p w14:paraId="2CB19DA4">
            <w:pPr>
              <w:spacing w:line="300" w:lineRule="exact"/>
              <w:jc w:val="center"/>
              <w:rPr>
                <w:rFonts w:eastAsia="仿宋_GB2312"/>
                <w:color w:val="auto"/>
                <w:szCs w:val="21"/>
                <w:highlight w:val="none"/>
              </w:rPr>
            </w:pPr>
          </w:p>
        </w:tc>
        <w:tc>
          <w:tcPr>
            <w:tcW w:w="438" w:type="pct"/>
            <w:vMerge w:val="continue"/>
            <w:noWrap w:val="0"/>
            <w:vAlign w:val="center"/>
          </w:tcPr>
          <w:p w14:paraId="4EB769F0">
            <w:pPr>
              <w:spacing w:line="300" w:lineRule="exact"/>
              <w:jc w:val="center"/>
              <w:rPr>
                <w:rFonts w:eastAsia="仿宋_GB2312"/>
                <w:color w:val="auto"/>
                <w:szCs w:val="21"/>
                <w:highlight w:val="none"/>
              </w:rPr>
            </w:pPr>
          </w:p>
        </w:tc>
        <w:tc>
          <w:tcPr>
            <w:tcW w:w="607" w:type="pct"/>
            <w:noWrap w:val="0"/>
            <w:vAlign w:val="center"/>
          </w:tcPr>
          <w:p w14:paraId="120B9C2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牛肉</w:t>
            </w:r>
            <w:r>
              <w:rPr>
                <w:rFonts w:hint="eastAsia" w:eastAsia="仿宋_GB2312"/>
                <w:color w:val="auto"/>
                <w:kern w:val="0"/>
                <w:szCs w:val="21"/>
                <w:highlight w:val="none"/>
              </w:rPr>
              <w:t>*</w:t>
            </w:r>
          </w:p>
        </w:tc>
        <w:tc>
          <w:tcPr>
            <w:tcW w:w="279" w:type="pct"/>
            <w:noWrap w:val="0"/>
            <w:vAlign w:val="center"/>
          </w:tcPr>
          <w:p w14:paraId="4B518C2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492CF89C">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地塞米松、恩诺沙星、磺胺类 (总量)、克伦特罗、氯霉素、氟苯尼考</w:t>
            </w:r>
          </w:p>
        </w:tc>
        <w:tc>
          <w:tcPr>
            <w:tcW w:w="1051" w:type="pct"/>
            <w:noWrap w:val="0"/>
            <w:vAlign w:val="center"/>
          </w:tcPr>
          <w:p w14:paraId="3D952CBC">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水分、倍他米松、氟尼辛、莱克多巴胺、沙丁胺醇</w:t>
            </w:r>
          </w:p>
        </w:tc>
      </w:tr>
      <w:tr w14:paraId="7614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0C2BDC6B">
            <w:pPr>
              <w:spacing w:line="300" w:lineRule="exact"/>
              <w:jc w:val="center"/>
              <w:rPr>
                <w:rFonts w:eastAsia="仿宋_GB2312"/>
                <w:color w:val="auto"/>
                <w:szCs w:val="21"/>
                <w:highlight w:val="none"/>
              </w:rPr>
            </w:pPr>
          </w:p>
        </w:tc>
        <w:tc>
          <w:tcPr>
            <w:tcW w:w="360" w:type="pct"/>
            <w:vMerge w:val="continue"/>
            <w:noWrap w:val="0"/>
            <w:vAlign w:val="center"/>
          </w:tcPr>
          <w:p w14:paraId="176B33BD">
            <w:pPr>
              <w:spacing w:line="300" w:lineRule="exact"/>
              <w:jc w:val="center"/>
              <w:rPr>
                <w:rFonts w:eastAsia="仿宋_GB2312"/>
                <w:color w:val="auto"/>
                <w:szCs w:val="21"/>
                <w:highlight w:val="none"/>
              </w:rPr>
            </w:pPr>
          </w:p>
        </w:tc>
        <w:tc>
          <w:tcPr>
            <w:tcW w:w="360" w:type="pct"/>
            <w:vMerge w:val="continue"/>
            <w:noWrap w:val="0"/>
            <w:vAlign w:val="center"/>
          </w:tcPr>
          <w:p w14:paraId="17E0EB09">
            <w:pPr>
              <w:spacing w:line="300" w:lineRule="exact"/>
              <w:jc w:val="center"/>
              <w:rPr>
                <w:rFonts w:eastAsia="仿宋_GB2312"/>
                <w:color w:val="auto"/>
                <w:szCs w:val="21"/>
                <w:highlight w:val="none"/>
              </w:rPr>
            </w:pPr>
          </w:p>
        </w:tc>
        <w:tc>
          <w:tcPr>
            <w:tcW w:w="438" w:type="pct"/>
            <w:vMerge w:val="continue"/>
            <w:noWrap w:val="0"/>
            <w:vAlign w:val="center"/>
          </w:tcPr>
          <w:p w14:paraId="2474E923">
            <w:pPr>
              <w:spacing w:line="300" w:lineRule="exact"/>
              <w:jc w:val="center"/>
              <w:rPr>
                <w:rFonts w:eastAsia="仿宋_GB2312"/>
                <w:color w:val="auto"/>
                <w:szCs w:val="21"/>
                <w:highlight w:val="none"/>
              </w:rPr>
            </w:pPr>
          </w:p>
        </w:tc>
        <w:tc>
          <w:tcPr>
            <w:tcW w:w="607" w:type="pct"/>
            <w:noWrap w:val="0"/>
            <w:vAlign w:val="center"/>
          </w:tcPr>
          <w:p w14:paraId="54823A0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羊肉</w:t>
            </w:r>
            <w:r>
              <w:rPr>
                <w:rFonts w:hint="eastAsia" w:eastAsia="仿宋_GB2312"/>
                <w:color w:val="auto"/>
                <w:kern w:val="0"/>
                <w:szCs w:val="21"/>
                <w:highlight w:val="none"/>
              </w:rPr>
              <w:t>*</w:t>
            </w:r>
          </w:p>
        </w:tc>
        <w:tc>
          <w:tcPr>
            <w:tcW w:w="279" w:type="pct"/>
            <w:noWrap w:val="0"/>
            <w:vAlign w:val="center"/>
          </w:tcPr>
          <w:p w14:paraId="7F84490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752B63E7">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恩诺沙星、磺胺类 (总量)、克伦特罗、氯霉素</w:t>
            </w:r>
          </w:p>
        </w:tc>
        <w:tc>
          <w:tcPr>
            <w:tcW w:w="1051" w:type="pct"/>
            <w:noWrap w:val="0"/>
            <w:vAlign w:val="center"/>
          </w:tcPr>
          <w:p w14:paraId="24BB0D81">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水分、呋喃唑酮代谢物、呋喃西林代谢物、莱克多巴胺、沙丁胺醇</w:t>
            </w:r>
          </w:p>
        </w:tc>
      </w:tr>
      <w:tr w14:paraId="4276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EF6A5F3">
            <w:pPr>
              <w:spacing w:line="300" w:lineRule="exact"/>
              <w:jc w:val="center"/>
              <w:rPr>
                <w:rFonts w:eastAsia="仿宋_GB2312"/>
                <w:color w:val="auto"/>
                <w:szCs w:val="21"/>
                <w:highlight w:val="none"/>
              </w:rPr>
            </w:pPr>
          </w:p>
        </w:tc>
        <w:tc>
          <w:tcPr>
            <w:tcW w:w="360" w:type="pct"/>
            <w:vMerge w:val="continue"/>
            <w:noWrap w:val="0"/>
            <w:vAlign w:val="center"/>
          </w:tcPr>
          <w:p w14:paraId="61951AC2">
            <w:pPr>
              <w:spacing w:line="300" w:lineRule="exact"/>
              <w:jc w:val="center"/>
              <w:rPr>
                <w:rFonts w:eastAsia="仿宋_GB2312"/>
                <w:color w:val="auto"/>
                <w:szCs w:val="21"/>
                <w:highlight w:val="none"/>
              </w:rPr>
            </w:pPr>
          </w:p>
        </w:tc>
        <w:tc>
          <w:tcPr>
            <w:tcW w:w="360" w:type="pct"/>
            <w:vMerge w:val="continue"/>
            <w:noWrap w:val="0"/>
            <w:vAlign w:val="center"/>
          </w:tcPr>
          <w:p w14:paraId="17EBE5B2">
            <w:pPr>
              <w:spacing w:line="300" w:lineRule="exact"/>
              <w:jc w:val="center"/>
              <w:rPr>
                <w:rFonts w:eastAsia="仿宋_GB2312"/>
                <w:color w:val="auto"/>
                <w:szCs w:val="21"/>
                <w:highlight w:val="none"/>
              </w:rPr>
            </w:pPr>
          </w:p>
        </w:tc>
        <w:tc>
          <w:tcPr>
            <w:tcW w:w="438" w:type="pct"/>
            <w:vMerge w:val="continue"/>
            <w:noWrap w:val="0"/>
            <w:vAlign w:val="center"/>
          </w:tcPr>
          <w:p w14:paraId="761105D3">
            <w:pPr>
              <w:spacing w:line="300" w:lineRule="exact"/>
              <w:jc w:val="center"/>
              <w:rPr>
                <w:rFonts w:eastAsia="仿宋_GB2312"/>
                <w:color w:val="auto"/>
                <w:szCs w:val="21"/>
                <w:highlight w:val="none"/>
              </w:rPr>
            </w:pPr>
          </w:p>
        </w:tc>
        <w:tc>
          <w:tcPr>
            <w:tcW w:w="607" w:type="pct"/>
            <w:noWrap w:val="0"/>
            <w:vAlign w:val="center"/>
          </w:tcPr>
          <w:p w14:paraId="11369DD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其他畜肉</w:t>
            </w:r>
          </w:p>
        </w:tc>
        <w:tc>
          <w:tcPr>
            <w:tcW w:w="279" w:type="pct"/>
            <w:noWrap w:val="0"/>
            <w:vAlign w:val="center"/>
          </w:tcPr>
          <w:p w14:paraId="583C8AB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19BCA52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呋喃唑酮代谢物、氯霉素、克伦特罗、莱克多巴胺、沙丁胺醇、氧氟沙星</w:t>
            </w:r>
          </w:p>
        </w:tc>
        <w:tc>
          <w:tcPr>
            <w:tcW w:w="1051" w:type="pct"/>
            <w:noWrap w:val="0"/>
            <w:vAlign w:val="center"/>
          </w:tcPr>
          <w:p w14:paraId="7E990215">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w:t>
            </w:r>
          </w:p>
        </w:tc>
      </w:tr>
      <w:tr w14:paraId="50AE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6E6F4E3">
            <w:pPr>
              <w:spacing w:line="300" w:lineRule="exact"/>
              <w:jc w:val="center"/>
              <w:rPr>
                <w:rFonts w:eastAsia="仿宋_GB2312"/>
                <w:color w:val="auto"/>
                <w:szCs w:val="21"/>
                <w:highlight w:val="none"/>
              </w:rPr>
            </w:pPr>
          </w:p>
        </w:tc>
        <w:tc>
          <w:tcPr>
            <w:tcW w:w="360" w:type="pct"/>
            <w:vMerge w:val="continue"/>
            <w:noWrap w:val="0"/>
            <w:vAlign w:val="center"/>
          </w:tcPr>
          <w:p w14:paraId="4846864F">
            <w:pPr>
              <w:spacing w:line="300" w:lineRule="exact"/>
              <w:jc w:val="center"/>
              <w:rPr>
                <w:rFonts w:eastAsia="仿宋_GB2312"/>
                <w:color w:val="auto"/>
                <w:szCs w:val="21"/>
                <w:highlight w:val="none"/>
              </w:rPr>
            </w:pPr>
          </w:p>
        </w:tc>
        <w:tc>
          <w:tcPr>
            <w:tcW w:w="360" w:type="pct"/>
            <w:vMerge w:val="continue"/>
            <w:noWrap w:val="0"/>
            <w:vAlign w:val="center"/>
          </w:tcPr>
          <w:p w14:paraId="2631D559">
            <w:pPr>
              <w:spacing w:line="300" w:lineRule="exact"/>
              <w:jc w:val="center"/>
              <w:rPr>
                <w:rFonts w:eastAsia="仿宋_GB2312"/>
                <w:color w:val="auto"/>
                <w:szCs w:val="21"/>
                <w:highlight w:val="none"/>
              </w:rPr>
            </w:pPr>
          </w:p>
        </w:tc>
        <w:tc>
          <w:tcPr>
            <w:tcW w:w="438" w:type="pct"/>
            <w:vMerge w:val="restart"/>
            <w:noWrap w:val="0"/>
            <w:vAlign w:val="center"/>
          </w:tcPr>
          <w:p w14:paraId="78E1C9E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禽肉</w:t>
            </w:r>
          </w:p>
        </w:tc>
        <w:tc>
          <w:tcPr>
            <w:tcW w:w="607" w:type="pct"/>
            <w:noWrap w:val="0"/>
            <w:vAlign w:val="center"/>
          </w:tcPr>
          <w:p w14:paraId="204273B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鸡肉</w:t>
            </w:r>
            <w:r>
              <w:rPr>
                <w:rFonts w:hint="eastAsia" w:eastAsia="仿宋_GB2312"/>
                <w:color w:val="auto"/>
                <w:kern w:val="0"/>
                <w:szCs w:val="21"/>
                <w:highlight w:val="none"/>
              </w:rPr>
              <w:t>*</w:t>
            </w:r>
          </w:p>
        </w:tc>
        <w:tc>
          <w:tcPr>
            <w:tcW w:w="279" w:type="pct"/>
            <w:noWrap w:val="0"/>
            <w:vAlign w:val="center"/>
          </w:tcPr>
          <w:p w14:paraId="662436B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7FA3303A">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多西环素、恩诺沙星、磺胺类 (总量)、甲氧苄啶、氯霉素</w:t>
            </w:r>
          </w:p>
        </w:tc>
        <w:tc>
          <w:tcPr>
            <w:tcW w:w="1051" w:type="pct"/>
            <w:noWrap w:val="0"/>
            <w:vAlign w:val="center"/>
          </w:tcPr>
          <w:p w14:paraId="2375F7CE">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水分、呋喃唑酮代谢物、氧氟沙星、氟苯尼考、尼卡巴嗪</w:t>
            </w:r>
          </w:p>
        </w:tc>
      </w:tr>
      <w:tr w14:paraId="53F4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B486BB7">
            <w:pPr>
              <w:spacing w:line="300" w:lineRule="exact"/>
              <w:jc w:val="center"/>
              <w:rPr>
                <w:rFonts w:eastAsia="仿宋_GB2312"/>
                <w:color w:val="auto"/>
                <w:szCs w:val="21"/>
                <w:highlight w:val="none"/>
              </w:rPr>
            </w:pPr>
          </w:p>
        </w:tc>
        <w:tc>
          <w:tcPr>
            <w:tcW w:w="360" w:type="pct"/>
            <w:vMerge w:val="continue"/>
            <w:noWrap w:val="0"/>
            <w:vAlign w:val="center"/>
          </w:tcPr>
          <w:p w14:paraId="10D276AE">
            <w:pPr>
              <w:spacing w:line="300" w:lineRule="exact"/>
              <w:jc w:val="center"/>
              <w:rPr>
                <w:rFonts w:eastAsia="仿宋_GB2312"/>
                <w:color w:val="auto"/>
                <w:szCs w:val="21"/>
                <w:highlight w:val="none"/>
              </w:rPr>
            </w:pPr>
          </w:p>
        </w:tc>
        <w:tc>
          <w:tcPr>
            <w:tcW w:w="360" w:type="pct"/>
            <w:vMerge w:val="continue"/>
            <w:noWrap w:val="0"/>
            <w:vAlign w:val="center"/>
          </w:tcPr>
          <w:p w14:paraId="35B24C2A">
            <w:pPr>
              <w:spacing w:line="300" w:lineRule="exact"/>
              <w:jc w:val="center"/>
              <w:rPr>
                <w:rFonts w:eastAsia="仿宋_GB2312"/>
                <w:color w:val="auto"/>
                <w:szCs w:val="21"/>
                <w:highlight w:val="none"/>
              </w:rPr>
            </w:pPr>
          </w:p>
        </w:tc>
        <w:tc>
          <w:tcPr>
            <w:tcW w:w="438" w:type="pct"/>
            <w:vMerge w:val="continue"/>
            <w:noWrap w:val="0"/>
            <w:vAlign w:val="center"/>
          </w:tcPr>
          <w:p w14:paraId="4A614F28">
            <w:pPr>
              <w:spacing w:line="300" w:lineRule="exact"/>
              <w:jc w:val="center"/>
              <w:rPr>
                <w:rFonts w:eastAsia="仿宋_GB2312"/>
                <w:color w:val="auto"/>
                <w:szCs w:val="21"/>
                <w:highlight w:val="none"/>
              </w:rPr>
            </w:pPr>
          </w:p>
        </w:tc>
        <w:tc>
          <w:tcPr>
            <w:tcW w:w="607" w:type="pct"/>
            <w:noWrap w:val="0"/>
            <w:vAlign w:val="center"/>
          </w:tcPr>
          <w:p w14:paraId="1B1E6D0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鸭肉</w:t>
            </w:r>
          </w:p>
        </w:tc>
        <w:tc>
          <w:tcPr>
            <w:tcW w:w="279" w:type="pct"/>
            <w:noWrap w:val="0"/>
            <w:vAlign w:val="center"/>
          </w:tcPr>
          <w:p w14:paraId="1C7C92E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6EE8243D">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呋喃唑酮代谢物、呋喃妥因代谢物、氯霉素、恩诺沙星、磺胺类（总量）、多西环素</w:t>
            </w:r>
          </w:p>
        </w:tc>
        <w:tc>
          <w:tcPr>
            <w:tcW w:w="1051" w:type="pct"/>
            <w:noWrap w:val="0"/>
            <w:vAlign w:val="center"/>
          </w:tcPr>
          <w:p w14:paraId="3ADFC3AD">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氧氟沙星、氟苯尼考、甲硝唑、环丙氨嗪</w:t>
            </w:r>
          </w:p>
        </w:tc>
      </w:tr>
      <w:tr w14:paraId="1192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B1AE7A4">
            <w:pPr>
              <w:spacing w:line="300" w:lineRule="exact"/>
              <w:jc w:val="center"/>
              <w:rPr>
                <w:rFonts w:eastAsia="仿宋_GB2312"/>
                <w:color w:val="auto"/>
                <w:szCs w:val="21"/>
                <w:highlight w:val="none"/>
              </w:rPr>
            </w:pPr>
          </w:p>
        </w:tc>
        <w:tc>
          <w:tcPr>
            <w:tcW w:w="360" w:type="pct"/>
            <w:vMerge w:val="continue"/>
            <w:noWrap w:val="0"/>
            <w:vAlign w:val="center"/>
          </w:tcPr>
          <w:p w14:paraId="47956C00">
            <w:pPr>
              <w:spacing w:line="300" w:lineRule="exact"/>
              <w:jc w:val="center"/>
              <w:rPr>
                <w:rFonts w:eastAsia="仿宋_GB2312"/>
                <w:color w:val="auto"/>
                <w:szCs w:val="21"/>
                <w:highlight w:val="none"/>
              </w:rPr>
            </w:pPr>
          </w:p>
        </w:tc>
        <w:tc>
          <w:tcPr>
            <w:tcW w:w="360" w:type="pct"/>
            <w:vMerge w:val="continue"/>
            <w:noWrap w:val="0"/>
            <w:vAlign w:val="center"/>
          </w:tcPr>
          <w:p w14:paraId="74454F6A">
            <w:pPr>
              <w:spacing w:line="300" w:lineRule="exact"/>
              <w:jc w:val="center"/>
              <w:rPr>
                <w:rFonts w:eastAsia="仿宋_GB2312"/>
                <w:color w:val="auto"/>
                <w:szCs w:val="21"/>
                <w:highlight w:val="none"/>
              </w:rPr>
            </w:pPr>
          </w:p>
        </w:tc>
        <w:tc>
          <w:tcPr>
            <w:tcW w:w="438" w:type="pct"/>
            <w:vMerge w:val="continue"/>
            <w:noWrap w:val="0"/>
            <w:vAlign w:val="center"/>
          </w:tcPr>
          <w:p w14:paraId="3F857757">
            <w:pPr>
              <w:spacing w:line="300" w:lineRule="exact"/>
              <w:jc w:val="center"/>
              <w:rPr>
                <w:rFonts w:eastAsia="仿宋_GB2312"/>
                <w:color w:val="auto"/>
                <w:szCs w:val="21"/>
                <w:highlight w:val="none"/>
              </w:rPr>
            </w:pPr>
          </w:p>
        </w:tc>
        <w:tc>
          <w:tcPr>
            <w:tcW w:w="607" w:type="pct"/>
            <w:noWrap w:val="0"/>
            <w:vAlign w:val="center"/>
          </w:tcPr>
          <w:p w14:paraId="1B658A2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其他禽肉</w:t>
            </w:r>
            <w:r>
              <w:rPr>
                <w:rFonts w:hint="eastAsia" w:eastAsia="仿宋_GB2312"/>
                <w:color w:val="auto"/>
                <w:kern w:val="0"/>
                <w:szCs w:val="21"/>
                <w:highlight w:val="none"/>
              </w:rPr>
              <w:t>*</w:t>
            </w:r>
            <w:r>
              <w:rPr>
                <w:rFonts w:eastAsia="仿宋_GB2312"/>
                <w:color w:val="auto"/>
                <w:kern w:val="0"/>
                <w:szCs w:val="21"/>
                <w:highlight w:val="none"/>
              </w:rPr>
              <w:t>（重点品种：鸽肉）</w:t>
            </w:r>
          </w:p>
        </w:tc>
        <w:tc>
          <w:tcPr>
            <w:tcW w:w="279" w:type="pct"/>
            <w:noWrap w:val="0"/>
            <w:vAlign w:val="center"/>
          </w:tcPr>
          <w:p w14:paraId="71C4EEC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372BB9A0">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恩诺沙星、甲硝唑、多西环素</w:t>
            </w:r>
          </w:p>
        </w:tc>
        <w:tc>
          <w:tcPr>
            <w:tcW w:w="1051" w:type="pct"/>
            <w:noWrap w:val="0"/>
            <w:vAlign w:val="center"/>
          </w:tcPr>
          <w:p w14:paraId="5B09F340">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氧氟沙星、培氟沙星、洛美沙星、达氟沙星</w:t>
            </w:r>
          </w:p>
        </w:tc>
      </w:tr>
      <w:tr w14:paraId="599A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6E85212">
            <w:pPr>
              <w:spacing w:line="300" w:lineRule="exact"/>
              <w:jc w:val="center"/>
              <w:rPr>
                <w:rFonts w:eastAsia="仿宋_GB2312"/>
                <w:color w:val="auto"/>
                <w:szCs w:val="21"/>
                <w:highlight w:val="none"/>
              </w:rPr>
            </w:pPr>
          </w:p>
        </w:tc>
        <w:tc>
          <w:tcPr>
            <w:tcW w:w="360" w:type="pct"/>
            <w:vMerge w:val="continue"/>
            <w:noWrap w:val="0"/>
            <w:vAlign w:val="center"/>
          </w:tcPr>
          <w:p w14:paraId="67005AE2">
            <w:pPr>
              <w:spacing w:line="300" w:lineRule="exact"/>
              <w:jc w:val="center"/>
              <w:rPr>
                <w:rFonts w:eastAsia="仿宋_GB2312"/>
                <w:color w:val="auto"/>
                <w:szCs w:val="21"/>
                <w:highlight w:val="none"/>
              </w:rPr>
            </w:pPr>
          </w:p>
        </w:tc>
        <w:tc>
          <w:tcPr>
            <w:tcW w:w="360" w:type="pct"/>
            <w:vMerge w:val="restart"/>
            <w:noWrap w:val="0"/>
            <w:vAlign w:val="center"/>
          </w:tcPr>
          <w:p w14:paraId="40C8143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畜禽肉及副产品</w:t>
            </w:r>
          </w:p>
        </w:tc>
        <w:tc>
          <w:tcPr>
            <w:tcW w:w="438" w:type="pct"/>
            <w:vMerge w:val="restart"/>
            <w:noWrap w:val="0"/>
            <w:vAlign w:val="center"/>
          </w:tcPr>
          <w:p w14:paraId="08007B4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畜副产品</w:t>
            </w:r>
          </w:p>
        </w:tc>
        <w:tc>
          <w:tcPr>
            <w:tcW w:w="607" w:type="pct"/>
            <w:noWrap w:val="0"/>
            <w:vAlign w:val="center"/>
          </w:tcPr>
          <w:p w14:paraId="368E09B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猪肝</w:t>
            </w:r>
            <w:r>
              <w:rPr>
                <w:rFonts w:hint="eastAsia" w:eastAsia="仿宋_GB2312"/>
                <w:color w:val="auto"/>
                <w:kern w:val="0"/>
                <w:szCs w:val="21"/>
                <w:highlight w:val="none"/>
              </w:rPr>
              <w:t>*</w:t>
            </w:r>
          </w:p>
        </w:tc>
        <w:tc>
          <w:tcPr>
            <w:tcW w:w="279" w:type="pct"/>
            <w:noWrap w:val="0"/>
            <w:vAlign w:val="center"/>
          </w:tcPr>
          <w:p w14:paraId="71168B0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21EAFDAD">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恩诺沙星、磺胺类 (总量)、甲氧苄啶</w:t>
            </w:r>
          </w:p>
        </w:tc>
        <w:tc>
          <w:tcPr>
            <w:tcW w:w="1051" w:type="pct"/>
            <w:noWrap w:val="0"/>
            <w:vAlign w:val="center"/>
          </w:tcPr>
          <w:p w14:paraId="7FE1485E">
            <w:pPr>
              <w:widowControl/>
              <w:jc w:val="left"/>
              <w:textAlignment w:val="center"/>
              <w:rPr>
                <w:rFonts w:eastAsia="仿宋_GB2312"/>
                <w:color w:val="auto"/>
                <w:szCs w:val="21"/>
                <w:highlight w:val="none"/>
              </w:rPr>
            </w:pPr>
            <w:r>
              <w:rPr>
                <w:rFonts w:eastAsia="仿宋_GB2312"/>
                <w:color w:val="auto"/>
                <w:kern w:val="0"/>
                <w:szCs w:val="21"/>
                <w:highlight w:val="none"/>
                <w:lang w:bidi="ar"/>
              </w:rPr>
              <w:t>呋喃唑酮代谢物、呋喃西林代谢物、氯霉素、双氯芬酸</w:t>
            </w:r>
          </w:p>
        </w:tc>
      </w:tr>
      <w:tr w14:paraId="62BA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202B12C">
            <w:pPr>
              <w:spacing w:line="300" w:lineRule="exact"/>
              <w:jc w:val="center"/>
              <w:rPr>
                <w:rFonts w:eastAsia="仿宋_GB2312"/>
                <w:color w:val="auto"/>
                <w:szCs w:val="21"/>
                <w:highlight w:val="none"/>
              </w:rPr>
            </w:pPr>
          </w:p>
        </w:tc>
        <w:tc>
          <w:tcPr>
            <w:tcW w:w="360" w:type="pct"/>
            <w:vMerge w:val="continue"/>
            <w:noWrap w:val="0"/>
            <w:vAlign w:val="center"/>
          </w:tcPr>
          <w:p w14:paraId="40EFDAC1">
            <w:pPr>
              <w:spacing w:line="300" w:lineRule="exact"/>
              <w:jc w:val="center"/>
              <w:rPr>
                <w:rFonts w:eastAsia="仿宋_GB2312"/>
                <w:color w:val="auto"/>
                <w:szCs w:val="21"/>
                <w:highlight w:val="none"/>
              </w:rPr>
            </w:pPr>
          </w:p>
        </w:tc>
        <w:tc>
          <w:tcPr>
            <w:tcW w:w="360" w:type="pct"/>
            <w:vMerge w:val="continue"/>
            <w:noWrap w:val="0"/>
            <w:vAlign w:val="center"/>
          </w:tcPr>
          <w:p w14:paraId="786AE8DC">
            <w:pPr>
              <w:spacing w:line="300" w:lineRule="exact"/>
              <w:jc w:val="center"/>
              <w:rPr>
                <w:rFonts w:eastAsia="仿宋_GB2312"/>
                <w:color w:val="auto"/>
                <w:szCs w:val="21"/>
                <w:highlight w:val="none"/>
              </w:rPr>
            </w:pPr>
          </w:p>
        </w:tc>
        <w:tc>
          <w:tcPr>
            <w:tcW w:w="438" w:type="pct"/>
            <w:vMerge w:val="continue"/>
            <w:noWrap w:val="0"/>
            <w:vAlign w:val="center"/>
          </w:tcPr>
          <w:p w14:paraId="1D099AAD">
            <w:pPr>
              <w:spacing w:line="300" w:lineRule="exact"/>
              <w:jc w:val="center"/>
              <w:rPr>
                <w:rFonts w:eastAsia="仿宋_GB2312"/>
                <w:color w:val="auto"/>
                <w:szCs w:val="21"/>
                <w:highlight w:val="none"/>
              </w:rPr>
            </w:pPr>
          </w:p>
        </w:tc>
        <w:tc>
          <w:tcPr>
            <w:tcW w:w="607" w:type="pct"/>
            <w:noWrap w:val="0"/>
            <w:vAlign w:val="center"/>
          </w:tcPr>
          <w:p w14:paraId="7FD8A236">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牛肝</w:t>
            </w:r>
          </w:p>
        </w:tc>
        <w:tc>
          <w:tcPr>
            <w:tcW w:w="279" w:type="pct"/>
            <w:noWrap w:val="0"/>
            <w:vAlign w:val="center"/>
          </w:tcPr>
          <w:p w14:paraId="68A0FAC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4729A63C">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克伦特罗、莱克多巴胺、沙丁胺醇</w:t>
            </w:r>
          </w:p>
        </w:tc>
        <w:tc>
          <w:tcPr>
            <w:tcW w:w="1051" w:type="pct"/>
            <w:noWrap w:val="0"/>
            <w:vAlign w:val="center"/>
          </w:tcPr>
          <w:p w14:paraId="69F489B9">
            <w:pPr>
              <w:jc w:val="left"/>
              <w:rPr>
                <w:rFonts w:eastAsia="仿宋_GB2312"/>
                <w:color w:val="auto"/>
                <w:kern w:val="0"/>
                <w:szCs w:val="21"/>
                <w:highlight w:val="none"/>
              </w:rPr>
            </w:pPr>
            <w:r>
              <w:rPr>
                <w:rFonts w:eastAsia="仿宋_GB2312"/>
                <w:color w:val="auto"/>
                <w:kern w:val="0"/>
                <w:szCs w:val="21"/>
                <w:highlight w:val="none"/>
              </w:rPr>
              <w:t>/</w:t>
            </w:r>
          </w:p>
        </w:tc>
      </w:tr>
      <w:tr w14:paraId="6AEB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6773415">
            <w:pPr>
              <w:spacing w:line="300" w:lineRule="exact"/>
              <w:jc w:val="center"/>
              <w:rPr>
                <w:rFonts w:eastAsia="仿宋_GB2312"/>
                <w:color w:val="auto"/>
                <w:szCs w:val="21"/>
                <w:highlight w:val="none"/>
              </w:rPr>
            </w:pPr>
          </w:p>
        </w:tc>
        <w:tc>
          <w:tcPr>
            <w:tcW w:w="360" w:type="pct"/>
            <w:vMerge w:val="continue"/>
            <w:noWrap w:val="0"/>
            <w:vAlign w:val="center"/>
          </w:tcPr>
          <w:p w14:paraId="0C7AA270">
            <w:pPr>
              <w:spacing w:line="300" w:lineRule="exact"/>
              <w:jc w:val="center"/>
              <w:rPr>
                <w:rFonts w:eastAsia="仿宋_GB2312"/>
                <w:color w:val="auto"/>
                <w:szCs w:val="21"/>
                <w:highlight w:val="none"/>
              </w:rPr>
            </w:pPr>
          </w:p>
        </w:tc>
        <w:tc>
          <w:tcPr>
            <w:tcW w:w="360" w:type="pct"/>
            <w:vMerge w:val="continue"/>
            <w:noWrap w:val="0"/>
            <w:vAlign w:val="center"/>
          </w:tcPr>
          <w:p w14:paraId="7713AF33">
            <w:pPr>
              <w:spacing w:line="300" w:lineRule="exact"/>
              <w:jc w:val="center"/>
              <w:rPr>
                <w:rFonts w:eastAsia="仿宋_GB2312"/>
                <w:color w:val="auto"/>
                <w:szCs w:val="21"/>
                <w:highlight w:val="none"/>
              </w:rPr>
            </w:pPr>
          </w:p>
        </w:tc>
        <w:tc>
          <w:tcPr>
            <w:tcW w:w="438" w:type="pct"/>
            <w:vMerge w:val="continue"/>
            <w:noWrap w:val="0"/>
            <w:vAlign w:val="center"/>
          </w:tcPr>
          <w:p w14:paraId="475190B3">
            <w:pPr>
              <w:spacing w:line="300" w:lineRule="exact"/>
              <w:jc w:val="center"/>
              <w:rPr>
                <w:rFonts w:eastAsia="仿宋_GB2312"/>
                <w:color w:val="auto"/>
                <w:szCs w:val="21"/>
                <w:highlight w:val="none"/>
              </w:rPr>
            </w:pPr>
          </w:p>
        </w:tc>
        <w:tc>
          <w:tcPr>
            <w:tcW w:w="607" w:type="pct"/>
            <w:noWrap w:val="0"/>
            <w:vAlign w:val="center"/>
          </w:tcPr>
          <w:p w14:paraId="3E4ECBF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羊肝</w:t>
            </w:r>
          </w:p>
        </w:tc>
        <w:tc>
          <w:tcPr>
            <w:tcW w:w="279" w:type="pct"/>
            <w:noWrap w:val="0"/>
            <w:vAlign w:val="center"/>
          </w:tcPr>
          <w:p w14:paraId="3AB2457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5B0A4755">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克伦特罗、莱克多巴胺、沙丁胺醇</w:t>
            </w:r>
          </w:p>
        </w:tc>
        <w:tc>
          <w:tcPr>
            <w:tcW w:w="1051" w:type="pct"/>
            <w:noWrap w:val="0"/>
            <w:vAlign w:val="center"/>
          </w:tcPr>
          <w:p w14:paraId="37E2EB80">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环丙氨嗪</w:t>
            </w:r>
          </w:p>
        </w:tc>
      </w:tr>
      <w:tr w14:paraId="1C95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48" w:type="pct"/>
            <w:vMerge w:val="continue"/>
            <w:noWrap w:val="0"/>
            <w:vAlign w:val="center"/>
          </w:tcPr>
          <w:p w14:paraId="4D664817">
            <w:pPr>
              <w:spacing w:line="300" w:lineRule="exact"/>
              <w:jc w:val="center"/>
              <w:rPr>
                <w:rFonts w:eastAsia="仿宋_GB2312"/>
                <w:color w:val="auto"/>
                <w:szCs w:val="21"/>
                <w:highlight w:val="none"/>
              </w:rPr>
            </w:pPr>
          </w:p>
        </w:tc>
        <w:tc>
          <w:tcPr>
            <w:tcW w:w="360" w:type="pct"/>
            <w:vMerge w:val="continue"/>
            <w:noWrap w:val="0"/>
            <w:vAlign w:val="center"/>
          </w:tcPr>
          <w:p w14:paraId="7492F489">
            <w:pPr>
              <w:spacing w:line="300" w:lineRule="exact"/>
              <w:jc w:val="center"/>
              <w:rPr>
                <w:rFonts w:eastAsia="仿宋_GB2312"/>
                <w:color w:val="auto"/>
                <w:szCs w:val="21"/>
                <w:highlight w:val="none"/>
              </w:rPr>
            </w:pPr>
          </w:p>
        </w:tc>
        <w:tc>
          <w:tcPr>
            <w:tcW w:w="360" w:type="pct"/>
            <w:vMerge w:val="continue"/>
            <w:noWrap w:val="0"/>
            <w:vAlign w:val="center"/>
          </w:tcPr>
          <w:p w14:paraId="583D3A90">
            <w:pPr>
              <w:spacing w:line="300" w:lineRule="exact"/>
              <w:jc w:val="center"/>
              <w:rPr>
                <w:rFonts w:eastAsia="仿宋_GB2312"/>
                <w:color w:val="auto"/>
                <w:szCs w:val="21"/>
                <w:highlight w:val="none"/>
              </w:rPr>
            </w:pPr>
          </w:p>
        </w:tc>
        <w:tc>
          <w:tcPr>
            <w:tcW w:w="438" w:type="pct"/>
            <w:vMerge w:val="continue"/>
            <w:noWrap w:val="0"/>
            <w:vAlign w:val="center"/>
          </w:tcPr>
          <w:p w14:paraId="0A1CF833">
            <w:pPr>
              <w:spacing w:line="300" w:lineRule="exact"/>
              <w:jc w:val="center"/>
              <w:rPr>
                <w:rFonts w:eastAsia="仿宋_GB2312"/>
                <w:color w:val="auto"/>
                <w:szCs w:val="21"/>
                <w:highlight w:val="none"/>
              </w:rPr>
            </w:pPr>
          </w:p>
        </w:tc>
        <w:tc>
          <w:tcPr>
            <w:tcW w:w="607" w:type="pct"/>
            <w:noWrap w:val="0"/>
            <w:vAlign w:val="center"/>
          </w:tcPr>
          <w:p w14:paraId="72071C1B">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猪肾</w:t>
            </w:r>
          </w:p>
        </w:tc>
        <w:tc>
          <w:tcPr>
            <w:tcW w:w="279" w:type="pct"/>
            <w:noWrap w:val="0"/>
            <w:vAlign w:val="center"/>
          </w:tcPr>
          <w:p w14:paraId="2CE5093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7586A9B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恩诺沙星、磺胺类 (总量)、甲氧苄啶</w:t>
            </w:r>
          </w:p>
        </w:tc>
        <w:tc>
          <w:tcPr>
            <w:tcW w:w="1051" w:type="pct"/>
            <w:noWrap w:val="0"/>
            <w:vAlign w:val="center"/>
          </w:tcPr>
          <w:p w14:paraId="754AC851">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呋喃西林代谢物、氯霉素、克伦特罗、莱克多巴胺、沙丁胺醇</w:t>
            </w:r>
          </w:p>
        </w:tc>
      </w:tr>
      <w:tr w14:paraId="1543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1BDD080">
            <w:pPr>
              <w:spacing w:line="300" w:lineRule="exact"/>
              <w:jc w:val="center"/>
              <w:rPr>
                <w:rFonts w:eastAsia="仿宋_GB2312"/>
                <w:color w:val="auto"/>
                <w:szCs w:val="21"/>
                <w:highlight w:val="none"/>
              </w:rPr>
            </w:pPr>
          </w:p>
        </w:tc>
        <w:tc>
          <w:tcPr>
            <w:tcW w:w="360" w:type="pct"/>
            <w:vMerge w:val="continue"/>
            <w:noWrap w:val="0"/>
            <w:vAlign w:val="center"/>
          </w:tcPr>
          <w:p w14:paraId="12B0D160">
            <w:pPr>
              <w:spacing w:line="300" w:lineRule="exact"/>
              <w:jc w:val="center"/>
              <w:rPr>
                <w:rFonts w:eastAsia="仿宋_GB2312"/>
                <w:color w:val="auto"/>
                <w:szCs w:val="21"/>
                <w:highlight w:val="none"/>
              </w:rPr>
            </w:pPr>
          </w:p>
        </w:tc>
        <w:tc>
          <w:tcPr>
            <w:tcW w:w="360" w:type="pct"/>
            <w:vMerge w:val="continue"/>
            <w:noWrap w:val="0"/>
            <w:vAlign w:val="center"/>
          </w:tcPr>
          <w:p w14:paraId="61E3B2F4">
            <w:pPr>
              <w:spacing w:line="300" w:lineRule="exact"/>
              <w:jc w:val="center"/>
              <w:rPr>
                <w:rFonts w:eastAsia="仿宋_GB2312"/>
                <w:color w:val="auto"/>
                <w:szCs w:val="21"/>
                <w:highlight w:val="none"/>
              </w:rPr>
            </w:pPr>
          </w:p>
        </w:tc>
        <w:tc>
          <w:tcPr>
            <w:tcW w:w="438" w:type="pct"/>
            <w:vMerge w:val="continue"/>
            <w:noWrap w:val="0"/>
            <w:vAlign w:val="center"/>
          </w:tcPr>
          <w:p w14:paraId="7A2D06BB">
            <w:pPr>
              <w:spacing w:line="300" w:lineRule="exact"/>
              <w:jc w:val="center"/>
              <w:rPr>
                <w:rFonts w:eastAsia="仿宋_GB2312"/>
                <w:color w:val="auto"/>
                <w:szCs w:val="21"/>
                <w:highlight w:val="none"/>
              </w:rPr>
            </w:pPr>
          </w:p>
        </w:tc>
        <w:tc>
          <w:tcPr>
            <w:tcW w:w="607" w:type="pct"/>
            <w:noWrap w:val="0"/>
            <w:vAlign w:val="center"/>
          </w:tcPr>
          <w:p w14:paraId="72C9EB4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牛肾</w:t>
            </w:r>
          </w:p>
        </w:tc>
        <w:tc>
          <w:tcPr>
            <w:tcW w:w="279" w:type="pct"/>
            <w:noWrap w:val="0"/>
            <w:vAlign w:val="center"/>
          </w:tcPr>
          <w:p w14:paraId="2CB346F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783B9C1E">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克伦特罗、莱克多巴胺、沙丁胺醇、恩诺沙星、磺胺类 (总量)</w:t>
            </w:r>
          </w:p>
        </w:tc>
        <w:tc>
          <w:tcPr>
            <w:tcW w:w="1051" w:type="pct"/>
            <w:noWrap w:val="0"/>
            <w:vAlign w:val="center"/>
          </w:tcPr>
          <w:p w14:paraId="66C308E3">
            <w:pPr>
              <w:jc w:val="left"/>
              <w:rPr>
                <w:rFonts w:eastAsia="仿宋_GB2312"/>
                <w:color w:val="auto"/>
                <w:kern w:val="0"/>
                <w:szCs w:val="21"/>
                <w:highlight w:val="none"/>
              </w:rPr>
            </w:pPr>
            <w:r>
              <w:rPr>
                <w:rFonts w:eastAsia="仿宋_GB2312"/>
                <w:color w:val="auto"/>
                <w:kern w:val="0"/>
                <w:szCs w:val="21"/>
                <w:highlight w:val="none"/>
              </w:rPr>
              <w:t>/</w:t>
            </w:r>
          </w:p>
        </w:tc>
      </w:tr>
      <w:tr w14:paraId="1FF3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6EE9335">
            <w:pPr>
              <w:spacing w:line="300" w:lineRule="exact"/>
              <w:jc w:val="center"/>
              <w:rPr>
                <w:rFonts w:eastAsia="仿宋_GB2312"/>
                <w:color w:val="auto"/>
                <w:szCs w:val="21"/>
                <w:highlight w:val="none"/>
              </w:rPr>
            </w:pPr>
          </w:p>
        </w:tc>
        <w:tc>
          <w:tcPr>
            <w:tcW w:w="360" w:type="pct"/>
            <w:vMerge w:val="continue"/>
            <w:noWrap w:val="0"/>
            <w:vAlign w:val="center"/>
          </w:tcPr>
          <w:p w14:paraId="5AF8672F">
            <w:pPr>
              <w:spacing w:line="300" w:lineRule="exact"/>
              <w:jc w:val="center"/>
              <w:rPr>
                <w:rFonts w:eastAsia="仿宋_GB2312"/>
                <w:color w:val="auto"/>
                <w:szCs w:val="21"/>
                <w:highlight w:val="none"/>
              </w:rPr>
            </w:pPr>
          </w:p>
        </w:tc>
        <w:tc>
          <w:tcPr>
            <w:tcW w:w="360" w:type="pct"/>
            <w:vMerge w:val="continue"/>
            <w:noWrap w:val="0"/>
            <w:vAlign w:val="center"/>
          </w:tcPr>
          <w:p w14:paraId="480EDA52">
            <w:pPr>
              <w:spacing w:line="300" w:lineRule="exact"/>
              <w:jc w:val="center"/>
              <w:rPr>
                <w:rFonts w:eastAsia="仿宋_GB2312"/>
                <w:color w:val="auto"/>
                <w:szCs w:val="21"/>
                <w:highlight w:val="none"/>
              </w:rPr>
            </w:pPr>
          </w:p>
        </w:tc>
        <w:tc>
          <w:tcPr>
            <w:tcW w:w="438" w:type="pct"/>
            <w:vMerge w:val="continue"/>
            <w:noWrap w:val="0"/>
            <w:vAlign w:val="center"/>
          </w:tcPr>
          <w:p w14:paraId="154BDE89">
            <w:pPr>
              <w:spacing w:line="300" w:lineRule="exact"/>
              <w:jc w:val="center"/>
              <w:rPr>
                <w:rFonts w:eastAsia="仿宋_GB2312"/>
                <w:color w:val="auto"/>
                <w:szCs w:val="21"/>
                <w:highlight w:val="none"/>
              </w:rPr>
            </w:pPr>
          </w:p>
        </w:tc>
        <w:tc>
          <w:tcPr>
            <w:tcW w:w="607" w:type="pct"/>
            <w:noWrap w:val="0"/>
            <w:vAlign w:val="center"/>
          </w:tcPr>
          <w:p w14:paraId="702DDFA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羊肾</w:t>
            </w:r>
          </w:p>
        </w:tc>
        <w:tc>
          <w:tcPr>
            <w:tcW w:w="279" w:type="pct"/>
            <w:noWrap w:val="0"/>
            <w:vAlign w:val="center"/>
          </w:tcPr>
          <w:p w14:paraId="068F8DA8">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7400D6DD">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镉（以 Cd 计）、克伦特罗、莱克多巴胺、沙丁胺醇、恩诺沙星</w:t>
            </w:r>
          </w:p>
        </w:tc>
        <w:tc>
          <w:tcPr>
            <w:tcW w:w="1051" w:type="pct"/>
            <w:noWrap w:val="0"/>
            <w:vAlign w:val="center"/>
          </w:tcPr>
          <w:p w14:paraId="5C62B798">
            <w:pPr>
              <w:jc w:val="left"/>
              <w:rPr>
                <w:rFonts w:eastAsia="仿宋_GB2312"/>
                <w:color w:val="auto"/>
                <w:kern w:val="0"/>
                <w:szCs w:val="21"/>
                <w:highlight w:val="none"/>
              </w:rPr>
            </w:pPr>
            <w:r>
              <w:rPr>
                <w:rFonts w:eastAsia="仿宋_GB2312"/>
                <w:color w:val="auto"/>
                <w:kern w:val="0"/>
                <w:szCs w:val="21"/>
                <w:highlight w:val="none"/>
              </w:rPr>
              <w:t>/</w:t>
            </w:r>
          </w:p>
        </w:tc>
      </w:tr>
      <w:tr w14:paraId="34D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BD0D3BD">
            <w:pPr>
              <w:spacing w:line="300" w:lineRule="exact"/>
              <w:jc w:val="center"/>
              <w:rPr>
                <w:rFonts w:eastAsia="仿宋_GB2312"/>
                <w:color w:val="auto"/>
                <w:szCs w:val="21"/>
                <w:highlight w:val="none"/>
              </w:rPr>
            </w:pPr>
          </w:p>
        </w:tc>
        <w:tc>
          <w:tcPr>
            <w:tcW w:w="360" w:type="pct"/>
            <w:vMerge w:val="continue"/>
            <w:noWrap w:val="0"/>
            <w:vAlign w:val="center"/>
          </w:tcPr>
          <w:p w14:paraId="7ECCB452">
            <w:pPr>
              <w:spacing w:line="300" w:lineRule="exact"/>
              <w:jc w:val="center"/>
              <w:rPr>
                <w:rFonts w:eastAsia="仿宋_GB2312"/>
                <w:color w:val="auto"/>
                <w:szCs w:val="21"/>
                <w:highlight w:val="none"/>
              </w:rPr>
            </w:pPr>
          </w:p>
        </w:tc>
        <w:tc>
          <w:tcPr>
            <w:tcW w:w="360" w:type="pct"/>
            <w:vMerge w:val="continue"/>
            <w:noWrap w:val="0"/>
            <w:vAlign w:val="center"/>
          </w:tcPr>
          <w:p w14:paraId="3DDB47C7">
            <w:pPr>
              <w:spacing w:line="300" w:lineRule="exact"/>
              <w:jc w:val="center"/>
              <w:rPr>
                <w:rFonts w:eastAsia="仿宋_GB2312"/>
                <w:color w:val="auto"/>
                <w:szCs w:val="21"/>
                <w:highlight w:val="none"/>
              </w:rPr>
            </w:pPr>
          </w:p>
        </w:tc>
        <w:tc>
          <w:tcPr>
            <w:tcW w:w="438" w:type="pct"/>
            <w:vMerge w:val="continue"/>
            <w:noWrap w:val="0"/>
            <w:vAlign w:val="center"/>
          </w:tcPr>
          <w:p w14:paraId="67491554">
            <w:pPr>
              <w:spacing w:line="300" w:lineRule="exact"/>
              <w:jc w:val="center"/>
              <w:rPr>
                <w:rFonts w:eastAsia="仿宋_GB2312"/>
                <w:color w:val="auto"/>
                <w:szCs w:val="21"/>
                <w:highlight w:val="none"/>
              </w:rPr>
            </w:pPr>
          </w:p>
        </w:tc>
        <w:tc>
          <w:tcPr>
            <w:tcW w:w="607" w:type="pct"/>
            <w:noWrap w:val="0"/>
            <w:vAlign w:val="center"/>
          </w:tcPr>
          <w:p w14:paraId="51D5AEC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其他畜副产品</w:t>
            </w:r>
          </w:p>
        </w:tc>
        <w:tc>
          <w:tcPr>
            <w:tcW w:w="279" w:type="pct"/>
            <w:noWrap w:val="0"/>
            <w:vAlign w:val="center"/>
          </w:tcPr>
          <w:p w14:paraId="792487F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18E167C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呋喃唑酮代谢物、呋喃西林代谢物、氯霉素、克伦特罗、莱克多巴胺、沙丁胺醇</w:t>
            </w:r>
          </w:p>
        </w:tc>
        <w:tc>
          <w:tcPr>
            <w:tcW w:w="1051" w:type="pct"/>
            <w:noWrap w:val="0"/>
            <w:vAlign w:val="center"/>
          </w:tcPr>
          <w:p w14:paraId="6EE90330">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w:t>
            </w:r>
          </w:p>
        </w:tc>
      </w:tr>
      <w:tr w14:paraId="5E14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8167324">
            <w:pPr>
              <w:spacing w:line="300" w:lineRule="exact"/>
              <w:jc w:val="center"/>
              <w:rPr>
                <w:rFonts w:eastAsia="仿宋_GB2312"/>
                <w:color w:val="auto"/>
                <w:szCs w:val="21"/>
                <w:highlight w:val="none"/>
              </w:rPr>
            </w:pPr>
          </w:p>
        </w:tc>
        <w:tc>
          <w:tcPr>
            <w:tcW w:w="360" w:type="pct"/>
            <w:vMerge w:val="continue"/>
            <w:noWrap w:val="0"/>
            <w:vAlign w:val="center"/>
          </w:tcPr>
          <w:p w14:paraId="43C4DBE6">
            <w:pPr>
              <w:spacing w:line="300" w:lineRule="exact"/>
              <w:jc w:val="center"/>
              <w:rPr>
                <w:rFonts w:eastAsia="仿宋_GB2312"/>
                <w:color w:val="auto"/>
                <w:szCs w:val="21"/>
                <w:highlight w:val="none"/>
              </w:rPr>
            </w:pPr>
          </w:p>
        </w:tc>
        <w:tc>
          <w:tcPr>
            <w:tcW w:w="360" w:type="pct"/>
            <w:vMerge w:val="continue"/>
            <w:noWrap w:val="0"/>
            <w:vAlign w:val="center"/>
          </w:tcPr>
          <w:p w14:paraId="613B90D0">
            <w:pPr>
              <w:spacing w:line="300" w:lineRule="exact"/>
              <w:jc w:val="center"/>
              <w:rPr>
                <w:rFonts w:eastAsia="仿宋_GB2312"/>
                <w:color w:val="auto"/>
                <w:szCs w:val="21"/>
                <w:highlight w:val="none"/>
              </w:rPr>
            </w:pPr>
          </w:p>
        </w:tc>
        <w:tc>
          <w:tcPr>
            <w:tcW w:w="438" w:type="pct"/>
            <w:vMerge w:val="restart"/>
            <w:noWrap w:val="0"/>
            <w:vAlign w:val="center"/>
          </w:tcPr>
          <w:p w14:paraId="0B07A7A3">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禽副产品</w:t>
            </w:r>
          </w:p>
        </w:tc>
        <w:tc>
          <w:tcPr>
            <w:tcW w:w="607" w:type="pct"/>
            <w:noWrap w:val="0"/>
            <w:vAlign w:val="center"/>
          </w:tcPr>
          <w:p w14:paraId="30E495C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鸡肝</w:t>
            </w:r>
          </w:p>
        </w:tc>
        <w:tc>
          <w:tcPr>
            <w:tcW w:w="279" w:type="pct"/>
            <w:noWrap w:val="0"/>
            <w:vAlign w:val="center"/>
          </w:tcPr>
          <w:p w14:paraId="15AC7DE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38F1F23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恩诺沙星、氧氟沙星、环丙氨嗪</w:t>
            </w:r>
          </w:p>
        </w:tc>
        <w:tc>
          <w:tcPr>
            <w:tcW w:w="1051" w:type="pct"/>
            <w:noWrap w:val="0"/>
            <w:vAlign w:val="center"/>
          </w:tcPr>
          <w:p w14:paraId="30CBD619">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呋喃唑酮代谢物、呋喃西林代谢物、氯霉素</w:t>
            </w:r>
          </w:p>
        </w:tc>
      </w:tr>
      <w:tr w14:paraId="7E3C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E264CE8">
            <w:pPr>
              <w:spacing w:line="300" w:lineRule="exact"/>
              <w:jc w:val="center"/>
              <w:rPr>
                <w:rFonts w:eastAsia="仿宋_GB2312"/>
                <w:color w:val="auto"/>
                <w:szCs w:val="21"/>
                <w:highlight w:val="none"/>
              </w:rPr>
            </w:pPr>
          </w:p>
        </w:tc>
        <w:tc>
          <w:tcPr>
            <w:tcW w:w="360" w:type="pct"/>
            <w:vMerge w:val="continue"/>
            <w:noWrap w:val="0"/>
            <w:vAlign w:val="center"/>
          </w:tcPr>
          <w:p w14:paraId="7408B7E2">
            <w:pPr>
              <w:spacing w:line="300" w:lineRule="exact"/>
              <w:jc w:val="center"/>
              <w:rPr>
                <w:rFonts w:eastAsia="仿宋_GB2312"/>
                <w:color w:val="auto"/>
                <w:szCs w:val="21"/>
                <w:highlight w:val="none"/>
              </w:rPr>
            </w:pPr>
          </w:p>
        </w:tc>
        <w:tc>
          <w:tcPr>
            <w:tcW w:w="360" w:type="pct"/>
            <w:vMerge w:val="continue"/>
            <w:noWrap w:val="0"/>
            <w:vAlign w:val="center"/>
          </w:tcPr>
          <w:p w14:paraId="77F9F050">
            <w:pPr>
              <w:spacing w:line="300" w:lineRule="exact"/>
              <w:jc w:val="center"/>
              <w:rPr>
                <w:rFonts w:eastAsia="仿宋_GB2312"/>
                <w:color w:val="auto"/>
                <w:szCs w:val="21"/>
                <w:highlight w:val="none"/>
              </w:rPr>
            </w:pPr>
          </w:p>
        </w:tc>
        <w:tc>
          <w:tcPr>
            <w:tcW w:w="438" w:type="pct"/>
            <w:vMerge w:val="continue"/>
            <w:noWrap w:val="0"/>
            <w:vAlign w:val="center"/>
          </w:tcPr>
          <w:p w14:paraId="05D50B08">
            <w:pPr>
              <w:spacing w:line="300" w:lineRule="exact"/>
              <w:jc w:val="center"/>
              <w:rPr>
                <w:rFonts w:eastAsia="仿宋_GB2312"/>
                <w:color w:val="auto"/>
                <w:szCs w:val="21"/>
                <w:highlight w:val="none"/>
              </w:rPr>
            </w:pPr>
          </w:p>
        </w:tc>
        <w:tc>
          <w:tcPr>
            <w:tcW w:w="607" w:type="pct"/>
            <w:noWrap w:val="0"/>
            <w:vAlign w:val="center"/>
          </w:tcPr>
          <w:p w14:paraId="37B721B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其他禽副产品</w:t>
            </w:r>
          </w:p>
        </w:tc>
        <w:tc>
          <w:tcPr>
            <w:tcW w:w="279" w:type="pct"/>
            <w:noWrap w:val="0"/>
            <w:vAlign w:val="center"/>
          </w:tcPr>
          <w:p w14:paraId="33FF2ED5">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54D5EE72">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呋喃唑酮代谢物、呋喃西林代谢物、氯霉素、诺氟沙星</w:t>
            </w:r>
          </w:p>
        </w:tc>
        <w:tc>
          <w:tcPr>
            <w:tcW w:w="1051" w:type="pct"/>
            <w:noWrap w:val="0"/>
            <w:vAlign w:val="center"/>
          </w:tcPr>
          <w:p w14:paraId="4F9AF949">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w:t>
            </w:r>
          </w:p>
        </w:tc>
      </w:tr>
      <w:tr w14:paraId="10A4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noWrap w:val="0"/>
            <w:vAlign w:val="center"/>
          </w:tcPr>
          <w:p w14:paraId="70183B2B">
            <w:pPr>
              <w:spacing w:line="300" w:lineRule="exact"/>
              <w:jc w:val="center"/>
              <w:rPr>
                <w:rFonts w:eastAsia="仿宋_GB2312"/>
                <w:color w:val="auto"/>
                <w:szCs w:val="21"/>
                <w:highlight w:val="none"/>
              </w:rPr>
            </w:pPr>
            <w:r>
              <w:rPr>
                <w:rFonts w:eastAsia="仿宋_GB2312"/>
                <w:color w:val="auto"/>
                <w:szCs w:val="21"/>
                <w:highlight w:val="none"/>
              </w:rPr>
              <w:t>2</w:t>
            </w:r>
          </w:p>
        </w:tc>
        <w:tc>
          <w:tcPr>
            <w:tcW w:w="360" w:type="pct"/>
            <w:vMerge w:val="restart"/>
            <w:noWrap w:val="0"/>
            <w:vAlign w:val="center"/>
          </w:tcPr>
          <w:p w14:paraId="49401449">
            <w:pPr>
              <w:spacing w:line="300" w:lineRule="exact"/>
              <w:jc w:val="center"/>
              <w:rPr>
                <w:rFonts w:eastAsia="仿宋_GB2312"/>
                <w:color w:val="auto"/>
                <w:szCs w:val="21"/>
                <w:highlight w:val="none"/>
              </w:rPr>
            </w:pPr>
            <w:r>
              <w:rPr>
                <w:rFonts w:eastAsia="仿宋_GB2312"/>
                <w:color w:val="auto"/>
                <w:szCs w:val="21"/>
                <w:highlight w:val="none"/>
              </w:rPr>
              <w:t>蔬菜</w:t>
            </w:r>
          </w:p>
        </w:tc>
        <w:tc>
          <w:tcPr>
            <w:tcW w:w="360" w:type="pct"/>
            <w:vMerge w:val="restart"/>
            <w:noWrap w:val="0"/>
            <w:vAlign w:val="center"/>
          </w:tcPr>
          <w:p w14:paraId="0F4F4800">
            <w:pPr>
              <w:spacing w:line="300" w:lineRule="exact"/>
              <w:jc w:val="center"/>
              <w:rPr>
                <w:rFonts w:eastAsia="仿宋_GB2312"/>
                <w:color w:val="auto"/>
                <w:szCs w:val="21"/>
                <w:highlight w:val="none"/>
              </w:rPr>
            </w:pPr>
            <w:r>
              <w:rPr>
                <w:rFonts w:eastAsia="仿宋_GB2312"/>
                <w:color w:val="auto"/>
                <w:szCs w:val="21"/>
                <w:highlight w:val="none"/>
              </w:rPr>
              <w:t>蔬菜</w:t>
            </w:r>
          </w:p>
        </w:tc>
        <w:tc>
          <w:tcPr>
            <w:tcW w:w="438" w:type="pct"/>
            <w:noWrap w:val="0"/>
            <w:vAlign w:val="center"/>
          </w:tcPr>
          <w:p w14:paraId="3FBE8971">
            <w:pPr>
              <w:spacing w:line="300" w:lineRule="exact"/>
              <w:jc w:val="center"/>
              <w:rPr>
                <w:rFonts w:eastAsia="仿宋_GB2312"/>
                <w:color w:val="auto"/>
                <w:szCs w:val="21"/>
                <w:highlight w:val="none"/>
              </w:rPr>
            </w:pPr>
            <w:r>
              <w:rPr>
                <w:rFonts w:eastAsia="仿宋_GB2312"/>
                <w:color w:val="auto"/>
                <w:szCs w:val="21"/>
                <w:highlight w:val="none"/>
              </w:rPr>
              <w:t>豆芽</w:t>
            </w:r>
          </w:p>
        </w:tc>
        <w:tc>
          <w:tcPr>
            <w:tcW w:w="607" w:type="pct"/>
            <w:noWrap w:val="0"/>
            <w:vAlign w:val="center"/>
          </w:tcPr>
          <w:p w14:paraId="1667815E">
            <w:pPr>
              <w:spacing w:line="300" w:lineRule="exact"/>
              <w:jc w:val="center"/>
              <w:rPr>
                <w:rFonts w:eastAsia="仿宋_GB2312"/>
                <w:color w:val="auto"/>
                <w:szCs w:val="21"/>
                <w:highlight w:val="none"/>
              </w:rPr>
            </w:pPr>
            <w:r>
              <w:rPr>
                <w:rFonts w:eastAsia="仿宋_GB2312"/>
                <w:color w:val="auto"/>
                <w:szCs w:val="21"/>
                <w:highlight w:val="none"/>
              </w:rPr>
              <w:t>豆芽</w:t>
            </w:r>
            <w:r>
              <w:rPr>
                <w:rFonts w:hint="eastAsia" w:eastAsia="仿宋_GB2312"/>
                <w:color w:val="auto"/>
                <w:kern w:val="0"/>
                <w:szCs w:val="21"/>
                <w:highlight w:val="none"/>
              </w:rPr>
              <w:t>*</w:t>
            </w:r>
          </w:p>
        </w:tc>
        <w:tc>
          <w:tcPr>
            <w:tcW w:w="279" w:type="pct"/>
            <w:noWrap w:val="0"/>
            <w:vAlign w:val="center"/>
          </w:tcPr>
          <w:p w14:paraId="724925F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41616FD9">
            <w:pPr>
              <w:spacing w:line="300" w:lineRule="exact"/>
              <w:jc w:val="left"/>
              <w:rPr>
                <w:rFonts w:eastAsia="仿宋_GB2312"/>
                <w:color w:val="auto"/>
                <w:szCs w:val="21"/>
                <w:highlight w:val="none"/>
              </w:rPr>
            </w:pPr>
            <w:r>
              <w:rPr>
                <w:rFonts w:eastAsia="仿宋_GB2312"/>
                <w:color w:val="auto"/>
                <w:szCs w:val="21"/>
                <w:highlight w:val="none"/>
              </w:rPr>
              <w:t xml:space="preserve">4 </w:t>
            </w:r>
            <w:r>
              <w:rPr>
                <w:rFonts w:hint="eastAsia" w:eastAsia="仿宋_GB2312"/>
                <w:color w:val="auto"/>
                <w:szCs w:val="21"/>
                <w:highlight w:val="none"/>
              </w:rPr>
              <w:t>-</w:t>
            </w:r>
            <w:r>
              <w:rPr>
                <w:rFonts w:eastAsia="仿宋_GB2312"/>
                <w:color w:val="auto"/>
                <w:szCs w:val="21"/>
                <w:highlight w:val="none"/>
              </w:rPr>
              <w:t xml:space="preserve">氯苯氧乙酸钠（以4 </w:t>
            </w:r>
            <w:r>
              <w:rPr>
                <w:rFonts w:hint="eastAsia" w:eastAsia="仿宋_GB2312"/>
                <w:color w:val="auto"/>
                <w:szCs w:val="21"/>
                <w:highlight w:val="none"/>
              </w:rPr>
              <w:t>-</w:t>
            </w:r>
            <w:r>
              <w:rPr>
                <w:rFonts w:eastAsia="仿宋_GB2312"/>
                <w:color w:val="auto"/>
                <w:szCs w:val="21"/>
                <w:highlight w:val="none"/>
              </w:rPr>
              <w:t xml:space="preserve">氯苯氧乙酸计）、6 </w:t>
            </w:r>
            <w:r>
              <w:rPr>
                <w:rFonts w:hint="eastAsia" w:eastAsia="仿宋_GB2312"/>
                <w:color w:val="auto"/>
                <w:szCs w:val="21"/>
                <w:highlight w:val="none"/>
              </w:rPr>
              <w:t>-</w:t>
            </w:r>
            <w:r>
              <w:rPr>
                <w:rFonts w:eastAsia="仿宋_GB2312"/>
                <w:color w:val="auto"/>
                <w:szCs w:val="21"/>
                <w:highlight w:val="none"/>
              </w:rPr>
              <w:t>苄基腺嘌呤（6-BA）、亚硫酸盐（以 SO₂计）、总汞（以 Hg 计）</w:t>
            </w:r>
          </w:p>
        </w:tc>
        <w:tc>
          <w:tcPr>
            <w:tcW w:w="1051" w:type="pct"/>
            <w:noWrap w:val="0"/>
            <w:vAlign w:val="center"/>
          </w:tcPr>
          <w:p w14:paraId="06A1A6D3">
            <w:pPr>
              <w:spacing w:line="300" w:lineRule="exact"/>
              <w:jc w:val="left"/>
              <w:rPr>
                <w:rFonts w:eastAsia="仿宋_GB2312"/>
                <w:color w:val="auto"/>
                <w:szCs w:val="21"/>
                <w:highlight w:val="none"/>
              </w:rPr>
            </w:pPr>
            <w:r>
              <w:rPr>
                <w:rFonts w:eastAsia="仿宋_GB2312"/>
                <w:color w:val="auto"/>
                <w:szCs w:val="21"/>
                <w:highlight w:val="none"/>
              </w:rPr>
              <w:t>铅（以 Pb 计）</w:t>
            </w:r>
          </w:p>
        </w:tc>
      </w:tr>
      <w:tr w14:paraId="2062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48" w:type="pct"/>
            <w:vMerge w:val="continue"/>
            <w:noWrap w:val="0"/>
            <w:vAlign w:val="center"/>
          </w:tcPr>
          <w:p w14:paraId="7DE6CE26">
            <w:pPr>
              <w:spacing w:line="300" w:lineRule="exact"/>
              <w:jc w:val="center"/>
              <w:rPr>
                <w:rFonts w:eastAsia="仿宋_GB2312"/>
                <w:color w:val="auto"/>
                <w:szCs w:val="21"/>
                <w:highlight w:val="none"/>
              </w:rPr>
            </w:pPr>
          </w:p>
        </w:tc>
        <w:tc>
          <w:tcPr>
            <w:tcW w:w="360" w:type="pct"/>
            <w:vMerge w:val="continue"/>
            <w:noWrap w:val="0"/>
            <w:vAlign w:val="center"/>
          </w:tcPr>
          <w:p w14:paraId="36BD8DC6">
            <w:pPr>
              <w:spacing w:line="300" w:lineRule="exact"/>
              <w:jc w:val="center"/>
              <w:rPr>
                <w:rFonts w:eastAsia="仿宋_GB2312"/>
                <w:color w:val="auto"/>
                <w:szCs w:val="21"/>
                <w:highlight w:val="none"/>
              </w:rPr>
            </w:pPr>
          </w:p>
        </w:tc>
        <w:tc>
          <w:tcPr>
            <w:tcW w:w="360" w:type="pct"/>
            <w:vMerge w:val="continue"/>
            <w:noWrap w:val="0"/>
            <w:vAlign w:val="center"/>
          </w:tcPr>
          <w:p w14:paraId="57B291AC">
            <w:pPr>
              <w:spacing w:line="300" w:lineRule="exact"/>
              <w:jc w:val="center"/>
              <w:rPr>
                <w:rFonts w:eastAsia="仿宋_GB2312"/>
                <w:color w:val="auto"/>
                <w:szCs w:val="21"/>
                <w:highlight w:val="none"/>
              </w:rPr>
            </w:pPr>
          </w:p>
        </w:tc>
        <w:tc>
          <w:tcPr>
            <w:tcW w:w="438" w:type="pct"/>
            <w:vMerge w:val="restart"/>
            <w:noWrap w:val="0"/>
            <w:vAlign w:val="center"/>
          </w:tcPr>
          <w:p w14:paraId="614AF27D">
            <w:pPr>
              <w:spacing w:line="300" w:lineRule="exact"/>
              <w:jc w:val="center"/>
              <w:rPr>
                <w:rFonts w:eastAsia="仿宋_GB2312"/>
                <w:color w:val="auto"/>
                <w:szCs w:val="21"/>
                <w:highlight w:val="none"/>
              </w:rPr>
            </w:pPr>
            <w:r>
              <w:rPr>
                <w:rFonts w:eastAsia="仿宋_GB2312"/>
                <w:color w:val="auto"/>
                <w:szCs w:val="21"/>
                <w:highlight w:val="none"/>
              </w:rPr>
              <w:t>鳞茎类蔬菜</w:t>
            </w:r>
          </w:p>
        </w:tc>
        <w:tc>
          <w:tcPr>
            <w:tcW w:w="607" w:type="pct"/>
            <w:noWrap w:val="0"/>
            <w:vAlign w:val="center"/>
          </w:tcPr>
          <w:p w14:paraId="0B823588">
            <w:pPr>
              <w:spacing w:line="300" w:lineRule="exact"/>
              <w:jc w:val="center"/>
              <w:rPr>
                <w:rFonts w:eastAsia="仿宋_GB2312"/>
                <w:color w:val="auto"/>
                <w:szCs w:val="21"/>
                <w:highlight w:val="none"/>
              </w:rPr>
            </w:pPr>
            <w:r>
              <w:rPr>
                <w:rFonts w:eastAsia="仿宋_GB2312"/>
                <w:color w:val="auto"/>
                <w:szCs w:val="21"/>
                <w:highlight w:val="none"/>
              </w:rPr>
              <w:t>葱</w:t>
            </w:r>
            <w:r>
              <w:rPr>
                <w:rFonts w:hint="eastAsia" w:eastAsia="仿宋_GB2312"/>
                <w:color w:val="auto"/>
                <w:kern w:val="0"/>
                <w:szCs w:val="21"/>
                <w:highlight w:val="none"/>
              </w:rPr>
              <w:t>*</w:t>
            </w:r>
          </w:p>
        </w:tc>
        <w:tc>
          <w:tcPr>
            <w:tcW w:w="279" w:type="pct"/>
            <w:noWrap w:val="0"/>
            <w:vAlign w:val="center"/>
          </w:tcPr>
          <w:p w14:paraId="7FC7F61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405FE7AE">
            <w:pPr>
              <w:spacing w:line="300" w:lineRule="exact"/>
              <w:jc w:val="left"/>
              <w:rPr>
                <w:rFonts w:eastAsia="仿宋_GB2312"/>
                <w:color w:val="auto"/>
                <w:szCs w:val="21"/>
                <w:highlight w:val="none"/>
              </w:rPr>
            </w:pPr>
            <w:r>
              <w:rPr>
                <w:rFonts w:eastAsia="仿宋_GB2312"/>
                <w:color w:val="auto"/>
                <w:szCs w:val="21"/>
                <w:highlight w:val="none"/>
              </w:rPr>
              <w:t>噻虫嗪、丙环唑、戊唑醇、镉（以 Cd 计）、毒死蜱、氯氟氰菊酯和高效氯氟氰菊酯</w:t>
            </w:r>
          </w:p>
        </w:tc>
        <w:tc>
          <w:tcPr>
            <w:tcW w:w="1051" w:type="pct"/>
            <w:noWrap w:val="0"/>
            <w:vAlign w:val="center"/>
          </w:tcPr>
          <w:p w14:paraId="7FEA1D93">
            <w:pPr>
              <w:spacing w:line="300" w:lineRule="exact"/>
              <w:jc w:val="left"/>
              <w:rPr>
                <w:rFonts w:eastAsia="仿宋_GB2312"/>
                <w:color w:val="auto"/>
                <w:szCs w:val="21"/>
                <w:highlight w:val="none"/>
              </w:rPr>
            </w:pPr>
            <w:r>
              <w:rPr>
                <w:rFonts w:eastAsia="仿宋_GB2312"/>
                <w:color w:val="auto"/>
                <w:szCs w:val="21"/>
                <w:highlight w:val="none"/>
              </w:rPr>
              <w:t>氟虫腈、甲基异柳磷、克百威、乐果、水胺硫磷、氧乐果</w:t>
            </w:r>
          </w:p>
        </w:tc>
      </w:tr>
      <w:tr w14:paraId="6503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48" w:type="pct"/>
            <w:vMerge w:val="continue"/>
            <w:noWrap w:val="0"/>
            <w:vAlign w:val="center"/>
          </w:tcPr>
          <w:p w14:paraId="2BCC20EC">
            <w:pPr>
              <w:spacing w:line="300" w:lineRule="exact"/>
              <w:jc w:val="center"/>
              <w:rPr>
                <w:rFonts w:eastAsia="仿宋_GB2312"/>
                <w:color w:val="auto"/>
                <w:szCs w:val="21"/>
                <w:highlight w:val="none"/>
              </w:rPr>
            </w:pPr>
          </w:p>
        </w:tc>
        <w:tc>
          <w:tcPr>
            <w:tcW w:w="360" w:type="pct"/>
            <w:vMerge w:val="continue"/>
            <w:noWrap w:val="0"/>
            <w:vAlign w:val="center"/>
          </w:tcPr>
          <w:p w14:paraId="15AF544D">
            <w:pPr>
              <w:spacing w:line="300" w:lineRule="exact"/>
              <w:jc w:val="center"/>
              <w:rPr>
                <w:rFonts w:eastAsia="仿宋_GB2312"/>
                <w:color w:val="auto"/>
                <w:szCs w:val="21"/>
                <w:highlight w:val="none"/>
              </w:rPr>
            </w:pPr>
          </w:p>
        </w:tc>
        <w:tc>
          <w:tcPr>
            <w:tcW w:w="360" w:type="pct"/>
            <w:vMerge w:val="continue"/>
            <w:noWrap w:val="0"/>
            <w:vAlign w:val="center"/>
          </w:tcPr>
          <w:p w14:paraId="245BB0F2">
            <w:pPr>
              <w:spacing w:line="300" w:lineRule="exact"/>
              <w:jc w:val="center"/>
              <w:rPr>
                <w:rFonts w:eastAsia="仿宋_GB2312"/>
                <w:color w:val="auto"/>
                <w:szCs w:val="21"/>
                <w:highlight w:val="none"/>
              </w:rPr>
            </w:pPr>
          </w:p>
        </w:tc>
        <w:tc>
          <w:tcPr>
            <w:tcW w:w="438" w:type="pct"/>
            <w:vMerge w:val="continue"/>
            <w:noWrap w:val="0"/>
            <w:vAlign w:val="center"/>
          </w:tcPr>
          <w:p w14:paraId="6E99D337">
            <w:pPr>
              <w:spacing w:line="300" w:lineRule="exact"/>
              <w:jc w:val="center"/>
              <w:rPr>
                <w:rFonts w:eastAsia="仿宋_GB2312"/>
                <w:color w:val="auto"/>
                <w:szCs w:val="21"/>
                <w:highlight w:val="none"/>
              </w:rPr>
            </w:pPr>
          </w:p>
        </w:tc>
        <w:tc>
          <w:tcPr>
            <w:tcW w:w="607" w:type="pct"/>
            <w:noWrap w:val="0"/>
            <w:vAlign w:val="center"/>
          </w:tcPr>
          <w:p w14:paraId="72D37F77">
            <w:pPr>
              <w:spacing w:line="300" w:lineRule="exact"/>
              <w:jc w:val="center"/>
              <w:rPr>
                <w:rFonts w:eastAsia="仿宋_GB2312"/>
                <w:color w:val="auto"/>
                <w:szCs w:val="21"/>
                <w:highlight w:val="none"/>
              </w:rPr>
            </w:pPr>
            <w:r>
              <w:rPr>
                <w:rFonts w:eastAsia="仿宋_GB2312"/>
                <w:color w:val="auto"/>
                <w:szCs w:val="21"/>
                <w:highlight w:val="none"/>
              </w:rPr>
              <w:t>韭菜</w:t>
            </w:r>
            <w:r>
              <w:rPr>
                <w:rFonts w:hint="eastAsia" w:eastAsia="仿宋_GB2312"/>
                <w:color w:val="auto"/>
                <w:kern w:val="0"/>
                <w:szCs w:val="21"/>
                <w:highlight w:val="none"/>
              </w:rPr>
              <w:t>*</w:t>
            </w:r>
          </w:p>
        </w:tc>
        <w:tc>
          <w:tcPr>
            <w:tcW w:w="279" w:type="pct"/>
            <w:noWrap w:val="0"/>
            <w:vAlign w:val="center"/>
          </w:tcPr>
          <w:p w14:paraId="11569F7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57B6236B">
            <w:pPr>
              <w:spacing w:line="300" w:lineRule="exact"/>
              <w:jc w:val="left"/>
              <w:rPr>
                <w:rFonts w:eastAsia="仿宋_GB2312"/>
                <w:color w:val="auto"/>
                <w:szCs w:val="21"/>
                <w:highlight w:val="none"/>
              </w:rPr>
            </w:pPr>
            <w:r>
              <w:rPr>
                <w:rFonts w:eastAsia="仿宋_GB2312"/>
                <w:color w:val="auto"/>
                <w:szCs w:val="21"/>
                <w:highlight w:val="none"/>
              </w:rPr>
              <w:t>镉（以 Cd 计）、毒死蜱、氯氟氰菊酯和高效氯氟氰菊酯、克百威、氧乐果、乙酰甲胺磷</w:t>
            </w:r>
          </w:p>
        </w:tc>
        <w:tc>
          <w:tcPr>
            <w:tcW w:w="1051" w:type="pct"/>
            <w:noWrap w:val="0"/>
            <w:vAlign w:val="center"/>
          </w:tcPr>
          <w:p w14:paraId="2B763203">
            <w:pPr>
              <w:spacing w:line="300" w:lineRule="exact"/>
              <w:jc w:val="left"/>
              <w:rPr>
                <w:rFonts w:eastAsia="仿宋_GB2312"/>
                <w:color w:val="auto"/>
                <w:szCs w:val="21"/>
                <w:highlight w:val="none"/>
              </w:rPr>
            </w:pPr>
            <w:r>
              <w:rPr>
                <w:rFonts w:eastAsia="仿宋_GB2312"/>
                <w:color w:val="auto"/>
                <w:szCs w:val="21"/>
                <w:highlight w:val="none"/>
              </w:rPr>
              <w:t>多菌灵、腐霉利</w:t>
            </w:r>
          </w:p>
        </w:tc>
      </w:tr>
      <w:tr w14:paraId="600A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E810C1A">
            <w:pPr>
              <w:spacing w:line="300" w:lineRule="exact"/>
              <w:jc w:val="center"/>
              <w:rPr>
                <w:rFonts w:eastAsia="仿宋_GB2312"/>
                <w:color w:val="auto"/>
                <w:szCs w:val="21"/>
                <w:highlight w:val="none"/>
              </w:rPr>
            </w:pPr>
          </w:p>
        </w:tc>
        <w:tc>
          <w:tcPr>
            <w:tcW w:w="360" w:type="pct"/>
            <w:vMerge w:val="continue"/>
            <w:noWrap w:val="0"/>
            <w:vAlign w:val="center"/>
          </w:tcPr>
          <w:p w14:paraId="53BA954B">
            <w:pPr>
              <w:spacing w:line="300" w:lineRule="exact"/>
              <w:jc w:val="center"/>
              <w:rPr>
                <w:rFonts w:eastAsia="仿宋_GB2312"/>
                <w:color w:val="auto"/>
                <w:szCs w:val="21"/>
                <w:highlight w:val="none"/>
              </w:rPr>
            </w:pPr>
          </w:p>
        </w:tc>
        <w:tc>
          <w:tcPr>
            <w:tcW w:w="360" w:type="pct"/>
            <w:vMerge w:val="continue"/>
            <w:noWrap w:val="0"/>
            <w:vAlign w:val="center"/>
          </w:tcPr>
          <w:p w14:paraId="78533E60">
            <w:pPr>
              <w:spacing w:line="300" w:lineRule="exact"/>
              <w:jc w:val="center"/>
              <w:rPr>
                <w:rFonts w:eastAsia="仿宋_GB2312"/>
                <w:color w:val="auto"/>
                <w:szCs w:val="21"/>
                <w:highlight w:val="none"/>
              </w:rPr>
            </w:pPr>
          </w:p>
        </w:tc>
        <w:tc>
          <w:tcPr>
            <w:tcW w:w="438" w:type="pct"/>
            <w:vMerge w:val="restart"/>
            <w:noWrap w:val="0"/>
            <w:vAlign w:val="center"/>
          </w:tcPr>
          <w:p w14:paraId="4C7F51E7">
            <w:pPr>
              <w:spacing w:line="300" w:lineRule="exact"/>
              <w:jc w:val="center"/>
              <w:rPr>
                <w:rFonts w:eastAsia="仿宋_GB2312"/>
                <w:color w:val="auto"/>
                <w:szCs w:val="21"/>
                <w:highlight w:val="none"/>
              </w:rPr>
            </w:pPr>
            <w:r>
              <w:rPr>
                <w:rFonts w:eastAsia="仿宋_GB2312"/>
                <w:color w:val="auto"/>
                <w:szCs w:val="21"/>
                <w:highlight w:val="none"/>
              </w:rPr>
              <w:t>叶菜类蔬菜</w:t>
            </w:r>
          </w:p>
        </w:tc>
        <w:tc>
          <w:tcPr>
            <w:tcW w:w="607" w:type="pct"/>
            <w:noWrap w:val="0"/>
            <w:vAlign w:val="center"/>
          </w:tcPr>
          <w:p w14:paraId="3F8A7424">
            <w:pPr>
              <w:spacing w:line="300" w:lineRule="exact"/>
              <w:jc w:val="center"/>
              <w:rPr>
                <w:rFonts w:eastAsia="仿宋_GB2312"/>
                <w:color w:val="auto"/>
                <w:szCs w:val="21"/>
                <w:highlight w:val="none"/>
              </w:rPr>
            </w:pPr>
            <w:r>
              <w:rPr>
                <w:rFonts w:eastAsia="仿宋_GB2312"/>
                <w:color w:val="auto"/>
                <w:szCs w:val="21"/>
                <w:highlight w:val="none"/>
              </w:rPr>
              <w:t>菠菜</w:t>
            </w:r>
            <w:r>
              <w:rPr>
                <w:rFonts w:hint="eastAsia" w:eastAsia="仿宋_GB2312"/>
                <w:color w:val="auto"/>
                <w:kern w:val="0"/>
                <w:szCs w:val="21"/>
                <w:highlight w:val="none"/>
              </w:rPr>
              <w:t>*</w:t>
            </w:r>
          </w:p>
        </w:tc>
        <w:tc>
          <w:tcPr>
            <w:tcW w:w="279" w:type="pct"/>
            <w:noWrap w:val="0"/>
            <w:vAlign w:val="center"/>
          </w:tcPr>
          <w:p w14:paraId="28612298">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786BDAB8">
            <w:pPr>
              <w:spacing w:line="300" w:lineRule="exact"/>
              <w:jc w:val="left"/>
              <w:rPr>
                <w:rFonts w:eastAsia="仿宋_GB2312"/>
                <w:color w:val="auto"/>
                <w:szCs w:val="21"/>
                <w:highlight w:val="none"/>
              </w:rPr>
            </w:pPr>
            <w:r>
              <w:rPr>
                <w:rFonts w:eastAsia="仿宋_GB2312"/>
                <w:color w:val="auto"/>
                <w:szCs w:val="21"/>
                <w:highlight w:val="none"/>
              </w:rPr>
              <w:t>毒死蜱、铬（以 Cr 计）、镉（以 Cd 计）、阿维菌素</w:t>
            </w:r>
          </w:p>
        </w:tc>
        <w:tc>
          <w:tcPr>
            <w:tcW w:w="1051" w:type="pct"/>
            <w:noWrap w:val="0"/>
            <w:vAlign w:val="center"/>
          </w:tcPr>
          <w:p w14:paraId="340C0009">
            <w:pPr>
              <w:spacing w:line="300" w:lineRule="exact"/>
              <w:jc w:val="left"/>
              <w:rPr>
                <w:rFonts w:eastAsia="仿宋_GB2312"/>
                <w:color w:val="auto"/>
                <w:szCs w:val="21"/>
                <w:highlight w:val="none"/>
              </w:rPr>
            </w:pPr>
            <w:r>
              <w:rPr>
                <w:rFonts w:eastAsia="仿宋_GB2312"/>
                <w:color w:val="auto"/>
                <w:szCs w:val="21"/>
                <w:highlight w:val="none"/>
              </w:rPr>
              <w:t>克百威、铅（ 以 Pb 计）</w:t>
            </w:r>
          </w:p>
        </w:tc>
      </w:tr>
      <w:tr w14:paraId="3E3C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ABDB4F3">
            <w:pPr>
              <w:spacing w:line="300" w:lineRule="exact"/>
              <w:jc w:val="center"/>
              <w:rPr>
                <w:rFonts w:eastAsia="仿宋_GB2312"/>
                <w:color w:val="auto"/>
                <w:szCs w:val="21"/>
                <w:highlight w:val="none"/>
              </w:rPr>
            </w:pPr>
          </w:p>
        </w:tc>
        <w:tc>
          <w:tcPr>
            <w:tcW w:w="360" w:type="pct"/>
            <w:vMerge w:val="continue"/>
            <w:noWrap w:val="0"/>
            <w:vAlign w:val="center"/>
          </w:tcPr>
          <w:p w14:paraId="52C3D8C6">
            <w:pPr>
              <w:spacing w:line="300" w:lineRule="exact"/>
              <w:jc w:val="center"/>
              <w:rPr>
                <w:rFonts w:eastAsia="仿宋_GB2312"/>
                <w:color w:val="auto"/>
                <w:szCs w:val="21"/>
                <w:highlight w:val="none"/>
              </w:rPr>
            </w:pPr>
          </w:p>
        </w:tc>
        <w:tc>
          <w:tcPr>
            <w:tcW w:w="360" w:type="pct"/>
            <w:vMerge w:val="continue"/>
            <w:noWrap w:val="0"/>
            <w:vAlign w:val="center"/>
          </w:tcPr>
          <w:p w14:paraId="301D5013">
            <w:pPr>
              <w:spacing w:line="300" w:lineRule="exact"/>
              <w:jc w:val="center"/>
              <w:rPr>
                <w:rFonts w:eastAsia="仿宋_GB2312"/>
                <w:color w:val="auto"/>
                <w:szCs w:val="21"/>
                <w:highlight w:val="none"/>
              </w:rPr>
            </w:pPr>
          </w:p>
        </w:tc>
        <w:tc>
          <w:tcPr>
            <w:tcW w:w="438" w:type="pct"/>
            <w:vMerge w:val="continue"/>
            <w:noWrap w:val="0"/>
            <w:vAlign w:val="center"/>
          </w:tcPr>
          <w:p w14:paraId="62DD82A1">
            <w:pPr>
              <w:spacing w:line="300" w:lineRule="exact"/>
              <w:jc w:val="center"/>
              <w:rPr>
                <w:rFonts w:eastAsia="仿宋_GB2312"/>
                <w:color w:val="auto"/>
                <w:szCs w:val="21"/>
                <w:highlight w:val="none"/>
              </w:rPr>
            </w:pPr>
          </w:p>
        </w:tc>
        <w:tc>
          <w:tcPr>
            <w:tcW w:w="607" w:type="pct"/>
            <w:noWrap w:val="0"/>
            <w:vAlign w:val="center"/>
          </w:tcPr>
          <w:p w14:paraId="513300A9">
            <w:pPr>
              <w:spacing w:line="300" w:lineRule="exact"/>
              <w:jc w:val="center"/>
              <w:rPr>
                <w:rFonts w:eastAsia="仿宋_GB2312"/>
                <w:color w:val="auto"/>
                <w:szCs w:val="21"/>
                <w:highlight w:val="none"/>
              </w:rPr>
            </w:pPr>
            <w:r>
              <w:rPr>
                <w:rFonts w:eastAsia="仿宋_GB2312"/>
                <w:color w:val="auto"/>
                <w:szCs w:val="21"/>
                <w:highlight w:val="none"/>
              </w:rPr>
              <w:t>大白菜</w:t>
            </w:r>
          </w:p>
        </w:tc>
        <w:tc>
          <w:tcPr>
            <w:tcW w:w="279" w:type="pct"/>
            <w:noWrap w:val="0"/>
            <w:vAlign w:val="center"/>
          </w:tcPr>
          <w:p w14:paraId="2794934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77785736">
            <w:pPr>
              <w:spacing w:line="300" w:lineRule="exact"/>
              <w:jc w:val="left"/>
              <w:rPr>
                <w:rFonts w:eastAsia="仿宋_GB2312"/>
                <w:color w:val="auto"/>
                <w:szCs w:val="21"/>
                <w:highlight w:val="none"/>
              </w:rPr>
            </w:pPr>
            <w:r>
              <w:rPr>
                <w:rFonts w:eastAsia="仿宋_GB2312"/>
                <w:color w:val="auto"/>
                <w:szCs w:val="21"/>
                <w:highlight w:val="none"/>
              </w:rPr>
              <w:t>镉（以Cd计）、阿维菌素、氟虫腈、氯氟氰菊酯和高效氯氟氰菊酯、克百威、毒死蜱</w:t>
            </w:r>
          </w:p>
        </w:tc>
        <w:tc>
          <w:tcPr>
            <w:tcW w:w="1051" w:type="pct"/>
            <w:noWrap w:val="0"/>
            <w:vAlign w:val="center"/>
          </w:tcPr>
          <w:p w14:paraId="6E5FE151">
            <w:pPr>
              <w:spacing w:line="300" w:lineRule="exact"/>
              <w:jc w:val="left"/>
              <w:rPr>
                <w:rFonts w:eastAsia="仿宋_GB2312"/>
                <w:color w:val="auto"/>
                <w:szCs w:val="21"/>
                <w:highlight w:val="none"/>
              </w:rPr>
            </w:pPr>
            <w:r>
              <w:rPr>
                <w:rFonts w:eastAsia="仿宋_GB2312"/>
                <w:color w:val="auto"/>
                <w:szCs w:val="21"/>
                <w:highlight w:val="none"/>
              </w:rPr>
              <w:t>氧乐果、吡虫啉</w:t>
            </w:r>
          </w:p>
        </w:tc>
      </w:tr>
      <w:tr w14:paraId="4DA8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6004CD3">
            <w:pPr>
              <w:spacing w:line="300" w:lineRule="exact"/>
              <w:jc w:val="center"/>
              <w:rPr>
                <w:rFonts w:eastAsia="仿宋_GB2312"/>
                <w:color w:val="auto"/>
                <w:szCs w:val="21"/>
                <w:highlight w:val="none"/>
              </w:rPr>
            </w:pPr>
          </w:p>
        </w:tc>
        <w:tc>
          <w:tcPr>
            <w:tcW w:w="360" w:type="pct"/>
            <w:vMerge w:val="continue"/>
            <w:noWrap w:val="0"/>
            <w:vAlign w:val="center"/>
          </w:tcPr>
          <w:p w14:paraId="2C41B554">
            <w:pPr>
              <w:spacing w:line="300" w:lineRule="exact"/>
              <w:jc w:val="center"/>
              <w:rPr>
                <w:rFonts w:eastAsia="仿宋_GB2312"/>
                <w:color w:val="auto"/>
                <w:szCs w:val="21"/>
                <w:highlight w:val="none"/>
              </w:rPr>
            </w:pPr>
          </w:p>
        </w:tc>
        <w:tc>
          <w:tcPr>
            <w:tcW w:w="360" w:type="pct"/>
            <w:vMerge w:val="continue"/>
            <w:noWrap w:val="0"/>
            <w:vAlign w:val="center"/>
          </w:tcPr>
          <w:p w14:paraId="767BE56D">
            <w:pPr>
              <w:spacing w:line="300" w:lineRule="exact"/>
              <w:jc w:val="center"/>
              <w:rPr>
                <w:rFonts w:eastAsia="仿宋_GB2312"/>
                <w:color w:val="auto"/>
                <w:szCs w:val="21"/>
                <w:highlight w:val="none"/>
              </w:rPr>
            </w:pPr>
          </w:p>
        </w:tc>
        <w:tc>
          <w:tcPr>
            <w:tcW w:w="438" w:type="pct"/>
            <w:vMerge w:val="continue"/>
            <w:noWrap w:val="0"/>
            <w:vAlign w:val="center"/>
          </w:tcPr>
          <w:p w14:paraId="1F2285B4">
            <w:pPr>
              <w:spacing w:line="300" w:lineRule="exact"/>
              <w:jc w:val="center"/>
              <w:rPr>
                <w:rFonts w:eastAsia="仿宋_GB2312"/>
                <w:color w:val="auto"/>
                <w:szCs w:val="21"/>
                <w:highlight w:val="none"/>
              </w:rPr>
            </w:pPr>
          </w:p>
        </w:tc>
        <w:tc>
          <w:tcPr>
            <w:tcW w:w="607" w:type="pct"/>
            <w:noWrap w:val="0"/>
            <w:vAlign w:val="center"/>
          </w:tcPr>
          <w:p w14:paraId="27B6FBF7">
            <w:pPr>
              <w:spacing w:line="300" w:lineRule="exact"/>
              <w:jc w:val="center"/>
              <w:rPr>
                <w:rFonts w:eastAsia="仿宋_GB2312"/>
                <w:color w:val="auto"/>
                <w:szCs w:val="21"/>
                <w:highlight w:val="none"/>
              </w:rPr>
            </w:pPr>
            <w:r>
              <w:rPr>
                <w:rFonts w:eastAsia="仿宋_GB2312"/>
                <w:color w:val="auto"/>
                <w:szCs w:val="21"/>
                <w:highlight w:val="none"/>
              </w:rPr>
              <w:t>普通白菜</w:t>
            </w:r>
            <w:r>
              <w:rPr>
                <w:rFonts w:hint="eastAsia" w:eastAsia="仿宋_GB2312"/>
                <w:color w:val="auto"/>
                <w:kern w:val="0"/>
                <w:szCs w:val="21"/>
                <w:highlight w:val="none"/>
              </w:rPr>
              <w:t>*</w:t>
            </w:r>
            <w:r>
              <w:rPr>
                <w:rFonts w:eastAsia="仿宋_GB2312"/>
                <w:color w:val="auto"/>
                <w:szCs w:val="21"/>
                <w:highlight w:val="none"/>
              </w:rPr>
              <w:t>（小白菜、小油菜、青菜）</w:t>
            </w:r>
          </w:p>
        </w:tc>
        <w:tc>
          <w:tcPr>
            <w:tcW w:w="279" w:type="pct"/>
            <w:noWrap w:val="0"/>
            <w:vAlign w:val="center"/>
          </w:tcPr>
          <w:p w14:paraId="36ADD2DF">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5B18D279">
            <w:pPr>
              <w:spacing w:line="300" w:lineRule="exact"/>
              <w:jc w:val="left"/>
              <w:rPr>
                <w:rFonts w:eastAsia="仿宋_GB2312"/>
                <w:color w:val="auto"/>
                <w:szCs w:val="21"/>
                <w:highlight w:val="none"/>
              </w:rPr>
            </w:pPr>
            <w:r>
              <w:rPr>
                <w:rFonts w:eastAsia="仿宋_GB2312"/>
                <w:color w:val="auto"/>
                <w:szCs w:val="21"/>
                <w:highlight w:val="none"/>
              </w:rPr>
              <w:t>毒死蜱、啶虫脒、氟虫腈、阿维菌素、吡虫啉</w:t>
            </w:r>
          </w:p>
        </w:tc>
        <w:tc>
          <w:tcPr>
            <w:tcW w:w="1051" w:type="pct"/>
            <w:noWrap w:val="0"/>
            <w:vAlign w:val="center"/>
          </w:tcPr>
          <w:p w14:paraId="1B94CD23">
            <w:pPr>
              <w:spacing w:line="300" w:lineRule="exact"/>
              <w:jc w:val="left"/>
              <w:rPr>
                <w:rFonts w:eastAsia="仿宋_GB2312"/>
                <w:color w:val="auto"/>
                <w:szCs w:val="21"/>
                <w:highlight w:val="none"/>
              </w:rPr>
            </w:pPr>
            <w:r>
              <w:rPr>
                <w:rFonts w:eastAsia="仿宋_GB2312"/>
                <w:color w:val="auto"/>
                <w:szCs w:val="21"/>
                <w:highlight w:val="none"/>
              </w:rPr>
              <w:t>镉（以 Cd 计）、氧乐果</w:t>
            </w:r>
          </w:p>
        </w:tc>
      </w:tr>
      <w:tr w14:paraId="56C5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FFC9334">
            <w:pPr>
              <w:spacing w:line="300" w:lineRule="exact"/>
              <w:jc w:val="center"/>
              <w:rPr>
                <w:rFonts w:eastAsia="仿宋_GB2312"/>
                <w:color w:val="auto"/>
                <w:szCs w:val="21"/>
                <w:highlight w:val="none"/>
              </w:rPr>
            </w:pPr>
          </w:p>
        </w:tc>
        <w:tc>
          <w:tcPr>
            <w:tcW w:w="360" w:type="pct"/>
            <w:vMerge w:val="continue"/>
            <w:noWrap w:val="0"/>
            <w:vAlign w:val="center"/>
          </w:tcPr>
          <w:p w14:paraId="53DB217E">
            <w:pPr>
              <w:spacing w:line="300" w:lineRule="exact"/>
              <w:jc w:val="center"/>
              <w:rPr>
                <w:rFonts w:eastAsia="仿宋_GB2312"/>
                <w:color w:val="auto"/>
                <w:szCs w:val="21"/>
                <w:highlight w:val="none"/>
              </w:rPr>
            </w:pPr>
          </w:p>
        </w:tc>
        <w:tc>
          <w:tcPr>
            <w:tcW w:w="360" w:type="pct"/>
            <w:vMerge w:val="continue"/>
            <w:noWrap w:val="0"/>
            <w:vAlign w:val="center"/>
          </w:tcPr>
          <w:p w14:paraId="0F8A2D25">
            <w:pPr>
              <w:spacing w:line="300" w:lineRule="exact"/>
              <w:jc w:val="center"/>
              <w:rPr>
                <w:rFonts w:eastAsia="仿宋_GB2312"/>
                <w:color w:val="auto"/>
                <w:szCs w:val="21"/>
                <w:highlight w:val="none"/>
              </w:rPr>
            </w:pPr>
          </w:p>
        </w:tc>
        <w:tc>
          <w:tcPr>
            <w:tcW w:w="438" w:type="pct"/>
            <w:vMerge w:val="continue"/>
            <w:noWrap w:val="0"/>
            <w:vAlign w:val="center"/>
          </w:tcPr>
          <w:p w14:paraId="790E11B3">
            <w:pPr>
              <w:spacing w:line="300" w:lineRule="exact"/>
              <w:jc w:val="center"/>
              <w:rPr>
                <w:rFonts w:eastAsia="仿宋_GB2312"/>
                <w:color w:val="auto"/>
                <w:szCs w:val="21"/>
                <w:highlight w:val="none"/>
              </w:rPr>
            </w:pPr>
          </w:p>
        </w:tc>
        <w:tc>
          <w:tcPr>
            <w:tcW w:w="607" w:type="pct"/>
            <w:noWrap w:val="0"/>
            <w:vAlign w:val="center"/>
          </w:tcPr>
          <w:p w14:paraId="49C25D6C">
            <w:pPr>
              <w:spacing w:line="300" w:lineRule="exact"/>
              <w:jc w:val="center"/>
              <w:rPr>
                <w:rFonts w:eastAsia="仿宋_GB2312"/>
                <w:color w:val="auto"/>
                <w:szCs w:val="21"/>
                <w:highlight w:val="none"/>
              </w:rPr>
            </w:pPr>
            <w:r>
              <w:rPr>
                <w:rFonts w:eastAsia="仿宋_GB2312"/>
                <w:color w:val="auto"/>
                <w:szCs w:val="21"/>
                <w:highlight w:val="none"/>
              </w:rPr>
              <w:t>芹菜</w:t>
            </w:r>
            <w:r>
              <w:rPr>
                <w:rFonts w:hint="eastAsia" w:eastAsia="仿宋_GB2312"/>
                <w:color w:val="auto"/>
                <w:kern w:val="0"/>
                <w:szCs w:val="21"/>
                <w:highlight w:val="none"/>
              </w:rPr>
              <w:t>*</w:t>
            </w:r>
          </w:p>
        </w:tc>
        <w:tc>
          <w:tcPr>
            <w:tcW w:w="279" w:type="pct"/>
            <w:noWrap w:val="0"/>
            <w:vAlign w:val="center"/>
          </w:tcPr>
          <w:p w14:paraId="53671962">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46CFCE7D">
            <w:pPr>
              <w:spacing w:line="300" w:lineRule="exact"/>
              <w:jc w:val="left"/>
              <w:rPr>
                <w:rFonts w:eastAsia="仿宋_GB2312"/>
                <w:color w:val="auto"/>
                <w:szCs w:val="21"/>
                <w:highlight w:val="none"/>
              </w:rPr>
            </w:pPr>
            <w:r>
              <w:rPr>
                <w:rFonts w:eastAsia="仿宋_GB2312"/>
                <w:color w:val="auto"/>
                <w:szCs w:val="21"/>
                <w:highlight w:val="none"/>
              </w:rPr>
              <w:t>噻虫胺、毒死蜱、氧乐果、甲拌磷、噻虫嗪、氯氟氰菊酯和高效氯氟氰菊酯、辛硫磷</w:t>
            </w:r>
          </w:p>
        </w:tc>
        <w:tc>
          <w:tcPr>
            <w:tcW w:w="1051" w:type="pct"/>
            <w:noWrap w:val="0"/>
            <w:vAlign w:val="center"/>
          </w:tcPr>
          <w:p w14:paraId="647B523E">
            <w:pPr>
              <w:spacing w:line="300" w:lineRule="exact"/>
              <w:jc w:val="left"/>
              <w:rPr>
                <w:rFonts w:eastAsia="仿宋_GB2312"/>
                <w:color w:val="auto"/>
                <w:szCs w:val="21"/>
                <w:highlight w:val="none"/>
              </w:rPr>
            </w:pPr>
            <w:r>
              <w:rPr>
                <w:rFonts w:eastAsia="仿宋_GB2312"/>
                <w:color w:val="auto"/>
                <w:szCs w:val="21"/>
                <w:highlight w:val="none"/>
              </w:rPr>
              <w:t>铅（以 Pb 计）、镉（以 Cd 计）、阿维菌素、百菌清、啶虫脒、氟虫腈、甲基异柳磷、克百威</w:t>
            </w:r>
          </w:p>
        </w:tc>
      </w:tr>
      <w:tr w14:paraId="00A4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8E6C256">
            <w:pPr>
              <w:spacing w:line="300" w:lineRule="exact"/>
              <w:jc w:val="center"/>
              <w:rPr>
                <w:rFonts w:eastAsia="仿宋_GB2312"/>
                <w:color w:val="auto"/>
                <w:szCs w:val="21"/>
                <w:highlight w:val="none"/>
              </w:rPr>
            </w:pPr>
          </w:p>
        </w:tc>
        <w:tc>
          <w:tcPr>
            <w:tcW w:w="360" w:type="pct"/>
            <w:vMerge w:val="continue"/>
            <w:noWrap w:val="0"/>
            <w:vAlign w:val="center"/>
          </w:tcPr>
          <w:p w14:paraId="28BC50A3">
            <w:pPr>
              <w:spacing w:line="300" w:lineRule="exact"/>
              <w:jc w:val="center"/>
              <w:rPr>
                <w:rFonts w:eastAsia="仿宋_GB2312"/>
                <w:color w:val="auto"/>
                <w:szCs w:val="21"/>
                <w:highlight w:val="none"/>
              </w:rPr>
            </w:pPr>
          </w:p>
        </w:tc>
        <w:tc>
          <w:tcPr>
            <w:tcW w:w="360" w:type="pct"/>
            <w:vMerge w:val="continue"/>
            <w:noWrap w:val="0"/>
            <w:vAlign w:val="center"/>
          </w:tcPr>
          <w:p w14:paraId="04BA6739">
            <w:pPr>
              <w:spacing w:line="300" w:lineRule="exact"/>
              <w:jc w:val="center"/>
              <w:rPr>
                <w:rFonts w:eastAsia="仿宋_GB2312"/>
                <w:color w:val="auto"/>
                <w:szCs w:val="21"/>
                <w:highlight w:val="none"/>
              </w:rPr>
            </w:pPr>
          </w:p>
        </w:tc>
        <w:tc>
          <w:tcPr>
            <w:tcW w:w="438" w:type="pct"/>
            <w:vMerge w:val="continue"/>
            <w:noWrap w:val="0"/>
            <w:vAlign w:val="center"/>
          </w:tcPr>
          <w:p w14:paraId="4198ACC9">
            <w:pPr>
              <w:spacing w:line="300" w:lineRule="exact"/>
              <w:jc w:val="center"/>
              <w:rPr>
                <w:rFonts w:eastAsia="仿宋_GB2312"/>
                <w:color w:val="auto"/>
                <w:szCs w:val="21"/>
                <w:highlight w:val="none"/>
              </w:rPr>
            </w:pPr>
          </w:p>
        </w:tc>
        <w:tc>
          <w:tcPr>
            <w:tcW w:w="607" w:type="pct"/>
            <w:noWrap w:val="0"/>
            <w:vAlign w:val="center"/>
          </w:tcPr>
          <w:p w14:paraId="32C45837">
            <w:pPr>
              <w:spacing w:line="300" w:lineRule="exact"/>
              <w:jc w:val="center"/>
              <w:rPr>
                <w:rFonts w:eastAsia="仿宋_GB2312"/>
                <w:color w:val="auto"/>
                <w:szCs w:val="21"/>
                <w:highlight w:val="none"/>
              </w:rPr>
            </w:pPr>
            <w:r>
              <w:rPr>
                <w:rFonts w:eastAsia="仿宋_GB2312"/>
                <w:color w:val="auto"/>
                <w:szCs w:val="21"/>
                <w:highlight w:val="none"/>
              </w:rPr>
              <w:t>叶芥菜</w:t>
            </w:r>
          </w:p>
        </w:tc>
        <w:tc>
          <w:tcPr>
            <w:tcW w:w="279" w:type="pct"/>
            <w:noWrap w:val="0"/>
            <w:vAlign w:val="center"/>
          </w:tcPr>
          <w:p w14:paraId="47A3368F">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278F3B8D">
            <w:pPr>
              <w:spacing w:line="300" w:lineRule="exact"/>
              <w:jc w:val="left"/>
              <w:rPr>
                <w:rFonts w:eastAsia="仿宋_GB2312"/>
                <w:color w:val="auto"/>
                <w:szCs w:val="21"/>
                <w:highlight w:val="none"/>
              </w:rPr>
            </w:pPr>
            <w:r>
              <w:rPr>
                <w:rFonts w:eastAsia="仿宋_GB2312"/>
                <w:color w:val="auto"/>
                <w:szCs w:val="21"/>
                <w:highlight w:val="none"/>
              </w:rPr>
              <w:t>啶虫脒、氧乐果、氯氰菊酯和高效氯氰菊酯、联苯菊酯、阿维菌素、毒死蜱</w:t>
            </w:r>
          </w:p>
        </w:tc>
        <w:tc>
          <w:tcPr>
            <w:tcW w:w="1051" w:type="pct"/>
            <w:noWrap w:val="0"/>
            <w:vAlign w:val="center"/>
          </w:tcPr>
          <w:p w14:paraId="2E0D6536">
            <w:pPr>
              <w:spacing w:line="300" w:lineRule="exact"/>
              <w:jc w:val="left"/>
              <w:rPr>
                <w:rFonts w:eastAsia="仿宋_GB2312"/>
                <w:color w:val="auto"/>
                <w:szCs w:val="21"/>
                <w:highlight w:val="none"/>
              </w:rPr>
            </w:pPr>
            <w:r>
              <w:rPr>
                <w:rFonts w:eastAsia="仿宋_GB2312"/>
                <w:color w:val="auto"/>
                <w:szCs w:val="21"/>
                <w:highlight w:val="none"/>
              </w:rPr>
              <w:t>噻虫胺</w:t>
            </w:r>
          </w:p>
        </w:tc>
      </w:tr>
      <w:tr w14:paraId="422E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D70D67F">
            <w:pPr>
              <w:spacing w:line="300" w:lineRule="exact"/>
              <w:jc w:val="center"/>
              <w:rPr>
                <w:rFonts w:eastAsia="仿宋_GB2312"/>
                <w:color w:val="auto"/>
                <w:szCs w:val="21"/>
                <w:highlight w:val="none"/>
              </w:rPr>
            </w:pPr>
          </w:p>
        </w:tc>
        <w:tc>
          <w:tcPr>
            <w:tcW w:w="360" w:type="pct"/>
            <w:vMerge w:val="continue"/>
            <w:noWrap w:val="0"/>
            <w:vAlign w:val="center"/>
          </w:tcPr>
          <w:p w14:paraId="481F48D0">
            <w:pPr>
              <w:spacing w:line="300" w:lineRule="exact"/>
              <w:jc w:val="center"/>
              <w:rPr>
                <w:rFonts w:eastAsia="仿宋_GB2312"/>
                <w:color w:val="auto"/>
                <w:szCs w:val="21"/>
                <w:highlight w:val="none"/>
              </w:rPr>
            </w:pPr>
          </w:p>
        </w:tc>
        <w:tc>
          <w:tcPr>
            <w:tcW w:w="360" w:type="pct"/>
            <w:vMerge w:val="continue"/>
            <w:noWrap w:val="0"/>
            <w:vAlign w:val="center"/>
          </w:tcPr>
          <w:p w14:paraId="1203BA9A">
            <w:pPr>
              <w:spacing w:line="300" w:lineRule="exact"/>
              <w:jc w:val="center"/>
              <w:rPr>
                <w:rFonts w:eastAsia="仿宋_GB2312"/>
                <w:color w:val="auto"/>
                <w:szCs w:val="21"/>
                <w:highlight w:val="none"/>
              </w:rPr>
            </w:pPr>
          </w:p>
        </w:tc>
        <w:tc>
          <w:tcPr>
            <w:tcW w:w="438" w:type="pct"/>
            <w:vMerge w:val="continue"/>
            <w:noWrap w:val="0"/>
            <w:vAlign w:val="center"/>
          </w:tcPr>
          <w:p w14:paraId="4861C147">
            <w:pPr>
              <w:spacing w:line="300" w:lineRule="exact"/>
              <w:jc w:val="center"/>
              <w:rPr>
                <w:rFonts w:eastAsia="仿宋_GB2312"/>
                <w:color w:val="auto"/>
                <w:szCs w:val="21"/>
                <w:highlight w:val="none"/>
              </w:rPr>
            </w:pPr>
          </w:p>
        </w:tc>
        <w:tc>
          <w:tcPr>
            <w:tcW w:w="607" w:type="pct"/>
            <w:noWrap w:val="0"/>
            <w:vAlign w:val="center"/>
          </w:tcPr>
          <w:p w14:paraId="5C5BFAD1">
            <w:pPr>
              <w:spacing w:line="300" w:lineRule="exact"/>
              <w:jc w:val="center"/>
              <w:rPr>
                <w:rFonts w:eastAsia="仿宋_GB2312"/>
                <w:color w:val="auto"/>
                <w:szCs w:val="21"/>
                <w:highlight w:val="none"/>
              </w:rPr>
            </w:pPr>
            <w:r>
              <w:rPr>
                <w:rFonts w:eastAsia="仿宋_GB2312"/>
                <w:color w:val="auto"/>
                <w:szCs w:val="21"/>
                <w:highlight w:val="none"/>
              </w:rPr>
              <w:t>蕹菜</w:t>
            </w:r>
          </w:p>
        </w:tc>
        <w:tc>
          <w:tcPr>
            <w:tcW w:w="279" w:type="pct"/>
            <w:noWrap w:val="0"/>
            <w:vAlign w:val="center"/>
          </w:tcPr>
          <w:p w14:paraId="115826B8">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E248248">
            <w:pPr>
              <w:spacing w:line="300" w:lineRule="exact"/>
              <w:jc w:val="left"/>
              <w:rPr>
                <w:rFonts w:eastAsia="仿宋_GB2312"/>
                <w:color w:val="auto"/>
                <w:szCs w:val="21"/>
                <w:highlight w:val="none"/>
              </w:rPr>
            </w:pPr>
            <w:r>
              <w:rPr>
                <w:rFonts w:eastAsia="仿宋_GB2312"/>
                <w:color w:val="auto"/>
                <w:szCs w:val="21"/>
                <w:highlight w:val="none"/>
              </w:rPr>
              <w:t>氟虫腈、毒死蜱、甲氨基阿维菌素苯甲酸盐、倍硫磷、甲拌磷、氧乐果</w:t>
            </w:r>
          </w:p>
        </w:tc>
        <w:tc>
          <w:tcPr>
            <w:tcW w:w="1051" w:type="pct"/>
            <w:noWrap w:val="0"/>
            <w:vAlign w:val="center"/>
          </w:tcPr>
          <w:p w14:paraId="67A70D02">
            <w:pPr>
              <w:spacing w:line="300" w:lineRule="exact"/>
              <w:jc w:val="left"/>
              <w:rPr>
                <w:rFonts w:eastAsia="仿宋_GB2312"/>
                <w:color w:val="auto"/>
                <w:szCs w:val="21"/>
                <w:highlight w:val="none"/>
              </w:rPr>
            </w:pPr>
            <w:r>
              <w:rPr>
                <w:rFonts w:eastAsia="仿宋_GB2312"/>
                <w:color w:val="auto"/>
                <w:szCs w:val="21"/>
                <w:highlight w:val="none"/>
              </w:rPr>
              <w:t>阿维菌素</w:t>
            </w:r>
          </w:p>
        </w:tc>
      </w:tr>
      <w:tr w14:paraId="428D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0AAC07CE">
            <w:pPr>
              <w:spacing w:line="300" w:lineRule="exact"/>
              <w:jc w:val="center"/>
              <w:rPr>
                <w:rFonts w:eastAsia="仿宋_GB2312"/>
                <w:color w:val="auto"/>
                <w:szCs w:val="21"/>
                <w:highlight w:val="none"/>
              </w:rPr>
            </w:pPr>
          </w:p>
        </w:tc>
        <w:tc>
          <w:tcPr>
            <w:tcW w:w="360" w:type="pct"/>
            <w:vMerge w:val="continue"/>
            <w:noWrap w:val="0"/>
            <w:vAlign w:val="center"/>
          </w:tcPr>
          <w:p w14:paraId="51FA57DB">
            <w:pPr>
              <w:spacing w:line="300" w:lineRule="exact"/>
              <w:jc w:val="center"/>
              <w:rPr>
                <w:rFonts w:eastAsia="仿宋_GB2312"/>
                <w:color w:val="auto"/>
                <w:szCs w:val="21"/>
                <w:highlight w:val="none"/>
              </w:rPr>
            </w:pPr>
          </w:p>
        </w:tc>
        <w:tc>
          <w:tcPr>
            <w:tcW w:w="360" w:type="pct"/>
            <w:vMerge w:val="continue"/>
            <w:noWrap w:val="0"/>
            <w:vAlign w:val="center"/>
          </w:tcPr>
          <w:p w14:paraId="67647710">
            <w:pPr>
              <w:spacing w:line="300" w:lineRule="exact"/>
              <w:jc w:val="center"/>
              <w:rPr>
                <w:rFonts w:eastAsia="仿宋_GB2312"/>
                <w:color w:val="auto"/>
                <w:szCs w:val="21"/>
                <w:highlight w:val="none"/>
              </w:rPr>
            </w:pPr>
          </w:p>
        </w:tc>
        <w:tc>
          <w:tcPr>
            <w:tcW w:w="438" w:type="pct"/>
            <w:vMerge w:val="continue"/>
            <w:noWrap w:val="0"/>
            <w:vAlign w:val="center"/>
          </w:tcPr>
          <w:p w14:paraId="6C49D335">
            <w:pPr>
              <w:spacing w:line="300" w:lineRule="exact"/>
              <w:jc w:val="center"/>
              <w:rPr>
                <w:rFonts w:eastAsia="仿宋_GB2312"/>
                <w:color w:val="auto"/>
                <w:szCs w:val="21"/>
                <w:highlight w:val="none"/>
              </w:rPr>
            </w:pPr>
          </w:p>
        </w:tc>
        <w:tc>
          <w:tcPr>
            <w:tcW w:w="607" w:type="pct"/>
            <w:noWrap w:val="0"/>
            <w:vAlign w:val="center"/>
          </w:tcPr>
          <w:p w14:paraId="6C206AB6">
            <w:pPr>
              <w:spacing w:line="300" w:lineRule="exact"/>
              <w:jc w:val="center"/>
              <w:rPr>
                <w:rFonts w:eastAsia="仿宋_GB2312"/>
                <w:color w:val="auto"/>
                <w:szCs w:val="21"/>
                <w:highlight w:val="none"/>
              </w:rPr>
            </w:pPr>
            <w:r>
              <w:rPr>
                <w:rFonts w:eastAsia="仿宋_GB2312"/>
                <w:color w:val="auto"/>
                <w:szCs w:val="21"/>
                <w:highlight w:val="none"/>
              </w:rPr>
              <w:t>油麦菜</w:t>
            </w:r>
            <w:r>
              <w:rPr>
                <w:rFonts w:hint="eastAsia" w:eastAsia="仿宋_GB2312"/>
                <w:color w:val="auto"/>
                <w:kern w:val="0"/>
                <w:szCs w:val="21"/>
                <w:highlight w:val="none"/>
              </w:rPr>
              <w:t>*</w:t>
            </w:r>
          </w:p>
        </w:tc>
        <w:tc>
          <w:tcPr>
            <w:tcW w:w="279" w:type="pct"/>
            <w:noWrap w:val="0"/>
            <w:vAlign w:val="center"/>
          </w:tcPr>
          <w:p w14:paraId="3FF7638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A5899DA">
            <w:pPr>
              <w:spacing w:line="300" w:lineRule="exact"/>
              <w:jc w:val="left"/>
              <w:rPr>
                <w:rFonts w:eastAsia="仿宋_GB2312"/>
                <w:color w:val="auto"/>
                <w:szCs w:val="21"/>
                <w:highlight w:val="none"/>
              </w:rPr>
            </w:pPr>
            <w:r>
              <w:rPr>
                <w:rFonts w:eastAsia="仿宋_GB2312"/>
                <w:color w:val="auto"/>
                <w:szCs w:val="21"/>
                <w:highlight w:val="none"/>
              </w:rPr>
              <w:t>阿维菌素、甲氨基阿维菌素苯甲酸盐、腈菌唑、毒死蜱</w:t>
            </w:r>
          </w:p>
        </w:tc>
        <w:tc>
          <w:tcPr>
            <w:tcW w:w="1051" w:type="pct"/>
            <w:noWrap w:val="0"/>
            <w:vAlign w:val="center"/>
          </w:tcPr>
          <w:p w14:paraId="7998BCB2">
            <w:pPr>
              <w:spacing w:line="300" w:lineRule="exact"/>
              <w:jc w:val="left"/>
              <w:rPr>
                <w:rFonts w:eastAsia="仿宋_GB2312"/>
                <w:color w:val="auto"/>
                <w:szCs w:val="21"/>
                <w:highlight w:val="none"/>
              </w:rPr>
            </w:pPr>
            <w:r>
              <w:rPr>
                <w:rFonts w:eastAsia="仿宋_GB2312"/>
                <w:color w:val="auto"/>
                <w:szCs w:val="21"/>
                <w:highlight w:val="none"/>
              </w:rPr>
              <w:t>氟虫腈、氧乐果、乙酰甲胺磷</w:t>
            </w:r>
          </w:p>
        </w:tc>
      </w:tr>
      <w:tr w14:paraId="6142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 w:type="pct"/>
            <w:vMerge w:val="continue"/>
            <w:noWrap w:val="0"/>
            <w:vAlign w:val="center"/>
          </w:tcPr>
          <w:p w14:paraId="108FAB23">
            <w:pPr>
              <w:spacing w:line="300" w:lineRule="exact"/>
              <w:jc w:val="center"/>
              <w:rPr>
                <w:rFonts w:eastAsia="仿宋_GB2312"/>
                <w:color w:val="auto"/>
                <w:szCs w:val="21"/>
                <w:highlight w:val="none"/>
              </w:rPr>
            </w:pPr>
          </w:p>
        </w:tc>
        <w:tc>
          <w:tcPr>
            <w:tcW w:w="360" w:type="pct"/>
            <w:vMerge w:val="continue"/>
            <w:noWrap w:val="0"/>
            <w:vAlign w:val="center"/>
          </w:tcPr>
          <w:p w14:paraId="217F465F">
            <w:pPr>
              <w:spacing w:line="300" w:lineRule="exact"/>
              <w:jc w:val="center"/>
              <w:rPr>
                <w:rFonts w:eastAsia="仿宋_GB2312"/>
                <w:color w:val="auto"/>
                <w:szCs w:val="21"/>
                <w:highlight w:val="none"/>
              </w:rPr>
            </w:pPr>
          </w:p>
        </w:tc>
        <w:tc>
          <w:tcPr>
            <w:tcW w:w="360" w:type="pct"/>
            <w:vMerge w:val="continue"/>
            <w:noWrap w:val="0"/>
            <w:vAlign w:val="center"/>
          </w:tcPr>
          <w:p w14:paraId="5F0A9EB3">
            <w:pPr>
              <w:spacing w:line="300" w:lineRule="exact"/>
              <w:jc w:val="center"/>
              <w:rPr>
                <w:rFonts w:eastAsia="仿宋_GB2312"/>
                <w:color w:val="auto"/>
                <w:szCs w:val="21"/>
                <w:highlight w:val="none"/>
              </w:rPr>
            </w:pPr>
          </w:p>
        </w:tc>
        <w:tc>
          <w:tcPr>
            <w:tcW w:w="438" w:type="pct"/>
            <w:vMerge w:val="restart"/>
            <w:noWrap w:val="0"/>
            <w:vAlign w:val="center"/>
          </w:tcPr>
          <w:p w14:paraId="17E7C862">
            <w:pPr>
              <w:spacing w:line="300" w:lineRule="exact"/>
              <w:jc w:val="center"/>
              <w:rPr>
                <w:rFonts w:eastAsia="仿宋_GB2312"/>
                <w:color w:val="auto"/>
                <w:szCs w:val="21"/>
                <w:highlight w:val="none"/>
              </w:rPr>
            </w:pPr>
            <w:r>
              <w:rPr>
                <w:rFonts w:eastAsia="仿宋_GB2312"/>
                <w:color w:val="auto"/>
                <w:szCs w:val="21"/>
                <w:highlight w:val="none"/>
              </w:rPr>
              <w:t>茄果类蔬菜</w:t>
            </w:r>
          </w:p>
        </w:tc>
        <w:tc>
          <w:tcPr>
            <w:tcW w:w="607" w:type="pct"/>
            <w:noWrap w:val="0"/>
            <w:vAlign w:val="center"/>
          </w:tcPr>
          <w:p w14:paraId="0FD1254A">
            <w:pPr>
              <w:spacing w:line="300" w:lineRule="exact"/>
              <w:jc w:val="center"/>
              <w:rPr>
                <w:rFonts w:eastAsia="仿宋_GB2312"/>
                <w:color w:val="auto"/>
                <w:szCs w:val="21"/>
                <w:highlight w:val="none"/>
              </w:rPr>
            </w:pPr>
            <w:r>
              <w:rPr>
                <w:rFonts w:eastAsia="仿宋_GB2312"/>
                <w:color w:val="auto"/>
                <w:szCs w:val="21"/>
                <w:highlight w:val="none"/>
              </w:rPr>
              <w:t>辣椒</w:t>
            </w:r>
            <w:r>
              <w:rPr>
                <w:rFonts w:hint="eastAsia" w:eastAsia="仿宋_GB2312"/>
                <w:color w:val="auto"/>
                <w:kern w:val="0"/>
                <w:szCs w:val="21"/>
                <w:highlight w:val="none"/>
              </w:rPr>
              <w:t>*</w:t>
            </w:r>
          </w:p>
        </w:tc>
        <w:tc>
          <w:tcPr>
            <w:tcW w:w="279" w:type="pct"/>
            <w:noWrap w:val="0"/>
            <w:vAlign w:val="center"/>
          </w:tcPr>
          <w:p w14:paraId="7762BAC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AF86786">
            <w:pPr>
              <w:spacing w:line="300" w:lineRule="exact"/>
              <w:jc w:val="left"/>
              <w:rPr>
                <w:rFonts w:eastAsia="仿宋_GB2312"/>
                <w:color w:val="auto"/>
                <w:szCs w:val="21"/>
                <w:highlight w:val="none"/>
              </w:rPr>
            </w:pPr>
            <w:r>
              <w:rPr>
                <w:rFonts w:eastAsia="仿宋_GB2312"/>
                <w:color w:val="auto"/>
                <w:szCs w:val="21"/>
                <w:highlight w:val="none"/>
              </w:rPr>
              <w:t>噻虫胺、镉（以 Cd 计）、啶虫脒、毒死蜱、呋虫胺、氧乐果、噻虫嗪、倍硫磷</w:t>
            </w:r>
          </w:p>
        </w:tc>
        <w:tc>
          <w:tcPr>
            <w:tcW w:w="1051" w:type="pct"/>
            <w:noWrap w:val="0"/>
            <w:vAlign w:val="center"/>
          </w:tcPr>
          <w:p w14:paraId="5BB50928">
            <w:pPr>
              <w:spacing w:line="300" w:lineRule="exact"/>
              <w:jc w:val="left"/>
              <w:rPr>
                <w:rFonts w:eastAsia="仿宋_GB2312"/>
                <w:color w:val="auto"/>
                <w:szCs w:val="21"/>
                <w:highlight w:val="none"/>
              </w:rPr>
            </w:pPr>
            <w:r>
              <w:rPr>
                <w:rFonts w:eastAsia="仿宋_GB2312"/>
                <w:color w:val="auto"/>
                <w:szCs w:val="21"/>
                <w:highlight w:val="none"/>
              </w:rPr>
              <w:t>氟吡菌胺、克百威、乙酰甲胺磷</w:t>
            </w:r>
          </w:p>
        </w:tc>
      </w:tr>
      <w:tr w14:paraId="4033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5F0C7E4">
            <w:pPr>
              <w:spacing w:line="300" w:lineRule="exact"/>
              <w:jc w:val="center"/>
              <w:rPr>
                <w:rFonts w:eastAsia="仿宋_GB2312"/>
                <w:color w:val="auto"/>
                <w:szCs w:val="21"/>
                <w:highlight w:val="none"/>
              </w:rPr>
            </w:pPr>
          </w:p>
        </w:tc>
        <w:tc>
          <w:tcPr>
            <w:tcW w:w="360" w:type="pct"/>
            <w:vMerge w:val="continue"/>
            <w:noWrap w:val="0"/>
            <w:vAlign w:val="center"/>
          </w:tcPr>
          <w:p w14:paraId="4BC06907">
            <w:pPr>
              <w:spacing w:line="300" w:lineRule="exact"/>
              <w:jc w:val="center"/>
              <w:rPr>
                <w:rFonts w:eastAsia="仿宋_GB2312"/>
                <w:color w:val="auto"/>
                <w:szCs w:val="21"/>
                <w:highlight w:val="none"/>
              </w:rPr>
            </w:pPr>
          </w:p>
        </w:tc>
        <w:tc>
          <w:tcPr>
            <w:tcW w:w="360" w:type="pct"/>
            <w:vMerge w:val="continue"/>
            <w:noWrap w:val="0"/>
            <w:vAlign w:val="center"/>
          </w:tcPr>
          <w:p w14:paraId="3B0B4051">
            <w:pPr>
              <w:spacing w:line="300" w:lineRule="exact"/>
              <w:jc w:val="center"/>
              <w:rPr>
                <w:rFonts w:eastAsia="仿宋_GB2312"/>
                <w:color w:val="auto"/>
                <w:szCs w:val="21"/>
                <w:highlight w:val="none"/>
              </w:rPr>
            </w:pPr>
          </w:p>
        </w:tc>
        <w:tc>
          <w:tcPr>
            <w:tcW w:w="438" w:type="pct"/>
            <w:vMerge w:val="continue"/>
            <w:noWrap w:val="0"/>
            <w:vAlign w:val="center"/>
          </w:tcPr>
          <w:p w14:paraId="7F40617B">
            <w:pPr>
              <w:spacing w:line="300" w:lineRule="exact"/>
              <w:jc w:val="center"/>
              <w:rPr>
                <w:rFonts w:eastAsia="仿宋_GB2312"/>
                <w:color w:val="auto"/>
                <w:szCs w:val="21"/>
                <w:highlight w:val="none"/>
              </w:rPr>
            </w:pPr>
          </w:p>
        </w:tc>
        <w:tc>
          <w:tcPr>
            <w:tcW w:w="607" w:type="pct"/>
            <w:noWrap w:val="0"/>
            <w:vAlign w:val="center"/>
          </w:tcPr>
          <w:p w14:paraId="09CAF77B">
            <w:pPr>
              <w:spacing w:line="300" w:lineRule="exact"/>
              <w:jc w:val="center"/>
              <w:rPr>
                <w:rFonts w:eastAsia="仿宋_GB2312"/>
                <w:color w:val="auto"/>
                <w:szCs w:val="21"/>
                <w:highlight w:val="none"/>
              </w:rPr>
            </w:pPr>
            <w:r>
              <w:rPr>
                <w:rFonts w:eastAsia="仿宋_GB2312"/>
                <w:color w:val="auto"/>
                <w:szCs w:val="21"/>
                <w:highlight w:val="none"/>
              </w:rPr>
              <w:t>茄子</w:t>
            </w:r>
            <w:r>
              <w:rPr>
                <w:rFonts w:hint="eastAsia" w:eastAsia="仿宋_GB2312"/>
                <w:color w:val="auto"/>
                <w:kern w:val="0"/>
                <w:szCs w:val="21"/>
                <w:highlight w:val="none"/>
              </w:rPr>
              <w:t>*</w:t>
            </w:r>
          </w:p>
        </w:tc>
        <w:tc>
          <w:tcPr>
            <w:tcW w:w="279" w:type="pct"/>
            <w:noWrap w:val="0"/>
            <w:vAlign w:val="center"/>
          </w:tcPr>
          <w:p w14:paraId="1B902AC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5E42573C">
            <w:pPr>
              <w:spacing w:line="300" w:lineRule="exact"/>
              <w:jc w:val="left"/>
              <w:rPr>
                <w:rFonts w:eastAsia="仿宋_GB2312"/>
                <w:color w:val="auto"/>
                <w:szCs w:val="21"/>
                <w:highlight w:val="none"/>
              </w:rPr>
            </w:pPr>
            <w:r>
              <w:rPr>
                <w:rFonts w:eastAsia="仿宋_GB2312"/>
                <w:color w:val="auto"/>
                <w:szCs w:val="21"/>
                <w:highlight w:val="none"/>
              </w:rPr>
              <w:t>镉（以 Cd 计）、噻虫胺、噻虫嗪、氧乐果、毒死蜱</w:t>
            </w:r>
          </w:p>
        </w:tc>
        <w:tc>
          <w:tcPr>
            <w:tcW w:w="1051" w:type="pct"/>
            <w:noWrap w:val="0"/>
            <w:vAlign w:val="center"/>
          </w:tcPr>
          <w:p w14:paraId="7AEC5CD9">
            <w:pPr>
              <w:spacing w:line="300" w:lineRule="exact"/>
              <w:jc w:val="left"/>
              <w:rPr>
                <w:rFonts w:eastAsia="仿宋_GB2312"/>
                <w:color w:val="auto"/>
                <w:szCs w:val="21"/>
                <w:highlight w:val="none"/>
              </w:rPr>
            </w:pPr>
            <w:r>
              <w:rPr>
                <w:rFonts w:eastAsia="仿宋_GB2312"/>
                <w:color w:val="auto"/>
                <w:szCs w:val="21"/>
                <w:highlight w:val="none"/>
              </w:rPr>
              <w:t>克百威、水胺硫磷</w:t>
            </w:r>
          </w:p>
        </w:tc>
      </w:tr>
      <w:tr w14:paraId="4C3C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A6FA729">
            <w:pPr>
              <w:spacing w:line="300" w:lineRule="exact"/>
              <w:jc w:val="center"/>
              <w:rPr>
                <w:rFonts w:eastAsia="仿宋_GB2312"/>
                <w:color w:val="auto"/>
                <w:szCs w:val="21"/>
                <w:highlight w:val="none"/>
              </w:rPr>
            </w:pPr>
          </w:p>
        </w:tc>
        <w:tc>
          <w:tcPr>
            <w:tcW w:w="360" w:type="pct"/>
            <w:vMerge w:val="continue"/>
            <w:noWrap w:val="0"/>
            <w:vAlign w:val="center"/>
          </w:tcPr>
          <w:p w14:paraId="04E6A592">
            <w:pPr>
              <w:spacing w:line="300" w:lineRule="exact"/>
              <w:jc w:val="center"/>
              <w:rPr>
                <w:rFonts w:eastAsia="仿宋_GB2312"/>
                <w:color w:val="auto"/>
                <w:szCs w:val="21"/>
                <w:highlight w:val="none"/>
              </w:rPr>
            </w:pPr>
          </w:p>
        </w:tc>
        <w:tc>
          <w:tcPr>
            <w:tcW w:w="360" w:type="pct"/>
            <w:vMerge w:val="continue"/>
            <w:noWrap w:val="0"/>
            <w:vAlign w:val="center"/>
          </w:tcPr>
          <w:p w14:paraId="19A0B289">
            <w:pPr>
              <w:spacing w:line="300" w:lineRule="exact"/>
              <w:jc w:val="center"/>
              <w:rPr>
                <w:rFonts w:eastAsia="仿宋_GB2312"/>
                <w:color w:val="auto"/>
                <w:szCs w:val="21"/>
                <w:highlight w:val="none"/>
              </w:rPr>
            </w:pPr>
          </w:p>
        </w:tc>
        <w:tc>
          <w:tcPr>
            <w:tcW w:w="438" w:type="pct"/>
            <w:vMerge w:val="continue"/>
            <w:noWrap w:val="0"/>
            <w:vAlign w:val="center"/>
          </w:tcPr>
          <w:p w14:paraId="3C78C7B4">
            <w:pPr>
              <w:spacing w:line="300" w:lineRule="exact"/>
              <w:jc w:val="center"/>
              <w:rPr>
                <w:rFonts w:eastAsia="仿宋_GB2312"/>
                <w:color w:val="auto"/>
                <w:szCs w:val="21"/>
                <w:highlight w:val="none"/>
              </w:rPr>
            </w:pPr>
          </w:p>
        </w:tc>
        <w:tc>
          <w:tcPr>
            <w:tcW w:w="607" w:type="pct"/>
            <w:noWrap w:val="0"/>
            <w:vAlign w:val="center"/>
          </w:tcPr>
          <w:p w14:paraId="06CDC168">
            <w:pPr>
              <w:spacing w:line="300" w:lineRule="exact"/>
              <w:jc w:val="center"/>
              <w:rPr>
                <w:rFonts w:eastAsia="仿宋_GB2312"/>
                <w:color w:val="auto"/>
                <w:szCs w:val="21"/>
                <w:highlight w:val="none"/>
              </w:rPr>
            </w:pPr>
            <w:r>
              <w:rPr>
                <w:rFonts w:eastAsia="仿宋_GB2312"/>
                <w:color w:val="auto"/>
                <w:szCs w:val="21"/>
                <w:highlight w:val="none"/>
              </w:rPr>
              <w:t>番茄</w:t>
            </w:r>
          </w:p>
        </w:tc>
        <w:tc>
          <w:tcPr>
            <w:tcW w:w="279" w:type="pct"/>
            <w:noWrap w:val="0"/>
            <w:vAlign w:val="center"/>
          </w:tcPr>
          <w:p w14:paraId="51500897">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27EB890D">
            <w:pPr>
              <w:spacing w:line="300" w:lineRule="exact"/>
              <w:jc w:val="left"/>
              <w:rPr>
                <w:rFonts w:eastAsia="仿宋_GB2312"/>
                <w:color w:val="auto"/>
                <w:szCs w:val="21"/>
                <w:highlight w:val="none"/>
              </w:rPr>
            </w:pPr>
            <w:r>
              <w:rPr>
                <w:rFonts w:eastAsia="仿宋_GB2312"/>
                <w:color w:val="auto"/>
                <w:szCs w:val="21"/>
                <w:highlight w:val="none"/>
              </w:rPr>
              <w:t>镉（以Cd计）、毒死蜱、乙酰甲胺磷、克百威、氯氟氰菊酯和高效氯氟氰菊酯、氧乐果</w:t>
            </w:r>
          </w:p>
        </w:tc>
        <w:tc>
          <w:tcPr>
            <w:tcW w:w="1051" w:type="pct"/>
            <w:noWrap w:val="0"/>
            <w:vAlign w:val="center"/>
          </w:tcPr>
          <w:p w14:paraId="5D8D5B22">
            <w:pPr>
              <w:spacing w:line="300" w:lineRule="exact"/>
              <w:jc w:val="left"/>
              <w:rPr>
                <w:rFonts w:eastAsia="仿宋_GB2312"/>
                <w:color w:val="auto"/>
                <w:szCs w:val="21"/>
                <w:highlight w:val="none"/>
              </w:rPr>
            </w:pPr>
            <w:r>
              <w:rPr>
                <w:rFonts w:eastAsia="仿宋_GB2312"/>
                <w:color w:val="auto"/>
                <w:szCs w:val="21"/>
                <w:highlight w:val="none"/>
              </w:rPr>
              <w:t>噻虫胺、啶虫脒</w:t>
            </w:r>
          </w:p>
        </w:tc>
      </w:tr>
      <w:tr w14:paraId="4C72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3FDA616">
            <w:pPr>
              <w:spacing w:line="300" w:lineRule="exact"/>
              <w:jc w:val="center"/>
              <w:rPr>
                <w:rFonts w:eastAsia="仿宋_GB2312"/>
                <w:color w:val="auto"/>
                <w:szCs w:val="21"/>
                <w:highlight w:val="none"/>
              </w:rPr>
            </w:pPr>
          </w:p>
        </w:tc>
        <w:tc>
          <w:tcPr>
            <w:tcW w:w="360" w:type="pct"/>
            <w:vMerge w:val="continue"/>
            <w:noWrap w:val="0"/>
            <w:vAlign w:val="center"/>
          </w:tcPr>
          <w:p w14:paraId="14441CB6">
            <w:pPr>
              <w:spacing w:line="300" w:lineRule="exact"/>
              <w:jc w:val="center"/>
              <w:rPr>
                <w:rFonts w:eastAsia="仿宋_GB2312"/>
                <w:color w:val="auto"/>
                <w:szCs w:val="21"/>
                <w:highlight w:val="none"/>
              </w:rPr>
            </w:pPr>
          </w:p>
        </w:tc>
        <w:tc>
          <w:tcPr>
            <w:tcW w:w="360" w:type="pct"/>
            <w:vMerge w:val="continue"/>
            <w:noWrap w:val="0"/>
            <w:vAlign w:val="center"/>
          </w:tcPr>
          <w:p w14:paraId="41FF84CA">
            <w:pPr>
              <w:spacing w:line="300" w:lineRule="exact"/>
              <w:jc w:val="center"/>
              <w:rPr>
                <w:rFonts w:eastAsia="仿宋_GB2312"/>
                <w:color w:val="auto"/>
                <w:szCs w:val="21"/>
                <w:highlight w:val="none"/>
              </w:rPr>
            </w:pPr>
          </w:p>
        </w:tc>
        <w:tc>
          <w:tcPr>
            <w:tcW w:w="438" w:type="pct"/>
            <w:vMerge w:val="continue"/>
            <w:noWrap w:val="0"/>
            <w:vAlign w:val="center"/>
          </w:tcPr>
          <w:p w14:paraId="42563098">
            <w:pPr>
              <w:spacing w:line="300" w:lineRule="exact"/>
              <w:jc w:val="center"/>
              <w:rPr>
                <w:rFonts w:eastAsia="仿宋_GB2312"/>
                <w:color w:val="auto"/>
                <w:szCs w:val="21"/>
                <w:highlight w:val="none"/>
              </w:rPr>
            </w:pPr>
          </w:p>
        </w:tc>
        <w:tc>
          <w:tcPr>
            <w:tcW w:w="607" w:type="pct"/>
            <w:noWrap w:val="0"/>
            <w:vAlign w:val="center"/>
          </w:tcPr>
          <w:p w14:paraId="74720489">
            <w:pPr>
              <w:spacing w:line="300" w:lineRule="exact"/>
              <w:jc w:val="center"/>
              <w:rPr>
                <w:rFonts w:eastAsia="仿宋_GB2312"/>
                <w:color w:val="auto"/>
                <w:szCs w:val="21"/>
                <w:highlight w:val="none"/>
              </w:rPr>
            </w:pPr>
            <w:r>
              <w:rPr>
                <w:rFonts w:eastAsia="仿宋_GB2312"/>
                <w:color w:val="auto"/>
                <w:szCs w:val="21"/>
                <w:highlight w:val="none"/>
              </w:rPr>
              <w:t>樱桃番茄</w:t>
            </w:r>
          </w:p>
        </w:tc>
        <w:tc>
          <w:tcPr>
            <w:tcW w:w="279" w:type="pct"/>
            <w:noWrap w:val="0"/>
            <w:vAlign w:val="center"/>
          </w:tcPr>
          <w:p w14:paraId="76B0521C">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2A670A7B">
            <w:pPr>
              <w:spacing w:line="300" w:lineRule="exact"/>
              <w:jc w:val="left"/>
              <w:rPr>
                <w:rFonts w:eastAsia="仿宋_GB2312"/>
                <w:color w:val="auto"/>
                <w:szCs w:val="21"/>
                <w:highlight w:val="none"/>
              </w:rPr>
            </w:pPr>
            <w:r>
              <w:rPr>
                <w:rFonts w:eastAsia="仿宋_GB2312"/>
                <w:color w:val="auto"/>
                <w:szCs w:val="21"/>
                <w:highlight w:val="none"/>
              </w:rPr>
              <w:t>镉（以Cd计）、毒死蜱、乙酰甲胺磷、克百威、氯氟氰菊酯和高效氯氟氰菊酯、氧乐果</w:t>
            </w:r>
          </w:p>
        </w:tc>
        <w:tc>
          <w:tcPr>
            <w:tcW w:w="1051" w:type="pct"/>
            <w:noWrap w:val="0"/>
            <w:vAlign w:val="center"/>
          </w:tcPr>
          <w:p w14:paraId="7E3D665E">
            <w:pPr>
              <w:spacing w:line="300" w:lineRule="exact"/>
              <w:jc w:val="left"/>
              <w:rPr>
                <w:rFonts w:eastAsia="仿宋_GB2312"/>
                <w:color w:val="auto"/>
                <w:szCs w:val="21"/>
                <w:highlight w:val="none"/>
              </w:rPr>
            </w:pPr>
            <w:r>
              <w:rPr>
                <w:rFonts w:eastAsia="仿宋_GB2312"/>
                <w:color w:val="auto"/>
                <w:szCs w:val="21"/>
                <w:highlight w:val="none"/>
              </w:rPr>
              <w:t>噻虫胺、啶虫脒</w:t>
            </w:r>
          </w:p>
        </w:tc>
      </w:tr>
      <w:tr w14:paraId="6A28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 w:type="pct"/>
            <w:vMerge w:val="continue"/>
            <w:noWrap w:val="0"/>
            <w:vAlign w:val="center"/>
          </w:tcPr>
          <w:p w14:paraId="391611C2">
            <w:pPr>
              <w:spacing w:line="300" w:lineRule="exact"/>
              <w:jc w:val="center"/>
              <w:rPr>
                <w:rFonts w:eastAsia="仿宋_GB2312"/>
                <w:color w:val="auto"/>
                <w:szCs w:val="21"/>
                <w:highlight w:val="none"/>
              </w:rPr>
            </w:pPr>
          </w:p>
        </w:tc>
        <w:tc>
          <w:tcPr>
            <w:tcW w:w="360" w:type="pct"/>
            <w:vMerge w:val="continue"/>
            <w:noWrap w:val="0"/>
            <w:vAlign w:val="center"/>
          </w:tcPr>
          <w:p w14:paraId="1909D33C">
            <w:pPr>
              <w:spacing w:line="300" w:lineRule="exact"/>
              <w:jc w:val="center"/>
              <w:rPr>
                <w:rFonts w:eastAsia="仿宋_GB2312"/>
                <w:color w:val="auto"/>
                <w:szCs w:val="21"/>
                <w:highlight w:val="none"/>
              </w:rPr>
            </w:pPr>
          </w:p>
        </w:tc>
        <w:tc>
          <w:tcPr>
            <w:tcW w:w="360" w:type="pct"/>
            <w:vMerge w:val="continue"/>
            <w:noWrap w:val="0"/>
            <w:vAlign w:val="center"/>
          </w:tcPr>
          <w:p w14:paraId="5954E156">
            <w:pPr>
              <w:spacing w:line="300" w:lineRule="exact"/>
              <w:jc w:val="center"/>
              <w:rPr>
                <w:rFonts w:eastAsia="仿宋_GB2312"/>
                <w:color w:val="auto"/>
                <w:szCs w:val="21"/>
                <w:highlight w:val="none"/>
              </w:rPr>
            </w:pPr>
          </w:p>
        </w:tc>
        <w:tc>
          <w:tcPr>
            <w:tcW w:w="438" w:type="pct"/>
            <w:vMerge w:val="continue"/>
            <w:noWrap w:val="0"/>
            <w:vAlign w:val="center"/>
          </w:tcPr>
          <w:p w14:paraId="2D859200">
            <w:pPr>
              <w:spacing w:line="300" w:lineRule="exact"/>
              <w:jc w:val="center"/>
              <w:rPr>
                <w:rFonts w:eastAsia="仿宋_GB2312"/>
                <w:color w:val="auto"/>
                <w:szCs w:val="21"/>
                <w:highlight w:val="none"/>
              </w:rPr>
            </w:pPr>
          </w:p>
        </w:tc>
        <w:tc>
          <w:tcPr>
            <w:tcW w:w="607" w:type="pct"/>
            <w:noWrap w:val="0"/>
            <w:vAlign w:val="center"/>
          </w:tcPr>
          <w:p w14:paraId="6C64969C">
            <w:pPr>
              <w:spacing w:line="300" w:lineRule="exact"/>
              <w:jc w:val="center"/>
              <w:rPr>
                <w:rFonts w:eastAsia="仿宋_GB2312"/>
                <w:color w:val="auto"/>
                <w:szCs w:val="21"/>
                <w:highlight w:val="none"/>
              </w:rPr>
            </w:pPr>
            <w:r>
              <w:rPr>
                <w:rFonts w:eastAsia="仿宋_GB2312"/>
                <w:color w:val="auto"/>
                <w:szCs w:val="21"/>
                <w:highlight w:val="none"/>
              </w:rPr>
              <w:t>甜椒</w:t>
            </w:r>
            <w:r>
              <w:rPr>
                <w:rFonts w:hint="eastAsia" w:eastAsia="仿宋_GB2312"/>
                <w:color w:val="auto"/>
                <w:kern w:val="0"/>
                <w:szCs w:val="21"/>
                <w:highlight w:val="none"/>
              </w:rPr>
              <w:t>*</w:t>
            </w:r>
          </w:p>
        </w:tc>
        <w:tc>
          <w:tcPr>
            <w:tcW w:w="279" w:type="pct"/>
            <w:noWrap w:val="0"/>
            <w:vAlign w:val="center"/>
          </w:tcPr>
          <w:p w14:paraId="7CB4313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F78E688">
            <w:pPr>
              <w:spacing w:line="300" w:lineRule="exact"/>
              <w:jc w:val="left"/>
              <w:rPr>
                <w:rFonts w:eastAsia="仿宋_GB2312"/>
                <w:color w:val="auto"/>
                <w:szCs w:val="21"/>
                <w:highlight w:val="none"/>
              </w:rPr>
            </w:pPr>
            <w:r>
              <w:rPr>
                <w:rFonts w:eastAsia="仿宋_GB2312"/>
                <w:color w:val="auto"/>
                <w:szCs w:val="21"/>
                <w:highlight w:val="none"/>
              </w:rPr>
              <w:t>噻虫胺、吡虫啉、毒死蜱、噻虫嗪</w:t>
            </w:r>
          </w:p>
        </w:tc>
        <w:tc>
          <w:tcPr>
            <w:tcW w:w="1051" w:type="pct"/>
            <w:noWrap w:val="0"/>
            <w:vAlign w:val="center"/>
          </w:tcPr>
          <w:p w14:paraId="3FD9C469">
            <w:pPr>
              <w:spacing w:line="300" w:lineRule="exact"/>
              <w:jc w:val="left"/>
              <w:rPr>
                <w:rFonts w:eastAsia="仿宋_GB2312"/>
                <w:color w:val="auto"/>
                <w:szCs w:val="21"/>
                <w:highlight w:val="none"/>
              </w:rPr>
            </w:pPr>
            <w:r>
              <w:rPr>
                <w:rFonts w:eastAsia="仿宋_GB2312"/>
                <w:color w:val="auto"/>
                <w:szCs w:val="21"/>
                <w:highlight w:val="none"/>
              </w:rPr>
              <w:t>阿维菌素、氟啶虫酰胺、氧乐果</w:t>
            </w:r>
          </w:p>
        </w:tc>
      </w:tr>
      <w:tr w14:paraId="7AA5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2687839">
            <w:pPr>
              <w:spacing w:line="300" w:lineRule="exact"/>
              <w:jc w:val="center"/>
              <w:rPr>
                <w:rFonts w:eastAsia="仿宋_GB2312"/>
                <w:color w:val="auto"/>
                <w:szCs w:val="21"/>
                <w:highlight w:val="none"/>
              </w:rPr>
            </w:pPr>
          </w:p>
        </w:tc>
        <w:tc>
          <w:tcPr>
            <w:tcW w:w="360" w:type="pct"/>
            <w:vMerge w:val="continue"/>
            <w:noWrap w:val="0"/>
            <w:vAlign w:val="center"/>
          </w:tcPr>
          <w:p w14:paraId="39890878">
            <w:pPr>
              <w:spacing w:line="300" w:lineRule="exact"/>
              <w:jc w:val="center"/>
              <w:rPr>
                <w:rFonts w:eastAsia="仿宋_GB2312"/>
                <w:color w:val="auto"/>
                <w:szCs w:val="21"/>
                <w:highlight w:val="none"/>
              </w:rPr>
            </w:pPr>
          </w:p>
        </w:tc>
        <w:tc>
          <w:tcPr>
            <w:tcW w:w="360" w:type="pct"/>
            <w:vMerge w:val="continue"/>
            <w:noWrap w:val="0"/>
            <w:vAlign w:val="center"/>
          </w:tcPr>
          <w:p w14:paraId="7908D1AF">
            <w:pPr>
              <w:spacing w:line="300" w:lineRule="exact"/>
              <w:jc w:val="center"/>
              <w:rPr>
                <w:rFonts w:eastAsia="仿宋_GB2312"/>
                <w:color w:val="auto"/>
                <w:szCs w:val="21"/>
                <w:highlight w:val="none"/>
              </w:rPr>
            </w:pPr>
          </w:p>
        </w:tc>
        <w:tc>
          <w:tcPr>
            <w:tcW w:w="438" w:type="pct"/>
            <w:vMerge w:val="restart"/>
            <w:noWrap w:val="0"/>
            <w:vAlign w:val="center"/>
          </w:tcPr>
          <w:p w14:paraId="1895794F">
            <w:pPr>
              <w:spacing w:line="300" w:lineRule="exact"/>
              <w:jc w:val="center"/>
              <w:rPr>
                <w:rFonts w:eastAsia="仿宋_GB2312"/>
                <w:color w:val="auto"/>
                <w:szCs w:val="21"/>
                <w:highlight w:val="none"/>
              </w:rPr>
            </w:pPr>
            <w:r>
              <w:rPr>
                <w:rFonts w:eastAsia="仿宋_GB2312"/>
                <w:color w:val="auto"/>
                <w:szCs w:val="21"/>
                <w:highlight w:val="none"/>
              </w:rPr>
              <w:t>瓜类蔬菜</w:t>
            </w:r>
          </w:p>
        </w:tc>
        <w:tc>
          <w:tcPr>
            <w:tcW w:w="607" w:type="pct"/>
            <w:noWrap w:val="0"/>
            <w:vAlign w:val="center"/>
          </w:tcPr>
          <w:p w14:paraId="42B2892C">
            <w:pPr>
              <w:spacing w:line="300" w:lineRule="exact"/>
              <w:jc w:val="center"/>
              <w:rPr>
                <w:rFonts w:eastAsia="仿宋_GB2312"/>
                <w:color w:val="auto"/>
                <w:szCs w:val="21"/>
                <w:highlight w:val="none"/>
              </w:rPr>
            </w:pPr>
            <w:r>
              <w:rPr>
                <w:rFonts w:eastAsia="仿宋_GB2312"/>
                <w:color w:val="auto"/>
                <w:szCs w:val="21"/>
                <w:highlight w:val="none"/>
              </w:rPr>
              <w:t>黄瓜</w:t>
            </w:r>
            <w:r>
              <w:rPr>
                <w:rFonts w:hint="eastAsia" w:eastAsia="仿宋_GB2312"/>
                <w:color w:val="auto"/>
                <w:kern w:val="0"/>
                <w:szCs w:val="21"/>
                <w:highlight w:val="none"/>
              </w:rPr>
              <w:t>*</w:t>
            </w:r>
          </w:p>
        </w:tc>
        <w:tc>
          <w:tcPr>
            <w:tcW w:w="279" w:type="pct"/>
            <w:noWrap w:val="0"/>
            <w:vAlign w:val="center"/>
          </w:tcPr>
          <w:p w14:paraId="61C2FAE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5871AD50">
            <w:pPr>
              <w:spacing w:line="300" w:lineRule="exact"/>
              <w:jc w:val="left"/>
              <w:rPr>
                <w:rFonts w:eastAsia="仿宋_GB2312"/>
                <w:color w:val="auto"/>
                <w:szCs w:val="21"/>
                <w:highlight w:val="none"/>
              </w:rPr>
            </w:pPr>
            <w:r>
              <w:rPr>
                <w:rFonts w:eastAsia="仿宋_GB2312"/>
                <w:color w:val="auto"/>
                <w:szCs w:val="21"/>
                <w:highlight w:val="none"/>
              </w:rPr>
              <w:t>噻虫嗪、乙螨唑、阿维菌素、毒死蜱、哒螨灵</w:t>
            </w:r>
          </w:p>
        </w:tc>
        <w:tc>
          <w:tcPr>
            <w:tcW w:w="1051" w:type="pct"/>
            <w:noWrap w:val="0"/>
            <w:vAlign w:val="center"/>
          </w:tcPr>
          <w:p w14:paraId="08BF453D">
            <w:pPr>
              <w:spacing w:line="300" w:lineRule="exact"/>
              <w:jc w:val="left"/>
              <w:rPr>
                <w:rFonts w:eastAsia="仿宋_GB2312"/>
                <w:color w:val="auto"/>
                <w:szCs w:val="21"/>
                <w:highlight w:val="none"/>
              </w:rPr>
            </w:pPr>
            <w:r>
              <w:rPr>
                <w:rFonts w:eastAsia="仿宋_GB2312"/>
                <w:color w:val="auto"/>
                <w:szCs w:val="21"/>
                <w:highlight w:val="none"/>
              </w:rPr>
              <w:t>甲氨基阿维菌素苯甲酸盐、氧乐果</w:t>
            </w:r>
          </w:p>
        </w:tc>
      </w:tr>
      <w:tr w14:paraId="3AF1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EA77C94">
            <w:pPr>
              <w:spacing w:line="300" w:lineRule="exact"/>
              <w:jc w:val="center"/>
              <w:rPr>
                <w:rFonts w:eastAsia="仿宋_GB2312"/>
                <w:color w:val="auto"/>
                <w:szCs w:val="21"/>
                <w:highlight w:val="none"/>
              </w:rPr>
            </w:pPr>
          </w:p>
        </w:tc>
        <w:tc>
          <w:tcPr>
            <w:tcW w:w="360" w:type="pct"/>
            <w:vMerge w:val="continue"/>
            <w:noWrap w:val="0"/>
            <w:vAlign w:val="center"/>
          </w:tcPr>
          <w:p w14:paraId="72E74734">
            <w:pPr>
              <w:spacing w:line="300" w:lineRule="exact"/>
              <w:jc w:val="center"/>
              <w:rPr>
                <w:rFonts w:eastAsia="仿宋_GB2312"/>
                <w:color w:val="auto"/>
                <w:szCs w:val="21"/>
                <w:highlight w:val="none"/>
              </w:rPr>
            </w:pPr>
          </w:p>
        </w:tc>
        <w:tc>
          <w:tcPr>
            <w:tcW w:w="360" w:type="pct"/>
            <w:vMerge w:val="continue"/>
            <w:noWrap w:val="0"/>
            <w:vAlign w:val="center"/>
          </w:tcPr>
          <w:p w14:paraId="307FF462">
            <w:pPr>
              <w:spacing w:line="300" w:lineRule="exact"/>
              <w:jc w:val="center"/>
              <w:rPr>
                <w:rFonts w:eastAsia="仿宋_GB2312"/>
                <w:color w:val="auto"/>
                <w:szCs w:val="21"/>
                <w:highlight w:val="none"/>
              </w:rPr>
            </w:pPr>
          </w:p>
        </w:tc>
        <w:tc>
          <w:tcPr>
            <w:tcW w:w="438" w:type="pct"/>
            <w:vMerge w:val="continue"/>
            <w:noWrap w:val="0"/>
            <w:vAlign w:val="center"/>
          </w:tcPr>
          <w:p w14:paraId="191D7961">
            <w:pPr>
              <w:spacing w:line="300" w:lineRule="exact"/>
              <w:jc w:val="center"/>
              <w:rPr>
                <w:rFonts w:eastAsia="仿宋_GB2312"/>
                <w:color w:val="auto"/>
                <w:szCs w:val="21"/>
                <w:highlight w:val="none"/>
              </w:rPr>
            </w:pPr>
          </w:p>
        </w:tc>
        <w:tc>
          <w:tcPr>
            <w:tcW w:w="607" w:type="pct"/>
            <w:noWrap w:val="0"/>
            <w:vAlign w:val="center"/>
          </w:tcPr>
          <w:p w14:paraId="59303B55">
            <w:pPr>
              <w:spacing w:line="300" w:lineRule="exact"/>
              <w:jc w:val="center"/>
              <w:rPr>
                <w:rFonts w:eastAsia="仿宋_GB2312"/>
                <w:color w:val="auto"/>
                <w:szCs w:val="21"/>
                <w:highlight w:val="none"/>
              </w:rPr>
            </w:pPr>
            <w:r>
              <w:rPr>
                <w:rFonts w:eastAsia="仿宋_GB2312"/>
                <w:color w:val="auto"/>
                <w:szCs w:val="21"/>
                <w:highlight w:val="none"/>
              </w:rPr>
              <w:t>苦瓜</w:t>
            </w:r>
          </w:p>
        </w:tc>
        <w:tc>
          <w:tcPr>
            <w:tcW w:w="279" w:type="pct"/>
            <w:noWrap w:val="0"/>
            <w:vAlign w:val="center"/>
          </w:tcPr>
          <w:p w14:paraId="200A7BE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4B25C191">
            <w:pPr>
              <w:spacing w:line="300" w:lineRule="exact"/>
              <w:jc w:val="left"/>
              <w:rPr>
                <w:rFonts w:eastAsia="仿宋_GB2312"/>
                <w:color w:val="auto"/>
                <w:szCs w:val="21"/>
                <w:highlight w:val="none"/>
              </w:rPr>
            </w:pPr>
            <w:r>
              <w:rPr>
                <w:rFonts w:eastAsia="仿宋_GB2312"/>
                <w:color w:val="auto"/>
                <w:szCs w:val="21"/>
                <w:highlight w:val="none"/>
              </w:rPr>
              <w:t>毒死蜱、氯氟氰菊酯和高效氯氟氰菊酯、氧乐果、甲胺磷、水胺硫磷</w:t>
            </w:r>
          </w:p>
        </w:tc>
        <w:tc>
          <w:tcPr>
            <w:tcW w:w="1051" w:type="pct"/>
            <w:noWrap w:val="0"/>
            <w:vAlign w:val="center"/>
          </w:tcPr>
          <w:p w14:paraId="2E245ABE">
            <w:pPr>
              <w:spacing w:line="300" w:lineRule="exact"/>
              <w:jc w:val="left"/>
              <w:rPr>
                <w:rFonts w:eastAsia="仿宋_GB2312"/>
                <w:color w:val="auto"/>
                <w:szCs w:val="21"/>
                <w:highlight w:val="none"/>
              </w:rPr>
            </w:pPr>
            <w:r>
              <w:rPr>
                <w:rFonts w:eastAsia="仿宋_GB2312"/>
                <w:color w:val="auto"/>
                <w:szCs w:val="21"/>
                <w:highlight w:val="none"/>
              </w:rPr>
              <w:t>啶虫脒、噻虫嗪</w:t>
            </w:r>
          </w:p>
        </w:tc>
      </w:tr>
      <w:tr w14:paraId="7D3E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124A7B6">
            <w:pPr>
              <w:spacing w:line="300" w:lineRule="exact"/>
              <w:jc w:val="center"/>
              <w:rPr>
                <w:rFonts w:eastAsia="仿宋_GB2312"/>
                <w:color w:val="auto"/>
                <w:szCs w:val="21"/>
                <w:highlight w:val="none"/>
              </w:rPr>
            </w:pPr>
          </w:p>
        </w:tc>
        <w:tc>
          <w:tcPr>
            <w:tcW w:w="360" w:type="pct"/>
            <w:vMerge w:val="continue"/>
            <w:noWrap w:val="0"/>
            <w:vAlign w:val="center"/>
          </w:tcPr>
          <w:p w14:paraId="727A3F78">
            <w:pPr>
              <w:spacing w:line="300" w:lineRule="exact"/>
              <w:jc w:val="center"/>
              <w:rPr>
                <w:rFonts w:eastAsia="仿宋_GB2312"/>
                <w:color w:val="auto"/>
                <w:szCs w:val="21"/>
                <w:highlight w:val="none"/>
              </w:rPr>
            </w:pPr>
          </w:p>
        </w:tc>
        <w:tc>
          <w:tcPr>
            <w:tcW w:w="360" w:type="pct"/>
            <w:vMerge w:val="continue"/>
            <w:noWrap w:val="0"/>
            <w:vAlign w:val="center"/>
          </w:tcPr>
          <w:p w14:paraId="7BF5E212">
            <w:pPr>
              <w:spacing w:line="300" w:lineRule="exact"/>
              <w:jc w:val="center"/>
              <w:rPr>
                <w:rFonts w:eastAsia="仿宋_GB2312"/>
                <w:color w:val="auto"/>
                <w:szCs w:val="21"/>
                <w:highlight w:val="none"/>
              </w:rPr>
            </w:pPr>
          </w:p>
        </w:tc>
        <w:tc>
          <w:tcPr>
            <w:tcW w:w="438" w:type="pct"/>
            <w:vMerge w:val="continue"/>
            <w:noWrap w:val="0"/>
            <w:vAlign w:val="center"/>
          </w:tcPr>
          <w:p w14:paraId="3F9F44B4">
            <w:pPr>
              <w:spacing w:line="300" w:lineRule="exact"/>
              <w:jc w:val="center"/>
              <w:rPr>
                <w:rFonts w:eastAsia="仿宋_GB2312"/>
                <w:color w:val="auto"/>
                <w:szCs w:val="21"/>
                <w:highlight w:val="none"/>
              </w:rPr>
            </w:pPr>
          </w:p>
        </w:tc>
        <w:tc>
          <w:tcPr>
            <w:tcW w:w="607" w:type="pct"/>
            <w:noWrap w:val="0"/>
            <w:vAlign w:val="center"/>
          </w:tcPr>
          <w:p w14:paraId="2A9C2A68">
            <w:pPr>
              <w:spacing w:line="300" w:lineRule="exact"/>
              <w:jc w:val="center"/>
              <w:rPr>
                <w:rFonts w:eastAsia="仿宋_GB2312"/>
                <w:color w:val="auto"/>
                <w:szCs w:val="21"/>
                <w:highlight w:val="none"/>
              </w:rPr>
            </w:pPr>
            <w:r>
              <w:rPr>
                <w:rFonts w:eastAsia="仿宋_GB2312"/>
                <w:color w:val="auto"/>
                <w:szCs w:val="21"/>
                <w:highlight w:val="none"/>
              </w:rPr>
              <w:t>节瓜</w:t>
            </w:r>
          </w:p>
        </w:tc>
        <w:tc>
          <w:tcPr>
            <w:tcW w:w="279" w:type="pct"/>
            <w:noWrap w:val="0"/>
            <w:vAlign w:val="center"/>
          </w:tcPr>
          <w:p w14:paraId="09B35329">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0BB739D5">
            <w:pPr>
              <w:spacing w:line="300" w:lineRule="exact"/>
              <w:jc w:val="left"/>
              <w:rPr>
                <w:rFonts w:eastAsia="仿宋_GB2312"/>
                <w:color w:val="auto"/>
                <w:szCs w:val="21"/>
                <w:highlight w:val="none"/>
              </w:rPr>
            </w:pPr>
            <w:r>
              <w:rPr>
                <w:rFonts w:eastAsia="仿宋_GB2312"/>
                <w:color w:val="auto"/>
                <w:szCs w:val="21"/>
                <w:highlight w:val="none"/>
              </w:rPr>
              <w:t>氯氟氰菊酯和高效氯氟氰菊酯、毒死蜱、啶虫脒、噻虫嗪、克百威</w:t>
            </w:r>
          </w:p>
        </w:tc>
        <w:tc>
          <w:tcPr>
            <w:tcW w:w="1051" w:type="pct"/>
            <w:noWrap w:val="0"/>
            <w:vAlign w:val="center"/>
          </w:tcPr>
          <w:p w14:paraId="77B7ACD4">
            <w:pPr>
              <w:spacing w:line="300" w:lineRule="exact"/>
              <w:jc w:val="left"/>
              <w:rPr>
                <w:rFonts w:eastAsia="仿宋_GB2312"/>
                <w:color w:val="auto"/>
                <w:szCs w:val="21"/>
                <w:highlight w:val="none"/>
              </w:rPr>
            </w:pPr>
            <w:r>
              <w:rPr>
                <w:rFonts w:eastAsia="仿宋_GB2312"/>
                <w:color w:val="auto"/>
                <w:szCs w:val="21"/>
                <w:highlight w:val="none"/>
              </w:rPr>
              <w:t>甲氨基阿维菌素苯甲酸盐、霜霉威和霜霉威盐酸盐</w:t>
            </w:r>
          </w:p>
        </w:tc>
      </w:tr>
      <w:tr w14:paraId="72CA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noWrap w:val="0"/>
            <w:vAlign w:val="center"/>
          </w:tcPr>
          <w:p w14:paraId="1C575F9A">
            <w:pPr>
              <w:spacing w:line="300" w:lineRule="exact"/>
              <w:jc w:val="center"/>
              <w:rPr>
                <w:rFonts w:eastAsia="仿宋_GB2312"/>
                <w:color w:val="auto"/>
                <w:szCs w:val="21"/>
                <w:highlight w:val="none"/>
              </w:rPr>
            </w:pPr>
          </w:p>
        </w:tc>
        <w:tc>
          <w:tcPr>
            <w:tcW w:w="360" w:type="pct"/>
            <w:vMerge w:val="continue"/>
            <w:noWrap w:val="0"/>
            <w:vAlign w:val="center"/>
          </w:tcPr>
          <w:p w14:paraId="781B7135">
            <w:pPr>
              <w:spacing w:line="300" w:lineRule="exact"/>
              <w:jc w:val="center"/>
              <w:rPr>
                <w:rFonts w:eastAsia="仿宋_GB2312"/>
                <w:color w:val="auto"/>
                <w:szCs w:val="21"/>
                <w:highlight w:val="none"/>
              </w:rPr>
            </w:pPr>
          </w:p>
        </w:tc>
        <w:tc>
          <w:tcPr>
            <w:tcW w:w="360" w:type="pct"/>
            <w:vMerge w:val="continue"/>
            <w:noWrap w:val="0"/>
            <w:vAlign w:val="center"/>
          </w:tcPr>
          <w:p w14:paraId="7EE5D0AC">
            <w:pPr>
              <w:spacing w:line="300" w:lineRule="exact"/>
              <w:jc w:val="center"/>
              <w:rPr>
                <w:rFonts w:eastAsia="仿宋_GB2312"/>
                <w:color w:val="auto"/>
                <w:szCs w:val="21"/>
                <w:highlight w:val="none"/>
              </w:rPr>
            </w:pPr>
          </w:p>
        </w:tc>
        <w:tc>
          <w:tcPr>
            <w:tcW w:w="438" w:type="pct"/>
            <w:vMerge w:val="restart"/>
            <w:noWrap w:val="0"/>
            <w:vAlign w:val="center"/>
          </w:tcPr>
          <w:p w14:paraId="4CE6393E">
            <w:pPr>
              <w:spacing w:line="300" w:lineRule="exact"/>
              <w:jc w:val="center"/>
              <w:rPr>
                <w:rFonts w:eastAsia="仿宋_GB2312"/>
                <w:color w:val="auto"/>
                <w:szCs w:val="21"/>
                <w:highlight w:val="none"/>
              </w:rPr>
            </w:pPr>
            <w:r>
              <w:rPr>
                <w:rFonts w:eastAsia="仿宋_GB2312"/>
                <w:color w:val="auto"/>
                <w:szCs w:val="21"/>
                <w:highlight w:val="none"/>
              </w:rPr>
              <w:t>豆类蔬菜</w:t>
            </w:r>
          </w:p>
        </w:tc>
        <w:tc>
          <w:tcPr>
            <w:tcW w:w="607" w:type="pct"/>
            <w:noWrap w:val="0"/>
            <w:vAlign w:val="center"/>
          </w:tcPr>
          <w:p w14:paraId="7B3C6267">
            <w:pPr>
              <w:spacing w:line="300" w:lineRule="exact"/>
              <w:jc w:val="center"/>
              <w:rPr>
                <w:rFonts w:eastAsia="仿宋_GB2312"/>
                <w:color w:val="auto"/>
                <w:szCs w:val="21"/>
                <w:highlight w:val="none"/>
              </w:rPr>
            </w:pPr>
            <w:r>
              <w:rPr>
                <w:rFonts w:eastAsia="仿宋_GB2312"/>
                <w:color w:val="auto"/>
                <w:szCs w:val="21"/>
                <w:highlight w:val="none"/>
              </w:rPr>
              <w:t>菜豆</w:t>
            </w:r>
            <w:r>
              <w:rPr>
                <w:rFonts w:hint="eastAsia" w:eastAsia="仿宋_GB2312"/>
                <w:color w:val="auto"/>
                <w:kern w:val="0"/>
                <w:szCs w:val="21"/>
                <w:highlight w:val="none"/>
              </w:rPr>
              <w:t>*</w:t>
            </w:r>
          </w:p>
        </w:tc>
        <w:tc>
          <w:tcPr>
            <w:tcW w:w="279" w:type="pct"/>
            <w:noWrap w:val="0"/>
            <w:vAlign w:val="center"/>
          </w:tcPr>
          <w:p w14:paraId="04F6E14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5083D7D">
            <w:pPr>
              <w:spacing w:line="300" w:lineRule="exact"/>
              <w:jc w:val="left"/>
              <w:rPr>
                <w:rFonts w:eastAsia="仿宋_GB2312"/>
                <w:color w:val="auto"/>
                <w:szCs w:val="21"/>
                <w:highlight w:val="none"/>
              </w:rPr>
            </w:pPr>
            <w:r>
              <w:rPr>
                <w:rFonts w:eastAsia="仿宋_GB2312"/>
                <w:color w:val="auto"/>
                <w:szCs w:val="21"/>
                <w:highlight w:val="none"/>
              </w:rPr>
              <w:t>噻虫胺、乙酰甲胺磷、甲胺磷、氧乐果、甲氨基阿维菌素苯甲酸盐</w:t>
            </w:r>
          </w:p>
        </w:tc>
        <w:tc>
          <w:tcPr>
            <w:tcW w:w="1051" w:type="pct"/>
            <w:noWrap w:val="0"/>
            <w:vAlign w:val="center"/>
          </w:tcPr>
          <w:p w14:paraId="6B1F4370">
            <w:pPr>
              <w:spacing w:line="300" w:lineRule="exact"/>
              <w:jc w:val="left"/>
              <w:rPr>
                <w:rFonts w:eastAsia="仿宋_GB2312"/>
                <w:color w:val="auto"/>
                <w:szCs w:val="21"/>
                <w:highlight w:val="none"/>
              </w:rPr>
            </w:pPr>
            <w:r>
              <w:rPr>
                <w:rFonts w:eastAsia="仿宋_GB2312"/>
                <w:color w:val="auto"/>
                <w:szCs w:val="21"/>
                <w:highlight w:val="none"/>
              </w:rPr>
              <w:t>毒死蜱、多菌灵、水胺硫磷</w:t>
            </w:r>
          </w:p>
        </w:tc>
      </w:tr>
      <w:tr w14:paraId="6512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085DC64">
            <w:pPr>
              <w:spacing w:line="300" w:lineRule="exact"/>
              <w:jc w:val="center"/>
              <w:rPr>
                <w:rFonts w:eastAsia="仿宋_GB2312"/>
                <w:color w:val="auto"/>
                <w:szCs w:val="21"/>
                <w:highlight w:val="none"/>
              </w:rPr>
            </w:pPr>
          </w:p>
        </w:tc>
        <w:tc>
          <w:tcPr>
            <w:tcW w:w="360" w:type="pct"/>
            <w:vMerge w:val="continue"/>
            <w:noWrap w:val="0"/>
            <w:vAlign w:val="center"/>
          </w:tcPr>
          <w:p w14:paraId="294B319D">
            <w:pPr>
              <w:spacing w:line="300" w:lineRule="exact"/>
              <w:jc w:val="center"/>
              <w:rPr>
                <w:rFonts w:eastAsia="仿宋_GB2312"/>
                <w:color w:val="auto"/>
                <w:szCs w:val="21"/>
                <w:highlight w:val="none"/>
              </w:rPr>
            </w:pPr>
          </w:p>
        </w:tc>
        <w:tc>
          <w:tcPr>
            <w:tcW w:w="360" w:type="pct"/>
            <w:vMerge w:val="continue"/>
            <w:noWrap w:val="0"/>
            <w:vAlign w:val="center"/>
          </w:tcPr>
          <w:p w14:paraId="3CB1F31F">
            <w:pPr>
              <w:spacing w:line="300" w:lineRule="exact"/>
              <w:jc w:val="center"/>
              <w:rPr>
                <w:rFonts w:eastAsia="仿宋_GB2312"/>
                <w:color w:val="auto"/>
                <w:szCs w:val="21"/>
                <w:highlight w:val="none"/>
              </w:rPr>
            </w:pPr>
          </w:p>
        </w:tc>
        <w:tc>
          <w:tcPr>
            <w:tcW w:w="438" w:type="pct"/>
            <w:vMerge w:val="continue"/>
            <w:noWrap w:val="0"/>
            <w:vAlign w:val="center"/>
          </w:tcPr>
          <w:p w14:paraId="74EF4E71">
            <w:pPr>
              <w:spacing w:line="300" w:lineRule="exact"/>
              <w:jc w:val="center"/>
              <w:rPr>
                <w:rFonts w:eastAsia="仿宋_GB2312"/>
                <w:color w:val="auto"/>
                <w:szCs w:val="21"/>
                <w:highlight w:val="none"/>
              </w:rPr>
            </w:pPr>
          </w:p>
        </w:tc>
        <w:tc>
          <w:tcPr>
            <w:tcW w:w="607" w:type="pct"/>
            <w:noWrap w:val="0"/>
            <w:vAlign w:val="center"/>
          </w:tcPr>
          <w:p w14:paraId="2D8FE0E9">
            <w:pPr>
              <w:spacing w:line="300" w:lineRule="exact"/>
              <w:jc w:val="center"/>
              <w:rPr>
                <w:rFonts w:eastAsia="仿宋_GB2312"/>
                <w:color w:val="auto"/>
                <w:szCs w:val="21"/>
                <w:highlight w:val="none"/>
              </w:rPr>
            </w:pPr>
            <w:r>
              <w:rPr>
                <w:rFonts w:eastAsia="仿宋_GB2312"/>
                <w:color w:val="auto"/>
                <w:szCs w:val="21"/>
                <w:highlight w:val="none"/>
              </w:rPr>
              <w:t>豇豆</w:t>
            </w:r>
            <w:r>
              <w:rPr>
                <w:rFonts w:hint="eastAsia" w:eastAsia="仿宋_GB2312"/>
                <w:color w:val="auto"/>
                <w:kern w:val="0"/>
                <w:szCs w:val="21"/>
                <w:highlight w:val="none"/>
              </w:rPr>
              <w:t>*</w:t>
            </w:r>
          </w:p>
        </w:tc>
        <w:tc>
          <w:tcPr>
            <w:tcW w:w="279" w:type="pct"/>
            <w:noWrap w:val="0"/>
            <w:vAlign w:val="center"/>
          </w:tcPr>
          <w:p w14:paraId="19F5988D">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70E14E88">
            <w:pPr>
              <w:spacing w:line="300" w:lineRule="exact"/>
              <w:jc w:val="left"/>
              <w:rPr>
                <w:rFonts w:eastAsia="仿宋_GB2312"/>
                <w:color w:val="auto"/>
                <w:szCs w:val="21"/>
                <w:highlight w:val="none"/>
              </w:rPr>
            </w:pPr>
            <w:r>
              <w:rPr>
                <w:rFonts w:eastAsia="仿宋_GB2312"/>
                <w:color w:val="auto"/>
                <w:szCs w:val="21"/>
                <w:highlight w:val="none"/>
              </w:rPr>
              <w:t>噻虫胺、噻虫嗪、倍硫磷、氧乐果、灭蝇胺、克百威、啶虫脒、毒死蜱</w:t>
            </w:r>
          </w:p>
        </w:tc>
        <w:tc>
          <w:tcPr>
            <w:tcW w:w="1051" w:type="pct"/>
            <w:noWrap w:val="0"/>
            <w:vAlign w:val="center"/>
          </w:tcPr>
          <w:p w14:paraId="167E439A">
            <w:pPr>
              <w:spacing w:line="300" w:lineRule="exact"/>
              <w:jc w:val="left"/>
              <w:rPr>
                <w:rFonts w:eastAsia="仿宋_GB2312"/>
                <w:color w:val="auto"/>
                <w:szCs w:val="21"/>
                <w:highlight w:val="none"/>
              </w:rPr>
            </w:pPr>
            <w:r>
              <w:rPr>
                <w:rFonts w:eastAsia="仿宋_GB2312"/>
                <w:color w:val="auto"/>
                <w:szCs w:val="21"/>
                <w:highlight w:val="none"/>
              </w:rPr>
              <w:t>氟虫腈、甲氨基阿维菌素苯甲酸盐、甲基异柳磷、氯氟氰菊酯和高效氯氟氰菊酯、三唑磷、水胺硫磷、乙酰甲胺磷</w:t>
            </w:r>
          </w:p>
        </w:tc>
      </w:tr>
      <w:tr w14:paraId="315A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67055BD">
            <w:pPr>
              <w:spacing w:line="300" w:lineRule="exact"/>
              <w:jc w:val="center"/>
              <w:rPr>
                <w:rFonts w:eastAsia="仿宋_GB2312"/>
                <w:color w:val="auto"/>
                <w:szCs w:val="21"/>
                <w:highlight w:val="none"/>
              </w:rPr>
            </w:pPr>
          </w:p>
        </w:tc>
        <w:tc>
          <w:tcPr>
            <w:tcW w:w="360" w:type="pct"/>
            <w:vMerge w:val="continue"/>
            <w:noWrap w:val="0"/>
            <w:vAlign w:val="center"/>
          </w:tcPr>
          <w:p w14:paraId="4DB318FC">
            <w:pPr>
              <w:spacing w:line="300" w:lineRule="exact"/>
              <w:jc w:val="center"/>
              <w:rPr>
                <w:rFonts w:eastAsia="仿宋_GB2312"/>
                <w:color w:val="auto"/>
                <w:szCs w:val="21"/>
                <w:highlight w:val="none"/>
              </w:rPr>
            </w:pPr>
          </w:p>
        </w:tc>
        <w:tc>
          <w:tcPr>
            <w:tcW w:w="360" w:type="pct"/>
            <w:vMerge w:val="continue"/>
            <w:noWrap w:val="0"/>
            <w:vAlign w:val="center"/>
          </w:tcPr>
          <w:p w14:paraId="34B54F20">
            <w:pPr>
              <w:spacing w:line="300" w:lineRule="exact"/>
              <w:jc w:val="center"/>
              <w:rPr>
                <w:rFonts w:eastAsia="仿宋_GB2312"/>
                <w:color w:val="auto"/>
                <w:szCs w:val="21"/>
                <w:highlight w:val="none"/>
              </w:rPr>
            </w:pPr>
          </w:p>
        </w:tc>
        <w:tc>
          <w:tcPr>
            <w:tcW w:w="438" w:type="pct"/>
            <w:vMerge w:val="continue"/>
            <w:noWrap w:val="0"/>
            <w:vAlign w:val="center"/>
          </w:tcPr>
          <w:p w14:paraId="22157119">
            <w:pPr>
              <w:spacing w:line="300" w:lineRule="exact"/>
              <w:jc w:val="center"/>
              <w:rPr>
                <w:rFonts w:eastAsia="仿宋_GB2312"/>
                <w:color w:val="auto"/>
                <w:szCs w:val="21"/>
                <w:highlight w:val="none"/>
              </w:rPr>
            </w:pPr>
          </w:p>
        </w:tc>
        <w:tc>
          <w:tcPr>
            <w:tcW w:w="607" w:type="pct"/>
            <w:noWrap w:val="0"/>
            <w:vAlign w:val="center"/>
          </w:tcPr>
          <w:p w14:paraId="685C5727">
            <w:pPr>
              <w:spacing w:line="300" w:lineRule="exact"/>
              <w:jc w:val="center"/>
              <w:rPr>
                <w:rFonts w:eastAsia="仿宋_GB2312"/>
                <w:color w:val="auto"/>
                <w:szCs w:val="21"/>
                <w:highlight w:val="none"/>
              </w:rPr>
            </w:pPr>
            <w:r>
              <w:rPr>
                <w:rFonts w:eastAsia="仿宋_GB2312"/>
                <w:color w:val="auto"/>
                <w:szCs w:val="21"/>
                <w:highlight w:val="none"/>
              </w:rPr>
              <w:t>食荚豌豆</w:t>
            </w:r>
            <w:r>
              <w:rPr>
                <w:rFonts w:hint="eastAsia" w:eastAsia="仿宋_GB2312"/>
                <w:color w:val="auto"/>
                <w:kern w:val="0"/>
                <w:szCs w:val="21"/>
                <w:highlight w:val="none"/>
              </w:rPr>
              <w:t>*</w:t>
            </w:r>
          </w:p>
        </w:tc>
        <w:tc>
          <w:tcPr>
            <w:tcW w:w="279" w:type="pct"/>
            <w:noWrap w:val="0"/>
            <w:vAlign w:val="center"/>
          </w:tcPr>
          <w:p w14:paraId="276DE246">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2B0722CA">
            <w:pPr>
              <w:spacing w:line="300" w:lineRule="exact"/>
              <w:jc w:val="left"/>
              <w:rPr>
                <w:rFonts w:eastAsia="仿宋_GB2312"/>
                <w:color w:val="auto"/>
                <w:szCs w:val="21"/>
                <w:highlight w:val="none"/>
              </w:rPr>
            </w:pPr>
            <w:r>
              <w:rPr>
                <w:rFonts w:eastAsia="仿宋_GB2312"/>
                <w:color w:val="auto"/>
                <w:szCs w:val="21"/>
                <w:highlight w:val="none"/>
              </w:rPr>
              <w:t>吡唑醚菌酯、多菌灵、噻虫胺、烯酰吗啉、乙酰甲胺磷、氧乐果</w:t>
            </w:r>
          </w:p>
        </w:tc>
        <w:tc>
          <w:tcPr>
            <w:tcW w:w="1051" w:type="pct"/>
            <w:noWrap w:val="0"/>
            <w:vAlign w:val="center"/>
          </w:tcPr>
          <w:p w14:paraId="76F097FA">
            <w:pPr>
              <w:spacing w:line="300" w:lineRule="exact"/>
              <w:jc w:val="left"/>
              <w:rPr>
                <w:rFonts w:eastAsia="仿宋_GB2312"/>
                <w:color w:val="auto"/>
                <w:szCs w:val="21"/>
                <w:highlight w:val="none"/>
              </w:rPr>
            </w:pPr>
            <w:r>
              <w:rPr>
                <w:rFonts w:eastAsia="仿宋_GB2312"/>
                <w:color w:val="auto"/>
                <w:szCs w:val="21"/>
                <w:highlight w:val="none"/>
              </w:rPr>
              <w:t>苯醚甲环唑、毒死蜱、甲胺磷、噻虫嗪</w:t>
            </w:r>
          </w:p>
        </w:tc>
      </w:tr>
      <w:tr w14:paraId="5CBD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noWrap w:val="0"/>
            <w:vAlign w:val="center"/>
          </w:tcPr>
          <w:p w14:paraId="04C26B7F">
            <w:pPr>
              <w:spacing w:line="300" w:lineRule="exact"/>
              <w:jc w:val="center"/>
              <w:rPr>
                <w:rFonts w:eastAsia="仿宋_GB2312"/>
                <w:color w:val="auto"/>
                <w:szCs w:val="21"/>
                <w:highlight w:val="none"/>
              </w:rPr>
            </w:pPr>
          </w:p>
        </w:tc>
        <w:tc>
          <w:tcPr>
            <w:tcW w:w="360" w:type="pct"/>
            <w:vMerge w:val="continue"/>
            <w:noWrap w:val="0"/>
            <w:vAlign w:val="center"/>
          </w:tcPr>
          <w:p w14:paraId="0FD4D30F">
            <w:pPr>
              <w:spacing w:line="300" w:lineRule="exact"/>
              <w:jc w:val="center"/>
              <w:rPr>
                <w:rFonts w:eastAsia="仿宋_GB2312"/>
                <w:color w:val="auto"/>
                <w:szCs w:val="21"/>
                <w:highlight w:val="none"/>
              </w:rPr>
            </w:pPr>
          </w:p>
        </w:tc>
        <w:tc>
          <w:tcPr>
            <w:tcW w:w="360" w:type="pct"/>
            <w:vMerge w:val="continue"/>
            <w:noWrap w:val="0"/>
            <w:vAlign w:val="center"/>
          </w:tcPr>
          <w:p w14:paraId="248F2D7B">
            <w:pPr>
              <w:spacing w:line="300" w:lineRule="exact"/>
              <w:jc w:val="center"/>
              <w:rPr>
                <w:rFonts w:eastAsia="仿宋_GB2312"/>
                <w:color w:val="auto"/>
                <w:szCs w:val="21"/>
                <w:highlight w:val="none"/>
              </w:rPr>
            </w:pPr>
          </w:p>
        </w:tc>
        <w:tc>
          <w:tcPr>
            <w:tcW w:w="438" w:type="pct"/>
            <w:vMerge w:val="restart"/>
            <w:noWrap w:val="0"/>
            <w:vAlign w:val="center"/>
          </w:tcPr>
          <w:p w14:paraId="4A433DC1">
            <w:pPr>
              <w:spacing w:line="300" w:lineRule="exact"/>
              <w:jc w:val="center"/>
              <w:rPr>
                <w:rFonts w:eastAsia="仿宋_GB2312"/>
                <w:color w:val="auto"/>
                <w:szCs w:val="21"/>
                <w:highlight w:val="none"/>
              </w:rPr>
            </w:pPr>
            <w:r>
              <w:rPr>
                <w:rFonts w:eastAsia="仿宋_GB2312"/>
                <w:color w:val="auto"/>
                <w:szCs w:val="21"/>
                <w:highlight w:val="none"/>
              </w:rPr>
              <w:t>根茎类和薯芋类蔬菜</w:t>
            </w:r>
          </w:p>
        </w:tc>
        <w:tc>
          <w:tcPr>
            <w:tcW w:w="607" w:type="pct"/>
            <w:noWrap w:val="0"/>
            <w:vAlign w:val="center"/>
          </w:tcPr>
          <w:p w14:paraId="5CCA6855">
            <w:pPr>
              <w:spacing w:line="300" w:lineRule="exact"/>
              <w:jc w:val="center"/>
              <w:rPr>
                <w:rFonts w:eastAsia="仿宋_GB2312"/>
                <w:color w:val="auto"/>
                <w:szCs w:val="21"/>
                <w:highlight w:val="none"/>
              </w:rPr>
            </w:pPr>
            <w:r>
              <w:rPr>
                <w:rFonts w:eastAsia="仿宋_GB2312"/>
                <w:color w:val="auto"/>
                <w:szCs w:val="21"/>
                <w:highlight w:val="none"/>
              </w:rPr>
              <w:t>甘薯</w:t>
            </w:r>
            <w:r>
              <w:rPr>
                <w:rFonts w:hint="eastAsia" w:eastAsia="仿宋_GB2312"/>
                <w:color w:val="auto"/>
                <w:kern w:val="0"/>
                <w:szCs w:val="21"/>
                <w:highlight w:val="none"/>
              </w:rPr>
              <w:t>*</w:t>
            </w:r>
          </w:p>
        </w:tc>
        <w:tc>
          <w:tcPr>
            <w:tcW w:w="279" w:type="pct"/>
            <w:noWrap w:val="0"/>
            <w:vAlign w:val="center"/>
          </w:tcPr>
          <w:p w14:paraId="0659886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426396E5">
            <w:pPr>
              <w:spacing w:line="300" w:lineRule="exact"/>
              <w:jc w:val="left"/>
              <w:rPr>
                <w:rFonts w:eastAsia="仿宋_GB2312"/>
                <w:color w:val="auto"/>
                <w:szCs w:val="21"/>
                <w:highlight w:val="none"/>
              </w:rPr>
            </w:pPr>
            <w:r>
              <w:rPr>
                <w:rFonts w:eastAsia="仿宋_GB2312"/>
                <w:color w:val="auto"/>
                <w:szCs w:val="21"/>
                <w:highlight w:val="none"/>
              </w:rPr>
              <w:t>氯氟氰菊酯和高效氯氟氰菊酯、毒死蜱、氯氰菊酯和高效氯氰菊酯、噻虫嗪</w:t>
            </w:r>
          </w:p>
        </w:tc>
        <w:tc>
          <w:tcPr>
            <w:tcW w:w="1051" w:type="pct"/>
            <w:noWrap w:val="0"/>
            <w:vAlign w:val="center"/>
          </w:tcPr>
          <w:p w14:paraId="7A574972">
            <w:pPr>
              <w:spacing w:line="300" w:lineRule="exact"/>
              <w:jc w:val="left"/>
              <w:rPr>
                <w:rFonts w:eastAsia="仿宋_GB2312"/>
                <w:color w:val="auto"/>
                <w:szCs w:val="21"/>
                <w:highlight w:val="none"/>
              </w:rPr>
            </w:pPr>
            <w:r>
              <w:rPr>
                <w:rFonts w:eastAsia="仿宋_GB2312"/>
                <w:color w:val="auto"/>
                <w:szCs w:val="21"/>
                <w:highlight w:val="none"/>
              </w:rPr>
              <w:t>苯醚甲环唑、氟虫腈、甲拌磷、联苯菊酯</w:t>
            </w:r>
          </w:p>
        </w:tc>
      </w:tr>
      <w:tr w14:paraId="7C0F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8DD1257">
            <w:pPr>
              <w:spacing w:line="300" w:lineRule="exact"/>
              <w:jc w:val="center"/>
              <w:rPr>
                <w:rFonts w:eastAsia="仿宋_GB2312"/>
                <w:color w:val="auto"/>
                <w:szCs w:val="21"/>
                <w:highlight w:val="none"/>
              </w:rPr>
            </w:pPr>
          </w:p>
        </w:tc>
        <w:tc>
          <w:tcPr>
            <w:tcW w:w="360" w:type="pct"/>
            <w:vMerge w:val="continue"/>
            <w:noWrap w:val="0"/>
            <w:vAlign w:val="center"/>
          </w:tcPr>
          <w:p w14:paraId="31D94A55">
            <w:pPr>
              <w:spacing w:line="300" w:lineRule="exact"/>
              <w:jc w:val="center"/>
              <w:rPr>
                <w:rFonts w:eastAsia="仿宋_GB2312"/>
                <w:color w:val="auto"/>
                <w:szCs w:val="21"/>
                <w:highlight w:val="none"/>
              </w:rPr>
            </w:pPr>
          </w:p>
        </w:tc>
        <w:tc>
          <w:tcPr>
            <w:tcW w:w="360" w:type="pct"/>
            <w:vMerge w:val="continue"/>
            <w:noWrap w:val="0"/>
            <w:vAlign w:val="center"/>
          </w:tcPr>
          <w:p w14:paraId="1AB5795E">
            <w:pPr>
              <w:spacing w:line="300" w:lineRule="exact"/>
              <w:jc w:val="center"/>
              <w:rPr>
                <w:rFonts w:eastAsia="仿宋_GB2312"/>
                <w:color w:val="auto"/>
                <w:szCs w:val="21"/>
                <w:highlight w:val="none"/>
              </w:rPr>
            </w:pPr>
          </w:p>
        </w:tc>
        <w:tc>
          <w:tcPr>
            <w:tcW w:w="438" w:type="pct"/>
            <w:vMerge w:val="continue"/>
            <w:noWrap w:val="0"/>
            <w:vAlign w:val="center"/>
          </w:tcPr>
          <w:p w14:paraId="048B570D">
            <w:pPr>
              <w:spacing w:line="300" w:lineRule="exact"/>
              <w:jc w:val="center"/>
              <w:rPr>
                <w:rFonts w:eastAsia="仿宋_GB2312"/>
                <w:color w:val="auto"/>
                <w:szCs w:val="21"/>
                <w:highlight w:val="none"/>
              </w:rPr>
            </w:pPr>
          </w:p>
        </w:tc>
        <w:tc>
          <w:tcPr>
            <w:tcW w:w="607" w:type="pct"/>
            <w:noWrap w:val="0"/>
            <w:vAlign w:val="center"/>
          </w:tcPr>
          <w:p w14:paraId="3C00078E">
            <w:pPr>
              <w:spacing w:line="300" w:lineRule="exact"/>
              <w:jc w:val="center"/>
              <w:rPr>
                <w:rFonts w:eastAsia="仿宋_GB2312"/>
                <w:color w:val="auto"/>
                <w:szCs w:val="21"/>
                <w:highlight w:val="none"/>
              </w:rPr>
            </w:pPr>
            <w:r>
              <w:rPr>
                <w:rFonts w:eastAsia="仿宋_GB2312"/>
                <w:color w:val="auto"/>
                <w:szCs w:val="21"/>
                <w:highlight w:val="none"/>
              </w:rPr>
              <w:t>胡萝卜</w:t>
            </w:r>
            <w:r>
              <w:rPr>
                <w:rFonts w:hint="eastAsia" w:eastAsia="仿宋_GB2312"/>
                <w:color w:val="auto"/>
                <w:kern w:val="0"/>
                <w:szCs w:val="21"/>
                <w:highlight w:val="none"/>
              </w:rPr>
              <w:t>*</w:t>
            </w:r>
          </w:p>
        </w:tc>
        <w:tc>
          <w:tcPr>
            <w:tcW w:w="279" w:type="pct"/>
            <w:noWrap w:val="0"/>
            <w:vAlign w:val="center"/>
          </w:tcPr>
          <w:p w14:paraId="3D8C87B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ECB2A23">
            <w:pPr>
              <w:spacing w:line="300" w:lineRule="exact"/>
              <w:jc w:val="left"/>
              <w:rPr>
                <w:rFonts w:eastAsia="仿宋_GB2312"/>
                <w:color w:val="auto"/>
                <w:szCs w:val="21"/>
                <w:highlight w:val="none"/>
              </w:rPr>
            </w:pPr>
            <w:r>
              <w:rPr>
                <w:rFonts w:eastAsia="仿宋_GB2312"/>
                <w:color w:val="auto"/>
                <w:szCs w:val="21"/>
                <w:highlight w:val="none"/>
              </w:rPr>
              <w:t>噻虫胺、甲拌磷、氟虫腈、氯氟氰菊酯和高效氯氟氰菊酯、毒死蜱</w:t>
            </w:r>
          </w:p>
        </w:tc>
        <w:tc>
          <w:tcPr>
            <w:tcW w:w="1051" w:type="pct"/>
            <w:noWrap w:val="0"/>
            <w:vAlign w:val="center"/>
          </w:tcPr>
          <w:p w14:paraId="681203AD">
            <w:pPr>
              <w:spacing w:line="300" w:lineRule="exact"/>
              <w:jc w:val="left"/>
              <w:rPr>
                <w:rFonts w:eastAsia="仿宋_GB2312"/>
                <w:color w:val="auto"/>
                <w:szCs w:val="21"/>
                <w:highlight w:val="none"/>
              </w:rPr>
            </w:pPr>
            <w:r>
              <w:rPr>
                <w:rFonts w:eastAsia="仿宋_GB2312"/>
                <w:color w:val="auto"/>
                <w:szCs w:val="21"/>
                <w:highlight w:val="none"/>
              </w:rPr>
              <w:t>铅（以 Pb 计）、腈菌唑、乐果、噻虫嗪、辛硫磷</w:t>
            </w:r>
          </w:p>
        </w:tc>
      </w:tr>
      <w:tr w14:paraId="12D2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9E61EBA">
            <w:pPr>
              <w:spacing w:line="300" w:lineRule="exact"/>
              <w:jc w:val="center"/>
              <w:rPr>
                <w:rFonts w:eastAsia="仿宋_GB2312"/>
                <w:color w:val="auto"/>
                <w:szCs w:val="21"/>
                <w:highlight w:val="none"/>
              </w:rPr>
            </w:pPr>
          </w:p>
        </w:tc>
        <w:tc>
          <w:tcPr>
            <w:tcW w:w="360" w:type="pct"/>
            <w:vMerge w:val="continue"/>
            <w:noWrap w:val="0"/>
            <w:vAlign w:val="center"/>
          </w:tcPr>
          <w:p w14:paraId="7FE7B82D">
            <w:pPr>
              <w:spacing w:line="300" w:lineRule="exact"/>
              <w:jc w:val="center"/>
              <w:rPr>
                <w:rFonts w:eastAsia="仿宋_GB2312"/>
                <w:color w:val="auto"/>
                <w:szCs w:val="21"/>
                <w:highlight w:val="none"/>
              </w:rPr>
            </w:pPr>
          </w:p>
        </w:tc>
        <w:tc>
          <w:tcPr>
            <w:tcW w:w="360" w:type="pct"/>
            <w:vMerge w:val="continue"/>
            <w:noWrap w:val="0"/>
            <w:vAlign w:val="center"/>
          </w:tcPr>
          <w:p w14:paraId="5AA1A35B">
            <w:pPr>
              <w:spacing w:line="300" w:lineRule="exact"/>
              <w:jc w:val="center"/>
              <w:rPr>
                <w:rFonts w:eastAsia="仿宋_GB2312"/>
                <w:color w:val="auto"/>
                <w:szCs w:val="21"/>
                <w:highlight w:val="none"/>
              </w:rPr>
            </w:pPr>
          </w:p>
        </w:tc>
        <w:tc>
          <w:tcPr>
            <w:tcW w:w="438" w:type="pct"/>
            <w:vMerge w:val="continue"/>
            <w:noWrap w:val="0"/>
            <w:vAlign w:val="center"/>
          </w:tcPr>
          <w:p w14:paraId="1B991C9E">
            <w:pPr>
              <w:spacing w:line="300" w:lineRule="exact"/>
              <w:jc w:val="center"/>
              <w:rPr>
                <w:rFonts w:eastAsia="仿宋_GB2312"/>
                <w:color w:val="auto"/>
                <w:szCs w:val="21"/>
                <w:highlight w:val="none"/>
              </w:rPr>
            </w:pPr>
          </w:p>
        </w:tc>
        <w:tc>
          <w:tcPr>
            <w:tcW w:w="607" w:type="pct"/>
            <w:noWrap w:val="0"/>
            <w:vAlign w:val="center"/>
          </w:tcPr>
          <w:p w14:paraId="345AA21E">
            <w:pPr>
              <w:spacing w:line="300" w:lineRule="exact"/>
              <w:jc w:val="center"/>
              <w:rPr>
                <w:rFonts w:eastAsia="仿宋_GB2312"/>
                <w:color w:val="auto"/>
                <w:szCs w:val="21"/>
                <w:highlight w:val="none"/>
              </w:rPr>
            </w:pPr>
            <w:r>
              <w:rPr>
                <w:rFonts w:eastAsia="仿宋_GB2312"/>
                <w:color w:val="auto"/>
                <w:szCs w:val="21"/>
                <w:highlight w:val="none"/>
              </w:rPr>
              <w:t>姜</w:t>
            </w:r>
            <w:r>
              <w:rPr>
                <w:rFonts w:hint="eastAsia" w:eastAsia="仿宋_GB2312"/>
                <w:color w:val="auto"/>
                <w:kern w:val="0"/>
                <w:szCs w:val="21"/>
                <w:highlight w:val="none"/>
              </w:rPr>
              <w:t>*</w:t>
            </w:r>
          </w:p>
        </w:tc>
        <w:tc>
          <w:tcPr>
            <w:tcW w:w="279" w:type="pct"/>
            <w:noWrap w:val="0"/>
            <w:vAlign w:val="center"/>
          </w:tcPr>
          <w:p w14:paraId="34955EA1">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6D63CCF3">
            <w:pPr>
              <w:spacing w:line="300" w:lineRule="exact"/>
              <w:jc w:val="left"/>
              <w:rPr>
                <w:rFonts w:eastAsia="仿宋_GB2312"/>
                <w:color w:val="auto"/>
                <w:szCs w:val="21"/>
                <w:highlight w:val="none"/>
              </w:rPr>
            </w:pPr>
            <w:r>
              <w:rPr>
                <w:rFonts w:eastAsia="仿宋_GB2312"/>
                <w:color w:val="auto"/>
                <w:szCs w:val="21"/>
                <w:highlight w:val="none"/>
              </w:rPr>
              <w:t>噻虫胺、铅（以 Pb 计）、镉（以 Cd 计）、噻虫嗪、毒死蜱、吡虫啉、二氧化硫残留量</w:t>
            </w:r>
          </w:p>
        </w:tc>
        <w:tc>
          <w:tcPr>
            <w:tcW w:w="1051" w:type="pct"/>
            <w:noWrap w:val="0"/>
            <w:vAlign w:val="center"/>
          </w:tcPr>
          <w:p w14:paraId="6BCDCC89">
            <w:pPr>
              <w:spacing w:line="300" w:lineRule="exact"/>
              <w:jc w:val="left"/>
              <w:rPr>
                <w:rFonts w:eastAsia="仿宋_GB2312"/>
                <w:color w:val="auto"/>
                <w:szCs w:val="21"/>
                <w:highlight w:val="none"/>
              </w:rPr>
            </w:pPr>
            <w:r>
              <w:rPr>
                <w:rFonts w:eastAsia="仿宋_GB2312"/>
                <w:color w:val="auto"/>
                <w:szCs w:val="21"/>
                <w:highlight w:val="none"/>
              </w:rPr>
              <w:t>甲拌磷、氯氰菊酯和高效氯氰菊酯</w:t>
            </w:r>
          </w:p>
        </w:tc>
      </w:tr>
      <w:tr w14:paraId="4ED2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noWrap w:val="0"/>
            <w:vAlign w:val="center"/>
          </w:tcPr>
          <w:p w14:paraId="1FDF1026">
            <w:pPr>
              <w:spacing w:line="300" w:lineRule="exact"/>
              <w:jc w:val="center"/>
              <w:rPr>
                <w:rFonts w:eastAsia="仿宋_GB2312"/>
                <w:color w:val="auto"/>
                <w:szCs w:val="21"/>
                <w:highlight w:val="none"/>
              </w:rPr>
            </w:pPr>
          </w:p>
        </w:tc>
        <w:tc>
          <w:tcPr>
            <w:tcW w:w="360" w:type="pct"/>
            <w:vMerge w:val="continue"/>
            <w:noWrap w:val="0"/>
            <w:vAlign w:val="center"/>
          </w:tcPr>
          <w:p w14:paraId="6D33AD01">
            <w:pPr>
              <w:spacing w:line="300" w:lineRule="exact"/>
              <w:jc w:val="center"/>
              <w:rPr>
                <w:rFonts w:eastAsia="仿宋_GB2312"/>
                <w:color w:val="auto"/>
                <w:szCs w:val="21"/>
                <w:highlight w:val="none"/>
              </w:rPr>
            </w:pPr>
          </w:p>
        </w:tc>
        <w:tc>
          <w:tcPr>
            <w:tcW w:w="360" w:type="pct"/>
            <w:vMerge w:val="continue"/>
            <w:noWrap w:val="0"/>
            <w:vAlign w:val="center"/>
          </w:tcPr>
          <w:p w14:paraId="49FEBB9B">
            <w:pPr>
              <w:spacing w:line="300" w:lineRule="exact"/>
              <w:jc w:val="center"/>
              <w:rPr>
                <w:rFonts w:eastAsia="仿宋_GB2312"/>
                <w:color w:val="auto"/>
                <w:szCs w:val="21"/>
                <w:highlight w:val="none"/>
              </w:rPr>
            </w:pPr>
          </w:p>
        </w:tc>
        <w:tc>
          <w:tcPr>
            <w:tcW w:w="438" w:type="pct"/>
            <w:vMerge w:val="continue"/>
            <w:noWrap w:val="0"/>
            <w:vAlign w:val="center"/>
          </w:tcPr>
          <w:p w14:paraId="42E0825F">
            <w:pPr>
              <w:spacing w:line="300" w:lineRule="exact"/>
              <w:jc w:val="center"/>
              <w:rPr>
                <w:rFonts w:eastAsia="仿宋_GB2312"/>
                <w:color w:val="auto"/>
                <w:szCs w:val="21"/>
                <w:highlight w:val="none"/>
              </w:rPr>
            </w:pPr>
          </w:p>
        </w:tc>
        <w:tc>
          <w:tcPr>
            <w:tcW w:w="607" w:type="pct"/>
            <w:noWrap w:val="0"/>
            <w:vAlign w:val="center"/>
          </w:tcPr>
          <w:p w14:paraId="1F98662C">
            <w:pPr>
              <w:spacing w:line="300" w:lineRule="exact"/>
              <w:jc w:val="center"/>
              <w:rPr>
                <w:rFonts w:eastAsia="仿宋_GB2312"/>
                <w:color w:val="auto"/>
                <w:szCs w:val="21"/>
                <w:highlight w:val="none"/>
              </w:rPr>
            </w:pPr>
            <w:r>
              <w:rPr>
                <w:rFonts w:eastAsia="仿宋_GB2312"/>
                <w:color w:val="auto"/>
                <w:szCs w:val="21"/>
                <w:highlight w:val="none"/>
              </w:rPr>
              <w:t>萝卜</w:t>
            </w:r>
            <w:r>
              <w:rPr>
                <w:rFonts w:hint="eastAsia" w:eastAsia="仿宋_GB2312"/>
                <w:color w:val="auto"/>
                <w:kern w:val="0"/>
                <w:szCs w:val="21"/>
                <w:highlight w:val="none"/>
              </w:rPr>
              <w:t>*</w:t>
            </w:r>
          </w:p>
        </w:tc>
        <w:tc>
          <w:tcPr>
            <w:tcW w:w="279" w:type="pct"/>
            <w:noWrap w:val="0"/>
            <w:vAlign w:val="center"/>
          </w:tcPr>
          <w:p w14:paraId="4D7E0CC3">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1C373331">
            <w:pPr>
              <w:spacing w:line="300" w:lineRule="exact"/>
              <w:jc w:val="left"/>
              <w:rPr>
                <w:rFonts w:eastAsia="仿宋_GB2312"/>
                <w:color w:val="auto"/>
                <w:szCs w:val="21"/>
                <w:highlight w:val="none"/>
              </w:rPr>
            </w:pPr>
            <w:r>
              <w:rPr>
                <w:rFonts w:eastAsia="仿宋_GB2312"/>
                <w:color w:val="auto"/>
                <w:szCs w:val="21"/>
                <w:highlight w:val="none"/>
              </w:rPr>
              <w:t>噻虫嗪、氯氟氰菊酯和高效氯氟氰菊酯、毒死蜱</w:t>
            </w:r>
          </w:p>
        </w:tc>
        <w:tc>
          <w:tcPr>
            <w:tcW w:w="1051" w:type="pct"/>
            <w:noWrap w:val="0"/>
            <w:vAlign w:val="center"/>
          </w:tcPr>
          <w:p w14:paraId="6C0E8EFD">
            <w:pPr>
              <w:spacing w:line="300" w:lineRule="exact"/>
              <w:jc w:val="left"/>
              <w:rPr>
                <w:rFonts w:eastAsia="仿宋_GB2312"/>
                <w:color w:val="auto"/>
                <w:szCs w:val="21"/>
                <w:highlight w:val="none"/>
              </w:rPr>
            </w:pPr>
            <w:r>
              <w:rPr>
                <w:rFonts w:eastAsia="仿宋_GB2312"/>
                <w:color w:val="auto"/>
                <w:szCs w:val="21"/>
                <w:highlight w:val="none"/>
              </w:rPr>
              <w:t>甲拌磷、噻虫胺</w:t>
            </w:r>
          </w:p>
        </w:tc>
      </w:tr>
      <w:tr w14:paraId="2F0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B4668A2">
            <w:pPr>
              <w:spacing w:line="300" w:lineRule="exact"/>
              <w:jc w:val="center"/>
              <w:rPr>
                <w:rFonts w:eastAsia="仿宋_GB2312"/>
                <w:color w:val="auto"/>
                <w:szCs w:val="21"/>
                <w:highlight w:val="none"/>
              </w:rPr>
            </w:pPr>
          </w:p>
        </w:tc>
        <w:tc>
          <w:tcPr>
            <w:tcW w:w="360" w:type="pct"/>
            <w:vMerge w:val="continue"/>
            <w:noWrap w:val="0"/>
            <w:vAlign w:val="center"/>
          </w:tcPr>
          <w:p w14:paraId="0BE11861">
            <w:pPr>
              <w:spacing w:line="300" w:lineRule="exact"/>
              <w:jc w:val="center"/>
              <w:rPr>
                <w:rFonts w:eastAsia="仿宋_GB2312"/>
                <w:color w:val="auto"/>
                <w:szCs w:val="21"/>
                <w:highlight w:val="none"/>
              </w:rPr>
            </w:pPr>
          </w:p>
        </w:tc>
        <w:tc>
          <w:tcPr>
            <w:tcW w:w="360" w:type="pct"/>
            <w:vMerge w:val="continue"/>
            <w:noWrap w:val="0"/>
            <w:vAlign w:val="center"/>
          </w:tcPr>
          <w:p w14:paraId="3DB747DD">
            <w:pPr>
              <w:spacing w:line="300" w:lineRule="exact"/>
              <w:jc w:val="center"/>
              <w:rPr>
                <w:rFonts w:eastAsia="仿宋_GB2312"/>
                <w:color w:val="auto"/>
                <w:szCs w:val="21"/>
                <w:highlight w:val="none"/>
              </w:rPr>
            </w:pPr>
          </w:p>
        </w:tc>
        <w:tc>
          <w:tcPr>
            <w:tcW w:w="438" w:type="pct"/>
            <w:vMerge w:val="continue"/>
            <w:noWrap w:val="0"/>
            <w:vAlign w:val="center"/>
          </w:tcPr>
          <w:p w14:paraId="5DFE8E50">
            <w:pPr>
              <w:spacing w:line="300" w:lineRule="exact"/>
              <w:jc w:val="center"/>
              <w:rPr>
                <w:rFonts w:eastAsia="仿宋_GB2312"/>
                <w:color w:val="auto"/>
                <w:szCs w:val="21"/>
                <w:highlight w:val="none"/>
              </w:rPr>
            </w:pPr>
          </w:p>
        </w:tc>
        <w:tc>
          <w:tcPr>
            <w:tcW w:w="607" w:type="pct"/>
            <w:noWrap w:val="0"/>
            <w:vAlign w:val="center"/>
          </w:tcPr>
          <w:p w14:paraId="00F85014">
            <w:pPr>
              <w:spacing w:line="300" w:lineRule="exact"/>
              <w:jc w:val="center"/>
              <w:rPr>
                <w:rFonts w:eastAsia="仿宋_GB2312"/>
                <w:color w:val="auto"/>
                <w:szCs w:val="21"/>
                <w:highlight w:val="none"/>
              </w:rPr>
            </w:pPr>
            <w:r>
              <w:rPr>
                <w:rFonts w:eastAsia="仿宋_GB2312"/>
                <w:color w:val="auto"/>
                <w:szCs w:val="21"/>
                <w:highlight w:val="none"/>
              </w:rPr>
              <w:t>马铃薯</w:t>
            </w:r>
            <w:r>
              <w:rPr>
                <w:rFonts w:hint="eastAsia" w:eastAsia="仿宋_GB2312"/>
                <w:color w:val="auto"/>
                <w:kern w:val="0"/>
                <w:szCs w:val="21"/>
                <w:highlight w:val="none"/>
              </w:rPr>
              <w:t>*</w:t>
            </w:r>
          </w:p>
        </w:tc>
        <w:tc>
          <w:tcPr>
            <w:tcW w:w="279" w:type="pct"/>
            <w:noWrap w:val="0"/>
            <w:vAlign w:val="center"/>
          </w:tcPr>
          <w:p w14:paraId="2C6CA194">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3123F0D1">
            <w:pPr>
              <w:spacing w:line="300" w:lineRule="exact"/>
              <w:jc w:val="left"/>
              <w:rPr>
                <w:rFonts w:eastAsia="仿宋_GB2312"/>
                <w:color w:val="auto"/>
                <w:szCs w:val="21"/>
                <w:highlight w:val="none"/>
              </w:rPr>
            </w:pPr>
            <w:r>
              <w:rPr>
                <w:rFonts w:eastAsia="仿宋_GB2312"/>
                <w:color w:val="auto"/>
                <w:szCs w:val="21"/>
                <w:highlight w:val="none"/>
              </w:rPr>
              <w:t>毒死蜱、噻虫嗪、氯氟氰菊酯和高效氯氟氰菊酯、镉（以 Cd 计）、甲拌磷</w:t>
            </w:r>
          </w:p>
        </w:tc>
        <w:tc>
          <w:tcPr>
            <w:tcW w:w="1051" w:type="pct"/>
            <w:noWrap w:val="0"/>
            <w:vAlign w:val="center"/>
          </w:tcPr>
          <w:p w14:paraId="3BC0C6CF">
            <w:pPr>
              <w:spacing w:line="300" w:lineRule="exact"/>
              <w:jc w:val="left"/>
              <w:rPr>
                <w:rFonts w:eastAsia="仿宋_GB2312"/>
                <w:color w:val="auto"/>
                <w:szCs w:val="21"/>
                <w:highlight w:val="none"/>
              </w:rPr>
            </w:pPr>
            <w:r>
              <w:rPr>
                <w:rFonts w:eastAsia="仿宋_GB2312"/>
                <w:color w:val="auto"/>
                <w:szCs w:val="21"/>
                <w:highlight w:val="none"/>
              </w:rPr>
              <w:t>铅（以 Pb 计）、二氧化硫残留量</w:t>
            </w:r>
          </w:p>
        </w:tc>
      </w:tr>
      <w:tr w14:paraId="5066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1B9D021">
            <w:pPr>
              <w:spacing w:line="300" w:lineRule="exact"/>
              <w:jc w:val="center"/>
              <w:rPr>
                <w:rFonts w:eastAsia="仿宋_GB2312"/>
                <w:color w:val="auto"/>
                <w:szCs w:val="21"/>
                <w:highlight w:val="none"/>
              </w:rPr>
            </w:pPr>
          </w:p>
        </w:tc>
        <w:tc>
          <w:tcPr>
            <w:tcW w:w="360" w:type="pct"/>
            <w:vMerge w:val="continue"/>
            <w:noWrap w:val="0"/>
            <w:vAlign w:val="center"/>
          </w:tcPr>
          <w:p w14:paraId="6843AF9B">
            <w:pPr>
              <w:spacing w:line="300" w:lineRule="exact"/>
              <w:jc w:val="center"/>
              <w:rPr>
                <w:rFonts w:eastAsia="仿宋_GB2312"/>
                <w:color w:val="auto"/>
                <w:szCs w:val="21"/>
                <w:highlight w:val="none"/>
              </w:rPr>
            </w:pPr>
          </w:p>
        </w:tc>
        <w:tc>
          <w:tcPr>
            <w:tcW w:w="360" w:type="pct"/>
            <w:vMerge w:val="continue"/>
            <w:noWrap w:val="0"/>
            <w:vAlign w:val="center"/>
          </w:tcPr>
          <w:p w14:paraId="3390E21F">
            <w:pPr>
              <w:spacing w:line="300" w:lineRule="exact"/>
              <w:jc w:val="center"/>
              <w:rPr>
                <w:rFonts w:eastAsia="仿宋_GB2312"/>
                <w:color w:val="auto"/>
                <w:szCs w:val="21"/>
                <w:highlight w:val="none"/>
              </w:rPr>
            </w:pPr>
          </w:p>
        </w:tc>
        <w:tc>
          <w:tcPr>
            <w:tcW w:w="438" w:type="pct"/>
            <w:vMerge w:val="continue"/>
            <w:noWrap w:val="0"/>
            <w:vAlign w:val="center"/>
          </w:tcPr>
          <w:p w14:paraId="350D08C8">
            <w:pPr>
              <w:spacing w:line="300" w:lineRule="exact"/>
              <w:jc w:val="center"/>
              <w:rPr>
                <w:rFonts w:eastAsia="仿宋_GB2312"/>
                <w:color w:val="auto"/>
                <w:szCs w:val="21"/>
                <w:highlight w:val="none"/>
              </w:rPr>
            </w:pPr>
          </w:p>
        </w:tc>
        <w:tc>
          <w:tcPr>
            <w:tcW w:w="607" w:type="pct"/>
            <w:noWrap w:val="0"/>
            <w:vAlign w:val="center"/>
          </w:tcPr>
          <w:p w14:paraId="1EDE9138">
            <w:pPr>
              <w:spacing w:line="300" w:lineRule="exact"/>
              <w:jc w:val="center"/>
              <w:rPr>
                <w:rFonts w:eastAsia="仿宋_GB2312"/>
                <w:color w:val="auto"/>
                <w:szCs w:val="21"/>
                <w:highlight w:val="none"/>
              </w:rPr>
            </w:pPr>
            <w:r>
              <w:rPr>
                <w:rFonts w:eastAsia="仿宋_GB2312"/>
                <w:color w:val="auto"/>
                <w:szCs w:val="21"/>
                <w:highlight w:val="none"/>
              </w:rPr>
              <w:t>山药</w:t>
            </w:r>
            <w:r>
              <w:rPr>
                <w:rFonts w:hint="eastAsia" w:eastAsia="仿宋_GB2312"/>
                <w:color w:val="auto"/>
                <w:kern w:val="0"/>
                <w:szCs w:val="21"/>
                <w:highlight w:val="none"/>
              </w:rPr>
              <w:t>*</w:t>
            </w:r>
          </w:p>
        </w:tc>
        <w:tc>
          <w:tcPr>
            <w:tcW w:w="279" w:type="pct"/>
            <w:noWrap w:val="0"/>
            <w:vAlign w:val="center"/>
          </w:tcPr>
          <w:p w14:paraId="104C1BEB">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04AF5AEC">
            <w:pPr>
              <w:spacing w:line="300" w:lineRule="exact"/>
              <w:jc w:val="left"/>
              <w:rPr>
                <w:rFonts w:eastAsia="仿宋_GB2312"/>
                <w:color w:val="auto"/>
                <w:szCs w:val="21"/>
                <w:highlight w:val="none"/>
              </w:rPr>
            </w:pPr>
            <w:r>
              <w:rPr>
                <w:rFonts w:eastAsia="仿宋_GB2312"/>
                <w:color w:val="auto"/>
                <w:szCs w:val="21"/>
                <w:highlight w:val="none"/>
              </w:rPr>
              <w:t>咪鲜胺和咪鲜胺锰盐、涕灭威、毒死蜱</w:t>
            </w:r>
          </w:p>
        </w:tc>
        <w:tc>
          <w:tcPr>
            <w:tcW w:w="1051" w:type="pct"/>
            <w:noWrap w:val="0"/>
            <w:vAlign w:val="center"/>
          </w:tcPr>
          <w:p w14:paraId="57951A83">
            <w:pPr>
              <w:spacing w:line="300" w:lineRule="exact"/>
              <w:jc w:val="left"/>
              <w:rPr>
                <w:rFonts w:eastAsia="仿宋_GB2312"/>
                <w:color w:val="auto"/>
                <w:szCs w:val="21"/>
                <w:highlight w:val="none"/>
              </w:rPr>
            </w:pPr>
            <w:r>
              <w:rPr>
                <w:rFonts w:eastAsia="仿宋_GB2312"/>
                <w:color w:val="auto"/>
                <w:szCs w:val="21"/>
                <w:highlight w:val="none"/>
              </w:rPr>
              <w:t>铅（以 Pb 计）、氯氟氰菊酯和高效氯氟氰菊酯</w:t>
            </w:r>
          </w:p>
        </w:tc>
      </w:tr>
      <w:tr w14:paraId="1482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27AF415">
            <w:pPr>
              <w:spacing w:line="300" w:lineRule="exact"/>
              <w:jc w:val="center"/>
              <w:rPr>
                <w:rFonts w:eastAsia="仿宋_GB2312"/>
                <w:color w:val="auto"/>
                <w:szCs w:val="21"/>
                <w:highlight w:val="none"/>
              </w:rPr>
            </w:pPr>
          </w:p>
        </w:tc>
        <w:tc>
          <w:tcPr>
            <w:tcW w:w="360" w:type="pct"/>
            <w:vMerge w:val="continue"/>
            <w:noWrap w:val="0"/>
            <w:vAlign w:val="center"/>
          </w:tcPr>
          <w:p w14:paraId="78A20954">
            <w:pPr>
              <w:spacing w:line="300" w:lineRule="exact"/>
              <w:jc w:val="center"/>
              <w:rPr>
                <w:rFonts w:eastAsia="仿宋_GB2312"/>
                <w:color w:val="auto"/>
                <w:szCs w:val="21"/>
                <w:highlight w:val="none"/>
              </w:rPr>
            </w:pPr>
          </w:p>
        </w:tc>
        <w:tc>
          <w:tcPr>
            <w:tcW w:w="360" w:type="pct"/>
            <w:vMerge w:val="continue"/>
            <w:noWrap w:val="0"/>
            <w:vAlign w:val="center"/>
          </w:tcPr>
          <w:p w14:paraId="34899D15">
            <w:pPr>
              <w:spacing w:line="300" w:lineRule="exact"/>
              <w:jc w:val="center"/>
              <w:rPr>
                <w:rFonts w:eastAsia="仿宋_GB2312"/>
                <w:color w:val="auto"/>
                <w:szCs w:val="21"/>
                <w:highlight w:val="none"/>
              </w:rPr>
            </w:pPr>
          </w:p>
        </w:tc>
        <w:tc>
          <w:tcPr>
            <w:tcW w:w="438" w:type="pct"/>
            <w:vMerge w:val="continue"/>
            <w:noWrap w:val="0"/>
            <w:vAlign w:val="center"/>
          </w:tcPr>
          <w:p w14:paraId="77F4C2BD">
            <w:pPr>
              <w:spacing w:line="300" w:lineRule="exact"/>
              <w:jc w:val="center"/>
              <w:rPr>
                <w:rFonts w:eastAsia="仿宋_GB2312"/>
                <w:color w:val="auto"/>
                <w:szCs w:val="21"/>
                <w:highlight w:val="none"/>
              </w:rPr>
            </w:pPr>
          </w:p>
        </w:tc>
        <w:tc>
          <w:tcPr>
            <w:tcW w:w="607" w:type="pct"/>
            <w:noWrap w:val="0"/>
            <w:vAlign w:val="center"/>
          </w:tcPr>
          <w:p w14:paraId="0BE95356">
            <w:pPr>
              <w:spacing w:line="300" w:lineRule="exact"/>
              <w:jc w:val="center"/>
              <w:rPr>
                <w:rFonts w:eastAsia="仿宋_GB2312"/>
                <w:color w:val="auto"/>
                <w:szCs w:val="21"/>
                <w:highlight w:val="none"/>
              </w:rPr>
            </w:pPr>
            <w:r>
              <w:rPr>
                <w:rFonts w:eastAsia="仿宋_GB2312"/>
                <w:color w:val="auto"/>
                <w:szCs w:val="21"/>
                <w:highlight w:val="none"/>
              </w:rPr>
              <w:t>芋</w:t>
            </w:r>
          </w:p>
        </w:tc>
        <w:tc>
          <w:tcPr>
            <w:tcW w:w="279" w:type="pct"/>
            <w:noWrap w:val="0"/>
            <w:vAlign w:val="center"/>
          </w:tcPr>
          <w:p w14:paraId="68D860A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319E83FD">
            <w:pPr>
              <w:spacing w:line="300" w:lineRule="exact"/>
              <w:jc w:val="left"/>
              <w:rPr>
                <w:rFonts w:eastAsia="仿宋_GB2312"/>
                <w:color w:val="auto"/>
                <w:szCs w:val="21"/>
                <w:highlight w:val="none"/>
              </w:rPr>
            </w:pPr>
            <w:r>
              <w:rPr>
                <w:rFonts w:eastAsia="仿宋_GB2312"/>
                <w:color w:val="auto"/>
                <w:szCs w:val="21"/>
                <w:highlight w:val="none"/>
              </w:rPr>
              <w:t>镉（ 以 Cd 计）、铅（ 以 Pb 计）、氯氟氰菊酯和高效氯氟氰菊酯、毒死蜱、克百威</w:t>
            </w:r>
          </w:p>
        </w:tc>
        <w:tc>
          <w:tcPr>
            <w:tcW w:w="1051" w:type="pct"/>
            <w:noWrap w:val="0"/>
            <w:vAlign w:val="center"/>
          </w:tcPr>
          <w:p w14:paraId="5A89D929">
            <w:pPr>
              <w:spacing w:line="300" w:lineRule="exact"/>
              <w:jc w:val="left"/>
              <w:rPr>
                <w:rFonts w:eastAsia="仿宋_GB2312"/>
                <w:color w:val="auto"/>
                <w:szCs w:val="21"/>
                <w:highlight w:val="none"/>
              </w:rPr>
            </w:pPr>
            <w:r>
              <w:rPr>
                <w:rFonts w:eastAsia="仿宋_GB2312"/>
                <w:color w:val="auto"/>
                <w:szCs w:val="21"/>
                <w:highlight w:val="none"/>
              </w:rPr>
              <w:t>甲拌磷</w:t>
            </w:r>
          </w:p>
        </w:tc>
      </w:tr>
      <w:tr w14:paraId="0410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434700B">
            <w:pPr>
              <w:spacing w:line="300" w:lineRule="exact"/>
              <w:jc w:val="center"/>
              <w:rPr>
                <w:rFonts w:eastAsia="仿宋_GB2312"/>
                <w:color w:val="auto"/>
                <w:szCs w:val="21"/>
                <w:highlight w:val="none"/>
              </w:rPr>
            </w:pPr>
          </w:p>
        </w:tc>
        <w:tc>
          <w:tcPr>
            <w:tcW w:w="360" w:type="pct"/>
            <w:vMerge w:val="continue"/>
            <w:noWrap w:val="0"/>
            <w:vAlign w:val="center"/>
          </w:tcPr>
          <w:p w14:paraId="4546FC17">
            <w:pPr>
              <w:spacing w:line="300" w:lineRule="exact"/>
              <w:jc w:val="center"/>
              <w:rPr>
                <w:rFonts w:eastAsia="仿宋_GB2312"/>
                <w:color w:val="auto"/>
                <w:szCs w:val="21"/>
                <w:highlight w:val="none"/>
              </w:rPr>
            </w:pPr>
          </w:p>
        </w:tc>
        <w:tc>
          <w:tcPr>
            <w:tcW w:w="360" w:type="pct"/>
            <w:vMerge w:val="continue"/>
            <w:noWrap w:val="0"/>
            <w:vAlign w:val="center"/>
          </w:tcPr>
          <w:p w14:paraId="455C32BF">
            <w:pPr>
              <w:spacing w:line="300" w:lineRule="exact"/>
              <w:jc w:val="center"/>
              <w:rPr>
                <w:rFonts w:eastAsia="仿宋_GB2312"/>
                <w:color w:val="auto"/>
                <w:szCs w:val="21"/>
                <w:highlight w:val="none"/>
              </w:rPr>
            </w:pPr>
          </w:p>
        </w:tc>
        <w:tc>
          <w:tcPr>
            <w:tcW w:w="438" w:type="pct"/>
            <w:noWrap w:val="0"/>
            <w:vAlign w:val="center"/>
          </w:tcPr>
          <w:p w14:paraId="6F9FE989">
            <w:pPr>
              <w:spacing w:line="300" w:lineRule="exact"/>
              <w:jc w:val="center"/>
              <w:rPr>
                <w:rFonts w:eastAsia="仿宋_GB2312"/>
                <w:color w:val="auto"/>
                <w:szCs w:val="21"/>
                <w:highlight w:val="none"/>
              </w:rPr>
            </w:pPr>
            <w:r>
              <w:rPr>
                <w:rFonts w:eastAsia="仿宋_GB2312"/>
                <w:color w:val="auto"/>
                <w:szCs w:val="21"/>
                <w:highlight w:val="none"/>
              </w:rPr>
              <w:t>茎类蔬菜</w:t>
            </w:r>
          </w:p>
        </w:tc>
        <w:tc>
          <w:tcPr>
            <w:tcW w:w="607" w:type="pct"/>
            <w:noWrap w:val="0"/>
            <w:vAlign w:val="center"/>
          </w:tcPr>
          <w:p w14:paraId="5FAD23F2">
            <w:pPr>
              <w:spacing w:line="300" w:lineRule="exact"/>
              <w:jc w:val="center"/>
              <w:rPr>
                <w:rFonts w:eastAsia="仿宋_GB2312"/>
                <w:color w:val="auto"/>
                <w:szCs w:val="21"/>
                <w:highlight w:val="none"/>
              </w:rPr>
            </w:pPr>
            <w:r>
              <w:rPr>
                <w:rFonts w:eastAsia="仿宋_GB2312"/>
                <w:color w:val="auto"/>
                <w:szCs w:val="21"/>
                <w:highlight w:val="none"/>
              </w:rPr>
              <w:t>茎用莴苣</w:t>
            </w:r>
          </w:p>
        </w:tc>
        <w:tc>
          <w:tcPr>
            <w:tcW w:w="279" w:type="pct"/>
            <w:noWrap w:val="0"/>
            <w:vAlign w:val="center"/>
          </w:tcPr>
          <w:p w14:paraId="56FE843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355C8F0B">
            <w:pPr>
              <w:spacing w:line="300" w:lineRule="exact"/>
              <w:jc w:val="left"/>
              <w:rPr>
                <w:rFonts w:eastAsia="仿宋_GB2312"/>
                <w:color w:val="auto"/>
                <w:szCs w:val="21"/>
                <w:highlight w:val="none"/>
              </w:rPr>
            </w:pPr>
            <w:r>
              <w:rPr>
                <w:rFonts w:eastAsia="仿宋_GB2312"/>
                <w:color w:val="auto"/>
                <w:szCs w:val="21"/>
                <w:highlight w:val="none"/>
              </w:rPr>
              <w:t>氯氟氰菊酯和高效氯氟氰菊酯、氧乐果、甲胺磷、氟虫腈、啶虫脒</w:t>
            </w:r>
          </w:p>
        </w:tc>
        <w:tc>
          <w:tcPr>
            <w:tcW w:w="1051" w:type="pct"/>
            <w:noWrap w:val="0"/>
            <w:vAlign w:val="center"/>
          </w:tcPr>
          <w:p w14:paraId="06D561B0">
            <w:pPr>
              <w:spacing w:line="300" w:lineRule="exact"/>
              <w:jc w:val="left"/>
              <w:rPr>
                <w:rFonts w:eastAsia="仿宋_GB2312"/>
                <w:color w:val="auto"/>
                <w:szCs w:val="21"/>
                <w:highlight w:val="none"/>
              </w:rPr>
            </w:pPr>
            <w:r>
              <w:rPr>
                <w:rFonts w:eastAsia="仿宋_GB2312"/>
                <w:color w:val="auto"/>
                <w:szCs w:val="21"/>
                <w:highlight w:val="none"/>
              </w:rPr>
              <w:t>毒死蜱、克百威</w:t>
            </w:r>
          </w:p>
        </w:tc>
      </w:tr>
      <w:tr w14:paraId="0FA5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9D4A527">
            <w:pPr>
              <w:spacing w:line="300" w:lineRule="exact"/>
              <w:jc w:val="center"/>
              <w:rPr>
                <w:rFonts w:eastAsia="仿宋_GB2312"/>
                <w:color w:val="auto"/>
                <w:szCs w:val="21"/>
                <w:highlight w:val="none"/>
              </w:rPr>
            </w:pPr>
          </w:p>
        </w:tc>
        <w:tc>
          <w:tcPr>
            <w:tcW w:w="360" w:type="pct"/>
            <w:vMerge w:val="continue"/>
            <w:noWrap w:val="0"/>
            <w:vAlign w:val="center"/>
          </w:tcPr>
          <w:p w14:paraId="1A479A5E">
            <w:pPr>
              <w:spacing w:line="300" w:lineRule="exact"/>
              <w:jc w:val="center"/>
              <w:rPr>
                <w:rFonts w:eastAsia="仿宋_GB2312"/>
                <w:color w:val="auto"/>
                <w:szCs w:val="21"/>
                <w:highlight w:val="none"/>
              </w:rPr>
            </w:pPr>
          </w:p>
        </w:tc>
        <w:tc>
          <w:tcPr>
            <w:tcW w:w="360" w:type="pct"/>
            <w:vMerge w:val="continue"/>
            <w:noWrap w:val="0"/>
            <w:vAlign w:val="center"/>
          </w:tcPr>
          <w:p w14:paraId="04A5974A">
            <w:pPr>
              <w:spacing w:line="300" w:lineRule="exact"/>
              <w:jc w:val="center"/>
              <w:rPr>
                <w:rFonts w:eastAsia="仿宋_GB2312"/>
                <w:color w:val="auto"/>
                <w:szCs w:val="21"/>
                <w:highlight w:val="none"/>
              </w:rPr>
            </w:pPr>
          </w:p>
        </w:tc>
        <w:tc>
          <w:tcPr>
            <w:tcW w:w="438" w:type="pct"/>
            <w:noWrap w:val="0"/>
            <w:vAlign w:val="center"/>
          </w:tcPr>
          <w:p w14:paraId="363E9C63">
            <w:pPr>
              <w:spacing w:line="300" w:lineRule="exact"/>
              <w:jc w:val="center"/>
              <w:rPr>
                <w:rFonts w:eastAsia="仿宋_GB2312"/>
                <w:color w:val="auto"/>
                <w:szCs w:val="21"/>
                <w:highlight w:val="none"/>
              </w:rPr>
            </w:pPr>
            <w:r>
              <w:rPr>
                <w:rFonts w:eastAsia="仿宋_GB2312"/>
                <w:color w:val="auto"/>
                <w:szCs w:val="21"/>
                <w:highlight w:val="none"/>
              </w:rPr>
              <w:t>水生类蔬菜</w:t>
            </w:r>
          </w:p>
        </w:tc>
        <w:tc>
          <w:tcPr>
            <w:tcW w:w="607" w:type="pct"/>
            <w:noWrap w:val="0"/>
            <w:vAlign w:val="center"/>
          </w:tcPr>
          <w:p w14:paraId="332B2B40">
            <w:pPr>
              <w:spacing w:line="300" w:lineRule="exact"/>
              <w:jc w:val="center"/>
              <w:rPr>
                <w:rFonts w:eastAsia="仿宋_GB2312"/>
                <w:color w:val="auto"/>
                <w:szCs w:val="21"/>
                <w:highlight w:val="none"/>
              </w:rPr>
            </w:pPr>
            <w:r>
              <w:rPr>
                <w:rFonts w:eastAsia="仿宋_GB2312"/>
                <w:color w:val="auto"/>
                <w:szCs w:val="21"/>
                <w:highlight w:val="none"/>
              </w:rPr>
              <w:t>莲藕</w:t>
            </w:r>
          </w:p>
        </w:tc>
        <w:tc>
          <w:tcPr>
            <w:tcW w:w="279" w:type="pct"/>
            <w:noWrap w:val="0"/>
            <w:vAlign w:val="center"/>
          </w:tcPr>
          <w:p w14:paraId="0CF2EF6E">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738C0770">
            <w:pPr>
              <w:spacing w:line="300" w:lineRule="exact"/>
              <w:jc w:val="left"/>
              <w:rPr>
                <w:rFonts w:eastAsia="仿宋_GB2312"/>
                <w:color w:val="auto"/>
                <w:szCs w:val="21"/>
                <w:highlight w:val="none"/>
              </w:rPr>
            </w:pPr>
            <w:r>
              <w:rPr>
                <w:rFonts w:eastAsia="仿宋_GB2312"/>
                <w:color w:val="auto"/>
                <w:szCs w:val="21"/>
                <w:highlight w:val="none"/>
              </w:rPr>
              <w:t>铅（以Pb计）、镉（以Cd计）、克百威、氧乐果、毒死蜱</w:t>
            </w:r>
          </w:p>
        </w:tc>
        <w:tc>
          <w:tcPr>
            <w:tcW w:w="1051" w:type="pct"/>
            <w:noWrap w:val="0"/>
            <w:vAlign w:val="center"/>
          </w:tcPr>
          <w:p w14:paraId="37979B28">
            <w:pPr>
              <w:spacing w:line="300" w:lineRule="exact"/>
              <w:jc w:val="left"/>
              <w:rPr>
                <w:rFonts w:eastAsia="仿宋_GB2312"/>
                <w:color w:val="auto"/>
                <w:szCs w:val="21"/>
                <w:highlight w:val="none"/>
              </w:rPr>
            </w:pPr>
            <w:r>
              <w:rPr>
                <w:rFonts w:eastAsia="仿宋_GB2312"/>
                <w:color w:val="auto"/>
                <w:szCs w:val="21"/>
                <w:highlight w:val="none"/>
              </w:rPr>
              <w:t>多菌灵</w:t>
            </w:r>
          </w:p>
        </w:tc>
      </w:tr>
      <w:tr w14:paraId="68F4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3B52F49">
            <w:pPr>
              <w:spacing w:line="300" w:lineRule="exact"/>
              <w:jc w:val="center"/>
              <w:rPr>
                <w:rFonts w:eastAsia="仿宋_GB2312"/>
                <w:color w:val="auto"/>
                <w:szCs w:val="21"/>
                <w:highlight w:val="none"/>
              </w:rPr>
            </w:pPr>
          </w:p>
        </w:tc>
        <w:tc>
          <w:tcPr>
            <w:tcW w:w="360" w:type="pct"/>
            <w:vMerge w:val="continue"/>
            <w:noWrap w:val="0"/>
            <w:vAlign w:val="center"/>
          </w:tcPr>
          <w:p w14:paraId="75CB4FCD">
            <w:pPr>
              <w:spacing w:line="300" w:lineRule="exact"/>
              <w:jc w:val="center"/>
              <w:rPr>
                <w:rFonts w:eastAsia="仿宋_GB2312"/>
                <w:color w:val="auto"/>
                <w:szCs w:val="21"/>
                <w:highlight w:val="none"/>
              </w:rPr>
            </w:pPr>
          </w:p>
        </w:tc>
        <w:tc>
          <w:tcPr>
            <w:tcW w:w="360" w:type="pct"/>
            <w:vMerge w:val="continue"/>
            <w:noWrap w:val="0"/>
            <w:vAlign w:val="center"/>
          </w:tcPr>
          <w:p w14:paraId="3341C416">
            <w:pPr>
              <w:spacing w:line="300" w:lineRule="exact"/>
              <w:jc w:val="center"/>
              <w:rPr>
                <w:rFonts w:eastAsia="仿宋_GB2312"/>
                <w:color w:val="auto"/>
                <w:szCs w:val="21"/>
                <w:highlight w:val="none"/>
              </w:rPr>
            </w:pPr>
          </w:p>
        </w:tc>
        <w:tc>
          <w:tcPr>
            <w:tcW w:w="438" w:type="pct"/>
            <w:vMerge w:val="restart"/>
            <w:noWrap w:val="0"/>
            <w:vAlign w:val="center"/>
          </w:tcPr>
          <w:p w14:paraId="6E8A17D0">
            <w:pPr>
              <w:spacing w:line="300" w:lineRule="exact"/>
              <w:jc w:val="center"/>
              <w:rPr>
                <w:rFonts w:eastAsia="仿宋_GB2312"/>
                <w:color w:val="auto"/>
                <w:szCs w:val="21"/>
                <w:highlight w:val="none"/>
              </w:rPr>
            </w:pPr>
            <w:r>
              <w:rPr>
                <w:rFonts w:eastAsia="仿宋_GB2312"/>
                <w:color w:val="auto"/>
                <w:szCs w:val="21"/>
                <w:highlight w:val="none"/>
              </w:rPr>
              <w:t>芸薹属类蔬菜</w:t>
            </w:r>
          </w:p>
        </w:tc>
        <w:tc>
          <w:tcPr>
            <w:tcW w:w="607" w:type="pct"/>
            <w:noWrap w:val="0"/>
            <w:vAlign w:val="center"/>
          </w:tcPr>
          <w:p w14:paraId="45484252">
            <w:pPr>
              <w:spacing w:line="300" w:lineRule="exact"/>
              <w:jc w:val="center"/>
              <w:rPr>
                <w:rFonts w:eastAsia="仿宋_GB2312"/>
                <w:color w:val="auto"/>
                <w:szCs w:val="21"/>
                <w:highlight w:val="none"/>
              </w:rPr>
            </w:pPr>
            <w:r>
              <w:rPr>
                <w:rFonts w:eastAsia="仿宋_GB2312"/>
                <w:color w:val="auto"/>
                <w:szCs w:val="21"/>
                <w:highlight w:val="none"/>
              </w:rPr>
              <w:t>菜薹</w:t>
            </w:r>
          </w:p>
        </w:tc>
        <w:tc>
          <w:tcPr>
            <w:tcW w:w="279" w:type="pct"/>
            <w:noWrap w:val="0"/>
            <w:vAlign w:val="center"/>
          </w:tcPr>
          <w:p w14:paraId="1FB8F169">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4D18D2B5">
            <w:pPr>
              <w:spacing w:line="300" w:lineRule="exact"/>
              <w:jc w:val="left"/>
              <w:rPr>
                <w:rFonts w:eastAsia="仿宋_GB2312"/>
                <w:color w:val="auto"/>
                <w:szCs w:val="21"/>
                <w:highlight w:val="none"/>
              </w:rPr>
            </w:pPr>
            <w:r>
              <w:rPr>
                <w:rFonts w:eastAsia="仿宋_GB2312"/>
                <w:color w:val="auto"/>
                <w:szCs w:val="21"/>
                <w:highlight w:val="none"/>
              </w:rPr>
              <w:t>镉（以Cd计）、噻虫胺、噻虫嗪、毒死蜱、克百威、氧乐果</w:t>
            </w:r>
          </w:p>
        </w:tc>
        <w:tc>
          <w:tcPr>
            <w:tcW w:w="1051" w:type="pct"/>
            <w:noWrap w:val="0"/>
            <w:vAlign w:val="center"/>
          </w:tcPr>
          <w:p w14:paraId="0EC66490">
            <w:pPr>
              <w:spacing w:line="300" w:lineRule="exact"/>
              <w:jc w:val="left"/>
              <w:rPr>
                <w:rFonts w:eastAsia="仿宋_GB2312"/>
                <w:color w:val="auto"/>
                <w:szCs w:val="21"/>
                <w:highlight w:val="none"/>
              </w:rPr>
            </w:pPr>
            <w:r>
              <w:rPr>
                <w:rFonts w:eastAsia="仿宋_GB2312"/>
                <w:color w:val="auto"/>
                <w:szCs w:val="21"/>
                <w:highlight w:val="none"/>
              </w:rPr>
              <w:t>氟虫腈、阿维菌素</w:t>
            </w:r>
          </w:p>
        </w:tc>
      </w:tr>
      <w:tr w14:paraId="4762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5CD7238">
            <w:pPr>
              <w:spacing w:line="300" w:lineRule="exact"/>
              <w:jc w:val="center"/>
              <w:rPr>
                <w:rFonts w:eastAsia="仿宋_GB2312"/>
                <w:color w:val="auto"/>
                <w:szCs w:val="21"/>
                <w:highlight w:val="none"/>
              </w:rPr>
            </w:pPr>
          </w:p>
        </w:tc>
        <w:tc>
          <w:tcPr>
            <w:tcW w:w="360" w:type="pct"/>
            <w:vMerge w:val="continue"/>
            <w:noWrap w:val="0"/>
            <w:vAlign w:val="center"/>
          </w:tcPr>
          <w:p w14:paraId="5252F989">
            <w:pPr>
              <w:spacing w:line="300" w:lineRule="exact"/>
              <w:jc w:val="center"/>
              <w:rPr>
                <w:rFonts w:eastAsia="仿宋_GB2312"/>
                <w:color w:val="auto"/>
                <w:szCs w:val="21"/>
                <w:highlight w:val="none"/>
              </w:rPr>
            </w:pPr>
          </w:p>
        </w:tc>
        <w:tc>
          <w:tcPr>
            <w:tcW w:w="360" w:type="pct"/>
            <w:vMerge w:val="continue"/>
            <w:noWrap w:val="0"/>
            <w:vAlign w:val="center"/>
          </w:tcPr>
          <w:p w14:paraId="5FF13B32">
            <w:pPr>
              <w:spacing w:line="300" w:lineRule="exact"/>
              <w:jc w:val="center"/>
              <w:rPr>
                <w:rFonts w:eastAsia="仿宋_GB2312"/>
                <w:color w:val="auto"/>
                <w:szCs w:val="21"/>
                <w:highlight w:val="none"/>
              </w:rPr>
            </w:pPr>
          </w:p>
        </w:tc>
        <w:tc>
          <w:tcPr>
            <w:tcW w:w="438" w:type="pct"/>
            <w:vMerge w:val="continue"/>
            <w:noWrap w:val="0"/>
            <w:vAlign w:val="center"/>
          </w:tcPr>
          <w:p w14:paraId="6BFA109A">
            <w:pPr>
              <w:spacing w:line="300" w:lineRule="exact"/>
              <w:jc w:val="center"/>
              <w:rPr>
                <w:rFonts w:eastAsia="仿宋_GB2312"/>
                <w:color w:val="auto"/>
                <w:szCs w:val="21"/>
                <w:highlight w:val="none"/>
              </w:rPr>
            </w:pPr>
          </w:p>
        </w:tc>
        <w:tc>
          <w:tcPr>
            <w:tcW w:w="607" w:type="pct"/>
            <w:noWrap w:val="0"/>
            <w:vAlign w:val="center"/>
          </w:tcPr>
          <w:p w14:paraId="75AE0C01">
            <w:pPr>
              <w:spacing w:line="300" w:lineRule="exact"/>
              <w:jc w:val="center"/>
              <w:rPr>
                <w:rFonts w:eastAsia="仿宋_GB2312"/>
                <w:color w:val="auto"/>
                <w:szCs w:val="21"/>
                <w:highlight w:val="none"/>
              </w:rPr>
            </w:pPr>
            <w:r>
              <w:rPr>
                <w:rFonts w:eastAsia="仿宋_GB2312"/>
                <w:color w:val="auto"/>
                <w:szCs w:val="21"/>
                <w:highlight w:val="none"/>
              </w:rPr>
              <w:t>结球甘蓝</w:t>
            </w:r>
          </w:p>
        </w:tc>
        <w:tc>
          <w:tcPr>
            <w:tcW w:w="279" w:type="pct"/>
            <w:noWrap w:val="0"/>
            <w:vAlign w:val="center"/>
          </w:tcPr>
          <w:p w14:paraId="446E9E6A">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7D5AB658">
            <w:pPr>
              <w:spacing w:line="300" w:lineRule="exact"/>
              <w:jc w:val="left"/>
              <w:rPr>
                <w:rFonts w:eastAsia="仿宋_GB2312"/>
                <w:color w:val="auto"/>
                <w:szCs w:val="21"/>
                <w:highlight w:val="none"/>
              </w:rPr>
            </w:pPr>
            <w:r>
              <w:rPr>
                <w:rFonts w:eastAsia="仿宋_GB2312"/>
                <w:color w:val="auto"/>
                <w:szCs w:val="21"/>
                <w:highlight w:val="none"/>
              </w:rPr>
              <w:t>噻虫嗪、苯醚甲环唑、乙酰甲胺磷、毒死蜱、克百威、甲基异柳磷</w:t>
            </w:r>
          </w:p>
        </w:tc>
        <w:tc>
          <w:tcPr>
            <w:tcW w:w="1051" w:type="pct"/>
            <w:noWrap w:val="0"/>
            <w:vAlign w:val="center"/>
          </w:tcPr>
          <w:p w14:paraId="1DCD5B7A">
            <w:pPr>
              <w:spacing w:line="300" w:lineRule="exact"/>
              <w:jc w:val="left"/>
              <w:rPr>
                <w:rFonts w:eastAsia="仿宋_GB2312"/>
                <w:color w:val="auto"/>
                <w:szCs w:val="21"/>
                <w:highlight w:val="none"/>
              </w:rPr>
            </w:pPr>
            <w:r>
              <w:rPr>
                <w:rFonts w:eastAsia="仿宋_GB2312"/>
                <w:color w:val="auto"/>
                <w:szCs w:val="21"/>
                <w:highlight w:val="none"/>
              </w:rPr>
              <w:t>氟虫腈、阿维菌素</w:t>
            </w:r>
          </w:p>
        </w:tc>
      </w:tr>
      <w:tr w14:paraId="110D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70817AE">
            <w:pPr>
              <w:spacing w:line="300" w:lineRule="exact"/>
              <w:jc w:val="center"/>
              <w:rPr>
                <w:rFonts w:eastAsia="仿宋_GB2312"/>
                <w:color w:val="auto"/>
                <w:szCs w:val="21"/>
                <w:highlight w:val="none"/>
              </w:rPr>
            </w:pPr>
          </w:p>
        </w:tc>
        <w:tc>
          <w:tcPr>
            <w:tcW w:w="360" w:type="pct"/>
            <w:vMerge w:val="continue"/>
            <w:noWrap w:val="0"/>
            <w:vAlign w:val="center"/>
          </w:tcPr>
          <w:p w14:paraId="1F22669E">
            <w:pPr>
              <w:spacing w:line="300" w:lineRule="exact"/>
              <w:jc w:val="center"/>
              <w:rPr>
                <w:rFonts w:eastAsia="仿宋_GB2312"/>
                <w:color w:val="auto"/>
                <w:szCs w:val="21"/>
                <w:highlight w:val="none"/>
              </w:rPr>
            </w:pPr>
          </w:p>
        </w:tc>
        <w:tc>
          <w:tcPr>
            <w:tcW w:w="360" w:type="pct"/>
            <w:vMerge w:val="continue"/>
            <w:noWrap w:val="0"/>
            <w:vAlign w:val="center"/>
          </w:tcPr>
          <w:p w14:paraId="342F48E5">
            <w:pPr>
              <w:spacing w:line="300" w:lineRule="exact"/>
              <w:jc w:val="center"/>
              <w:rPr>
                <w:rFonts w:eastAsia="仿宋_GB2312"/>
                <w:color w:val="auto"/>
                <w:szCs w:val="21"/>
                <w:highlight w:val="none"/>
              </w:rPr>
            </w:pPr>
          </w:p>
        </w:tc>
        <w:tc>
          <w:tcPr>
            <w:tcW w:w="438" w:type="pct"/>
            <w:noWrap w:val="0"/>
            <w:vAlign w:val="center"/>
          </w:tcPr>
          <w:p w14:paraId="7F1E27E0">
            <w:pPr>
              <w:spacing w:line="300" w:lineRule="exact"/>
              <w:jc w:val="center"/>
              <w:rPr>
                <w:rFonts w:eastAsia="仿宋_GB2312"/>
                <w:color w:val="auto"/>
                <w:szCs w:val="21"/>
                <w:highlight w:val="none"/>
              </w:rPr>
            </w:pPr>
            <w:r>
              <w:rPr>
                <w:rFonts w:eastAsia="仿宋_GB2312"/>
                <w:color w:val="auto"/>
                <w:szCs w:val="21"/>
                <w:highlight w:val="none"/>
              </w:rPr>
              <w:t>鲜食用菌</w:t>
            </w:r>
          </w:p>
        </w:tc>
        <w:tc>
          <w:tcPr>
            <w:tcW w:w="607" w:type="pct"/>
            <w:noWrap w:val="0"/>
            <w:vAlign w:val="center"/>
          </w:tcPr>
          <w:p w14:paraId="7A04C0E3">
            <w:pPr>
              <w:spacing w:line="300" w:lineRule="exact"/>
              <w:jc w:val="center"/>
              <w:rPr>
                <w:rFonts w:eastAsia="仿宋_GB2312"/>
                <w:color w:val="auto"/>
                <w:szCs w:val="21"/>
                <w:highlight w:val="none"/>
              </w:rPr>
            </w:pPr>
            <w:r>
              <w:rPr>
                <w:rFonts w:eastAsia="仿宋_GB2312"/>
                <w:color w:val="auto"/>
                <w:szCs w:val="21"/>
                <w:highlight w:val="none"/>
              </w:rPr>
              <w:t>鲜食用菌</w:t>
            </w:r>
          </w:p>
        </w:tc>
        <w:tc>
          <w:tcPr>
            <w:tcW w:w="279" w:type="pct"/>
            <w:noWrap w:val="0"/>
            <w:vAlign w:val="center"/>
          </w:tcPr>
          <w:p w14:paraId="0D8D4C65">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14C52F8C">
            <w:pPr>
              <w:spacing w:line="300" w:lineRule="exact"/>
              <w:jc w:val="left"/>
              <w:rPr>
                <w:rFonts w:eastAsia="仿宋_GB2312"/>
                <w:color w:val="auto"/>
                <w:szCs w:val="21"/>
                <w:highlight w:val="none"/>
              </w:rPr>
            </w:pPr>
            <w:r>
              <w:rPr>
                <w:rFonts w:eastAsia="仿宋_GB2312"/>
                <w:color w:val="auto"/>
                <w:szCs w:val="21"/>
                <w:highlight w:val="none"/>
              </w:rPr>
              <w:t>铅（ 以 Pb 计）、镉（以 Cd 计）、百菌清、除虫脲、氯氟氰菊酯和高效氯氟氰菊酯、氯氰菊酯和高效氯氰菊酯</w:t>
            </w:r>
          </w:p>
        </w:tc>
        <w:tc>
          <w:tcPr>
            <w:tcW w:w="1051" w:type="pct"/>
            <w:noWrap w:val="0"/>
            <w:vAlign w:val="center"/>
          </w:tcPr>
          <w:p w14:paraId="6348A302">
            <w:pPr>
              <w:spacing w:line="300" w:lineRule="exact"/>
              <w:jc w:val="left"/>
              <w:rPr>
                <w:rFonts w:eastAsia="仿宋_GB2312"/>
                <w:color w:val="auto"/>
                <w:szCs w:val="21"/>
                <w:highlight w:val="none"/>
              </w:rPr>
            </w:pPr>
          </w:p>
        </w:tc>
      </w:tr>
      <w:tr w14:paraId="54C0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54C6DCD">
            <w:pPr>
              <w:spacing w:line="300" w:lineRule="exact"/>
              <w:jc w:val="center"/>
              <w:rPr>
                <w:rFonts w:eastAsia="仿宋_GB2312"/>
                <w:color w:val="auto"/>
                <w:szCs w:val="21"/>
                <w:highlight w:val="none"/>
              </w:rPr>
            </w:pPr>
          </w:p>
        </w:tc>
        <w:tc>
          <w:tcPr>
            <w:tcW w:w="360" w:type="pct"/>
            <w:vMerge w:val="continue"/>
            <w:noWrap w:val="0"/>
            <w:vAlign w:val="center"/>
          </w:tcPr>
          <w:p w14:paraId="6BB5F524">
            <w:pPr>
              <w:spacing w:line="300" w:lineRule="exact"/>
              <w:jc w:val="center"/>
              <w:rPr>
                <w:rFonts w:eastAsia="仿宋_GB2312"/>
                <w:color w:val="auto"/>
                <w:szCs w:val="21"/>
                <w:highlight w:val="none"/>
              </w:rPr>
            </w:pPr>
          </w:p>
        </w:tc>
        <w:tc>
          <w:tcPr>
            <w:tcW w:w="360" w:type="pct"/>
            <w:vMerge w:val="continue"/>
            <w:noWrap w:val="0"/>
            <w:vAlign w:val="center"/>
          </w:tcPr>
          <w:p w14:paraId="2B4A0900">
            <w:pPr>
              <w:spacing w:line="300" w:lineRule="exact"/>
              <w:jc w:val="center"/>
              <w:rPr>
                <w:rFonts w:eastAsia="仿宋_GB2312"/>
                <w:color w:val="auto"/>
                <w:szCs w:val="21"/>
                <w:highlight w:val="none"/>
              </w:rPr>
            </w:pPr>
          </w:p>
        </w:tc>
        <w:tc>
          <w:tcPr>
            <w:tcW w:w="438" w:type="pct"/>
            <w:noWrap w:val="0"/>
            <w:vAlign w:val="center"/>
          </w:tcPr>
          <w:p w14:paraId="3D0F29CA">
            <w:pPr>
              <w:spacing w:line="300" w:lineRule="exact"/>
              <w:jc w:val="center"/>
              <w:rPr>
                <w:rFonts w:eastAsia="仿宋_GB2312"/>
                <w:color w:val="auto"/>
                <w:szCs w:val="21"/>
                <w:highlight w:val="none"/>
              </w:rPr>
            </w:pPr>
            <w:r>
              <w:rPr>
                <w:rFonts w:eastAsia="仿宋_GB2312"/>
                <w:color w:val="auto"/>
                <w:szCs w:val="21"/>
                <w:highlight w:val="none"/>
              </w:rPr>
              <w:t>去皮蔬菜</w:t>
            </w:r>
          </w:p>
        </w:tc>
        <w:tc>
          <w:tcPr>
            <w:tcW w:w="607" w:type="pct"/>
            <w:noWrap w:val="0"/>
            <w:vAlign w:val="center"/>
          </w:tcPr>
          <w:p w14:paraId="61F84C67">
            <w:pPr>
              <w:spacing w:line="300" w:lineRule="exact"/>
              <w:jc w:val="center"/>
              <w:rPr>
                <w:rFonts w:eastAsia="仿宋_GB2312"/>
                <w:color w:val="auto"/>
                <w:szCs w:val="21"/>
                <w:highlight w:val="none"/>
              </w:rPr>
            </w:pPr>
            <w:r>
              <w:rPr>
                <w:rFonts w:eastAsia="仿宋_GB2312"/>
                <w:color w:val="auto"/>
                <w:szCs w:val="21"/>
                <w:highlight w:val="none"/>
              </w:rPr>
              <w:t>去皮蔬菜</w:t>
            </w:r>
          </w:p>
        </w:tc>
        <w:tc>
          <w:tcPr>
            <w:tcW w:w="279" w:type="pct"/>
            <w:noWrap w:val="0"/>
            <w:vAlign w:val="center"/>
          </w:tcPr>
          <w:p w14:paraId="2F6F52F0">
            <w:pPr>
              <w:spacing w:line="300" w:lineRule="exact"/>
              <w:jc w:val="center"/>
              <w:rPr>
                <w:rFonts w:eastAsia="仿宋_GB2312"/>
                <w:color w:val="auto"/>
                <w:szCs w:val="21"/>
                <w:highlight w:val="none"/>
              </w:rPr>
            </w:pPr>
            <w:r>
              <w:rPr>
                <w:rFonts w:eastAsia="仿宋_GB2312"/>
                <w:color w:val="auto"/>
                <w:szCs w:val="21"/>
                <w:highlight w:val="none"/>
              </w:rPr>
              <w:t>较高</w:t>
            </w:r>
          </w:p>
        </w:tc>
        <w:tc>
          <w:tcPr>
            <w:tcW w:w="1754" w:type="pct"/>
            <w:noWrap w:val="0"/>
            <w:vAlign w:val="center"/>
          </w:tcPr>
          <w:p w14:paraId="3A2D4528">
            <w:pPr>
              <w:spacing w:line="300" w:lineRule="exact"/>
              <w:jc w:val="left"/>
              <w:rPr>
                <w:rFonts w:eastAsia="仿宋_GB2312"/>
                <w:color w:val="auto"/>
                <w:szCs w:val="21"/>
                <w:highlight w:val="none"/>
              </w:rPr>
            </w:pPr>
            <w:r>
              <w:rPr>
                <w:rFonts w:eastAsia="仿宋_GB2312"/>
                <w:color w:val="auto"/>
                <w:szCs w:val="21"/>
                <w:highlight w:val="none"/>
              </w:rPr>
              <w:t>苯甲酸及其钠盐（以苯甲酸计）、山梨酸及其钾盐（以山梨酸计）、脱氢乙酸及其钠盐（以脱氢乙酸计）、二氧化硫残留量、合成着色剂（柠檬黄、日落黄、胭脂红、苋菜红、亮蓝、诱惑红）</w:t>
            </w:r>
          </w:p>
        </w:tc>
        <w:tc>
          <w:tcPr>
            <w:tcW w:w="1051" w:type="pct"/>
            <w:noWrap w:val="0"/>
            <w:vAlign w:val="center"/>
          </w:tcPr>
          <w:p w14:paraId="23B962C9">
            <w:pPr>
              <w:spacing w:line="300" w:lineRule="exact"/>
              <w:jc w:val="left"/>
              <w:rPr>
                <w:rFonts w:eastAsia="仿宋_GB2312"/>
                <w:color w:val="auto"/>
                <w:szCs w:val="21"/>
                <w:highlight w:val="none"/>
              </w:rPr>
            </w:pPr>
            <w:r>
              <w:rPr>
                <w:rFonts w:eastAsia="仿宋_GB2312"/>
                <w:color w:val="auto"/>
                <w:szCs w:val="21"/>
                <w:highlight w:val="none"/>
              </w:rPr>
              <w:t>/</w:t>
            </w:r>
          </w:p>
        </w:tc>
      </w:tr>
      <w:tr w14:paraId="04CE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noWrap w:val="0"/>
            <w:vAlign w:val="center"/>
          </w:tcPr>
          <w:p w14:paraId="45582C1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3</w:t>
            </w:r>
          </w:p>
        </w:tc>
        <w:tc>
          <w:tcPr>
            <w:tcW w:w="360" w:type="pct"/>
            <w:vMerge w:val="restart"/>
            <w:noWrap w:val="0"/>
            <w:vAlign w:val="center"/>
          </w:tcPr>
          <w:p w14:paraId="3870115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水产品</w:t>
            </w:r>
          </w:p>
        </w:tc>
        <w:tc>
          <w:tcPr>
            <w:tcW w:w="360" w:type="pct"/>
            <w:vMerge w:val="restart"/>
            <w:noWrap w:val="0"/>
            <w:vAlign w:val="center"/>
          </w:tcPr>
          <w:p w14:paraId="154EBCB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水产品</w:t>
            </w:r>
          </w:p>
        </w:tc>
        <w:tc>
          <w:tcPr>
            <w:tcW w:w="438" w:type="pct"/>
            <w:vMerge w:val="restart"/>
            <w:noWrap w:val="0"/>
            <w:vAlign w:val="center"/>
          </w:tcPr>
          <w:p w14:paraId="0A8DB08C">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淡水产品</w:t>
            </w:r>
          </w:p>
        </w:tc>
        <w:tc>
          <w:tcPr>
            <w:tcW w:w="607" w:type="pct"/>
            <w:noWrap w:val="0"/>
            <w:vAlign w:val="center"/>
          </w:tcPr>
          <w:p w14:paraId="41D16DD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淡水鱼</w:t>
            </w:r>
            <w:r>
              <w:rPr>
                <w:rFonts w:hint="eastAsia" w:eastAsia="仿宋_GB2312"/>
                <w:color w:val="auto"/>
                <w:kern w:val="0"/>
                <w:szCs w:val="21"/>
                <w:highlight w:val="none"/>
              </w:rPr>
              <w:t>*</w:t>
            </w:r>
          </w:p>
        </w:tc>
        <w:tc>
          <w:tcPr>
            <w:tcW w:w="279" w:type="pct"/>
            <w:noWrap w:val="0"/>
            <w:vAlign w:val="center"/>
          </w:tcPr>
          <w:p w14:paraId="03EA9A49">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0A614FF3">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恩诺沙星、孔雀石绿、磺胺类（总量）、氧氟沙星、呋喃唑酮代谢物</w:t>
            </w:r>
          </w:p>
        </w:tc>
        <w:tc>
          <w:tcPr>
            <w:tcW w:w="1051" w:type="pct"/>
            <w:noWrap w:val="0"/>
            <w:vAlign w:val="center"/>
          </w:tcPr>
          <w:p w14:paraId="54AD3D6C">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氯霉素、呋喃西林代谢物、五氯酚酸钠（以五氯酚计）、地西泮</w:t>
            </w:r>
          </w:p>
        </w:tc>
      </w:tr>
      <w:tr w14:paraId="35AF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2CFDF59">
            <w:pPr>
              <w:spacing w:line="300" w:lineRule="exact"/>
              <w:jc w:val="center"/>
              <w:rPr>
                <w:rFonts w:eastAsia="仿宋_GB2312"/>
                <w:color w:val="auto"/>
                <w:szCs w:val="21"/>
                <w:highlight w:val="none"/>
              </w:rPr>
            </w:pPr>
          </w:p>
        </w:tc>
        <w:tc>
          <w:tcPr>
            <w:tcW w:w="360" w:type="pct"/>
            <w:vMerge w:val="continue"/>
            <w:noWrap w:val="0"/>
            <w:vAlign w:val="center"/>
          </w:tcPr>
          <w:p w14:paraId="728C2250">
            <w:pPr>
              <w:spacing w:line="300" w:lineRule="exact"/>
              <w:jc w:val="center"/>
              <w:rPr>
                <w:rFonts w:eastAsia="仿宋_GB2312"/>
                <w:color w:val="auto"/>
                <w:szCs w:val="21"/>
                <w:highlight w:val="none"/>
              </w:rPr>
            </w:pPr>
          </w:p>
        </w:tc>
        <w:tc>
          <w:tcPr>
            <w:tcW w:w="360" w:type="pct"/>
            <w:vMerge w:val="continue"/>
            <w:noWrap w:val="0"/>
            <w:vAlign w:val="center"/>
          </w:tcPr>
          <w:p w14:paraId="2A395158">
            <w:pPr>
              <w:spacing w:line="300" w:lineRule="exact"/>
              <w:jc w:val="center"/>
              <w:rPr>
                <w:rFonts w:eastAsia="仿宋_GB2312"/>
                <w:color w:val="auto"/>
                <w:szCs w:val="21"/>
                <w:highlight w:val="none"/>
              </w:rPr>
            </w:pPr>
          </w:p>
        </w:tc>
        <w:tc>
          <w:tcPr>
            <w:tcW w:w="438" w:type="pct"/>
            <w:vMerge w:val="continue"/>
            <w:noWrap w:val="0"/>
            <w:vAlign w:val="center"/>
          </w:tcPr>
          <w:p w14:paraId="7D8A8C1E">
            <w:pPr>
              <w:spacing w:line="300" w:lineRule="exact"/>
              <w:jc w:val="center"/>
              <w:rPr>
                <w:rFonts w:eastAsia="仿宋_GB2312"/>
                <w:color w:val="auto"/>
                <w:szCs w:val="21"/>
                <w:highlight w:val="none"/>
              </w:rPr>
            </w:pPr>
          </w:p>
        </w:tc>
        <w:tc>
          <w:tcPr>
            <w:tcW w:w="607" w:type="pct"/>
            <w:noWrap w:val="0"/>
            <w:vAlign w:val="center"/>
          </w:tcPr>
          <w:p w14:paraId="2543479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淡水虾</w:t>
            </w:r>
            <w:r>
              <w:rPr>
                <w:rFonts w:hint="eastAsia" w:eastAsia="仿宋_GB2312"/>
                <w:color w:val="auto"/>
                <w:kern w:val="0"/>
                <w:szCs w:val="21"/>
                <w:highlight w:val="none"/>
              </w:rPr>
              <w:t>*</w:t>
            </w:r>
            <w:r>
              <w:rPr>
                <w:rFonts w:eastAsia="仿宋_GB2312"/>
                <w:color w:val="auto"/>
                <w:kern w:val="0"/>
                <w:szCs w:val="21"/>
                <w:highlight w:val="none"/>
              </w:rPr>
              <w:t>（重点品种：罗氏沼虾）</w:t>
            </w:r>
          </w:p>
        </w:tc>
        <w:tc>
          <w:tcPr>
            <w:tcW w:w="279" w:type="pct"/>
            <w:noWrap w:val="0"/>
            <w:vAlign w:val="center"/>
          </w:tcPr>
          <w:p w14:paraId="1246DE3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3BC61916">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恩诺沙星、呋喃唑酮代谢物</w:t>
            </w:r>
          </w:p>
        </w:tc>
        <w:tc>
          <w:tcPr>
            <w:tcW w:w="1051" w:type="pct"/>
            <w:noWrap w:val="0"/>
            <w:vAlign w:val="center"/>
          </w:tcPr>
          <w:p w14:paraId="00E3B5AB">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呋喃妥因代谢物、磺胺类（总量）、氧氟沙星、诺氟沙星</w:t>
            </w:r>
          </w:p>
        </w:tc>
      </w:tr>
      <w:tr w14:paraId="56E1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2ACA972">
            <w:pPr>
              <w:spacing w:line="300" w:lineRule="exact"/>
              <w:jc w:val="center"/>
              <w:rPr>
                <w:rFonts w:eastAsia="仿宋_GB2312"/>
                <w:color w:val="auto"/>
                <w:szCs w:val="21"/>
                <w:highlight w:val="none"/>
              </w:rPr>
            </w:pPr>
          </w:p>
        </w:tc>
        <w:tc>
          <w:tcPr>
            <w:tcW w:w="360" w:type="pct"/>
            <w:vMerge w:val="continue"/>
            <w:noWrap w:val="0"/>
            <w:vAlign w:val="center"/>
          </w:tcPr>
          <w:p w14:paraId="3252F998">
            <w:pPr>
              <w:spacing w:line="300" w:lineRule="exact"/>
              <w:jc w:val="center"/>
              <w:rPr>
                <w:rFonts w:eastAsia="仿宋_GB2312"/>
                <w:color w:val="auto"/>
                <w:szCs w:val="21"/>
                <w:highlight w:val="none"/>
              </w:rPr>
            </w:pPr>
          </w:p>
        </w:tc>
        <w:tc>
          <w:tcPr>
            <w:tcW w:w="360" w:type="pct"/>
            <w:vMerge w:val="continue"/>
            <w:noWrap w:val="0"/>
            <w:vAlign w:val="center"/>
          </w:tcPr>
          <w:p w14:paraId="028F119D">
            <w:pPr>
              <w:spacing w:line="300" w:lineRule="exact"/>
              <w:jc w:val="center"/>
              <w:rPr>
                <w:rFonts w:eastAsia="仿宋_GB2312"/>
                <w:color w:val="auto"/>
                <w:szCs w:val="21"/>
                <w:highlight w:val="none"/>
              </w:rPr>
            </w:pPr>
          </w:p>
        </w:tc>
        <w:tc>
          <w:tcPr>
            <w:tcW w:w="438" w:type="pct"/>
            <w:vMerge w:val="continue"/>
            <w:noWrap w:val="0"/>
            <w:vAlign w:val="center"/>
          </w:tcPr>
          <w:p w14:paraId="389646DA">
            <w:pPr>
              <w:spacing w:line="300" w:lineRule="exact"/>
              <w:jc w:val="center"/>
              <w:rPr>
                <w:rFonts w:eastAsia="仿宋_GB2312"/>
                <w:color w:val="auto"/>
                <w:szCs w:val="21"/>
                <w:highlight w:val="none"/>
              </w:rPr>
            </w:pPr>
          </w:p>
        </w:tc>
        <w:tc>
          <w:tcPr>
            <w:tcW w:w="607" w:type="pct"/>
            <w:noWrap w:val="0"/>
            <w:vAlign w:val="center"/>
          </w:tcPr>
          <w:p w14:paraId="50E02EB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淡水蟹</w:t>
            </w:r>
          </w:p>
        </w:tc>
        <w:tc>
          <w:tcPr>
            <w:tcW w:w="279" w:type="pct"/>
            <w:noWrap w:val="0"/>
            <w:vAlign w:val="center"/>
          </w:tcPr>
          <w:p w14:paraId="6149C649">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36831C3F">
            <w:pPr>
              <w:widowControl/>
              <w:jc w:val="left"/>
              <w:textAlignment w:val="center"/>
              <w:rPr>
                <w:rFonts w:eastAsia="仿宋_GB2312"/>
                <w:color w:val="auto"/>
                <w:szCs w:val="21"/>
                <w:highlight w:val="none"/>
              </w:rPr>
            </w:pPr>
            <w:r>
              <w:rPr>
                <w:rFonts w:eastAsia="仿宋_GB2312"/>
                <w:color w:val="auto"/>
                <w:kern w:val="0"/>
                <w:szCs w:val="21"/>
                <w:highlight w:val="none"/>
                <w:lang w:bidi="ar"/>
              </w:rPr>
              <w:t>镉（以Cd计）、孔雀石绿、氯霉素、五氯酚酸钠（以五氯酚计）、呋喃唑酮代谢物</w:t>
            </w:r>
          </w:p>
        </w:tc>
        <w:tc>
          <w:tcPr>
            <w:tcW w:w="1051" w:type="pct"/>
            <w:noWrap w:val="0"/>
            <w:vAlign w:val="center"/>
          </w:tcPr>
          <w:p w14:paraId="2CBF86FF">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w:t>
            </w:r>
          </w:p>
        </w:tc>
      </w:tr>
      <w:tr w14:paraId="31CB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341D867">
            <w:pPr>
              <w:spacing w:line="300" w:lineRule="exact"/>
              <w:jc w:val="center"/>
              <w:rPr>
                <w:rFonts w:eastAsia="仿宋_GB2312"/>
                <w:color w:val="auto"/>
                <w:szCs w:val="21"/>
                <w:highlight w:val="none"/>
              </w:rPr>
            </w:pPr>
          </w:p>
        </w:tc>
        <w:tc>
          <w:tcPr>
            <w:tcW w:w="360" w:type="pct"/>
            <w:vMerge w:val="continue"/>
            <w:noWrap w:val="0"/>
            <w:vAlign w:val="center"/>
          </w:tcPr>
          <w:p w14:paraId="2DE41F4A">
            <w:pPr>
              <w:spacing w:line="300" w:lineRule="exact"/>
              <w:jc w:val="center"/>
              <w:rPr>
                <w:rFonts w:eastAsia="仿宋_GB2312"/>
                <w:color w:val="auto"/>
                <w:szCs w:val="21"/>
                <w:highlight w:val="none"/>
              </w:rPr>
            </w:pPr>
          </w:p>
        </w:tc>
        <w:tc>
          <w:tcPr>
            <w:tcW w:w="360" w:type="pct"/>
            <w:vMerge w:val="continue"/>
            <w:noWrap w:val="0"/>
            <w:vAlign w:val="center"/>
          </w:tcPr>
          <w:p w14:paraId="19A02A48">
            <w:pPr>
              <w:spacing w:line="300" w:lineRule="exact"/>
              <w:jc w:val="center"/>
              <w:rPr>
                <w:rFonts w:eastAsia="仿宋_GB2312"/>
                <w:color w:val="auto"/>
                <w:szCs w:val="21"/>
                <w:highlight w:val="none"/>
              </w:rPr>
            </w:pPr>
          </w:p>
        </w:tc>
        <w:tc>
          <w:tcPr>
            <w:tcW w:w="438" w:type="pct"/>
            <w:vMerge w:val="restart"/>
            <w:noWrap w:val="0"/>
            <w:vAlign w:val="center"/>
          </w:tcPr>
          <w:p w14:paraId="33BBC3F9">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海水产品</w:t>
            </w:r>
          </w:p>
        </w:tc>
        <w:tc>
          <w:tcPr>
            <w:tcW w:w="607" w:type="pct"/>
            <w:noWrap w:val="0"/>
            <w:vAlign w:val="center"/>
          </w:tcPr>
          <w:p w14:paraId="6A08E404">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海水鱼</w:t>
            </w:r>
            <w:r>
              <w:rPr>
                <w:rFonts w:hint="eastAsia" w:eastAsia="仿宋_GB2312"/>
                <w:color w:val="auto"/>
                <w:kern w:val="0"/>
                <w:szCs w:val="21"/>
                <w:highlight w:val="none"/>
              </w:rPr>
              <w:t>*</w:t>
            </w:r>
          </w:p>
        </w:tc>
        <w:tc>
          <w:tcPr>
            <w:tcW w:w="279" w:type="pct"/>
            <w:noWrap w:val="0"/>
            <w:vAlign w:val="center"/>
          </w:tcPr>
          <w:p w14:paraId="45DDEC2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09CC8BA4">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恩诺沙星、呋喃唑酮代谢物、甲硝唑</w:t>
            </w:r>
          </w:p>
        </w:tc>
        <w:tc>
          <w:tcPr>
            <w:tcW w:w="1051" w:type="pct"/>
            <w:noWrap w:val="0"/>
            <w:vAlign w:val="center"/>
          </w:tcPr>
          <w:p w14:paraId="689593DA">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合成着色剂（柠檬黄）、氯霉素、五氯酚酸钠（以五氯酚计）、磺胺类（总量）</w:t>
            </w:r>
          </w:p>
        </w:tc>
      </w:tr>
      <w:tr w14:paraId="0EE9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B0D60D0">
            <w:pPr>
              <w:spacing w:line="300" w:lineRule="exact"/>
              <w:jc w:val="center"/>
              <w:rPr>
                <w:rFonts w:eastAsia="仿宋_GB2312"/>
                <w:color w:val="auto"/>
                <w:szCs w:val="21"/>
                <w:highlight w:val="none"/>
              </w:rPr>
            </w:pPr>
          </w:p>
        </w:tc>
        <w:tc>
          <w:tcPr>
            <w:tcW w:w="360" w:type="pct"/>
            <w:vMerge w:val="continue"/>
            <w:noWrap w:val="0"/>
            <w:vAlign w:val="center"/>
          </w:tcPr>
          <w:p w14:paraId="0E0C13C4">
            <w:pPr>
              <w:spacing w:line="300" w:lineRule="exact"/>
              <w:jc w:val="center"/>
              <w:rPr>
                <w:rFonts w:eastAsia="仿宋_GB2312"/>
                <w:color w:val="auto"/>
                <w:szCs w:val="21"/>
                <w:highlight w:val="none"/>
              </w:rPr>
            </w:pPr>
          </w:p>
        </w:tc>
        <w:tc>
          <w:tcPr>
            <w:tcW w:w="360" w:type="pct"/>
            <w:vMerge w:val="continue"/>
            <w:noWrap w:val="0"/>
            <w:vAlign w:val="center"/>
          </w:tcPr>
          <w:p w14:paraId="14928D94">
            <w:pPr>
              <w:spacing w:line="300" w:lineRule="exact"/>
              <w:jc w:val="center"/>
              <w:rPr>
                <w:rFonts w:eastAsia="仿宋_GB2312"/>
                <w:color w:val="auto"/>
                <w:szCs w:val="21"/>
                <w:highlight w:val="none"/>
              </w:rPr>
            </w:pPr>
          </w:p>
        </w:tc>
        <w:tc>
          <w:tcPr>
            <w:tcW w:w="438" w:type="pct"/>
            <w:vMerge w:val="continue"/>
            <w:noWrap w:val="0"/>
            <w:vAlign w:val="center"/>
          </w:tcPr>
          <w:p w14:paraId="5732AD18">
            <w:pPr>
              <w:spacing w:line="300" w:lineRule="exact"/>
              <w:jc w:val="center"/>
              <w:rPr>
                <w:rFonts w:eastAsia="仿宋_GB2312"/>
                <w:color w:val="auto"/>
                <w:szCs w:val="21"/>
                <w:highlight w:val="none"/>
              </w:rPr>
            </w:pPr>
          </w:p>
        </w:tc>
        <w:tc>
          <w:tcPr>
            <w:tcW w:w="607" w:type="pct"/>
            <w:noWrap w:val="0"/>
            <w:vAlign w:val="center"/>
          </w:tcPr>
          <w:p w14:paraId="04AE7AE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海水虾</w:t>
            </w:r>
            <w:r>
              <w:rPr>
                <w:rFonts w:hint="eastAsia" w:eastAsia="仿宋_GB2312"/>
                <w:color w:val="auto"/>
                <w:kern w:val="0"/>
                <w:szCs w:val="21"/>
                <w:highlight w:val="none"/>
              </w:rPr>
              <w:t>*</w:t>
            </w:r>
          </w:p>
        </w:tc>
        <w:tc>
          <w:tcPr>
            <w:tcW w:w="279" w:type="pct"/>
            <w:noWrap w:val="0"/>
            <w:vAlign w:val="center"/>
          </w:tcPr>
          <w:p w14:paraId="47354B9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4CC33E5B">
            <w:pPr>
              <w:widowControl/>
              <w:jc w:val="left"/>
              <w:textAlignment w:val="center"/>
              <w:rPr>
                <w:rFonts w:eastAsia="仿宋_GB2312"/>
                <w:color w:val="auto"/>
                <w:szCs w:val="21"/>
                <w:highlight w:val="none"/>
              </w:rPr>
            </w:pPr>
            <w:r>
              <w:rPr>
                <w:rFonts w:eastAsia="仿宋_GB2312"/>
                <w:color w:val="auto"/>
                <w:kern w:val="0"/>
                <w:szCs w:val="21"/>
                <w:highlight w:val="none"/>
                <w:lang w:bidi="ar"/>
              </w:rPr>
              <w:t>镉（以 Cd 计）、恩诺沙星、土霉素/金霉素/四环素 (组合含量)、二氧化硫残留量、呋喃唑酮代谢物</w:t>
            </w:r>
          </w:p>
        </w:tc>
        <w:tc>
          <w:tcPr>
            <w:tcW w:w="1051" w:type="pct"/>
            <w:noWrap w:val="0"/>
            <w:vAlign w:val="center"/>
          </w:tcPr>
          <w:p w14:paraId="45D565F7">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氯霉素、五氯酚酸钠（以五氯酚计）、磺胺类（总量）、诺氟沙星</w:t>
            </w:r>
          </w:p>
        </w:tc>
      </w:tr>
      <w:tr w14:paraId="40A4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0A45A82">
            <w:pPr>
              <w:spacing w:line="300" w:lineRule="exact"/>
              <w:jc w:val="center"/>
              <w:rPr>
                <w:rFonts w:eastAsia="仿宋_GB2312"/>
                <w:color w:val="auto"/>
                <w:szCs w:val="21"/>
                <w:highlight w:val="none"/>
              </w:rPr>
            </w:pPr>
          </w:p>
        </w:tc>
        <w:tc>
          <w:tcPr>
            <w:tcW w:w="360" w:type="pct"/>
            <w:vMerge w:val="continue"/>
            <w:noWrap w:val="0"/>
            <w:vAlign w:val="center"/>
          </w:tcPr>
          <w:p w14:paraId="0B666911">
            <w:pPr>
              <w:spacing w:line="300" w:lineRule="exact"/>
              <w:jc w:val="center"/>
              <w:rPr>
                <w:rFonts w:eastAsia="仿宋_GB2312"/>
                <w:color w:val="auto"/>
                <w:szCs w:val="21"/>
                <w:highlight w:val="none"/>
              </w:rPr>
            </w:pPr>
          </w:p>
        </w:tc>
        <w:tc>
          <w:tcPr>
            <w:tcW w:w="360" w:type="pct"/>
            <w:vMerge w:val="continue"/>
            <w:noWrap w:val="0"/>
            <w:vAlign w:val="center"/>
          </w:tcPr>
          <w:p w14:paraId="0216C609">
            <w:pPr>
              <w:spacing w:line="300" w:lineRule="exact"/>
              <w:jc w:val="center"/>
              <w:rPr>
                <w:rFonts w:eastAsia="仿宋_GB2312"/>
                <w:color w:val="auto"/>
                <w:szCs w:val="21"/>
                <w:highlight w:val="none"/>
              </w:rPr>
            </w:pPr>
          </w:p>
        </w:tc>
        <w:tc>
          <w:tcPr>
            <w:tcW w:w="438" w:type="pct"/>
            <w:vMerge w:val="continue"/>
            <w:noWrap w:val="0"/>
            <w:vAlign w:val="center"/>
          </w:tcPr>
          <w:p w14:paraId="61068C02">
            <w:pPr>
              <w:spacing w:line="300" w:lineRule="exact"/>
              <w:jc w:val="center"/>
              <w:rPr>
                <w:rFonts w:eastAsia="仿宋_GB2312"/>
                <w:color w:val="auto"/>
                <w:szCs w:val="21"/>
                <w:highlight w:val="none"/>
              </w:rPr>
            </w:pPr>
          </w:p>
        </w:tc>
        <w:tc>
          <w:tcPr>
            <w:tcW w:w="607" w:type="pct"/>
            <w:noWrap w:val="0"/>
            <w:vAlign w:val="center"/>
          </w:tcPr>
          <w:p w14:paraId="2AD9362A">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海水蟹</w:t>
            </w:r>
          </w:p>
        </w:tc>
        <w:tc>
          <w:tcPr>
            <w:tcW w:w="279" w:type="pct"/>
            <w:noWrap w:val="0"/>
            <w:vAlign w:val="center"/>
          </w:tcPr>
          <w:p w14:paraId="22898841">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703E4C4F">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镉（以Cd计）、氯霉素、孔雀石绿、呋喃唑酮代谢物、呋喃妥因代谢物、氧氟沙星</w:t>
            </w:r>
          </w:p>
        </w:tc>
        <w:tc>
          <w:tcPr>
            <w:tcW w:w="1051" w:type="pct"/>
            <w:noWrap w:val="0"/>
            <w:vAlign w:val="center"/>
          </w:tcPr>
          <w:p w14:paraId="2773EBD4">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二氧化硫残留量</w:t>
            </w:r>
          </w:p>
        </w:tc>
      </w:tr>
      <w:tr w14:paraId="6FC5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86AA661">
            <w:pPr>
              <w:spacing w:line="300" w:lineRule="exact"/>
              <w:jc w:val="center"/>
              <w:rPr>
                <w:rFonts w:eastAsia="仿宋_GB2312"/>
                <w:color w:val="auto"/>
                <w:szCs w:val="21"/>
                <w:highlight w:val="none"/>
              </w:rPr>
            </w:pPr>
          </w:p>
        </w:tc>
        <w:tc>
          <w:tcPr>
            <w:tcW w:w="360" w:type="pct"/>
            <w:vMerge w:val="continue"/>
            <w:noWrap w:val="0"/>
            <w:vAlign w:val="center"/>
          </w:tcPr>
          <w:p w14:paraId="2958BC45">
            <w:pPr>
              <w:spacing w:line="300" w:lineRule="exact"/>
              <w:jc w:val="center"/>
              <w:rPr>
                <w:rFonts w:eastAsia="仿宋_GB2312"/>
                <w:color w:val="auto"/>
                <w:szCs w:val="21"/>
                <w:highlight w:val="none"/>
              </w:rPr>
            </w:pPr>
          </w:p>
        </w:tc>
        <w:tc>
          <w:tcPr>
            <w:tcW w:w="360" w:type="pct"/>
            <w:vMerge w:val="continue"/>
            <w:noWrap w:val="0"/>
            <w:vAlign w:val="center"/>
          </w:tcPr>
          <w:p w14:paraId="7F3A95D7">
            <w:pPr>
              <w:spacing w:line="300" w:lineRule="exact"/>
              <w:jc w:val="center"/>
              <w:rPr>
                <w:rFonts w:eastAsia="仿宋_GB2312"/>
                <w:color w:val="auto"/>
                <w:szCs w:val="21"/>
                <w:highlight w:val="none"/>
              </w:rPr>
            </w:pPr>
          </w:p>
        </w:tc>
        <w:tc>
          <w:tcPr>
            <w:tcW w:w="438" w:type="pct"/>
            <w:noWrap w:val="0"/>
            <w:vAlign w:val="center"/>
          </w:tcPr>
          <w:p w14:paraId="4E690D50">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贝类</w:t>
            </w:r>
          </w:p>
        </w:tc>
        <w:tc>
          <w:tcPr>
            <w:tcW w:w="607" w:type="pct"/>
            <w:noWrap w:val="0"/>
            <w:vAlign w:val="center"/>
          </w:tcPr>
          <w:p w14:paraId="238A61C7">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贝类</w:t>
            </w:r>
            <w:r>
              <w:rPr>
                <w:rFonts w:hint="eastAsia" w:eastAsia="仿宋_GB2312"/>
                <w:color w:val="auto"/>
                <w:kern w:val="0"/>
                <w:szCs w:val="21"/>
                <w:highlight w:val="none"/>
              </w:rPr>
              <w:t>*</w:t>
            </w:r>
          </w:p>
        </w:tc>
        <w:tc>
          <w:tcPr>
            <w:tcW w:w="279" w:type="pct"/>
            <w:noWrap w:val="0"/>
            <w:vAlign w:val="center"/>
          </w:tcPr>
          <w:p w14:paraId="3A68A8FE">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1A264689">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镉（以Cd计）、氯霉素</w:t>
            </w:r>
          </w:p>
        </w:tc>
        <w:tc>
          <w:tcPr>
            <w:tcW w:w="1051" w:type="pct"/>
            <w:noWrap w:val="0"/>
            <w:vAlign w:val="center"/>
          </w:tcPr>
          <w:p w14:paraId="7739E217">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恩诺沙星、呋喃唑酮代谢物、氟苯尼考、磺胺类（总量）</w:t>
            </w:r>
          </w:p>
        </w:tc>
      </w:tr>
      <w:tr w14:paraId="7E4A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8608384">
            <w:pPr>
              <w:spacing w:line="300" w:lineRule="exact"/>
              <w:jc w:val="center"/>
              <w:rPr>
                <w:rFonts w:eastAsia="仿宋_GB2312"/>
                <w:color w:val="auto"/>
                <w:szCs w:val="21"/>
                <w:highlight w:val="none"/>
              </w:rPr>
            </w:pPr>
          </w:p>
        </w:tc>
        <w:tc>
          <w:tcPr>
            <w:tcW w:w="360" w:type="pct"/>
            <w:vMerge w:val="continue"/>
            <w:noWrap w:val="0"/>
            <w:vAlign w:val="center"/>
          </w:tcPr>
          <w:p w14:paraId="3E86FFE5">
            <w:pPr>
              <w:spacing w:line="300" w:lineRule="exact"/>
              <w:jc w:val="center"/>
              <w:rPr>
                <w:rFonts w:eastAsia="仿宋_GB2312"/>
                <w:color w:val="auto"/>
                <w:szCs w:val="21"/>
                <w:highlight w:val="none"/>
              </w:rPr>
            </w:pPr>
          </w:p>
        </w:tc>
        <w:tc>
          <w:tcPr>
            <w:tcW w:w="360" w:type="pct"/>
            <w:vMerge w:val="continue"/>
            <w:noWrap w:val="0"/>
            <w:vAlign w:val="center"/>
          </w:tcPr>
          <w:p w14:paraId="0FE22BE7">
            <w:pPr>
              <w:spacing w:line="300" w:lineRule="exact"/>
              <w:jc w:val="center"/>
              <w:rPr>
                <w:rFonts w:eastAsia="仿宋_GB2312"/>
                <w:color w:val="auto"/>
                <w:szCs w:val="21"/>
                <w:highlight w:val="none"/>
              </w:rPr>
            </w:pPr>
          </w:p>
        </w:tc>
        <w:tc>
          <w:tcPr>
            <w:tcW w:w="438" w:type="pct"/>
            <w:noWrap w:val="0"/>
            <w:vAlign w:val="center"/>
          </w:tcPr>
          <w:p w14:paraId="4719773D">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其他水产品</w:t>
            </w:r>
          </w:p>
        </w:tc>
        <w:tc>
          <w:tcPr>
            <w:tcW w:w="607" w:type="pct"/>
            <w:noWrap w:val="0"/>
            <w:vAlign w:val="center"/>
          </w:tcPr>
          <w:p w14:paraId="4B3A0562">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其他水产品</w:t>
            </w:r>
            <w:r>
              <w:rPr>
                <w:rFonts w:hint="eastAsia" w:eastAsia="仿宋_GB2312"/>
                <w:color w:val="auto"/>
                <w:kern w:val="0"/>
                <w:szCs w:val="21"/>
                <w:highlight w:val="none"/>
              </w:rPr>
              <w:t>*</w:t>
            </w:r>
            <w:r>
              <w:rPr>
                <w:rFonts w:eastAsia="仿宋_GB2312"/>
                <w:color w:val="auto"/>
                <w:kern w:val="0"/>
                <w:szCs w:val="21"/>
                <w:highlight w:val="none"/>
              </w:rPr>
              <w:t>（恩诺沙星、氟苯尼考重点品种：牛蛙；镉重点品种：鱿鱼）</w:t>
            </w:r>
          </w:p>
        </w:tc>
        <w:tc>
          <w:tcPr>
            <w:tcW w:w="279" w:type="pct"/>
            <w:noWrap w:val="0"/>
            <w:vAlign w:val="center"/>
          </w:tcPr>
          <w:p w14:paraId="7C77F51F">
            <w:pPr>
              <w:widowControl/>
              <w:spacing w:line="300" w:lineRule="exact"/>
              <w:jc w:val="center"/>
              <w:rPr>
                <w:rFonts w:eastAsia="仿宋_GB2312"/>
                <w:color w:val="auto"/>
                <w:kern w:val="0"/>
                <w:szCs w:val="21"/>
                <w:highlight w:val="none"/>
              </w:rPr>
            </w:pPr>
            <w:r>
              <w:rPr>
                <w:rFonts w:eastAsia="仿宋_GB2312"/>
                <w:color w:val="auto"/>
                <w:kern w:val="0"/>
                <w:szCs w:val="21"/>
                <w:highlight w:val="none"/>
              </w:rPr>
              <w:t>高</w:t>
            </w:r>
          </w:p>
        </w:tc>
        <w:tc>
          <w:tcPr>
            <w:tcW w:w="1754" w:type="pct"/>
            <w:noWrap w:val="0"/>
            <w:vAlign w:val="center"/>
          </w:tcPr>
          <w:p w14:paraId="452BFAEA">
            <w:pPr>
              <w:widowControl/>
              <w:spacing w:line="300" w:lineRule="exact"/>
              <w:jc w:val="left"/>
              <w:rPr>
                <w:rFonts w:eastAsia="仿宋_GB2312"/>
                <w:color w:val="auto"/>
                <w:kern w:val="0"/>
                <w:szCs w:val="21"/>
                <w:highlight w:val="none"/>
              </w:rPr>
            </w:pPr>
            <w:r>
              <w:rPr>
                <w:rFonts w:eastAsia="仿宋_GB2312"/>
                <w:color w:val="auto"/>
                <w:kern w:val="0"/>
                <w:szCs w:val="21"/>
                <w:highlight w:val="none"/>
              </w:rPr>
              <w:t>恩诺沙星、氟苯尼考、氧氟沙星、呋喃唑酮代谢物、镉（以Cd计）</w:t>
            </w:r>
          </w:p>
        </w:tc>
        <w:tc>
          <w:tcPr>
            <w:tcW w:w="1051" w:type="pct"/>
            <w:noWrap w:val="0"/>
            <w:vAlign w:val="center"/>
          </w:tcPr>
          <w:p w14:paraId="6AFC4560">
            <w:pPr>
              <w:widowControl/>
              <w:jc w:val="left"/>
              <w:textAlignment w:val="center"/>
              <w:rPr>
                <w:rFonts w:eastAsia="仿宋_GB2312"/>
                <w:color w:val="auto"/>
                <w:kern w:val="0"/>
                <w:szCs w:val="21"/>
                <w:highlight w:val="none"/>
              </w:rPr>
            </w:pPr>
            <w:r>
              <w:rPr>
                <w:rFonts w:eastAsia="仿宋_GB2312"/>
                <w:color w:val="auto"/>
                <w:kern w:val="0"/>
                <w:szCs w:val="21"/>
                <w:highlight w:val="none"/>
                <w:lang w:bidi="ar"/>
              </w:rPr>
              <w:t>氯霉素、呋喃西林代谢物、诺氟沙星</w:t>
            </w:r>
          </w:p>
        </w:tc>
      </w:tr>
      <w:tr w14:paraId="598A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noWrap w:val="0"/>
            <w:vAlign w:val="center"/>
          </w:tcPr>
          <w:p w14:paraId="58A70D6D">
            <w:pPr>
              <w:widowControl/>
              <w:spacing w:line="300" w:lineRule="exact"/>
              <w:jc w:val="center"/>
              <w:rPr>
                <w:rFonts w:eastAsia="仿宋_GB2312"/>
                <w:b/>
                <w:bCs/>
                <w:color w:val="auto"/>
                <w:spacing w:val="5"/>
                <w:szCs w:val="21"/>
                <w:highlight w:val="none"/>
              </w:rPr>
            </w:pPr>
            <w:r>
              <w:rPr>
                <w:rFonts w:eastAsia="仿宋_GB2312"/>
                <w:color w:val="auto"/>
                <w:kern w:val="0"/>
                <w:szCs w:val="21"/>
                <w:highlight w:val="none"/>
              </w:rPr>
              <w:t>4</w:t>
            </w:r>
          </w:p>
        </w:tc>
        <w:tc>
          <w:tcPr>
            <w:tcW w:w="360" w:type="pct"/>
            <w:vMerge w:val="restart"/>
            <w:noWrap w:val="0"/>
            <w:vAlign w:val="center"/>
          </w:tcPr>
          <w:p w14:paraId="6BF07B96">
            <w:pPr>
              <w:spacing w:line="300" w:lineRule="exact"/>
              <w:jc w:val="center"/>
              <w:rPr>
                <w:rFonts w:eastAsia="仿宋_GB2312"/>
                <w:color w:val="auto"/>
                <w:spacing w:val="5"/>
                <w:szCs w:val="21"/>
                <w:highlight w:val="none"/>
              </w:rPr>
            </w:pPr>
            <w:r>
              <w:rPr>
                <w:rFonts w:eastAsia="仿宋_GB2312"/>
                <w:color w:val="auto"/>
                <w:spacing w:val="5"/>
                <w:szCs w:val="21"/>
                <w:highlight w:val="none"/>
              </w:rPr>
              <w:t>水果类</w:t>
            </w:r>
          </w:p>
        </w:tc>
        <w:tc>
          <w:tcPr>
            <w:tcW w:w="360" w:type="pct"/>
            <w:vMerge w:val="restart"/>
            <w:noWrap w:val="0"/>
            <w:vAlign w:val="center"/>
          </w:tcPr>
          <w:p w14:paraId="55B4F33D">
            <w:pPr>
              <w:spacing w:line="300" w:lineRule="exact"/>
              <w:jc w:val="center"/>
              <w:rPr>
                <w:rFonts w:eastAsia="仿宋_GB2312"/>
                <w:color w:val="auto"/>
                <w:szCs w:val="21"/>
                <w:highlight w:val="none"/>
              </w:rPr>
            </w:pPr>
            <w:r>
              <w:rPr>
                <w:rFonts w:eastAsia="仿宋_GB2312"/>
                <w:color w:val="auto"/>
                <w:spacing w:val="5"/>
                <w:szCs w:val="21"/>
                <w:highlight w:val="none"/>
              </w:rPr>
              <w:t>水果类</w:t>
            </w:r>
          </w:p>
        </w:tc>
        <w:tc>
          <w:tcPr>
            <w:tcW w:w="438" w:type="pct"/>
            <w:vMerge w:val="restart"/>
            <w:noWrap w:val="0"/>
            <w:vAlign w:val="center"/>
          </w:tcPr>
          <w:p w14:paraId="78A9FD2B">
            <w:pPr>
              <w:spacing w:line="300" w:lineRule="exact"/>
              <w:jc w:val="center"/>
              <w:rPr>
                <w:rFonts w:eastAsia="仿宋_GB2312"/>
                <w:color w:val="auto"/>
                <w:spacing w:val="5"/>
                <w:szCs w:val="21"/>
                <w:highlight w:val="none"/>
              </w:rPr>
            </w:pPr>
            <w:r>
              <w:rPr>
                <w:rFonts w:eastAsia="仿宋_GB2312"/>
                <w:color w:val="auto"/>
                <w:spacing w:val="5"/>
                <w:szCs w:val="21"/>
                <w:highlight w:val="none"/>
              </w:rPr>
              <w:t>仁果类水果</w:t>
            </w:r>
          </w:p>
          <w:p w14:paraId="338CB5CC">
            <w:pPr>
              <w:spacing w:line="300" w:lineRule="exact"/>
              <w:jc w:val="center"/>
              <w:rPr>
                <w:rFonts w:eastAsia="仿宋_GB2312"/>
                <w:color w:val="auto"/>
                <w:szCs w:val="21"/>
                <w:highlight w:val="none"/>
              </w:rPr>
            </w:pPr>
          </w:p>
          <w:p w14:paraId="74F8EA51">
            <w:pPr>
              <w:spacing w:line="300" w:lineRule="exact"/>
              <w:jc w:val="center"/>
              <w:rPr>
                <w:rFonts w:eastAsia="仿宋_GB2312"/>
                <w:color w:val="auto"/>
                <w:spacing w:val="5"/>
                <w:szCs w:val="21"/>
                <w:highlight w:val="none"/>
              </w:rPr>
            </w:pPr>
          </w:p>
        </w:tc>
        <w:tc>
          <w:tcPr>
            <w:tcW w:w="607" w:type="pct"/>
            <w:noWrap w:val="0"/>
            <w:vAlign w:val="center"/>
          </w:tcPr>
          <w:p w14:paraId="5099D179">
            <w:pPr>
              <w:spacing w:line="300" w:lineRule="exact"/>
              <w:jc w:val="center"/>
              <w:rPr>
                <w:rFonts w:eastAsia="仿宋_GB2312"/>
                <w:color w:val="auto"/>
                <w:spacing w:val="5"/>
                <w:szCs w:val="21"/>
                <w:highlight w:val="none"/>
              </w:rPr>
            </w:pPr>
            <w:r>
              <w:rPr>
                <w:rFonts w:eastAsia="仿宋_GB2312"/>
                <w:color w:val="auto"/>
                <w:spacing w:val="5"/>
                <w:szCs w:val="21"/>
                <w:highlight w:val="none"/>
              </w:rPr>
              <w:t>苹果</w:t>
            </w:r>
          </w:p>
        </w:tc>
        <w:tc>
          <w:tcPr>
            <w:tcW w:w="279" w:type="pct"/>
            <w:noWrap w:val="0"/>
            <w:vAlign w:val="center"/>
          </w:tcPr>
          <w:p w14:paraId="3C2414BC">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FD54B37">
            <w:pPr>
              <w:spacing w:line="300" w:lineRule="exact"/>
              <w:jc w:val="left"/>
              <w:rPr>
                <w:rFonts w:eastAsia="仿宋_GB2312"/>
                <w:color w:val="auto"/>
                <w:spacing w:val="5"/>
                <w:szCs w:val="21"/>
                <w:highlight w:val="none"/>
              </w:rPr>
            </w:pPr>
            <w:r>
              <w:rPr>
                <w:rFonts w:eastAsia="仿宋_GB2312"/>
                <w:color w:val="auto"/>
                <w:spacing w:val="5"/>
                <w:szCs w:val="21"/>
                <w:highlight w:val="none"/>
              </w:rPr>
              <w:t>敌敌畏、甲拌磷、克百威、氧乐果、三氯杀螨醇</w:t>
            </w:r>
          </w:p>
        </w:tc>
        <w:tc>
          <w:tcPr>
            <w:tcW w:w="1051" w:type="pct"/>
            <w:noWrap w:val="0"/>
            <w:vAlign w:val="center"/>
          </w:tcPr>
          <w:p w14:paraId="376D7438">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F6F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965E8EA">
            <w:pPr>
              <w:spacing w:line="300" w:lineRule="exact"/>
              <w:jc w:val="center"/>
              <w:rPr>
                <w:rFonts w:eastAsia="仿宋_GB2312"/>
                <w:color w:val="auto"/>
                <w:szCs w:val="21"/>
                <w:highlight w:val="none"/>
              </w:rPr>
            </w:pPr>
          </w:p>
        </w:tc>
        <w:tc>
          <w:tcPr>
            <w:tcW w:w="360" w:type="pct"/>
            <w:vMerge w:val="continue"/>
            <w:noWrap w:val="0"/>
            <w:vAlign w:val="center"/>
          </w:tcPr>
          <w:p w14:paraId="09E3A1B5">
            <w:pPr>
              <w:spacing w:line="300" w:lineRule="exact"/>
              <w:jc w:val="center"/>
              <w:rPr>
                <w:rFonts w:eastAsia="仿宋_GB2312"/>
                <w:color w:val="auto"/>
                <w:szCs w:val="21"/>
                <w:highlight w:val="none"/>
              </w:rPr>
            </w:pPr>
          </w:p>
        </w:tc>
        <w:tc>
          <w:tcPr>
            <w:tcW w:w="360" w:type="pct"/>
            <w:vMerge w:val="continue"/>
            <w:noWrap w:val="0"/>
            <w:vAlign w:val="center"/>
          </w:tcPr>
          <w:p w14:paraId="04A37782">
            <w:pPr>
              <w:spacing w:line="300" w:lineRule="exact"/>
              <w:jc w:val="center"/>
              <w:rPr>
                <w:rFonts w:eastAsia="仿宋_GB2312"/>
                <w:color w:val="auto"/>
                <w:szCs w:val="21"/>
                <w:highlight w:val="none"/>
              </w:rPr>
            </w:pPr>
          </w:p>
        </w:tc>
        <w:tc>
          <w:tcPr>
            <w:tcW w:w="438" w:type="pct"/>
            <w:vMerge w:val="continue"/>
            <w:noWrap w:val="0"/>
            <w:vAlign w:val="center"/>
          </w:tcPr>
          <w:p w14:paraId="756198DA">
            <w:pPr>
              <w:widowControl/>
              <w:spacing w:line="300" w:lineRule="exact"/>
              <w:jc w:val="center"/>
              <w:rPr>
                <w:rFonts w:eastAsia="仿宋_GB2312"/>
                <w:color w:val="auto"/>
                <w:kern w:val="0"/>
                <w:szCs w:val="21"/>
                <w:highlight w:val="none"/>
              </w:rPr>
            </w:pPr>
          </w:p>
        </w:tc>
        <w:tc>
          <w:tcPr>
            <w:tcW w:w="607" w:type="pct"/>
            <w:noWrap w:val="0"/>
            <w:vAlign w:val="center"/>
          </w:tcPr>
          <w:p w14:paraId="19CE9DD2">
            <w:pPr>
              <w:spacing w:line="300" w:lineRule="exact"/>
              <w:jc w:val="center"/>
              <w:rPr>
                <w:rFonts w:eastAsia="仿宋_GB2312"/>
                <w:color w:val="auto"/>
                <w:spacing w:val="5"/>
                <w:szCs w:val="21"/>
                <w:highlight w:val="none"/>
              </w:rPr>
            </w:pPr>
            <w:r>
              <w:rPr>
                <w:rFonts w:eastAsia="仿宋_GB2312"/>
                <w:color w:val="auto"/>
                <w:spacing w:val="5"/>
                <w:szCs w:val="21"/>
                <w:highlight w:val="none"/>
              </w:rPr>
              <w:t>梨</w:t>
            </w:r>
            <w:r>
              <w:rPr>
                <w:rFonts w:hint="eastAsia" w:eastAsia="仿宋_GB2312"/>
                <w:color w:val="auto"/>
                <w:kern w:val="0"/>
                <w:szCs w:val="21"/>
                <w:highlight w:val="none"/>
              </w:rPr>
              <w:t>*</w:t>
            </w:r>
          </w:p>
        </w:tc>
        <w:tc>
          <w:tcPr>
            <w:tcW w:w="279" w:type="pct"/>
            <w:noWrap w:val="0"/>
            <w:vAlign w:val="center"/>
          </w:tcPr>
          <w:p w14:paraId="2E1659B7">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20E880A4">
            <w:pPr>
              <w:spacing w:line="300" w:lineRule="exact"/>
              <w:jc w:val="left"/>
              <w:rPr>
                <w:rFonts w:eastAsia="仿宋_GB2312"/>
                <w:color w:val="auto"/>
                <w:spacing w:val="5"/>
                <w:szCs w:val="21"/>
                <w:highlight w:val="none"/>
              </w:rPr>
            </w:pPr>
            <w:r>
              <w:rPr>
                <w:rFonts w:eastAsia="仿宋_GB2312"/>
                <w:color w:val="auto"/>
                <w:spacing w:val="5"/>
                <w:szCs w:val="21"/>
                <w:highlight w:val="none"/>
              </w:rPr>
              <w:t>乙螨唑、咪鲜胺和咪鲜胺锰盐、苯醚甲环唑、氯氟氰菊酯和高效氯氟氰菊酯</w:t>
            </w:r>
          </w:p>
        </w:tc>
        <w:tc>
          <w:tcPr>
            <w:tcW w:w="1051" w:type="pct"/>
            <w:noWrap w:val="0"/>
            <w:vAlign w:val="center"/>
          </w:tcPr>
          <w:p w14:paraId="760E85F8">
            <w:pPr>
              <w:spacing w:line="300" w:lineRule="exact"/>
              <w:jc w:val="left"/>
              <w:rPr>
                <w:rFonts w:eastAsia="仿宋_GB2312"/>
                <w:color w:val="auto"/>
                <w:spacing w:val="5"/>
                <w:szCs w:val="21"/>
                <w:highlight w:val="none"/>
              </w:rPr>
            </w:pPr>
            <w:r>
              <w:rPr>
                <w:rFonts w:eastAsia="仿宋_GB2312"/>
                <w:color w:val="auto"/>
                <w:spacing w:val="5"/>
                <w:szCs w:val="21"/>
                <w:highlight w:val="none"/>
              </w:rPr>
              <w:t>阿维菌素、氧乐果</w:t>
            </w:r>
          </w:p>
          <w:p w14:paraId="707514BC">
            <w:pPr>
              <w:spacing w:line="300" w:lineRule="exact"/>
              <w:jc w:val="left"/>
              <w:rPr>
                <w:rFonts w:eastAsia="仿宋_GB2312"/>
                <w:color w:val="auto"/>
                <w:spacing w:val="5"/>
                <w:szCs w:val="21"/>
                <w:highlight w:val="none"/>
              </w:rPr>
            </w:pPr>
          </w:p>
        </w:tc>
      </w:tr>
      <w:tr w14:paraId="0448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73174D8">
            <w:pPr>
              <w:spacing w:line="300" w:lineRule="exact"/>
              <w:jc w:val="center"/>
              <w:rPr>
                <w:rFonts w:eastAsia="仿宋_GB2312"/>
                <w:color w:val="auto"/>
                <w:szCs w:val="21"/>
                <w:highlight w:val="none"/>
              </w:rPr>
            </w:pPr>
          </w:p>
        </w:tc>
        <w:tc>
          <w:tcPr>
            <w:tcW w:w="360" w:type="pct"/>
            <w:vMerge w:val="continue"/>
            <w:noWrap w:val="0"/>
            <w:vAlign w:val="center"/>
          </w:tcPr>
          <w:p w14:paraId="073A0827">
            <w:pPr>
              <w:spacing w:line="300" w:lineRule="exact"/>
              <w:jc w:val="center"/>
              <w:rPr>
                <w:rFonts w:eastAsia="仿宋_GB2312"/>
                <w:color w:val="auto"/>
                <w:szCs w:val="21"/>
                <w:highlight w:val="none"/>
              </w:rPr>
            </w:pPr>
          </w:p>
        </w:tc>
        <w:tc>
          <w:tcPr>
            <w:tcW w:w="360" w:type="pct"/>
            <w:vMerge w:val="continue"/>
            <w:noWrap w:val="0"/>
            <w:vAlign w:val="center"/>
          </w:tcPr>
          <w:p w14:paraId="294472F4">
            <w:pPr>
              <w:spacing w:line="300" w:lineRule="exact"/>
              <w:jc w:val="center"/>
              <w:rPr>
                <w:rFonts w:eastAsia="仿宋_GB2312"/>
                <w:color w:val="auto"/>
                <w:szCs w:val="21"/>
                <w:highlight w:val="none"/>
              </w:rPr>
            </w:pPr>
          </w:p>
        </w:tc>
        <w:tc>
          <w:tcPr>
            <w:tcW w:w="438" w:type="pct"/>
            <w:vMerge w:val="continue"/>
            <w:noWrap w:val="0"/>
            <w:vAlign w:val="center"/>
          </w:tcPr>
          <w:p w14:paraId="37192136">
            <w:pPr>
              <w:spacing w:line="300" w:lineRule="exact"/>
              <w:jc w:val="center"/>
              <w:rPr>
                <w:rFonts w:eastAsia="仿宋_GB2312"/>
                <w:strike/>
                <w:color w:val="auto"/>
                <w:spacing w:val="5"/>
                <w:szCs w:val="21"/>
                <w:highlight w:val="none"/>
              </w:rPr>
            </w:pPr>
          </w:p>
        </w:tc>
        <w:tc>
          <w:tcPr>
            <w:tcW w:w="607" w:type="pct"/>
            <w:noWrap w:val="0"/>
            <w:vAlign w:val="center"/>
          </w:tcPr>
          <w:p w14:paraId="729F188D">
            <w:pPr>
              <w:spacing w:line="300" w:lineRule="exact"/>
              <w:jc w:val="center"/>
              <w:rPr>
                <w:rFonts w:eastAsia="仿宋_GB2312"/>
                <w:color w:val="auto"/>
                <w:spacing w:val="5"/>
                <w:szCs w:val="21"/>
                <w:highlight w:val="none"/>
              </w:rPr>
            </w:pPr>
            <w:r>
              <w:rPr>
                <w:rFonts w:eastAsia="仿宋_GB2312"/>
                <w:color w:val="auto"/>
                <w:spacing w:val="5"/>
                <w:szCs w:val="21"/>
                <w:highlight w:val="none"/>
              </w:rPr>
              <w:t>枇杷</w:t>
            </w:r>
          </w:p>
        </w:tc>
        <w:tc>
          <w:tcPr>
            <w:tcW w:w="279" w:type="pct"/>
            <w:noWrap w:val="0"/>
            <w:vAlign w:val="center"/>
          </w:tcPr>
          <w:p w14:paraId="31C99078">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59FCD7E5">
            <w:pPr>
              <w:spacing w:line="300" w:lineRule="exact"/>
              <w:jc w:val="left"/>
              <w:rPr>
                <w:rFonts w:eastAsia="仿宋_GB2312"/>
                <w:color w:val="auto"/>
                <w:spacing w:val="5"/>
                <w:szCs w:val="21"/>
                <w:highlight w:val="none"/>
              </w:rPr>
            </w:pPr>
            <w:r>
              <w:rPr>
                <w:rFonts w:eastAsia="仿宋_GB2312"/>
                <w:color w:val="auto"/>
                <w:spacing w:val="5"/>
                <w:szCs w:val="21"/>
                <w:highlight w:val="none"/>
              </w:rPr>
              <w:t>甲胺磷、氧乐果、水胺硫磷、氯氰菊酯和高效氯氰菊</w:t>
            </w:r>
          </w:p>
        </w:tc>
        <w:tc>
          <w:tcPr>
            <w:tcW w:w="1051" w:type="pct"/>
            <w:noWrap w:val="0"/>
            <w:vAlign w:val="center"/>
          </w:tcPr>
          <w:p w14:paraId="4871FAE8">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7922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1436190">
            <w:pPr>
              <w:spacing w:line="300" w:lineRule="exact"/>
              <w:jc w:val="center"/>
              <w:rPr>
                <w:rFonts w:eastAsia="仿宋_GB2312"/>
                <w:color w:val="auto"/>
                <w:szCs w:val="21"/>
                <w:highlight w:val="none"/>
              </w:rPr>
            </w:pPr>
          </w:p>
        </w:tc>
        <w:tc>
          <w:tcPr>
            <w:tcW w:w="360" w:type="pct"/>
            <w:vMerge w:val="continue"/>
            <w:noWrap w:val="0"/>
            <w:vAlign w:val="center"/>
          </w:tcPr>
          <w:p w14:paraId="62B27544">
            <w:pPr>
              <w:spacing w:line="300" w:lineRule="exact"/>
              <w:jc w:val="center"/>
              <w:rPr>
                <w:rFonts w:eastAsia="仿宋_GB2312"/>
                <w:color w:val="auto"/>
                <w:szCs w:val="21"/>
                <w:highlight w:val="none"/>
              </w:rPr>
            </w:pPr>
          </w:p>
        </w:tc>
        <w:tc>
          <w:tcPr>
            <w:tcW w:w="360" w:type="pct"/>
            <w:vMerge w:val="continue"/>
            <w:noWrap w:val="0"/>
            <w:vAlign w:val="center"/>
          </w:tcPr>
          <w:p w14:paraId="58CDCF9B">
            <w:pPr>
              <w:spacing w:line="300" w:lineRule="exact"/>
              <w:jc w:val="center"/>
              <w:rPr>
                <w:rFonts w:eastAsia="仿宋_GB2312"/>
                <w:color w:val="auto"/>
                <w:szCs w:val="21"/>
                <w:highlight w:val="none"/>
              </w:rPr>
            </w:pPr>
          </w:p>
        </w:tc>
        <w:tc>
          <w:tcPr>
            <w:tcW w:w="438" w:type="pct"/>
            <w:vMerge w:val="restart"/>
            <w:noWrap w:val="0"/>
            <w:vAlign w:val="center"/>
          </w:tcPr>
          <w:p w14:paraId="2006D3B6">
            <w:pPr>
              <w:spacing w:line="300" w:lineRule="exact"/>
              <w:jc w:val="center"/>
              <w:rPr>
                <w:rFonts w:eastAsia="仿宋_GB2312"/>
                <w:color w:val="auto"/>
                <w:spacing w:val="5"/>
                <w:szCs w:val="21"/>
                <w:highlight w:val="none"/>
              </w:rPr>
            </w:pPr>
            <w:r>
              <w:rPr>
                <w:rFonts w:eastAsia="仿宋_GB2312"/>
                <w:color w:val="auto"/>
                <w:spacing w:val="5"/>
                <w:szCs w:val="21"/>
                <w:highlight w:val="none"/>
              </w:rPr>
              <w:t>核果类水果</w:t>
            </w:r>
          </w:p>
        </w:tc>
        <w:tc>
          <w:tcPr>
            <w:tcW w:w="607" w:type="pct"/>
            <w:noWrap w:val="0"/>
            <w:vAlign w:val="center"/>
          </w:tcPr>
          <w:p w14:paraId="1841082D">
            <w:pPr>
              <w:spacing w:line="300" w:lineRule="exact"/>
              <w:jc w:val="center"/>
              <w:rPr>
                <w:rFonts w:eastAsia="仿宋_GB2312"/>
                <w:color w:val="auto"/>
                <w:spacing w:val="5"/>
                <w:szCs w:val="21"/>
                <w:highlight w:val="none"/>
              </w:rPr>
            </w:pPr>
            <w:r>
              <w:rPr>
                <w:rFonts w:eastAsia="仿宋_GB2312"/>
                <w:color w:val="auto"/>
                <w:spacing w:val="5"/>
                <w:szCs w:val="21"/>
                <w:highlight w:val="none"/>
              </w:rPr>
              <w:t>枣</w:t>
            </w:r>
          </w:p>
        </w:tc>
        <w:tc>
          <w:tcPr>
            <w:tcW w:w="279" w:type="pct"/>
            <w:noWrap w:val="0"/>
            <w:vAlign w:val="center"/>
          </w:tcPr>
          <w:p w14:paraId="3958567A">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1E970398">
            <w:pPr>
              <w:spacing w:line="300" w:lineRule="exact"/>
              <w:jc w:val="left"/>
              <w:rPr>
                <w:rFonts w:eastAsia="仿宋_GB2312"/>
                <w:color w:val="auto"/>
                <w:spacing w:val="5"/>
                <w:szCs w:val="21"/>
                <w:highlight w:val="none"/>
              </w:rPr>
            </w:pPr>
            <w:r>
              <w:rPr>
                <w:rFonts w:eastAsia="仿宋_GB2312"/>
                <w:color w:val="auto"/>
                <w:spacing w:val="5"/>
                <w:szCs w:val="21"/>
                <w:highlight w:val="none"/>
              </w:rPr>
              <w:t>氧乐果、氟虫腈、多菌灵、糖精钠(以糖精计)、甜蜜素(以环己基氨基磺酸计)</w:t>
            </w:r>
          </w:p>
        </w:tc>
        <w:tc>
          <w:tcPr>
            <w:tcW w:w="1051" w:type="pct"/>
            <w:noWrap w:val="0"/>
            <w:vAlign w:val="center"/>
          </w:tcPr>
          <w:p w14:paraId="37168914">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19EF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FBB136A">
            <w:pPr>
              <w:spacing w:line="300" w:lineRule="exact"/>
              <w:jc w:val="center"/>
              <w:rPr>
                <w:rFonts w:eastAsia="仿宋_GB2312"/>
                <w:color w:val="auto"/>
                <w:szCs w:val="21"/>
                <w:highlight w:val="none"/>
              </w:rPr>
            </w:pPr>
          </w:p>
        </w:tc>
        <w:tc>
          <w:tcPr>
            <w:tcW w:w="360" w:type="pct"/>
            <w:vMerge w:val="continue"/>
            <w:noWrap w:val="0"/>
            <w:vAlign w:val="center"/>
          </w:tcPr>
          <w:p w14:paraId="2F875896">
            <w:pPr>
              <w:spacing w:line="300" w:lineRule="exact"/>
              <w:jc w:val="center"/>
              <w:rPr>
                <w:rFonts w:eastAsia="仿宋_GB2312"/>
                <w:color w:val="auto"/>
                <w:szCs w:val="21"/>
                <w:highlight w:val="none"/>
              </w:rPr>
            </w:pPr>
          </w:p>
        </w:tc>
        <w:tc>
          <w:tcPr>
            <w:tcW w:w="360" w:type="pct"/>
            <w:vMerge w:val="continue"/>
            <w:noWrap w:val="0"/>
            <w:vAlign w:val="center"/>
          </w:tcPr>
          <w:p w14:paraId="6E5B54E5">
            <w:pPr>
              <w:spacing w:line="300" w:lineRule="exact"/>
              <w:jc w:val="center"/>
              <w:rPr>
                <w:rFonts w:eastAsia="仿宋_GB2312"/>
                <w:color w:val="auto"/>
                <w:szCs w:val="21"/>
                <w:highlight w:val="none"/>
              </w:rPr>
            </w:pPr>
          </w:p>
        </w:tc>
        <w:tc>
          <w:tcPr>
            <w:tcW w:w="438" w:type="pct"/>
            <w:vMerge w:val="continue"/>
            <w:noWrap w:val="0"/>
            <w:vAlign w:val="center"/>
          </w:tcPr>
          <w:p w14:paraId="06960B92">
            <w:pPr>
              <w:widowControl/>
              <w:spacing w:line="300" w:lineRule="exact"/>
              <w:jc w:val="center"/>
              <w:rPr>
                <w:rFonts w:eastAsia="仿宋_GB2312"/>
                <w:color w:val="auto"/>
                <w:kern w:val="0"/>
                <w:szCs w:val="21"/>
                <w:highlight w:val="none"/>
              </w:rPr>
            </w:pPr>
          </w:p>
        </w:tc>
        <w:tc>
          <w:tcPr>
            <w:tcW w:w="607" w:type="pct"/>
            <w:noWrap w:val="0"/>
            <w:vAlign w:val="center"/>
          </w:tcPr>
          <w:p w14:paraId="547058D1">
            <w:pPr>
              <w:spacing w:line="300" w:lineRule="exact"/>
              <w:jc w:val="center"/>
              <w:rPr>
                <w:rFonts w:eastAsia="仿宋_GB2312"/>
                <w:color w:val="auto"/>
                <w:spacing w:val="5"/>
                <w:szCs w:val="21"/>
                <w:highlight w:val="none"/>
              </w:rPr>
            </w:pPr>
            <w:r>
              <w:rPr>
                <w:rFonts w:eastAsia="仿宋_GB2312"/>
                <w:color w:val="auto"/>
                <w:spacing w:val="5"/>
                <w:szCs w:val="21"/>
                <w:highlight w:val="none"/>
              </w:rPr>
              <w:t>桃</w:t>
            </w:r>
          </w:p>
        </w:tc>
        <w:tc>
          <w:tcPr>
            <w:tcW w:w="279" w:type="pct"/>
            <w:noWrap w:val="0"/>
            <w:vAlign w:val="center"/>
          </w:tcPr>
          <w:p w14:paraId="724464EA">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0F5E441B">
            <w:pPr>
              <w:spacing w:line="300" w:lineRule="exact"/>
              <w:jc w:val="left"/>
              <w:rPr>
                <w:rFonts w:eastAsia="仿宋_GB2312"/>
                <w:color w:val="auto"/>
                <w:spacing w:val="5"/>
                <w:szCs w:val="21"/>
                <w:highlight w:val="none"/>
              </w:rPr>
            </w:pPr>
            <w:r>
              <w:rPr>
                <w:rFonts w:eastAsia="仿宋_GB2312"/>
                <w:color w:val="auto"/>
                <w:spacing w:val="5"/>
                <w:szCs w:val="21"/>
                <w:highlight w:val="none"/>
              </w:rPr>
              <w:t>克百威、氯氟氰菊酯和高效氯氟氰菊酯、苯醚甲环唑、噻虫胺、多菌灵、甲氨基阿维菌素苯甲酸盐</w:t>
            </w:r>
          </w:p>
        </w:tc>
        <w:tc>
          <w:tcPr>
            <w:tcW w:w="1051" w:type="pct"/>
            <w:noWrap w:val="0"/>
            <w:vAlign w:val="center"/>
          </w:tcPr>
          <w:p w14:paraId="28ED2465">
            <w:pPr>
              <w:spacing w:line="300" w:lineRule="exact"/>
              <w:jc w:val="left"/>
              <w:rPr>
                <w:rFonts w:eastAsia="仿宋_GB2312"/>
                <w:color w:val="auto"/>
                <w:spacing w:val="5"/>
                <w:szCs w:val="21"/>
                <w:highlight w:val="none"/>
              </w:rPr>
            </w:pPr>
            <w:r>
              <w:rPr>
                <w:rFonts w:eastAsia="仿宋_GB2312"/>
                <w:color w:val="auto"/>
                <w:spacing w:val="5"/>
                <w:szCs w:val="21"/>
                <w:highlight w:val="none"/>
              </w:rPr>
              <w:t>溴氰菊酯、吡虫啉</w:t>
            </w:r>
          </w:p>
        </w:tc>
      </w:tr>
      <w:tr w14:paraId="0D0F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84677BE">
            <w:pPr>
              <w:spacing w:line="300" w:lineRule="exact"/>
              <w:jc w:val="center"/>
              <w:rPr>
                <w:rFonts w:eastAsia="仿宋_GB2312"/>
                <w:color w:val="auto"/>
                <w:szCs w:val="21"/>
                <w:highlight w:val="none"/>
              </w:rPr>
            </w:pPr>
          </w:p>
        </w:tc>
        <w:tc>
          <w:tcPr>
            <w:tcW w:w="360" w:type="pct"/>
            <w:vMerge w:val="continue"/>
            <w:noWrap w:val="0"/>
            <w:vAlign w:val="center"/>
          </w:tcPr>
          <w:p w14:paraId="7BD4322F">
            <w:pPr>
              <w:spacing w:line="300" w:lineRule="exact"/>
              <w:jc w:val="center"/>
              <w:rPr>
                <w:rFonts w:eastAsia="仿宋_GB2312"/>
                <w:color w:val="auto"/>
                <w:szCs w:val="21"/>
                <w:highlight w:val="none"/>
              </w:rPr>
            </w:pPr>
          </w:p>
        </w:tc>
        <w:tc>
          <w:tcPr>
            <w:tcW w:w="360" w:type="pct"/>
            <w:vMerge w:val="continue"/>
            <w:noWrap w:val="0"/>
            <w:vAlign w:val="center"/>
          </w:tcPr>
          <w:p w14:paraId="475F7F5E">
            <w:pPr>
              <w:spacing w:line="300" w:lineRule="exact"/>
              <w:jc w:val="center"/>
              <w:rPr>
                <w:rFonts w:eastAsia="仿宋_GB2312"/>
                <w:color w:val="auto"/>
                <w:szCs w:val="21"/>
                <w:highlight w:val="none"/>
              </w:rPr>
            </w:pPr>
          </w:p>
        </w:tc>
        <w:tc>
          <w:tcPr>
            <w:tcW w:w="438" w:type="pct"/>
            <w:vMerge w:val="continue"/>
            <w:noWrap w:val="0"/>
            <w:vAlign w:val="center"/>
          </w:tcPr>
          <w:p w14:paraId="6D20876A">
            <w:pPr>
              <w:widowControl/>
              <w:spacing w:line="300" w:lineRule="exact"/>
              <w:jc w:val="center"/>
              <w:rPr>
                <w:rFonts w:eastAsia="仿宋_GB2312"/>
                <w:color w:val="auto"/>
                <w:kern w:val="0"/>
                <w:szCs w:val="21"/>
                <w:highlight w:val="none"/>
              </w:rPr>
            </w:pPr>
          </w:p>
        </w:tc>
        <w:tc>
          <w:tcPr>
            <w:tcW w:w="607" w:type="pct"/>
            <w:noWrap w:val="0"/>
            <w:vAlign w:val="center"/>
          </w:tcPr>
          <w:p w14:paraId="3E6887EF">
            <w:pPr>
              <w:spacing w:line="300" w:lineRule="exact"/>
              <w:jc w:val="center"/>
              <w:rPr>
                <w:rFonts w:eastAsia="仿宋_GB2312"/>
                <w:color w:val="auto"/>
                <w:spacing w:val="5"/>
                <w:szCs w:val="21"/>
                <w:highlight w:val="none"/>
              </w:rPr>
            </w:pPr>
            <w:r>
              <w:rPr>
                <w:rFonts w:eastAsia="仿宋_GB2312"/>
                <w:color w:val="auto"/>
                <w:spacing w:val="5"/>
                <w:szCs w:val="21"/>
                <w:highlight w:val="none"/>
              </w:rPr>
              <w:t>油桃</w:t>
            </w:r>
            <w:r>
              <w:rPr>
                <w:rFonts w:hint="eastAsia" w:eastAsia="仿宋_GB2312"/>
                <w:color w:val="auto"/>
                <w:kern w:val="0"/>
                <w:szCs w:val="21"/>
                <w:highlight w:val="none"/>
              </w:rPr>
              <w:t>*</w:t>
            </w:r>
          </w:p>
        </w:tc>
        <w:tc>
          <w:tcPr>
            <w:tcW w:w="279" w:type="pct"/>
            <w:noWrap w:val="0"/>
            <w:vAlign w:val="center"/>
          </w:tcPr>
          <w:p w14:paraId="32651A1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0AB3CEBB">
            <w:pPr>
              <w:spacing w:line="300" w:lineRule="exact"/>
              <w:jc w:val="left"/>
              <w:rPr>
                <w:rFonts w:eastAsia="仿宋_GB2312"/>
                <w:color w:val="auto"/>
                <w:spacing w:val="5"/>
                <w:szCs w:val="21"/>
                <w:highlight w:val="none"/>
              </w:rPr>
            </w:pPr>
            <w:r>
              <w:rPr>
                <w:rFonts w:eastAsia="仿宋_GB2312"/>
                <w:color w:val="auto"/>
                <w:spacing w:val="5"/>
                <w:szCs w:val="21"/>
                <w:highlight w:val="none"/>
              </w:rPr>
              <w:t>噻虫胺、克百威</w:t>
            </w:r>
          </w:p>
        </w:tc>
        <w:tc>
          <w:tcPr>
            <w:tcW w:w="1051" w:type="pct"/>
            <w:noWrap w:val="0"/>
            <w:vAlign w:val="center"/>
          </w:tcPr>
          <w:p w14:paraId="3C9E7C1E">
            <w:pPr>
              <w:spacing w:line="300" w:lineRule="exact"/>
              <w:jc w:val="left"/>
              <w:rPr>
                <w:rFonts w:eastAsia="仿宋_GB2312"/>
                <w:color w:val="auto"/>
                <w:spacing w:val="5"/>
                <w:szCs w:val="21"/>
                <w:highlight w:val="none"/>
              </w:rPr>
            </w:pPr>
            <w:r>
              <w:rPr>
                <w:rFonts w:eastAsia="仿宋_GB2312"/>
                <w:color w:val="auto"/>
                <w:spacing w:val="5"/>
                <w:szCs w:val="21"/>
                <w:highlight w:val="none"/>
              </w:rPr>
              <w:t>甲胺磷、氧乐果、敌敌畏、苯醚甲环唑</w:t>
            </w:r>
          </w:p>
        </w:tc>
      </w:tr>
      <w:tr w14:paraId="6052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C816293">
            <w:pPr>
              <w:spacing w:line="300" w:lineRule="exact"/>
              <w:jc w:val="center"/>
              <w:rPr>
                <w:rFonts w:eastAsia="仿宋_GB2312"/>
                <w:color w:val="auto"/>
                <w:szCs w:val="21"/>
                <w:highlight w:val="none"/>
              </w:rPr>
            </w:pPr>
          </w:p>
        </w:tc>
        <w:tc>
          <w:tcPr>
            <w:tcW w:w="360" w:type="pct"/>
            <w:vMerge w:val="continue"/>
            <w:noWrap w:val="0"/>
            <w:vAlign w:val="center"/>
          </w:tcPr>
          <w:p w14:paraId="68F46897">
            <w:pPr>
              <w:spacing w:line="300" w:lineRule="exact"/>
              <w:jc w:val="center"/>
              <w:rPr>
                <w:rFonts w:eastAsia="仿宋_GB2312"/>
                <w:color w:val="auto"/>
                <w:szCs w:val="21"/>
                <w:highlight w:val="none"/>
              </w:rPr>
            </w:pPr>
          </w:p>
        </w:tc>
        <w:tc>
          <w:tcPr>
            <w:tcW w:w="360" w:type="pct"/>
            <w:vMerge w:val="continue"/>
            <w:noWrap w:val="0"/>
            <w:vAlign w:val="center"/>
          </w:tcPr>
          <w:p w14:paraId="44A2ED6E">
            <w:pPr>
              <w:spacing w:line="300" w:lineRule="exact"/>
              <w:jc w:val="center"/>
              <w:rPr>
                <w:rFonts w:eastAsia="仿宋_GB2312"/>
                <w:color w:val="auto"/>
                <w:szCs w:val="21"/>
                <w:highlight w:val="none"/>
              </w:rPr>
            </w:pPr>
          </w:p>
        </w:tc>
        <w:tc>
          <w:tcPr>
            <w:tcW w:w="438" w:type="pct"/>
            <w:vMerge w:val="continue"/>
            <w:noWrap w:val="0"/>
            <w:vAlign w:val="center"/>
          </w:tcPr>
          <w:p w14:paraId="4D138EA8">
            <w:pPr>
              <w:widowControl/>
              <w:spacing w:line="300" w:lineRule="exact"/>
              <w:jc w:val="center"/>
              <w:rPr>
                <w:rFonts w:eastAsia="仿宋_GB2312"/>
                <w:color w:val="auto"/>
                <w:kern w:val="0"/>
                <w:szCs w:val="21"/>
                <w:highlight w:val="none"/>
              </w:rPr>
            </w:pPr>
          </w:p>
        </w:tc>
        <w:tc>
          <w:tcPr>
            <w:tcW w:w="607" w:type="pct"/>
            <w:noWrap w:val="0"/>
            <w:vAlign w:val="center"/>
          </w:tcPr>
          <w:p w14:paraId="228C55A9">
            <w:pPr>
              <w:spacing w:line="300" w:lineRule="exact"/>
              <w:jc w:val="center"/>
              <w:rPr>
                <w:rFonts w:eastAsia="仿宋_GB2312"/>
                <w:color w:val="auto"/>
                <w:spacing w:val="5"/>
                <w:szCs w:val="21"/>
                <w:highlight w:val="none"/>
              </w:rPr>
            </w:pPr>
            <w:r>
              <w:rPr>
                <w:rFonts w:eastAsia="仿宋_GB2312"/>
                <w:color w:val="auto"/>
                <w:spacing w:val="5"/>
                <w:szCs w:val="21"/>
                <w:highlight w:val="none"/>
              </w:rPr>
              <w:t>李子</w:t>
            </w:r>
          </w:p>
        </w:tc>
        <w:tc>
          <w:tcPr>
            <w:tcW w:w="279" w:type="pct"/>
            <w:noWrap w:val="0"/>
            <w:vAlign w:val="center"/>
          </w:tcPr>
          <w:p w14:paraId="30F188A9">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56C6EC8">
            <w:pPr>
              <w:spacing w:line="300" w:lineRule="exact"/>
              <w:jc w:val="left"/>
              <w:rPr>
                <w:rFonts w:eastAsia="仿宋_GB2312"/>
                <w:color w:val="auto"/>
                <w:spacing w:val="5"/>
                <w:szCs w:val="21"/>
                <w:highlight w:val="none"/>
              </w:rPr>
            </w:pPr>
            <w:r>
              <w:rPr>
                <w:rFonts w:eastAsia="仿宋_GB2312"/>
                <w:color w:val="auto"/>
                <w:spacing w:val="5"/>
                <w:szCs w:val="21"/>
                <w:highlight w:val="none"/>
              </w:rPr>
              <w:t>苯醚甲环唑、多菌灵、氯氟氰菊酯和高效氯氟氰菊酯、水胺硫磷、克百威</w:t>
            </w:r>
          </w:p>
        </w:tc>
        <w:tc>
          <w:tcPr>
            <w:tcW w:w="1051" w:type="pct"/>
            <w:noWrap w:val="0"/>
            <w:vAlign w:val="center"/>
          </w:tcPr>
          <w:p w14:paraId="2A195948">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E58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7453CC9">
            <w:pPr>
              <w:spacing w:line="300" w:lineRule="exact"/>
              <w:jc w:val="center"/>
              <w:rPr>
                <w:rFonts w:eastAsia="仿宋_GB2312"/>
                <w:color w:val="auto"/>
                <w:szCs w:val="21"/>
                <w:highlight w:val="none"/>
              </w:rPr>
            </w:pPr>
          </w:p>
        </w:tc>
        <w:tc>
          <w:tcPr>
            <w:tcW w:w="360" w:type="pct"/>
            <w:vMerge w:val="continue"/>
            <w:noWrap w:val="0"/>
            <w:vAlign w:val="center"/>
          </w:tcPr>
          <w:p w14:paraId="1973DF66">
            <w:pPr>
              <w:spacing w:line="300" w:lineRule="exact"/>
              <w:jc w:val="center"/>
              <w:rPr>
                <w:rFonts w:eastAsia="仿宋_GB2312"/>
                <w:color w:val="auto"/>
                <w:szCs w:val="21"/>
                <w:highlight w:val="none"/>
              </w:rPr>
            </w:pPr>
          </w:p>
        </w:tc>
        <w:tc>
          <w:tcPr>
            <w:tcW w:w="360" w:type="pct"/>
            <w:vMerge w:val="continue"/>
            <w:noWrap w:val="0"/>
            <w:vAlign w:val="center"/>
          </w:tcPr>
          <w:p w14:paraId="62669547">
            <w:pPr>
              <w:spacing w:line="300" w:lineRule="exact"/>
              <w:jc w:val="center"/>
              <w:rPr>
                <w:rFonts w:eastAsia="仿宋_GB2312"/>
                <w:color w:val="auto"/>
                <w:szCs w:val="21"/>
                <w:highlight w:val="none"/>
              </w:rPr>
            </w:pPr>
          </w:p>
        </w:tc>
        <w:tc>
          <w:tcPr>
            <w:tcW w:w="438" w:type="pct"/>
            <w:vMerge w:val="continue"/>
            <w:noWrap w:val="0"/>
            <w:vAlign w:val="center"/>
          </w:tcPr>
          <w:p w14:paraId="49FEB1B8">
            <w:pPr>
              <w:widowControl/>
              <w:spacing w:line="300" w:lineRule="exact"/>
              <w:jc w:val="center"/>
              <w:rPr>
                <w:rFonts w:eastAsia="仿宋_GB2312"/>
                <w:color w:val="auto"/>
                <w:kern w:val="0"/>
                <w:szCs w:val="21"/>
                <w:highlight w:val="none"/>
              </w:rPr>
            </w:pPr>
          </w:p>
        </w:tc>
        <w:tc>
          <w:tcPr>
            <w:tcW w:w="607" w:type="pct"/>
            <w:noWrap w:val="0"/>
            <w:vAlign w:val="center"/>
          </w:tcPr>
          <w:p w14:paraId="10344219">
            <w:pPr>
              <w:spacing w:line="300" w:lineRule="exact"/>
              <w:jc w:val="center"/>
              <w:rPr>
                <w:rFonts w:eastAsia="仿宋_GB2312"/>
                <w:color w:val="auto"/>
                <w:spacing w:val="5"/>
                <w:szCs w:val="21"/>
                <w:highlight w:val="none"/>
              </w:rPr>
            </w:pPr>
            <w:r>
              <w:rPr>
                <w:rFonts w:eastAsia="仿宋_GB2312"/>
                <w:color w:val="auto"/>
                <w:spacing w:val="5"/>
                <w:szCs w:val="21"/>
                <w:highlight w:val="none"/>
              </w:rPr>
              <w:t>樱桃</w:t>
            </w:r>
          </w:p>
        </w:tc>
        <w:tc>
          <w:tcPr>
            <w:tcW w:w="279" w:type="pct"/>
            <w:noWrap w:val="0"/>
            <w:vAlign w:val="center"/>
          </w:tcPr>
          <w:p w14:paraId="3972B039">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00A3E326">
            <w:pPr>
              <w:spacing w:line="300" w:lineRule="exact"/>
              <w:jc w:val="left"/>
              <w:rPr>
                <w:rFonts w:eastAsia="仿宋_GB2312"/>
                <w:color w:val="auto"/>
                <w:spacing w:val="5"/>
                <w:szCs w:val="21"/>
                <w:highlight w:val="none"/>
              </w:rPr>
            </w:pPr>
            <w:r>
              <w:rPr>
                <w:rFonts w:eastAsia="仿宋_GB2312"/>
                <w:color w:val="auto"/>
                <w:spacing w:val="5"/>
                <w:szCs w:val="21"/>
                <w:highlight w:val="none"/>
              </w:rPr>
              <w:t>氟虫腈、啶虫脒、克百威、氧乐果、噻虫胺、噻虫嗪</w:t>
            </w:r>
          </w:p>
        </w:tc>
        <w:tc>
          <w:tcPr>
            <w:tcW w:w="1051" w:type="pct"/>
            <w:noWrap w:val="0"/>
            <w:vAlign w:val="center"/>
          </w:tcPr>
          <w:p w14:paraId="4DF4E0EA">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1F9C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FC6C658">
            <w:pPr>
              <w:spacing w:line="300" w:lineRule="exact"/>
              <w:jc w:val="center"/>
              <w:rPr>
                <w:rFonts w:eastAsia="仿宋_GB2312"/>
                <w:color w:val="auto"/>
                <w:szCs w:val="21"/>
                <w:highlight w:val="none"/>
              </w:rPr>
            </w:pPr>
          </w:p>
        </w:tc>
        <w:tc>
          <w:tcPr>
            <w:tcW w:w="360" w:type="pct"/>
            <w:vMerge w:val="continue"/>
            <w:noWrap w:val="0"/>
            <w:vAlign w:val="center"/>
          </w:tcPr>
          <w:p w14:paraId="1C56552B">
            <w:pPr>
              <w:spacing w:line="300" w:lineRule="exact"/>
              <w:jc w:val="center"/>
              <w:rPr>
                <w:rFonts w:eastAsia="仿宋_GB2312"/>
                <w:color w:val="auto"/>
                <w:szCs w:val="21"/>
                <w:highlight w:val="none"/>
              </w:rPr>
            </w:pPr>
          </w:p>
        </w:tc>
        <w:tc>
          <w:tcPr>
            <w:tcW w:w="360" w:type="pct"/>
            <w:vMerge w:val="continue"/>
            <w:noWrap w:val="0"/>
            <w:vAlign w:val="center"/>
          </w:tcPr>
          <w:p w14:paraId="199DEAFC">
            <w:pPr>
              <w:spacing w:line="300" w:lineRule="exact"/>
              <w:jc w:val="center"/>
              <w:rPr>
                <w:rFonts w:eastAsia="仿宋_GB2312"/>
                <w:color w:val="auto"/>
                <w:szCs w:val="21"/>
                <w:highlight w:val="none"/>
              </w:rPr>
            </w:pPr>
          </w:p>
        </w:tc>
        <w:tc>
          <w:tcPr>
            <w:tcW w:w="438" w:type="pct"/>
            <w:vMerge w:val="restart"/>
            <w:noWrap w:val="0"/>
            <w:vAlign w:val="center"/>
          </w:tcPr>
          <w:p w14:paraId="1B41DE88">
            <w:pPr>
              <w:spacing w:line="300" w:lineRule="exact"/>
              <w:jc w:val="center"/>
              <w:rPr>
                <w:rFonts w:eastAsia="仿宋_GB2312"/>
                <w:color w:val="auto"/>
                <w:spacing w:val="5"/>
                <w:szCs w:val="21"/>
                <w:highlight w:val="none"/>
              </w:rPr>
            </w:pPr>
            <w:r>
              <w:rPr>
                <w:rFonts w:eastAsia="仿宋_GB2312"/>
                <w:color w:val="auto"/>
                <w:spacing w:val="5"/>
                <w:szCs w:val="21"/>
                <w:highlight w:val="none"/>
              </w:rPr>
              <w:t>柑橘类水果</w:t>
            </w:r>
          </w:p>
        </w:tc>
        <w:tc>
          <w:tcPr>
            <w:tcW w:w="607" w:type="pct"/>
            <w:noWrap w:val="0"/>
            <w:vAlign w:val="center"/>
          </w:tcPr>
          <w:p w14:paraId="6DBFEAED">
            <w:pPr>
              <w:spacing w:line="300" w:lineRule="exact"/>
              <w:jc w:val="center"/>
              <w:rPr>
                <w:rFonts w:eastAsia="仿宋_GB2312"/>
                <w:color w:val="auto"/>
                <w:spacing w:val="5"/>
                <w:szCs w:val="21"/>
                <w:highlight w:val="none"/>
              </w:rPr>
            </w:pPr>
            <w:r>
              <w:rPr>
                <w:rFonts w:eastAsia="仿宋_GB2312"/>
                <w:color w:val="auto"/>
                <w:spacing w:val="5"/>
                <w:szCs w:val="21"/>
                <w:highlight w:val="none"/>
              </w:rPr>
              <w:t>柑、橘</w:t>
            </w:r>
            <w:r>
              <w:rPr>
                <w:rFonts w:hint="eastAsia" w:eastAsia="仿宋_GB2312"/>
                <w:color w:val="auto"/>
                <w:kern w:val="0"/>
                <w:szCs w:val="21"/>
                <w:highlight w:val="none"/>
              </w:rPr>
              <w:t>*</w:t>
            </w:r>
          </w:p>
        </w:tc>
        <w:tc>
          <w:tcPr>
            <w:tcW w:w="279" w:type="pct"/>
            <w:noWrap w:val="0"/>
            <w:vAlign w:val="center"/>
          </w:tcPr>
          <w:p w14:paraId="34CBDD2E">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1B64BD82">
            <w:pPr>
              <w:spacing w:line="300" w:lineRule="exact"/>
              <w:jc w:val="left"/>
              <w:rPr>
                <w:rFonts w:eastAsia="仿宋_GB2312"/>
                <w:color w:val="auto"/>
                <w:spacing w:val="5"/>
                <w:szCs w:val="21"/>
                <w:highlight w:val="none"/>
              </w:rPr>
            </w:pPr>
            <w:r>
              <w:rPr>
                <w:rFonts w:eastAsia="仿宋_GB2312"/>
                <w:color w:val="auto"/>
                <w:spacing w:val="5"/>
                <w:szCs w:val="21"/>
                <w:highlight w:val="none"/>
              </w:rPr>
              <w:t>联苯菊酯、苯醚甲环唑、丙溴磷、2.4-滴和2.4-滴钠盐、氯氟氰菊酯和高效氯氟氰菊酯、三唑磷</w:t>
            </w:r>
          </w:p>
        </w:tc>
        <w:tc>
          <w:tcPr>
            <w:tcW w:w="1051" w:type="pct"/>
            <w:noWrap w:val="0"/>
            <w:vAlign w:val="center"/>
          </w:tcPr>
          <w:p w14:paraId="14DF6467">
            <w:pPr>
              <w:spacing w:line="300" w:lineRule="exact"/>
              <w:jc w:val="left"/>
              <w:rPr>
                <w:rFonts w:eastAsia="仿宋_GB2312"/>
                <w:color w:val="auto"/>
                <w:spacing w:val="5"/>
                <w:szCs w:val="21"/>
                <w:highlight w:val="none"/>
              </w:rPr>
            </w:pPr>
            <w:r>
              <w:rPr>
                <w:rFonts w:eastAsia="仿宋_GB2312"/>
                <w:color w:val="auto"/>
                <w:spacing w:val="5"/>
                <w:szCs w:val="21"/>
                <w:highlight w:val="none"/>
              </w:rPr>
              <w:t>氯唑磷、克百威、噻虫胺</w:t>
            </w:r>
          </w:p>
        </w:tc>
      </w:tr>
      <w:tr w14:paraId="001C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69FE518">
            <w:pPr>
              <w:spacing w:line="300" w:lineRule="exact"/>
              <w:jc w:val="center"/>
              <w:rPr>
                <w:rFonts w:eastAsia="仿宋_GB2312"/>
                <w:color w:val="auto"/>
                <w:szCs w:val="21"/>
                <w:highlight w:val="none"/>
              </w:rPr>
            </w:pPr>
          </w:p>
        </w:tc>
        <w:tc>
          <w:tcPr>
            <w:tcW w:w="360" w:type="pct"/>
            <w:vMerge w:val="continue"/>
            <w:noWrap w:val="0"/>
            <w:vAlign w:val="center"/>
          </w:tcPr>
          <w:p w14:paraId="7F504337">
            <w:pPr>
              <w:spacing w:line="300" w:lineRule="exact"/>
              <w:jc w:val="center"/>
              <w:rPr>
                <w:rFonts w:eastAsia="仿宋_GB2312"/>
                <w:color w:val="auto"/>
                <w:szCs w:val="21"/>
                <w:highlight w:val="none"/>
              </w:rPr>
            </w:pPr>
          </w:p>
        </w:tc>
        <w:tc>
          <w:tcPr>
            <w:tcW w:w="360" w:type="pct"/>
            <w:vMerge w:val="continue"/>
            <w:noWrap w:val="0"/>
            <w:vAlign w:val="center"/>
          </w:tcPr>
          <w:p w14:paraId="1F315D1C">
            <w:pPr>
              <w:spacing w:line="300" w:lineRule="exact"/>
              <w:jc w:val="center"/>
              <w:rPr>
                <w:rFonts w:eastAsia="仿宋_GB2312"/>
                <w:color w:val="auto"/>
                <w:szCs w:val="21"/>
                <w:highlight w:val="none"/>
              </w:rPr>
            </w:pPr>
          </w:p>
        </w:tc>
        <w:tc>
          <w:tcPr>
            <w:tcW w:w="438" w:type="pct"/>
            <w:vMerge w:val="continue"/>
            <w:noWrap w:val="0"/>
            <w:vAlign w:val="center"/>
          </w:tcPr>
          <w:p w14:paraId="5EBFD84F">
            <w:pPr>
              <w:widowControl/>
              <w:spacing w:line="300" w:lineRule="exact"/>
              <w:jc w:val="center"/>
              <w:rPr>
                <w:rFonts w:eastAsia="仿宋_GB2312"/>
                <w:color w:val="auto"/>
                <w:kern w:val="0"/>
                <w:szCs w:val="21"/>
                <w:highlight w:val="none"/>
              </w:rPr>
            </w:pPr>
          </w:p>
        </w:tc>
        <w:tc>
          <w:tcPr>
            <w:tcW w:w="607" w:type="pct"/>
            <w:noWrap w:val="0"/>
            <w:vAlign w:val="center"/>
          </w:tcPr>
          <w:p w14:paraId="72FDEC00">
            <w:pPr>
              <w:spacing w:line="300" w:lineRule="exact"/>
              <w:jc w:val="center"/>
              <w:rPr>
                <w:rFonts w:eastAsia="仿宋_GB2312"/>
                <w:color w:val="auto"/>
                <w:spacing w:val="5"/>
                <w:szCs w:val="21"/>
                <w:highlight w:val="none"/>
              </w:rPr>
            </w:pPr>
            <w:r>
              <w:rPr>
                <w:rFonts w:eastAsia="仿宋_GB2312"/>
                <w:color w:val="auto"/>
                <w:spacing w:val="5"/>
                <w:szCs w:val="21"/>
                <w:highlight w:val="none"/>
              </w:rPr>
              <w:t>柚</w:t>
            </w:r>
          </w:p>
        </w:tc>
        <w:tc>
          <w:tcPr>
            <w:tcW w:w="279" w:type="pct"/>
            <w:noWrap w:val="0"/>
            <w:vAlign w:val="center"/>
          </w:tcPr>
          <w:p w14:paraId="19CDE9F6">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67D63BB8">
            <w:pPr>
              <w:spacing w:line="300" w:lineRule="exact"/>
              <w:jc w:val="left"/>
              <w:rPr>
                <w:rFonts w:eastAsia="仿宋_GB2312"/>
                <w:color w:val="auto"/>
                <w:spacing w:val="5"/>
                <w:szCs w:val="21"/>
                <w:highlight w:val="none"/>
              </w:rPr>
            </w:pPr>
            <w:r>
              <w:rPr>
                <w:rFonts w:eastAsia="仿宋_GB2312"/>
                <w:color w:val="auto"/>
                <w:spacing w:val="5"/>
                <w:szCs w:val="21"/>
                <w:highlight w:val="none"/>
              </w:rPr>
              <w:t>水胺硫磷、联苯菊酯、氯氟氰菊酯和高效氯氟氰菊酯、氯唑磷、毒死蜱、噻虫胺</w:t>
            </w:r>
          </w:p>
        </w:tc>
        <w:tc>
          <w:tcPr>
            <w:tcW w:w="1051" w:type="pct"/>
            <w:noWrap w:val="0"/>
            <w:vAlign w:val="center"/>
          </w:tcPr>
          <w:p w14:paraId="76984E1D">
            <w:pPr>
              <w:spacing w:line="300" w:lineRule="exact"/>
              <w:jc w:val="left"/>
              <w:rPr>
                <w:rFonts w:eastAsia="仿宋_GB2312"/>
                <w:color w:val="auto"/>
                <w:spacing w:val="5"/>
                <w:szCs w:val="21"/>
                <w:highlight w:val="none"/>
              </w:rPr>
            </w:pPr>
            <w:r>
              <w:rPr>
                <w:rFonts w:eastAsia="仿宋_GB2312"/>
                <w:color w:val="auto"/>
                <w:spacing w:val="5"/>
                <w:szCs w:val="21"/>
                <w:highlight w:val="none"/>
              </w:rPr>
              <w:t>多菌灵、克百威</w:t>
            </w:r>
          </w:p>
        </w:tc>
      </w:tr>
      <w:tr w14:paraId="0B28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4AF8E46B">
            <w:pPr>
              <w:spacing w:line="300" w:lineRule="exact"/>
              <w:jc w:val="center"/>
              <w:rPr>
                <w:rFonts w:eastAsia="仿宋_GB2312"/>
                <w:color w:val="auto"/>
                <w:szCs w:val="21"/>
                <w:highlight w:val="none"/>
              </w:rPr>
            </w:pPr>
          </w:p>
        </w:tc>
        <w:tc>
          <w:tcPr>
            <w:tcW w:w="360" w:type="pct"/>
            <w:vMerge w:val="continue"/>
            <w:noWrap w:val="0"/>
            <w:vAlign w:val="center"/>
          </w:tcPr>
          <w:p w14:paraId="7434865D">
            <w:pPr>
              <w:spacing w:line="300" w:lineRule="exact"/>
              <w:jc w:val="center"/>
              <w:rPr>
                <w:rFonts w:eastAsia="仿宋_GB2312"/>
                <w:color w:val="auto"/>
                <w:szCs w:val="21"/>
                <w:highlight w:val="none"/>
              </w:rPr>
            </w:pPr>
          </w:p>
        </w:tc>
        <w:tc>
          <w:tcPr>
            <w:tcW w:w="360" w:type="pct"/>
            <w:vMerge w:val="continue"/>
            <w:noWrap w:val="0"/>
            <w:vAlign w:val="center"/>
          </w:tcPr>
          <w:p w14:paraId="4054FE73">
            <w:pPr>
              <w:spacing w:line="300" w:lineRule="exact"/>
              <w:jc w:val="center"/>
              <w:rPr>
                <w:rFonts w:eastAsia="仿宋_GB2312"/>
                <w:color w:val="auto"/>
                <w:szCs w:val="21"/>
                <w:highlight w:val="none"/>
              </w:rPr>
            </w:pPr>
          </w:p>
        </w:tc>
        <w:tc>
          <w:tcPr>
            <w:tcW w:w="438" w:type="pct"/>
            <w:vMerge w:val="continue"/>
            <w:noWrap w:val="0"/>
            <w:vAlign w:val="center"/>
          </w:tcPr>
          <w:p w14:paraId="08CE3E88">
            <w:pPr>
              <w:widowControl/>
              <w:spacing w:line="300" w:lineRule="exact"/>
              <w:jc w:val="center"/>
              <w:rPr>
                <w:rFonts w:eastAsia="仿宋_GB2312"/>
                <w:color w:val="auto"/>
                <w:kern w:val="0"/>
                <w:szCs w:val="21"/>
                <w:highlight w:val="none"/>
              </w:rPr>
            </w:pPr>
          </w:p>
        </w:tc>
        <w:tc>
          <w:tcPr>
            <w:tcW w:w="607" w:type="pct"/>
            <w:noWrap w:val="0"/>
            <w:vAlign w:val="center"/>
          </w:tcPr>
          <w:p w14:paraId="40974CEB">
            <w:pPr>
              <w:spacing w:line="300" w:lineRule="exact"/>
              <w:jc w:val="center"/>
              <w:rPr>
                <w:rFonts w:eastAsia="仿宋_GB2312"/>
                <w:color w:val="auto"/>
                <w:spacing w:val="5"/>
                <w:szCs w:val="21"/>
                <w:highlight w:val="none"/>
              </w:rPr>
            </w:pPr>
            <w:r>
              <w:rPr>
                <w:rFonts w:eastAsia="仿宋_GB2312"/>
                <w:color w:val="auto"/>
                <w:spacing w:val="5"/>
                <w:szCs w:val="21"/>
                <w:highlight w:val="none"/>
              </w:rPr>
              <w:t>柠檬</w:t>
            </w:r>
          </w:p>
        </w:tc>
        <w:tc>
          <w:tcPr>
            <w:tcW w:w="279" w:type="pct"/>
            <w:noWrap w:val="0"/>
            <w:vAlign w:val="center"/>
          </w:tcPr>
          <w:p w14:paraId="57DDFED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CDFF86E">
            <w:pPr>
              <w:spacing w:line="300" w:lineRule="exact"/>
              <w:jc w:val="left"/>
              <w:rPr>
                <w:rFonts w:eastAsia="仿宋_GB2312"/>
                <w:color w:val="auto"/>
                <w:spacing w:val="5"/>
                <w:szCs w:val="21"/>
                <w:highlight w:val="none"/>
              </w:rPr>
            </w:pPr>
            <w:r>
              <w:rPr>
                <w:rFonts w:eastAsia="仿宋_GB2312"/>
                <w:color w:val="auto"/>
                <w:spacing w:val="5"/>
                <w:szCs w:val="21"/>
                <w:highlight w:val="none"/>
              </w:rPr>
              <w:t>联苯菊酯、多菌灵、克百威、水胺硫磷、乙螨唑、氯唑磷</w:t>
            </w:r>
          </w:p>
        </w:tc>
        <w:tc>
          <w:tcPr>
            <w:tcW w:w="1051" w:type="pct"/>
            <w:noWrap w:val="0"/>
            <w:vAlign w:val="center"/>
          </w:tcPr>
          <w:p w14:paraId="766697D6">
            <w:pPr>
              <w:spacing w:line="300" w:lineRule="exact"/>
              <w:jc w:val="left"/>
              <w:rPr>
                <w:rFonts w:eastAsia="仿宋_GB2312"/>
                <w:color w:val="auto"/>
                <w:spacing w:val="5"/>
                <w:szCs w:val="21"/>
                <w:highlight w:val="none"/>
              </w:rPr>
            </w:pPr>
            <w:r>
              <w:rPr>
                <w:rFonts w:eastAsia="仿宋_GB2312"/>
                <w:color w:val="auto"/>
                <w:spacing w:val="5"/>
                <w:szCs w:val="21"/>
                <w:highlight w:val="none"/>
              </w:rPr>
              <w:t>毒死蜱</w:t>
            </w:r>
          </w:p>
        </w:tc>
      </w:tr>
      <w:tr w14:paraId="7440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E95F9C4">
            <w:pPr>
              <w:spacing w:line="300" w:lineRule="exact"/>
              <w:jc w:val="center"/>
              <w:rPr>
                <w:rFonts w:eastAsia="仿宋_GB2312"/>
                <w:color w:val="auto"/>
                <w:szCs w:val="21"/>
                <w:highlight w:val="none"/>
              </w:rPr>
            </w:pPr>
          </w:p>
        </w:tc>
        <w:tc>
          <w:tcPr>
            <w:tcW w:w="360" w:type="pct"/>
            <w:vMerge w:val="continue"/>
            <w:noWrap w:val="0"/>
            <w:vAlign w:val="center"/>
          </w:tcPr>
          <w:p w14:paraId="6BEE49E8">
            <w:pPr>
              <w:spacing w:line="300" w:lineRule="exact"/>
              <w:jc w:val="center"/>
              <w:rPr>
                <w:rFonts w:eastAsia="仿宋_GB2312"/>
                <w:color w:val="auto"/>
                <w:szCs w:val="21"/>
                <w:highlight w:val="none"/>
              </w:rPr>
            </w:pPr>
          </w:p>
        </w:tc>
        <w:tc>
          <w:tcPr>
            <w:tcW w:w="360" w:type="pct"/>
            <w:vMerge w:val="continue"/>
            <w:noWrap w:val="0"/>
            <w:vAlign w:val="center"/>
          </w:tcPr>
          <w:p w14:paraId="27D25AEE">
            <w:pPr>
              <w:spacing w:line="300" w:lineRule="exact"/>
              <w:jc w:val="center"/>
              <w:rPr>
                <w:rFonts w:eastAsia="仿宋_GB2312"/>
                <w:color w:val="auto"/>
                <w:szCs w:val="21"/>
                <w:highlight w:val="none"/>
              </w:rPr>
            </w:pPr>
          </w:p>
        </w:tc>
        <w:tc>
          <w:tcPr>
            <w:tcW w:w="438" w:type="pct"/>
            <w:vMerge w:val="continue"/>
            <w:noWrap w:val="0"/>
            <w:vAlign w:val="center"/>
          </w:tcPr>
          <w:p w14:paraId="20A9E046">
            <w:pPr>
              <w:widowControl/>
              <w:spacing w:line="300" w:lineRule="exact"/>
              <w:jc w:val="center"/>
              <w:rPr>
                <w:rFonts w:eastAsia="仿宋_GB2312"/>
                <w:color w:val="auto"/>
                <w:kern w:val="0"/>
                <w:szCs w:val="21"/>
                <w:highlight w:val="none"/>
              </w:rPr>
            </w:pPr>
          </w:p>
        </w:tc>
        <w:tc>
          <w:tcPr>
            <w:tcW w:w="607" w:type="pct"/>
            <w:noWrap w:val="0"/>
            <w:vAlign w:val="center"/>
          </w:tcPr>
          <w:p w14:paraId="1980FC24">
            <w:pPr>
              <w:spacing w:line="300" w:lineRule="exact"/>
              <w:jc w:val="center"/>
              <w:rPr>
                <w:rFonts w:eastAsia="仿宋_GB2312"/>
                <w:color w:val="auto"/>
                <w:spacing w:val="5"/>
                <w:szCs w:val="21"/>
                <w:highlight w:val="none"/>
              </w:rPr>
            </w:pPr>
            <w:r>
              <w:rPr>
                <w:rFonts w:eastAsia="仿宋_GB2312"/>
                <w:color w:val="auto"/>
                <w:spacing w:val="5"/>
                <w:szCs w:val="21"/>
                <w:highlight w:val="none"/>
              </w:rPr>
              <w:t>橙</w:t>
            </w:r>
            <w:r>
              <w:rPr>
                <w:rFonts w:hint="eastAsia" w:eastAsia="仿宋_GB2312"/>
                <w:color w:val="auto"/>
                <w:kern w:val="0"/>
                <w:szCs w:val="21"/>
                <w:highlight w:val="none"/>
              </w:rPr>
              <w:t>*</w:t>
            </w:r>
          </w:p>
        </w:tc>
        <w:tc>
          <w:tcPr>
            <w:tcW w:w="279" w:type="pct"/>
            <w:noWrap w:val="0"/>
            <w:vAlign w:val="center"/>
          </w:tcPr>
          <w:p w14:paraId="2E6549D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5FBE777">
            <w:pPr>
              <w:spacing w:line="300" w:lineRule="exact"/>
              <w:jc w:val="left"/>
              <w:rPr>
                <w:rFonts w:eastAsia="仿宋_GB2312"/>
                <w:color w:val="auto"/>
                <w:spacing w:val="5"/>
                <w:szCs w:val="21"/>
                <w:highlight w:val="none"/>
              </w:rPr>
            </w:pPr>
            <w:r>
              <w:rPr>
                <w:rFonts w:eastAsia="仿宋_GB2312"/>
                <w:color w:val="auto"/>
                <w:spacing w:val="5"/>
                <w:szCs w:val="21"/>
                <w:highlight w:val="none"/>
              </w:rPr>
              <w:t>氯唑磷、联苯菊酯、苯醚甲环唑、丙溴磷、2.4-滴和2,4-滴钠盐</w:t>
            </w:r>
          </w:p>
          <w:p w14:paraId="40739D49">
            <w:pPr>
              <w:spacing w:line="300" w:lineRule="exact"/>
              <w:jc w:val="left"/>
              <w:rPr>
                <w:rFonts w:eastAsia="仿宋_GB2312"/>
                <w:color w:val="auto"/>
                <w:spacing w:val="5"/>
                <w:szCs w:val="21"/>
                <w:highlight w:val="none"/>
              </w:rPr>
            </w:pPr>
          </w:p>
        </w:tc>
        <w:tc>
          <w:tcPr>
            <w:tcW w:w="1051" w:type="pct"/>
            <w:noWrap w:val="0"/>
            <w:vAlign w:val="center"/>
          </w:tcPr>
          <w:p w14:paraId="450F5BEB">
            <w:pPr>
              <w:spacing w:line="300" w:lineRule="exact"/>
              <w:jc w:val="left"/>
              <w:rPr>
                <w:rFonts w:eastAsia="仿宋_GB2312"/>
                <w:color w:val="auto"/>
                <w:spacing w:val="5"/>
                <w:szCs w:val="21"/>
                <w:highlight w:val="none"/>
              </w:rPr>
            </w:pPr>
            <w:r>
              <w:rPr>
                <w:rFonts w:eastAsia="仿宋_GB2312"/>
                <w:color w:val="auto"/>
                <w:spacing w:val="5"/>
                <w:szCs w:val="21"/>
                <w:highlight w:val="none"/>
              </w:rPr>
              <w:t>克百威、三唑磷</w:t>
            </w:r>
          </w:p>
        </w:tc>
      </w:tr>
      <w:tr w14:paraId="1A91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C0EF21A">
            <w:pPr>
              <w:spacing w:line="300" w:lineRule="exact"/>
              <w:jc w:val="center"/>
              <w:rPr>
                <w:rFonts w:eastAsia="仿宋_GB2312"/>
                <w:color w:val="auto"/>
                <w:szCs w:val="21"/>
                <w:highlight w:val="none"/>
              </w:rPr>
            </w:pPr>
          </w:p>
        </w:tc>
        <w:tc>
          <w:tcPr>
            <w:tcW w:w="360" w:type="pct"/>
            <w:vMerge w:val="continue"/>
            <w:noWrap w:val="0"/>
            <w:vAlign w:val="center"/>
          </w:tcPr>
          <w:p w14:paraId="1F687D98">
            <w:pPr>
              <w:spacing w:line="300" w:lineRule="exact"/>
              <w:jc w:val="center"/>
              <w:rPr>
                <w:rFonts w:eastAsia="仿宋_GB2312"/>
                <w:color w:val="auto"/>
                <w:szCs w:val="21"/>
                <w:highlight w:val="none"/>
              </w:rPr>
            </w:pPr>
          </w:p>
        </w:tc>
        <w:tc>
          <w:tcPr>
            <w:tcW w:w="360" w:type="pct"/>
            <w:vMerge w:val="continue"/>
            <w:noWrap w:val="0"/>
            <w:vAlign w:val="center"/>
          </w:tcPr>
          <w:p w14:paraId="6F3B4FC9">
            <w:pPr>
              <w:spacing w:line="300" w:lineRule="exact"/>
              <w:jc w:val="center"/>
              <w:rPr>
                <w:rFonts w:eastAsia="仿宋_GB2312"/>
                <w:color w:val="auto"/>
                <w:szCs w:val="21"/>
                <w:highlight w:val="none"/>
              </w:rPr>
            </w:pPr>
          </w:p>
        </w:tc>
        <w:tc>
          <w:tcPr>
            <w:tcW w:w="438" w:type="pct"/>
            <w:vMerge w:val="continue"/>
            <w:noWrap w:val="0"/>
            <w:vAlign w:val="center"/>
          </w:tcPr>
          <w:p w14:paraId="18C9044C">
            <w:pPr>
              <w:widowControl/>
              <w:spacing w:line="300" w:lineRule="exact"/>
              <w:jc w:val="center"/>
              <w:rPr>
                <w:rFonts w:eastAsia="仿宋_GB2312"/>
                <w:color w:val="auto"/>
                <w:kern w:val="0"/>
                <w:szCs w:val="21"/>
                <w:highlight w:val="none"/>
              </w:rPr>
            </w:pPr>
          </w:p>
        </w:tc>
        <w:tc>
          <w:tcPr>
            <w:tcW w:w="607" w:type="pct"/>
            <w:noWrap w:val="0"/>
            <w:vAlign w:val="center"/>
          </w:tcPr>
          <w:p w14:paraId="2D38B6F5">
            <w:pPr>
              <w:spacing w:line="300" w:lineRule="exact"/>
              <w:jc w:val="center"/>
              <w:rPr>
                <w:rFonts w:eastAsia="仿宋_GB2312"/>
                <w:color w:val="auto"/>
                <w:spacing w:val="5"/>
                <w:szCs w:val="21"/>
                <w:highlight w:val="none"/>
              </w:rPr>
            </w:pPr>
            <w:r>
              <w:rPr>
                <w:rFonts w:eastAsia="仿宋_GB2312"/>
                <w:color w:val="auto"/>
                <w:spacing w:val="5"/>
                <w:szCs w:val="21"/>
                <w:highlight w:val="none"/>
              </w:rPr>
              <w:t>金橘</w:t>
            </w:r>
          </w:p>
        </w:tc>
        <w:tc>
          <w:tcPr>
            <w:tcW w:w="279" w:type="pct"/>
            <w:noWrap w:val="0"/>
            <w:vAlign w:val="center"/>
          </w:tcPr>
          <w:p w14:paraId="2F36B47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2AAA403">
            <w:pPr>
              <w:spacing w:line="300" w:lineRule="exact"/>
              <w:jc w:val="left"/>
              <w:rPr>
                <w:rFonts w:eastAsia="仿宋_GB2312"/>
                <w:color w:val="auto"/>
                <w:spacing w:val="5"/>
                <w:szCs w:val="21"/>
                <w:highlight w:val="none"/>
              </w:rPr>
            </w:pPr>
            <w:r>
              <w:rPr>
                <w:rFonts w:eastAsia="仿宋_GB2312"/>
                <w:color w:val="auto"/>
                <w:spacing w:val="5"/>
                <w:szCs w:val="21"/>
                <w:highlight w:val="none"/>
              </w:rPr>
              <w:t>乙螨唑、噻虫胺、氯氰菊酯和高效氯氰菊酯、苯醚甲环唑、阿维菌素</w:t>
            </w:r>
            <w:r>
              <w:rPr>
                <w:rFonts w:hint="eastAsia" w:eastAsia="仿宋_GB2312"/>
                <w:color w:val="auto"/>
                <w:spacing w:val="5"/>
                <w:szCs w:val="21"/>
                <w:highlight w:val="none"/>
              </w:rPr>
              <w:t>、溴氰菊酯</w:t>
            </w:r>
          </w:p>
        </w:tc>
        <w:tc>
          <w:tcPr>
            <w:tcW w:w="1051" w:type="pct"/>
            <w:noWrap w:val="0"/>
            <w:vAlign w:val="center"/>
          </w:tcPr>
          <w:p w14:paraId="3A920633">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384F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0824D56">
            <w:pPr>
              <w:spacing w:line="300" w:lineRule="exact"/>
              <w:jc w:val="center"/>
              <w:rPr>
                <w:rFonts w:eastAsia="仿宋_GB2312"/>
                <w:color w:val="auto"/>
                <w:szCs w:val="21"/>
                <w:highlight w:val="none"/>
              </w:rPr>
            </w:pPr>
          </w:p>
        </w:tc>
        <w:tc>
          <w:tcPr>
            <w:tcW w:w="360" w:type="pct"/>
            <w:vMerge w:val="continue"/>
            <w:noWrap w:val="0"/>
            <w:vAlign w:val="center"/>
          </w:tcPr>
          <w:p w14:paraId="4CC4BD03">
            <w:pPr>
              <w:spacing w:line="300" w:lineRule="exact"/>
              <w:jc w:val="center"/>
              <w:rPr>
                <w:rFonts w:eastAsia="仿宋_GB2312"/>
                <w:color w:val="auto"/>
                <w:szCs w:val="21"/>
                <w:highlight w:val="none"/>
              </w:rPr>
            </w:pPr>
          </w:p>
        </w:tc>
        <w:tc>
          <w:tcPr>
            <w:tcW w:w="360" w:type="pct"/>
            <w:vMerge w:val="continue"/>
            <w:noWrap w:val="0"/>
            <w:vAlign w:val="center"/>
          </w:tcPr>
          <w:p w14:paraId="6D5BD643">
            <w:pPr>
              <w:spacing w:line="300" w:lineRule="exact"/>
              <w:jc w:val="center"/>
              <w:rPr>
                <w:rFonts w:eastAsia="仿宋_GB2312"/>
                <w:color w:val="auto"/>
                <w:szCs w:val="21"/>
                <w:highlight w:val="none"/>
              </w:rPr>
            </w:pPr>
          </w:p>
        </w:tc>
        <w:tc>
          <w:tcPr>
            <w:tcW w:w="438" w:type="pct"/>
            <w:vMerge w:val="restart"/>
            <w:noWrap w:val="0"/>
            <w:vAlign w:val="center"/>
          </w:tcPr>
          <w:p w14:paraId="075549EC">
            <w:pPr>
              <w:spacing w:line="300" w:lineRule="exact"/>
              <w:jc w:val="center"/>
              <w:rPr>
                <w:rFonts w:eastAsia="仿宋_GB2312"/>
                <w:color w:val="auto"/>
                <w:spacing w:val="5"/>
                <w:szCs w:val="21"/>
                <w:highlight w:val="none"/>
              </w:rPr>
            </w:pPr>
            <w:r>
              <w:rPr>
                <w:rFonts w:eastAsia="仿宋_GB2312"/>
                <w:color w:val="auto"/>
                <w:spacing w:val="5"/>
                <w:szCs w:val="21"/>
                <w:highlight w:val="none"/>
              </w:rPr>
              <w:t>浆果和其他小型水果</w:t>
            </w:r>
          </w:p>
        </w:tc>
        <w:tc>
          <w:tcPr>
            <w:tcW w:w="607" w:type="pct"/>
            <w:noWrap w:val="0"/>
            <w:vAlign w:val="center"/>
          </w:tcPr>
          <w:p w14:paraId="4945E37D">
            <w:pPr>
              <w:spacing w:line="300" w:lineRule="exact"/>
              <w:jc w:val="center"/>
              <w:rPr>
                <w:rFonts w:eastAsia="仿宋_GB2312"/>
                <w:color w:val="auto"/>
                <w:spacing w:val="5"/>
                <w:szCs w:val="21"/>
                <w:highlight w:val="none"/>
              </w:rPr>
            </w:pPr>
            <w:r>
              <w:rPr>
                <w:rFonts w:eastAsia="仿宋_GB2312"/>
                <w:color w:val="auto"/>
                <w:spacing w:val="5"/>
                <w:szCs w:val="21"/>
                <w:highlight w:val="none"/>
              </w:rPr>
              <w:t>葡萄</w:t>
            </w:r>
          </w:p>
        </w:tc>
        <w:tc>
          <w:tcPr>
            <w:tcW w:w="279" w:type="pct"/>
            <w:noWrap w:val="0"/>
            <w:vAlign w:val="center"/>
          </w:tcPr>
          <w:p w14:paraId="4A111967">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40330468">
            <w:pPr>
              <w:spacing w:line="300" w:lineRule="exact"/>
              <w:jc w:val="left"/>
              <w:rPr>
                <w:rFonts w:eastAsia="仿宋_GB2312"/>
                <w:color w:val="auto"/>
                <w:spacing w:val="5"/>
                <w:szCs w:val="21"/>
                <w:highlight w:val="none"/>
              </w:rPr>
            </w:pPr>
            <w:r>
              <w:rPr>
                <w:rFonts w:eastAsia="仿宋_GB2312"/>
                <w:color w:val="auto"/>
                <w:spacing w:val="5"/>
                <w:szCs w:val="21"/>
                <w:highlight w:val="none"/>
              </w:rPr>
              <w:t>苯醚甲环唑、己唑醇、腈苯唑、氯吡脲、氯氰菊酯和高效氯氰菊酯、氧乐果</w:t>
            </w:r>
          </w:p>
        </w:tc>
        <w:tc>
          <w:tcPr>
            <w:tcW w:w="1051" w:type="pct"/>
            <w:noWrap w:val="0"/>
            <w:vAlign w:val="center"/>
          </w:tcPr>
          <w:p w14:paraId="499F4EDC">
            <w:pPr>
              <w:spacing w:line="300" w:lineRule="exact"/>
              <w:jc w:val="left"/>
              <w:rPr>
                <w:rFonts w:eastAsia="仿宋_GB2312"/>
                <w:color w:val="auto"/>
                <w:spacing w:val="5"/>
                <w:szCs w:val="21"/>
                <w:highlight w:val="none"/>
              </w:rPr>
            </w:pPr>
            <w:r>
              <w:rPr>
                <w:rFonts w:eastAsia="仿宋_GB2312"/>
                <w:color w:val="auto"/>
                <w:spacing w:val="5"/>
                <w:szCs w:val="21"/>
                <w:highlight w:val="none"/>
              </w:rPr>
              <w:t>联苯菊酯、氟虫腈</w:t>
            </w:r>
          </w:p>
        </w:tc>
      </w:tr>
      <w:tr w14:paraId="0DB3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noWrap w:val="0"/>
            <w:vAlign w:val="center"/>
          </w:tcPr>
          <w:p w14:paraId="48086927">
            <w:pPr>
              <w:spacing w:line="300" w:lineRule="exact"/>
              <w:jc w:val="center"/>
              <w:rPr>
                <w:rFonts w:eastAsia="仿宋_GB2312"/>
                <w:color w:val="auto"/>
                <w:szCs w:val="21"/>
                <w:highlight w:val="none"/>
              </w:rPr>
            </w:pPr>
          </w:p>
        </w:tc>
        <w:tc>
          <w:tcPr>
            <w:tcW w:w="360" w:type="pct"/>
            <w:vMerge w:val="continue"/>
            <w:noWrap w:val="0"/>
            <w:vAlign w:val="center"/>
          </w:tcPr>
          <w:p w14:paraId="0A72496E">
            <w:pPr>
              <w:spacing w:line="300" w:lineRule="exact"/>
              <w:jc w:val="center"/>
              <w:rPr>
                <w:rFonts w:eastAsia="仿宋_GB2312"/>
                <w:color w:val="auto"/>
                <w:szCs w:val="21"/>
                <w:highlight w:val="none"/>
              </w:rPr>
            </w:pPr>
          </w:p>
        </w:tc>
        <w:tc>
          <w:tcPr>
            <w:tcW w:w="360" w:type="pct"/>
            <w:vMerge w:val="continue"/>
            <w:noWrap w:val="0"/>
            <w:vAlign w:val="center"/>
          </w:tcPr>
          <w:p w14:paraId="2E259569">
            <w:pPr>
              <w:spacing w:line="300" w:lineRule="exact"/>
              <w:jc w:val="center"/>
              <w:rPr>
                <w:rFonts w:eastAsia="仿宋_GB2312"/>
                <w:color w:val="auto"/>
                <w:szCs w:val="21"/>
                <w:highlight w:val="none"/>
              </w:rPr>
            </w:pPr>
          </w:p>
        </w:tc>
        <w:tc>
          <w:tcPr>
            <w:tcW w:w="438" w:type="pct"/>
            <w:vMerge w:val="continue"/>
            <w:noWrap w:val="0"/>
            <w:vAlign w:val="center"/>
          </w:tcPr>
          <w:p w14:paraId="2887F6B1">
            <w:pPr>
              <w:widowControl/>
              <w:spacing w:line="300" w:lineRule="exact"/>
              <w:jc w:val="center"/>
              <w:rPr>
                <w:rFonts w:eastAsia="仿宋_GB2312"/>
                <w:color w:val="auto"/>
                <w:kern w:val="0"/>
                <w:szCs w:val="21"/>
                <w:highlight w:val="none"/>
              </w:rPr>
            </w:pPr>
          </w:p>
        </w:tc>
        <w:tc>
          <w:tcPr>
            <w:tcW w:w="607" w:type="pct"/>
            <w:noWrap w:val="0"/>
            <w:vAlign w:val="center"/>
          </w:tcPr>
          <w:p w14:paraId="7D8B2DC2">
            <w:pPr>
              <w:spacing w:line="300" w:lineRule="exact"/>
              <w:jc w:val="center"/>
              <w:rPr>
                <w:rFonts w:eastAsia="仿宋_GB2312"/>
                <w:color w:val="auto"/>
                <w:spacing w:val="5"/>
                <w:szCs w:val="21"/>
                <w:highlight w:val="none"/>
              </w:rPr>
            </w:pPr>
            <w:r>
              <w:rPr>
                <w:rFonts w:eastAsia="仿宋_GB2312"/>
                <w:color w:val="auto"/>
                <w:spacing w:val="5"/>
                <w:szCs w:val="21"/>
                <w:highlight w:val="none"/>
              </w:rPr>
              <w:t>草莓</w:t>
            </w:r>
          </w:p>
        </w:tc>
        <w:tc>
          <w:tcPr>
            <w:tcW w:w="279" w:type="pct"/>
            <w:noWrap w:val="0"/>
            <w:vAlign w:val="center"/>
          </w:tcPr>
          <w:p w14:paraId="4456332B">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5D440B2">
            <w:pPr>
              <w:spacing w:line="300" w:lineRule="exact"/>
              <w:jc w:val="left"/>
              <w:rPr>
                <w:rFonts w:eastAsia="仿宋_GB2312"/>
                <w:color w:val="auto"/>
                <w:spacing w:val="5"/>
                <w:szCs w:val="21"/>
                <w:highlight w:val="none"/>
              </w:rPr>
            </w:pPr>
            <w:r>
              <w:rPr>
                <w:rFonts w:eastAsia="仿宋_GB2312"/>
                <w:color w:val="auto"/>
                <w:spacing w:val="5"/>
                <w:szCs w:val="21"/>
                <w:highlight w:val="none"/>
              </w:rPr>
              <w:t>烯酰吗啉、克百威、毒死蜱、多菌灵、草甘膦</w:t>
            </w:r>
          </w:p>
        </w:tc>
        <w:tc>
          <w:tcPr>
            <w:tcW w:w="1051" w:type="pct"/>
            <w:noWrap w:val="0"/>
            <w:vAlign w:val="center"/>
          </w:tcPr>
          <w:p w14:paraId="6D3A98A8">
            <w:pPr>
              <w:widowControl/>
              <w:spacing w:line="300" w:lineRule="exact"/>
              <w:jc w:val="left"/>
              <w:rPr>
                <w:rFonts w:eastAsia="仿宋_GB2312"/>
                <w:color w:val="auto"/>
                <w:spacing w:val="5"/>
                <w:szCs w:val="21"/>
                <w:highlight w:val="none"/>
              </w:rPr>
            </w:pPr>
            <w:r>
              <w:rPr>
                <w:rFonts w:eastAsia="仿宋_GB2312"/>
                <w:color w:val="auto"/>
                <w:spacing w:val="5"/>
                <w:szCs w:val="21"/>
                <w:highlight w:val="none"/>
              </w:rPr>
              <w:t>镉、敌敌畏、敌百虫、噻虫嗪、氯氟氰菊酯和高效氯氟氰菊酯</w:t>
            </w:r>
          </w:p>
        </w:tc>
      </w:tr>
      <w:tr w14:paraId="0B5C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5E9BCBD">
            <w:pPr>
              <w:spacing w:line="300" w:lineRule="exact"/>
              <w:jc w:val="center"/>
              <w:rPr>
                <w:rFonts w:eastAsia="仿宋_GB2312"/>
                <w:color w:val="auto"/>
                <w:szCs w:val="21"/>
                <w:highlight w:val="none"/>
              </w:rPr>
            </w:pPr>
          </w:p>
        </w:tc>
        <w:tc>
          <w:tcPr>
            <w:tcW w:w="360" w:type="pct"/>
            <w:vMerge w:val="continue"/>
            <w:noWrap w:val="0"/>
            <w:vAlign w:val="center"/>
          </w:tcPr>
          <w:p w14:paraId="1080A10B">
            <w:pPr>
              <w:spacing w:line="300" w:lineRule="exact"/>
              <w:jc w:val="center"/>
              <w:rPr>
                <w:rFonts w:eastAsia="仿宋_GB2312"/>
                <w:color w:val="auto"/>
                <w:szCs w:val="21"/>
                <w:highlight w:val="none"/>
              </w:rPr>
            </w:pPr>
          </w:p>
        </w:tc>
        <w:tc>
          <w:tcPr>
            <w:tcW w:w="360" w:type="pct"/>
            <w:vMerge w:val="continue"/>
            <w:noWrap w:val="0"/>
            <w:vAlign w:val="center"/>
          </w:tcPr>
          <w:p w14:paraId="5C1C54BB">
            <w:pPr>
              <w:spacing w:line="300" w:lineRule="exact"/>
              <w:jc w:val="center"/>
              <w:rPr>
                <w:rFonts w:eastAsia="仿宋_GB2312"/>
                <w:color w:val="auto"/>
                <w:szCs w:val="21"/>
                <w:highlight w:val="none"/>
              </w:rPr>
            </w:pPr>
          </w:p>
        </w:tc>
        <w:tc>
          <w:tcPr>
            <w:tcW w:w="438" w:type="pct"/>
            <w:vMerge w:val="continue"/>
            <w:noWrap w:val="0"/>
            <w:vAlign w:val="center"/>
          </w:tcPr>
          <w:p w14:paraId="6714DEC1">
            <w:pPr>
              <w:widowControl/>
              <w:spacing w:line="300" w:lineRule="exact"/>
              <w:jc w:val="center"/>
              <w:rPr>
                <w:rFonts w:eastAsia="仿宋_GB2312"/>
                <w:color w:val="auto"/>
                <w:kern w:val="0"/>
                <w:szCs w:val="21"/>
                <w:highlight w:val="none"/>
              </w:rPr>
            </w:pPr>
          </w:p>
        </w:tc>
        <w:tc>
          <w:tcPr>
            <w:tcW w:w="607" w:type="pct"/>
            <w:noWrap w:val="0"/>
            <w:vAlign w:val="center"/>
          </w:tcPr>
          <w:p w14:paraId="0EDA1E2F">
            <w:pPr>
              <w:spacing w:line="300" w:lineRule="exact"/>
              <w:jc w:val="center"/>
              <w:rPr>
                <w:rFonts w:eastAsia="仿宋_GB2312"/>
                <w:color w:val="auto"/>
                <w:spacing w:val="5"/>
                <w:szCs w:val="21"/>
                <w:highlight w:val="none"/>
              </w:rPr>
            </w:pPr>
            <w:r>
              <w:rPr>
                <w:rFonts w:eastAsia="仿宋_GB2312"/>
                <w:color w:val="auto"/>
                <w:spacing w:val="5"/>
                <w:szCs w:val="21"/>
                <w:highlight w:val="none"/>
              </w:rPr>
              <w:t>猕猴桃</w:t>
            </w:r>
          </w:p>
        </w:tc>
        <w:tc>
          <w:tcPr>
            <w:tcW w:w="279" w:type="pct"/>
            <w:noWrap w:val="0"/>
            <w:vAlign w:val="center"/>
          </w:tcPr>
          <w:p w14:paraId="60E12F77">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03881A8D">
            <w:pPr>
              <w:spacing w:line="300" w:lineRule="exact"/>
              <w:jc w:val="left"/>
              <w:rPr>
                <w:rFonts w:eastAsia="仿宋_GB2312"/>
                <w:color w:val="auto"/>
                <w:spacing w:val="5"/>
                <w:szCs w:val="21"/>
                <w:highlight w:val="none"/>
              </w:rPr>
            </w:pPr>
            <w:r>
              <w:rPr>
                <w:rFonts w:eastAsia="仿宋_GB2312"/>
                <w:color w:val="auto"/>
                <w:spacing w:val="5"/>
                <w:szCs w:val="21"/>
                <w:highlight w:val="none"/>
              </w:rPr>
              <w:t>氯吡脲、氧乐果、敌敌畏、多菌灵、吡唑醚菌酯</w:t>
            </w:r>
          </w:p>
        </w:tc>
        <w:tc>
          <w:tcPr>
            <w:tcW w:w="1051" w:type="pct"/>
            <w:noWrap w:val="0"/>
            <w:vAlign w:val="center"/>
          </w:tcPr>
          <w:p w14:paraId="550E700E">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F69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5B7E980">
            <w:pPr>
              <w:spacing w:line="300" w:lineRule="exact"/>
              <w:jc w:val="center"/>
              <w:rPr>
                <w:rFonts w:eastAsia="仿宋_GB2312"/>
                <w:color w:val="auto"/>
                <w:szCs w:val="21"/>
                <w:highlight w:val="none"/>
              </w:rPr>
            </w:pPr>
          </w:p>
        </w:tc>
        <w:tc>
          <w:tcPr>
            <w:tcW w:w="360" w:type="pct"/>
            <w:vMerge w:val="continue"/>
            <w:noWrap w:val="0"/>
            <w:vAlign w:val="center"/>
          </w:tcPr>
          <w:p w14:paraId="6981C87C">
            <w:pPr>
              <w:spacing w:line="300" w:lineRule="exact"/>
              <w:jc w:val="center"/>
              <w:rPr>
                <w:rFonts w:eastAsia="仿宋_GB2312"/>
                <w:color w:val="auto"/>
                <w:szCs w:val="21"/>
                <w:highlight w:val="none"/>
              </w:rPr>
            </w:pPr>
          </w:p>
        </w:tc>
        <w:tc>
          <w:tcPr>
            <w:tcW w:w="360" w:type="pct"/>
            <w:vMerge w:val="continue"/>
            <w:noWrap w:val="0"/>
            <w:vAlign w:val="center"/>
          </w:tcPr>
          <w:p w14:paraId="6136C32B">
            <w:pPr>
              <w:spacing w:line="300" w:lineRule="exact"/>
              <w:jc w:val="center"/>
              <w:rPr>
                <w:rFonts w:eastAsia="仿宋_GB2312"/>
                <w:color w:val="auto"/>
                <w:szCs w:val="21"/>
                <w:highlight w:val="none"/>
              </w:rPr>
            </w:pPr>
          </w:p>
        </w:tc>
        <w:tc>
          <w:tcPr>
            <w:tcW w:w="438" w:type="pct"/>
            <w:vMerge w:val="continue"/>
            <w:noWrap w:val="0"/>
            <w:vAlign w:val="center"/>
          </w:tcPr>
          <w:p w14:paraId="2D89B62D">
            <w:pPr>
              <w:widowControl/>
              <w:spacing w:line="300" w:lineRule="exact"/>
              <w:jc w:val="center"/>
              <w:rPr>
                <w:rFonts w:eastAsia="仿宋_GB2312"/>
                <w:color w:val="auto"/>
                <w:kern w:val="0"/>
                <w:szCs w:val="21"/>
                <w:highlight w:val="none"/>
              </w:rPr>
            </w:pPr>
          </w:p>
        </w:tc>
        <w:tc>
          <w:tcPr>
            <w:tcW w:w="607" w:type="pct"/>
            <w:noWrap w:val="0"/>
            <w:vAlign w:val="center"/>
          </w:tcPr>
          <w:p w14:paraId="3B026D46">
            <w:pPr>
              <w:spacing w:line="300" w:lineRule="exact"/>
              <w:jc w:val="center"/>
              <w:rPr>
                <w:rFonts w:eastAsia="仿宋_GB2312"/>
                <w:color w:val="auto"/>
                <w:spacing w:val="5"/>
                <w:szCs w:val="21"/>
                <w:highlight w:val="none"/>
              </w:rPr>
            </w:pPr>
            <w:r>
              <w:rPr>
                <w:rFonts w:eastAsia="仿宋_GB2312"/>
                <w:color w:val="auto"/>
                <w:spacing w:val="5"/>
                <w:szCs w:val="21"/>
                <w:highlight w:val="none"/>
              </w:rPr>
              <w:t>桑葚</w:t>
            </w:r>
            <w:r>
              <w:rPr>
                <w:rFonts w:hint="eastAsia" w:eastAsia="仿宋_GB2312"/>
                <w:color w:val="auto"/>
                <w:kern w:val="0"/>
                <w:szCs w:val="21"/>
                <w:highlight w:val="none"/>
              </w:rPr>
              <w:t>*</w:t>
            </w:r>
          </w:p>
        </w:tc>
        <w:tc>
          <w:tcPr>
            <w:tcW w:w="279" w:type="pct"/>
            <w:noWrap w:val="0"/>
            <w:vAlign w:val="center"/>
          </w:tcPr>
          <w:p w14:paraId="05FB1012">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2652B91">
            <w:pPr>
              <w:spacing w:line="300" w:lineRule="exact"/>
              <w:jc w:val="left"/>
              <w:rPr>
                <w:rFonts w:eastAsia="仿宋_GB2312"/>
                <w:color w:val="auto"/>
                <w:spacing w:val="5"/>
                <w:szCs w:val="21"/>
                <w:highlight w:val="none"/>
              </w:rPr>
            </w:pPr>
            <w:r>
              <w:rPr>
                <w:rFonts w:eastAsia="仿宋_GB2312"/>
                <w:color w:val="auto"/>
                <w:spacing w:val="5"/>
                <w:szCs w:val="21"/>
                <w:highlight w:val="none"/>
              </w:rPr>
              <w:t>脱氢乙酸及其钠盐（以脱氢乙酸计）、糖精钠（以糖精计）、甜蜜素（以环己基氨基磺酸计）、多菌灵</w:t>
            </w:r>
          </w:p>
        </w:tc>
        <w:tc>
          <w:tcPr>
            <w:tcW w:w="1051" w:type="pct"/>
            <w:noWrap w:val="0"/>
            <w:vAlign w:val="center"/>
          </w:tcPr>
          <w:p w14:paraId="7AF405BE">
            <w:pPr>
              <w:spacing w:line="300" w:lineRule="exact"/>
              <w:jc w:val="left"/>
              <w:rPr>
                <w:rFonts w:eastAsia="仿宋_GB2312"/>
                <w:color w:val="auto"/>
                <w:spacing w:val="5"/>
                <w:szCs w:val="21"/>
                <w:highlight w:val="none"/>
              </w:rPr>
            </w:pPr>
            <w:r>
              <w:rPr>
                <w:rFonts w:eastAsia="仿宋_GB2312"/>
                <w:color w:val="auto"/>
                <w:spacing w:val="5"/>
                <w:szCs w:val="21"/>
                <w:highlight w:val="none"/>
              </w:rPr>
              <w:t>苯甲酸及其钠盐(以苯甲酸计)、山梨酸及其钾盐(以山梨酸计)、三氯蔗糖、纽甜</w:t>
            </w:r>
          </w:p>
        </w:tc>
      </w:tr>
      <w:tr w14:paraId="2DE8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94B3AF8">
            <w:pPr>
              <w:spacing w:line="300" w:lineRule="exact"/>
              <w:jc w:val="center"/>
              <w:rPr>
                <w:rFonts w:eastAsia="仿宋_GB2312"/>
                <w:color w:val="auto"/>
                <w:szCs w:val="21"/>
                <w:highlight w:val="none"/>
              </w:rPr>
            </w:pPr>
          </w:p>
        </w:tc>
        <w:tc>
          <w:tcPr>
            <w:tcW w:w="360" w:type="pct"/>
            <w:vMerge w:val="continue"/>
            <w:noWrap w:val="0"/>
            <w:vAlign w:val="center"/>
          </w:tcPr>
          <w:p w14:paraId="340A8FB8">
            <w:pPr>
              <w:spacing w:line="300" w:lineRule="exact"/>
              <w:jc w:val="center"/>
              <w:rPr>
                <w:rFonts w:eastAsia="仿宋_GB2312"/>
                <w:color w:val="auto"/>
                <w:szCs w:val="21"/>
                <w:highlight w:val="none"/>
              </w:rPr>
            </w:pPr>
          </w:p>
        </w:tc>
        <w:tc>
          <w:tcPr>
            <w:tcW w:w="360" w:type="pct"/>
            <w:vMerge w:val="continue"/>
            <w:noWrap w:val="0"/>
            <w:vAlign w:val="center"/>
          </w:tcPr>
          <w:p w14:paraId="6D48CE8B">
            <w:pPr>
              <w:spacing w:line="300" w:lineRule="exact"/>
              <w:jc w:val="center"/>
              <w:rPr>
                <w:rFonts w:eastAsia="仿宋_GB2312"/>
                <w:color w:val="auto"/>
                <w:szCs w:val="21"/>
                <w:highlight w:val="none"/>
              </w:rPr>
            </w:pPr>
          </w:p>
        </w:tc>
        <w:tc>
          <w:tcPr>
            <w:tcW w:w="438" w:type="pct"/>
            <w:vMerge w:val="continue"/>
            <w:noWrap w:val="0"/>
            <w:vAlign w:val="center"/>
          </w:tcPr>
          <w:p w14:paraId="7D063523">
            <w:pPr>
              <w:widowControl/>
              <w:spacing w:line="300" w:lineRule="exact"/>
              <w:jc w:val="center"/>
              <w:rPr>
                <w:rFonts w:eastAsia="仿宋_GB2312"/>
                <w:color w:val="auto"/>
                <w:kern w:val="0"/>
                <w:szCs w:val="21"/>
                <w:highlight w:val="none"/>
              </w:rPr>
            </w:pPr>
          </w:p>
        </w:tc>
        <w:tc>
          <w:tcPr>
            <w:tcW w:w="607" w:type="pct"/>
            <w:noWrap w:val="0"/>
            <w:vAlign w:val="center"/>
          </w:tcPr>
          <w:p w14:paraId="241292EB">
            <w:pPr>
              <w:spacing w:line="300" w:lineRule="exact"/>
              <w:jc w:val="center"/>
              <w:rPr>
                <w:rFonts w:eastAsia="仿宋_GB2312"/>
                <w:color w:val="auto"/>
                <w:spacing w:val="5"/>
                <w:szCs w:val="21"/>
                <w:highlight w:val="none"/>
              </w:rPr>
            </w:pPr>
            <w:r>
              <w:rPr>
                <w:rFonts w:eastAsia="仿宋_GB2312"/>
                <w:color w:val="auto"/>
                <w:spacing w:val="5"/>
                <w:szCs w:val="21"/>
                <w:highlight w:val="none"/>
              </w:rPr>
              <w:t>西番莲</w:t>
            </w:r>
          </w:p>
          <w:p w14:paraId="650A3445">
            <w:pPr>
              <w:spacing w:line="300" w:lineRule="exact"/>
              <w:jc w:val="center"/>
              <w:rPr>
                <w:rFonts w:eastAsia="仿宋_GB2312"/>
                <w:color w:val="auto"/>
                <w:spacing w:val="5"/>
                <w:szCs w:val="21"/>
                <w:highlight w:val="none"/>
              </w:rPr>
            </w:pPr>
            <w:r>
              <w:rPr>
                <w:rFonts w:eastAsia="仿宋_GB2312"/>
                <w:color w:val="auto"/>
                <w:spacing w:val="5"/>
                <w:szCs w:val="21"/>
                <w:highlight w:val="none"/>
              </w:rPr>
              <w:t>(百香果）</w:t>
            </w:r>
          </w:p>
        </w:tc>
        <w:tc>
          <w:tcPr>
            <w:tcW w:w="279" w:type="pct"/>
            <w:noWrap w:val="0"/>
            <w:vAlign w:val="center"/>
          </w:tcPr>
          <w:p w14:paraId="7FF6D7C9">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43D02A7">
            <w:pPr>
              <w:spacing w:line="300" w:lineRule="exact"/>
              <w:jc w:val="left"/>
              <w:rPr>
                <w:rFonts w:eastAsia="仿宋_GB2312"/>
                <w:color w:val="auto"/>
                <w:spacing w:val="5"/>
                <w:szCs w:val="21"/>
                <w:highlight w:val="none"/>
              </w:rPr>
            </w:pPr>
            <w:r>
              <w:rPr>
                <w:rFonts w:eastAsia="仿宋_GB2312"/>
                <w:color w:val="auto"/>
                <w:spacing w:val="5"/>
                <w:szCs w:val="21"/>
                <w:highlight w:val="none"/>
              </w:rPr>
              <w:t>苯醚甲环唑、噻虫胺、氧乐果、镉(以Cd计)、戊唑醇、乙酰甲胺磷</w:t>
            </w:r>
          </w:p>
        </w:tc>
        <w:tc>
          <w:tcPr>
            <w:tcW w:w="1051" w:type="pct"/>
            <w:noWrap w:val="0"/>
            <w:vAlign w:val="center"/>
          </w:tcPr>
          <w:p w14:paraId="1190FCFF">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7332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D86455F">
            <w:pPr>
              <w:spacing w:line="300" w:lineRule="exact"/>
              <w:jc w:val="center"/>
              <w:rPr>
                <w:rFonts w:eastAsia="仿宋_GB2312"/>
                <w:color w:val="auto"/>
                <w:szCs w:val="21"/>
                <w:highlight w:val="none"/>
              </w:rPr>
            </w:pPr>
          </w:p>
        </w:tc>
        <w:tc>
          <w:tcPr>
            <w:tcW w:w="360" w:type="pct"/>
            <w:vMerge w:val="continue"/>
            <w:noWrap w:val="0"/>
            <w:vAlign w:val="center"/>
          </w:tcPr>
          <w:p w14:paraId="32446FCB">
            <w:pPr>
              <w:spacing w:line="300" w:lineRule="exact"/>
              <w:jc w:val="center"/>
              <w:rPr>
                <w:rFonts w:eastAsia="仿宋_GB2312"/>
                <w:color w:val="auto"/>
                <w:szCs w:val="21"/>
                <w:highlight w:val="none"/>
              </w:rPr>
            </w:pPr>
          </w:p>
        </w:tc>
        <w:tc>
          <w:tcPr>
            <w:tcW w:w="360" w:type="pct"/>
            <w:vMerge w:val="continue"/>
            <w:noWrap w:val="0"/>
            <w:vAlign w:val="center"/>
          </w:tcPr>
          <w:p w14:paraId="6E97619B">
            <w:pPr>
              <w:spacing w:line="300" w:lineRule="exact"/>
              <w:jc w:val="center"/>
              <w:rPr>
                <w:rFonts w:eastAsia="仿宋_GB2312"/>
                <w:color w:val="auto"/>
                <w:szCs w:val="21"/>
                <w:highlight w:val="none"/>
              </w:rPr>
            </w:pPr>
          </w:p>
        </w:tc>
        <w:tc>
          <w:tcPr>
            <w:tcW w:w="438" w:type="pct"/>
            <w:vMerge w:val="restart"/>
            <w:noWrap w:val="0"/>
            <w:vAlign w:val="center"/>
          </w:tcPr>
          <w:p w14:paraId="221BB3C4">
            <w:pPr>
              <w:spacing w:line="300" w:lineRule="exact"/>
              <w:jc w:val="center"/>
              <w:rPr>
                <w:rFonts w:eastAsia="仿宋_GB2312"/>
                <w:color w:val="auto"/>
                <w:spacing w:val="5"/>
                <w:szCs w:val="21"/>
                <w:highlight w:val="none"/>
              </w:rPr>
            </w:pPr>
            <w:r>
              <w:rPr>
                <w:rFonts w:eastAsia="仿宋_GB2312"/>
                <w:color w:val="auto"/>
                <w:spacing w:val="5"/>
                <w:szCs w:val="21"/>
                <w:highlight w:val="none"/>
              </w:rPr>
              <w:t>热带和亚热带水果</w:t>
            </w:r>
          </w:p>
        </w:tc>
        <w:tc>
          <w:tcPr>
            <w:tcW w:w="607" w:type="pct"/>
            <w:noWrap w:val="0"/>
            <w:vAlign w:val="center"/>
          </w:tcPr>
          <w:p w14:paraId="0C4A0CD8">
            <w:pPr>
              <w:spacing w:line="300" w:lineRule="exact"/>
              <w:jc w:val="center"/>
              <w:rPr>
                <w:rFonts w:eastAsia="仿宋_GB2312"/>
                <w:color w:val="auto"/>
                <w:spacing w:val="5"/>
                <w:szCs w:val="21"/>
                <w:highlight w:val="none"/>
              </w:rPr>
            </w:pPr>
            <w:r>
              <w:rPr>
                <w:rFonts w:eastAsia="仿宋_GB2312"/>
                <w:color w:val="auto"/>
                <w:spacing w:val="5"/>
                <w:szCs w:val="21"/>
                <w:highlight w:val="none"/>
              </w:rPr>
              <w:t>香蕉</w:t>
            </w:r>
            <w:r>
              <w:rPr>
                <w:rFonts w:hint="eastAsia" w:eastAsia="仿宋_GB2312"/>
                <w:color w:val="auto"/>
                <w:kern w:val="0"/>
                <w:szCs w:val="21"/>
                <w:highlight w:val="none"/>
              </w:rPr>
              <w:t>*</w:t>
            </w:r>
          </w:p>
        </w:tc>
        <w:tc>
          <w:tcPr>
            <w:tcW w:w="279" w:type="pct"/>
            <w:noWrap w:val="0"/>
            <w:vAlign w:val="center"/>
          </w:tcPr>
          <w:p w14:paraId="3BC39E6C">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5D30252B">
            <w:pPr>
              <w:spacing w:line="300" w:lineRule="exact"/>
              <w:jc w:val="left"/>
              <w:rPr>
                <w:rFonts w:eastAsia="仿宋_GB2312"/>
                <w:color w:val="auto"/>
                <w:spacing w:val="5"/>
                <w:szCs w:val="21"/>
                <w:highlight w:val="none"/>
              </w:rPr>
            </w:pPr>
            <w:r>
              <w:rPr>
                <w:rFonts w:eastAsia="仿宋_GB2312"/>
                <w:color w:val="auto"/>
                <w:spacing w:val="5"/>
                <w:szCs w:val="21"/>
                <w:highlight w:val="none"/>
              </w:rPr>
              <w:t>吡虫啉、噻虫嗪、噻虫胺、腈苯唑、氟唑菌酰胺</w:t>
            </w:r>
          </w:p>
        </w:tc>
        <w:tc>
          <w:tcPr>
            <w:tcW w:w="1051" w:type="pct"/>
            <w:noWrap w:val="0"/>
            <w:vAlign w:val="center"/>
          </w:tcPr>
          <w:p w14:paraId="2610E398">
            <w:pPr>
              <w:spacing w:line="300" w:lineRule="exact"/>
              <w:jc w:val="left"/>
              <w:rPr>
                <w:rFonts w:eastAsia="仿宋_GB2312"/>
                <w:color w:val="auto"/>
                <w:spacing w:val="5"/>
                <w:szCs w:val="21"/>
                <w:highlight w:val="none"/>
              </w:rPr>
            </w:pPr>
            <w:r>
              <w:rPr>
                <w:rFonts w:eastAsia="仿宋_GB2312"/>
                <w:color w:val="auto"/>
                <w:spacing w:val="5"/>
                <w:szCs w:val="21"/>
                <w:highlight w:val="none"/>
              </w:rPr>
              <w:t>吡唑醚菌酯、苯醚甲环唑、氧乐果、氯氟氰菊酯和高效氯氟氰菊</w:t>
            </w:r>
          </w:p>
        </w:tc>
      </w:tr>
      <w:tr w14:paraId="7182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1F734AAB">
            <w:pPr>
              <w:spacing w:line="300" w:lineRule="exact"/>
              <w:jc w:val="center"/>
              <w:rPr>
                <w:rFonts w:eastAsia="仿宋_GB2312"/>
                <w:color w:val="auto"/>
                <w:szCs w:val="21"/>
                <w:highlight w:val="none"/>
              </w:rPr>
            </w:pPr>
          </w:p>
        </w:tc>
        <w:tc>
          <w:tcPr>
            <w:tcW w:w="360" w:type="pct"/>
            <w:vMerge w:val="continue"/>
            <w:noWrap w:val="0"/>
            <w:vAlign w:val="center"/>
          </w:tcPr>
          <w:p w14:paraId="42BB8603">
            <w:pPr>
              <w:spacing w:line="300" w:lineRule="exact"/>
              <w:jc w:val="center"/>
              <w:rPr>
                <w:rFonts w:eastAsia="仿宋_GB2312"/>
                <w:color w:val="auto"/>
                <w:szCs w:val="21"/>
                <w:highlight w:val="none"/>
              </w:rPr>
            </w:pPr>
          </w:p>
        </w:tc>
        <w:tc>
          <w:tcPr>
            <w:tcW w:w="360" w:type="pct"/>
            <w:vMerge w:val="continue"/>
            <w:noWrap w:val="0"/>
            <w:vAlign w:val="center"/>
          </w:tcPr>
          <w:p w14:paraId="10B02C68">
            <w:pPr>
              <w:spacing w:line="300" w:lineRule="exact"/>
              <w:jc w:val="center"/>
              <w:rPr>
                <w:rFonts w:eastAsia="仿宋_GB2312"/>
                <w:color w:val="auto"/>
                <w:szCs w:val="21"/>
                <w:highlight w:val="none"/>
              </w:rPr>
            </w:pPr>
          </w:p>
        </w:tc>
        <w:tc>
          <w:tcPr>
            <w:tcW w:w="438" w:type="pct"/>
            <w:vMerge w:val="continue"/>
            <w:noWrap w:val="0"/>
            <w:vAlign w:val="center"/>
          </w:tcPr>
          <w:p w14:paraId="6D92DD73">
            <w:pPr>
              <w:widowControl/>
              <w:spacing w:line="300" w:lineRule="exact"/>
              <w:jc w:val="center"/>
              <w:rPr>
                <w:rFonts w:eastAsia="仿宋_GB2312"/>
                <w:color w:val="auto"/>
                <w:kern w:val="0"/>
                <w:szCs w:val="21"/>
                <w:highlight w:val="none"/>
              </w:rPr>
            </w:pPr>
          </w:p>
        </w:tc>
        <w:tc>
          <w:tcPr>
            <w:tcW w:w="607" w:type="pct"/>
            <w:noWrap w:val="0"/>
            <w:vAlign w:val="center"/>
          </w:tcPr>
          <w:p w14:paraId="574A4E57">
            <w:pPr>
              <w:spacing w:line="300" w:lineRule="exact"/>
              <w:jc w:val="center"/>
              <w:rPr>
                <w:rFonts w:eastAsia="仿宋_GB2312"/>
                <w:b/>
                <w:bCs/>
                <w:color w:val="auto"/>
                <w:spacing w:val="5"/>
                <w:szCs w:val="21"/>
                <w:highlight w:val="none"/>
              </w:rPr>
            </w:pPr>
            <w:r>
              <w:rPr>
                <w:rFonts w:eastAsia="仿宋_GB2312"/>
                <w:color w:val="auto"/>
                <w:spacing w:val="5"/>
                <w:szCs w:val="21"/>
                <w:highlight w:val="none"/>
              </w:rPr>
              <w:t>芒果</w:t>
            </w:r>
            <w:r>
              <w:rPr>
                <w:rFonts w:hint="eastAsia" w:eastAsia="仿宋_GB2312"/>
                <w:color w:val="auto"/>
                <w:kern w:val="0"/>
                <w:szCs w:val="21"/>
                <w:highlight w:val="none"/>
              </w:rPr>
              <w:t>*</w:t>
            </w:r>
          </w:p>
        </w:tc>
        <w:tc>
          <w:tcPr>
            <w:tcW w:w="279" w:type="pct"/>
            <w:noWrap w:val="0"/>
            <w:vAlign w:val="center"/>
          </w:tcPr>
          <w:p w14:paraId="427C88CE">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7AE06FA2">
            <w:pPr>
              <w:spacing w:line="300" w:lineRule="exact"/>
              <w:jc w:val="left"/>
              <w:rPr>
                <w:rFonts w:eastAsia="仿宋_GB2312"/>
                <w:color w:val="auto"/>
                <w:spacing w:val="5"/>
                <w:szCs w:val="21"/>
                <w:highlight w:val="none"/>
              </w:rPr>
            </w:pPr>
            <w:r>
              <w:rPr>
                <w:rFonts w:eastAsia="仿宋_GB2312"/>
                <w:color w:val="auto"/>
                <w:spacing w:val="5"/>
                <w:szCs w:val="21"/>
                <w:highlight w:val="none"/>
              </w:rPr>
              <w:t>吡唑醚菌酯、噻虫胺、戊唑醇、苯醚甲环唑、乙酰甲胺磷、噻嗪酮、吡虫啉</w:t>
            </w:r>
          </w:p>
        </w:tc>
        <w:tc>
          <w:tcPr>
            <w:tcW w:w="1051" w:type="pct"/>
            <w:noWrap w:val="0"/>
            <w:vAlign w:val="center"/>
          </w:tcPr>
          <w:p w14:paraId="4FA7851F">
            <w:pPr>
              <w:spacing w:line="300" w:lineRule="exact"/>
              <w:jc w:val="left"/>
              <w:rPr>
                <w:rFonts w:eastAsia="仿宋_GB2312"/>
                <w:color w:val="auto"/>
                <w:spacing w:val="5"/>
                <w:szCs w:val="21"/>
                <w:highlight w:val="none"/>
              </w:rPr>
            </w:pPr>
            <w:r>
              <w:rPr>
                <w:rFonts w:eastAsia="仿宋_GB2312"/>
                <w:color w:val="auto"/>
                <w:spacing w:val="5"/>
                <w:szCs w:val="21"/>
                <w:highlight w:val="none"/>
              </w:rPr>
              <w:t>氧乐果、克百威、氯氟氰菊酯和高效氯氟氰菊酯</w:t>
            </w:r>
          </w:p>
        </w:tc>
      </w:tr>
      <w:tr w14:paraId="217D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A46371C">
            <w:pPr>
              <w:spacing w:line="300" w:lineRule="exact"/>
              <w:jc w:val="center"/>
              <w:rPr>
                <w:rFonts w:eastAsia="仿宋_GB2312"/>
                <w:color w:val="auto"/>
                <w:szCs w:val="21"/>
                <w:highlight w:val="none"/>
              </w:rPr>
            </w:pPr>
          </w:p>
        </w:tc>
        <w:tc>
          <w:tcPr>
            <w:tcW w:w="360" w:type="pct"/>
            <w:vMerge w:val="continue"/>
            <w:noWrap w:val="0"/>
            <w:vAlign w:val="center"/>
          </w:tcPr>
          <w:p w14:paraId="1B76E423">
            <w:pPr>
              <w:spacing w:line="300" w:lineRule="exact"/>
              <w:jc w:val="center"/>
              <w:rPr>
                <w:rFonts w:eastAsia="仿宋_GB2312"/>
                <w:color w:val="auto"/>
                <w:szCs w:val="21"/>
                <w:highlight w:val="none"/>
              </w:rPr>
            </w:pPr>
          </w:p>
        </w:tc>
        <w:tc>
          <w:tcPr>
            <w:tcW w:w="360" w:type="pct"/>
            <w:vMerge w:val="continue"/>
            <w:noWrap w:val="0"/>
            <w:vAlign w:val="center"/>
          </w:tcPr>
          <w:p w14:paraId="64010469">
            <w:pPr>
              <w:spacing w:line="300" w:lineRule="exact"/>
              <w:jc w:val="center"/>
              <w:rPr>
                <w:rFonts w:eastAsia="仿宋_GB2312"/>
                <w:color w:val="auto"/>
                <w:szCs w:val="21"/>
                <w:highlight w:val="none"/>
              </w:rPr>
            </w:pPr>
          </w:p>
        </w:tc>
        <w:tc>
          <w:tcPr>
            <w:tcW w:w="438" w:type="pct"/>
            <w:vMerge w:val="continue"/>
            <w:noWrap w:val="0"/>
            <w:vAlign w:val="center"/>
          </w:tcPr>
          <w:p w14:paraId="23207F6A">
            <w:pPr>
              <w:widowControl/>
              <w:spacing w:line="300" w:lineRule="exact"/>
              <w:jc w:val="center"/>
              <w:rPr>
                <w:rFonts w:eastAsia="仿宋_GB2312"/>
                <w:color w:val="auto"/>
                <w:kern w:val="0"/>
                <w:szCs w:val="21"/>
                <w:highlight w:val="none"/>
              </w:rPr>
            </w:pPr>
          </w:p>
        </w:tc>
        <w:tc>
          <w:tcPr>
            <w:tcW w:w="607" w:type="pct"/>
            <w:noWrap w:val="0"/>
            <w:vAlign w:val="center"/>
          </w:tcPr>
          <w:p w14:paraId="1AF300BE">
            <w:pPr>
              <w:spacing w:line="300" w:lineRule="exact"/>
              <w:jc w:val="center"/>
              <w:rPr>
                <w:rFonts w:eastAsia="仿宋_GB2312"/>
                <w:color w:val="auto"/>
                <w:spacing w:val="5"/>
                <w:szCs w:val="21"/>
                <w:highlight w:val="none"/>
              </w:rPr>
            </w:pPr>
            <w:r>
              <w:rPr>
                <w:rFonts w:eastAsia="仿宋_GB2312"/>
                <w:color w:val="auto"/>
                <w:spacing w:val="5"/>
                <w:szCs w:val="21"/>
                <w:highlight w:val="none"/>
              </w:rPr>
              <w:t>火龙果</w:t>
            </w:r>
          </w:p>
        </w:tc>
        <w:tc>
          <w:tcPr>
            <w:tcW w:w="279" w:type="pct"/>
            <w:noWrap w:val="0"/>
            <w:vAlign w:val="center"/>
          </w:tcPr>
          <w:p w14:paraId="7EF9BD29">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4D2C99C">
            <w:pPr>
              <w:spacing w:line="300" w:lineRule="exact"/>
              <w:jc w:val="left"/>
              <w:rPr>
                <w:rFonts w:eastAsia="仿宋_GB2312"/>
                <w:color w:val="auto"/>
                <w:spacing w:val="5"/>
                <w:szCs w:val="21"/>
                <w:highlight w:val="none"/>
              </w:rPr>
            </w:pPr>
            <w:r>
              <w:rPr>
                <w:rFonts w:eastAsia="仿宋_GB2312"/>
                <w:color w:val="auto"/>
                <w:spacing w:val="5"/>
                <w:szCs w:val="21"/>
                <w:highlight w:val="none"/>
              </w:rPr>
              <w:t>乙酰甲胺磷、克百威、氧乐果、甲胺磷、噻虫嗪、咪鲜胺和咪鲜胺锰盐</w:t>
            </w:r>
          </w:p>
        </w:tc>
        <w:tc>
          <w:tcPr>
            <w:tcW w:w="1051" w:type="pct"/>
            <w:noWrap w:val="0"/>
            <w:vAlign w:val="center"/>
          </w:tcPr>
          <w:p w14:paraId="603A95B4">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09B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2949509">
            <w:pPr>
              <w:spacing w:line="300" w:lineRule="exact"/>
              <w:jc w:val="center"/>
              <w:rPr>
                <w:rFonts w:eastAsia="仿宋_GB2312"/>
                <w:color w:val="auto"/>
                <w:szCs w:val="21"/>
                <w:highlight w:val="none"/>
              </w:rPr>
            </w:pPr>
          </w:p>
        </w:tc>
        <w:tc>
          <w:tcPr>
            <w:tcW w:w="360" w:type="pct"/>
            <w:vMerge w:val="continue"/>
            <w:noWrap w:val="0"/>
            <w:vAlign w:val="center"/>
          </w:tcPr>
          <w:p w14:paraId="654C78A3">
            <w:pPr>
              <w:spacing w:line="300" w:lineRule="exact"/>
              <w:jc w:val="center"/>
              <w:rPr>
                <w:rFonts w:eastAsia="仿宋_GB2312"/>
                <w:color w:val="auto"/>
                <w:szCs w:val="21"/>
                <w:highlight w:val="none"/>
              </w:rPr>
            </w:pPr>
          </w:p>
        </w:tc>
        <w:tc>
          <w:tcPr>
            <w:tcW w:w="360" w:type="pct"/>
            <w:vMerge w:val="continue"/>
            <w:noWrap w:val="0"/>
            <w:vAlign w:val="center"/>
          </w:tcPr>
          <w:p w14:paraId="580BD4ED">
            <w:pPr>
              <w:spacing w:line="300" w:lineRule="exact"/>
              <w:jc w:val="center"/>
              <w:rPr>
                <w:rFonts w:eastAsia="仿宋_GB2312"/>
                <w:color w:val="auto"/>
                <w:szCs w:val="21"/>
                <w:highlight w:val="none"/>
              </w:rPr>
            </w:pPr>
          </w:p>
        </w:tc>
        <w:tc>
          <w:tcPr>
            <w:tcW w:w="438" w:type="pct"/>
            <w:vMerge w:val="continue"/>
            <w:noWrap w:val="0"/>
            <w:vAlign w:val="center"/>
          </w:tcPr>
          <w:p w14:paraId="47B09DA9">
            <w:pPr>
              <w:widowControl/>
              <w:spacing w:line="300" w:lineRule="exact"/>
              <w:jc w:val="center"/>
              <w:rPr>
                <w:rFonts w:eastAsia="仿宋_GB2312"/>
                <w:color w:val="auto"/>
                <w:kern w:val="0"/>
                <w:szCs w:val="21"/>
                <w:highlight w:val="none"/>
              </w:rPr>
            </w:pPr>
          </w:p>
        </w:tc>
        <w:tc>
          <w:tcPr>
            <w:tcW w:w="607" w:type="pct"/>
            <w:noWrap w:val="0"/>
            <w:vAlign w:val="center"/>
          </w:tcPr>
          <w:p w14:paraId="5CB8B396">
            <w:pPr>
              <w:spacing w:line="300" w:lineRule="exact"/>
              <w:jc w:val="center"/>
              <w:rPr>
                <w:rFonts w:eastAsia="仿宋_GB2312"/>
                <w:color w:val="auto"/>
                <w:spacing w:val="5"/>
                <w:szCs w:val="21"/>
                <w:highlight w:val="none"/>
              </w:rPr>
            </w:pPr>
            <w:r>
              <w:rPr>
                <w:rFonts w:eastAsia="仿宋_GB2312"/>
                <w:color w:val="auto"/>
                <w:spacing w:val="5"/>
                <w:szCs w:val="21"/>
                <w:highlight w:val="none"/>
              </w:rPr>
              <w:t>荔枝</w:t>
            </w:r>
            <w:r>
              <w:rPr>
                <w:rFonts w:hint="eastAsia" w:eastAsia="仿宋_GB2312"/>
                <w:color w:val="auto"/>
                <w:kern w:val="0"/>
                <w:szCs w:val="21"/>
                <w:highlight w:val="none"/>
              </w:rPr>
              <w:t>*</w:t>
            </w:r>
          </w:p>
        </w:tc>
        <w:tc>
          <w:tcPr>
            <w:tcW w:w="279" w:type="pct"/>
            <w:noWrap w:val="0"/>
            <w:vAlign w:val="center"/>
          </w:tcPr>
          <w:p w14:paraId="54D24520">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36FB1685">
            <w:pPr>
              <w:spacing w:line="300" w:lineRule="exact"/>
              <w:jc w:val="left"/>
              <w:rPr>
                <w:rFonts w:eastAsia="仿宋_GB2312"/>
                <w:color w:val="auto"/>
                <w:spacing w:val="5"/>
                <w:szCs w:val="21"/>
                <w:highlight w:val="none"/>
              </w:rPr>
            </w:pPr>
            <w:r>
              <w:rPr>
                <w:rFonts w:eastAsia="仿宋_GB2312"/>
                <w:color w:val="auto"/>
                <w:spacing w:val="5"/>
                <w:szCs w:val="21"/>
                <w:highlight w:val="none"/>
              </w:rPr>
              <w:t>氯氟氰菊酯和高效氯氟氰菊酯、吡唑醚菌酯、除虫脲、苯醚甲环唑、氰霜唑</w:t>
            </w:r>
          </w:p>
        </w:tc>
        <w:tc>
          <w:tcPr>
            <w:tcW w:w="1051" w:type="pct"/>
            <w:noWrap w:val="0"/>
            <w:vAlign w:val="center"/>
          </w:tcPr>
          <w:p w14:paraId="7B5D1CBA">
            <w:pPr>
              <w:spacing w:line="300" w:lineRule="exact"/>
              <w:jc w:val="left"/>
              <w:rPr>
                <w:rFonts w:eastAsia="仿宋_GB2312"/>
                <w:color w:val="auto"/>
                <w:spacing w:val="5"/>
                <w:szCs w:val="21"/>
                <w:highlight w:val="none"/>
              </w:rPr>
            </w:pPr>
            <w:r>
              <w:rPr>
                <w:rFonts w:eastAsia="仿宋_GB2312"/>
                <w:color w:val="auto"/>
                <w:spacing w:val="5"/>
                <w:szCs w:val="21"/>
                <w:highlight w:val="none"/>
              </w:rPr>
              <w:t>氯氰菊酯和高效氯氰菊酯、氟吗啉、溴氰菊酯、氧乐果</w:t>
            </w:r>
          </w:p>
        </w:tc>
      </w:tr>
      <w:tr w14:paraId="2264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74C17C5">
            <w:pPr>
              <w:spacing w:line="300" w:lineRule="exact"/>
              <w:jc w:val="center"/>
              <w:rPr>
                <w:rFonts w:eastAsia="仿宋_GB2312"/>
                <w:color w:val="auto"/>
                <w:szCs w:val="21"/>
                <w:highlight w:val="none"/>
              </w:rPr>
            </w:pPr>
          </w:p>
        </w:tc>
        <w:tc>
          <w:tcPr>
            <w:tcW w:w="360" w:type="pct"/>
            <w:vMerge w:val="continue"/>
            <w:noWrap w:val="0"/>
            <w:vAlign w:val="center"/>
          </w:tcPr>
          <w:p w14:paraId="36E4037B">
            <w:pPr>
              <w:spacing w:line="300" w:lineRule="exact"/>
              <w:jc w:val="center"/>
              <w:rPr>
                <w:rFonts w:eastAsia="仿宋_GB2312"/>
                <w:color w:val="auto"/>
                <w:szCs w:val="21"/>
                <w:highlight w:val="none"/>
              </w:rPr>
            </w:pPr>
          </w:p>
        </w:tc>
        <w:tc>
          <w:tcPr>
            <w:tcW w:w="360" w:type="pct"/>
            <w:vMerge w:val="continue"/>
            <w:noWrap w:val="0"/>
            <w:vAlign w:val="center"/>
          </w:tcPr>
          <w:p w14:paraId="7B2C5780">
            <w:pPr>
              <w:spacing w:line="300" w:lineRule="exact"/>
              <w:jc w:val="center"/>
              <w:rPr>
                <w:rFonts w:eastAsia="仿宋_GB2312"/>
                <w:color w:val="auto"/>
                <w:szCs w:val="21"/>
                <w:highlight w:val="none"/>
              </w:rPr>
            </w:pPr>
          </w:p>
        </w:tc>
        <w:tc>
          <w:tcPr>
            <w:tcW w:w="438" w:type="pct"/>
            <w:vMerge w:val="continue"/>
            <w:noWrap w:val="0"/>
            <w:vAlign w:val="center"/>
          </w:tcPr>
          <w:p w14:paraId="6C63530D">
            <w:pPr>
              <w:widowControl/>
              <w:spacing w:line="300" w:lineRule="exact"/>
              <w:jc w:val="center"/>
              <w:rPr>
                <w:rFonts w:eastAsia="仿宋_GB2312"/>
                <w:color w:val="auto"/>
                <w:kern w:val="0"/>
                <w:szCs w:val="21"/>
                <w:highlight w:val="none"/>
              </w:rPr>
            </w:pPr>
          </w:p>
        </w:tc>
        <w:tc>
          <w:tcPr>
            <w:tcW w:w="607" w:type="pct"/>
            <w:noWrap w:val="0"/>
            <w:vAlign w:val="center"/>
          </w:tcPr>
          <w:p w14:paraId="03828F7B">
            <w:pPr>
              <w:spacing w:line="300" w:lineRule="exact"/>
              <w:jc w:val="center"/>
              <w:rPr>
                <w:rFonts w:eastAsia="仿宋_GB2312"/>
                <w:color w:val="auto"/>
                <w:spacing w:val="5"/>
                <w:szCs w:val="21"/>
                <w:highlight w:val="none"/>
              </w:rPr>
            </w:pPr>
            <w:r>
              <w:rPr>
                <w:rFonts w:eastAsia="仿宋_GB2312"/>
                <w:color w:val="auto"/>
                <w:spacing w:val="5"/>
                <w:szCs w:val="21"/>
                <w:highlight w:val="none"/>
              </w:rPr>
              <w:t>杨梅</w:t>
            </w:r>
            <w:r>
              <w:rPr>
                <w:rFonts w:hint="eastAsia" w:eastAsia="仿宋_GB2312"/>
                <w:color w:val="auto"/>
                <w:kern w:val="0"/>
                <w:szCs w:val="21"/>
                <w:highlight w:val="none"/>
              </w:rPr>
              <w:t>*</w:t>
            </w:r>
          </w:p>
        </w:tc>
        <w:tc>
          <w:tcPr>
            <w:tcW w:w="279" w:type="pct"/>
            <w:noWrap w:val="0"/>
            <w:vAlign w:val="center"/>
          </w:tcPr>
          <w:p w14:paraId="4625E3E0">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7E2EB46C">
            <w:pPr>
              <w:spacing w:line="300" w:lineRule="exact"/>
              <w:jc w:val="left"/>
              <w:rPr>
                <w:rFonts w:eastAsia="仿宋_GB2312"/>
                <w:color w:val="auto"/>
                <w:spacing w:val="5"/>
                <w:szCs w:val="21"/>
                <w:highlight w:val="none"/>
              </w:rPr>
            </w:pPr>
            <w:r>
              <w:rPr>
                <w:rFonts w:eastAsia="仿宋_GB2312"/>
                <w:color w:val="auto"/>
                <w:spacing w:val="5"/>
                <w:szCs w:val="21"/>
                <w:highlight w:val="none"/>
              </w:rPr>
              <w:t>脱氢乙酸及其钠盐(以脱氢乙酸计)、糖精钠(以糖精计)、甜蜜素(以环己基氨基磺酸计)、啶虫脒</w:t>
            </w:r>
          </w:p>
        </w:tc>
        <w:tc>
          <w:tcPr>
            <w:tcW w:w="1051" w:type="pct"/>
            <w:noWrap w:val="0"/>
            <w:vAlign w:val="center"/>
          </w:tcPr>
          <w:p w14:paraId="6B766E6E">
            <w:pPr>
              <w:spacing w:line="300" w:lineRule="exact"/>
              <w:jc w:val="left"/>
              <w:rPr>
                <w:rFonts w:eastAsia="仿宋_GB2312"/>
                <w:color w:val="auto"/>
                <w:spacing w:val="5"/>
                <w:szCs w:val="21"/>
                <w:highlight w:val="none"/>
              </w:rPr>
            </w:pPr>
            <w:r>
              <w:rPr>
                <w:rFonts w:eastAsia="仿宋_GB2312"/>
                <w:color w:val="auto"/>
                <w:spacing w:val="5"/>
                <w:szCs w:val="21"/>
                <w:highlight w:val="none"/>
              </w:rPr>
              <w:t>山梨酸及其钾盐(以山梨酸计)、阿维菌素、纽甜、三氯蔗糖、</w:t>
            </w:r>
          </w:p>
        </w:tc>
      </w:tr>
      <w:tr w14:paraId="5FC2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67AE6652">
            <w:pPr>
              <w:spacing w:line="300" w:lineRule="exact"/>
              <w:jc w:val="center"/>
              <w:rPr>
                <w:rFonts w:eastAsia="仿宋_GB2312"/>
                <w:color w:val="auto"/>
                <w:szCs w:val="21"/>
                <w:highlight w:val="none"/>
              </w:rPr>
            </w:pPr>
          </w:p>
        </w:tc>
        <w:tc>
          <w:tcPr>
            <w:tcW w:w="360" w:type="pct"/>
            <w:vMerge w:val="continue"/>
            <w:noWrap w:val="0"/>
            <w:vAlign w:val="center"/>
          </w:tcPr>
          <w:p w14:paraId="71E9487D">
            <w:pPr>
              <w:spacing w:line="300" w:lineRule="exact"/>
              <w:jc w:val="center"/>
              <w:rPr>
                <w:rFonts w:eastAsia="仿宋_GB2312"/>
                <w:color w:val="auto"/>
                <w:szCs w:val="21"/>
                <w:highlight w:val="none"/>
              </w:rPr>
            </w:pPr>
          </w:p>
        </w:tc>
        <w:tc>
          <w:tcPr>
            <w:tcW w:w="360" w:type="pct"/>
            <w:vMerge w:val="continue"/>
            <w:noWrap w:val="0"/>
            <w:vAlign w:val="center"/>
          </w:tcPr>
          <w:p w14:paraId="14F850B1">
            <w:pPr>
              <w:spacing w:line="300" w:lineRule="exact"/>
              <w:jc w:val="center"/>
              <w:rPr>
                <w:rFonts w:eastAsia="仿宋_GB2312"/>
                <w:color w:val="auto"/>
                <w:szCs w:val="21"/>
                <w:highlight w:val="none"/>
              </w:rPr>
            </w:pPr>
          </w:p>
        </w:tc>
        <w:tc>
          <w:tcPr>
            <w:tcW w:w="438" w:type="pct"/>
            <w:vMerge w:val="continue"/>
            <w:noWrap w:val="0"/>
            <w:vAlign w:val="center"/>
          </w:tcPr>
          <w:p w14:paraId="4FD9C9B6">
            <w:pPr>
              <w:widowControl/>
              <w:spacing w:line="300" w:lineRule="exact"/>
              <w:jc w:val="center"/>
              <w:rPr>
                <w:rFonts w:eastAsia="仿宋_GB2312"/>
                <w:color w:val="auto"/>
                <w:kern w:val="0"/>
                <w:szCs w:val="21"/>
                <w:highlight w:val="none"/>
              </w:rPr>
            </w:pPr>
          </w:p>
        </w:tc>
        <w:tc>
          <w:tcPr>
            <w:tcW w:w="607" w:type="pct"/>
            <w:noWrap w:val="0"/>
            <w:vAlign w:val="center"/>
          </w:tcPr>
          <w:p w14:paraId="5D11FDEB">
            <w:pPr>
              <w:spacing w:line="300" w:lineRule="exact"/>
              <w:jc w:val="center"/>
              <w:rPr>
                <w:rFonts w:eastAsia="仿宋_GB2312"/>
                <w:color w:val="auto"/>
                <w:spacing w:val="5"/>
                <w:szCs w:val="21"/>
                <w:highlight w:val="none"/>
              </w:rPr>
            </w:pPr>
            <w:r>
              <w:rPr>
                <w:rFonts w:eastAsia="仿宋_GB2312"/>
                <w:color w:val="auto"/>
                <w:spacing w:val="5"/>
                <w:szCs w:val="21"/>
                <w:highlight w:val="none"/>
              </w:rPr>
              <w:t>龙眼</w:t>
            </w:r>
            <w:r>
              <w:rPr>
                <w:rFonts w:hint="eastAsia" w:eastAsia="仿宋_GB2312"/>
                <w:color w:val="auto"/>
                <w:kern w:val="0"/>
                <w:szCs w:val="21"/>
                <w:highlight w:val="none"/>
              </w:rPr>
              <w:t>*</w:t>
            </w:r>
          </w:p>
        </w:tc>
        <w:tc>
          <w:tcPr>
            <w:tcW w:w="279" w:type="pct"/>
            <w:noWrap w:val="0"/>
            <w:vAlign w:val="center"/>
          </w:tcPr>
          <w:p w14:paraId="4072D33A">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5D2160DE">
            <w:pPr>
              <w:spacing w:line="300" w:lineRule="exact"/>
              <w:jc w:val="left"/>
              <w:rPr>
                <w:rFonts w:eastAsia="仿宋_GB2312"/>
                <w:color w:val="auto"/>
                <w:spacing w:val="5"/>
                <w:szCs w:val="21"/>
                <w:highlight w:val="none"/>
              </w:rPr>
            </w:pPr>
            <w:r>
              <w:rPr>
                <w:rFonts w:eastAsia="仿宋_GB2312"/>
                <w:color w:val="auto"/>
                <w:spacing w:val="5"/>
                <w:szCs w:val="21"/>
                <w:highlight w:val="none"/>
              </w:rPr>
              <w:t>二氧化硫残留量、氧乐果、氯氰菊酯和高效氯氰菊酯</w:t>
            </w:r>
          </w:p>
        </w:tc>
        <w:tc>
          <w:tcPr>
            <w:tcW w:w="1051" w:type="pct"/>
            <w:noWrap w:val="0"/>
            <w:vAlign w:val="center"/>
          </w:tcPr>
          <w:p w14:paraId="237236FA">
            <w:pPr>
              <w:spacing w:line="300" w:lineRule="exact"/>
              <w:jc w:val="left"/>
              <w:rPr>
                <w:rFonts w:eastAsia="仿宋_GB2312"/>
                <w:color w:val="auto"/>
                <w:spacing w:val="5"/>
                <w:szCs w:val="21"/>
                <w:highlight w:val="none"/>
              </w:rPr>
            </w:pPr>
            <w:r>
              <w:rPr>
                <w:rFonts w:eastAsia="仿宋_GB2312"/>
                <w:color w:val="auto"/>
                <w:szCs w:val="21"/>
                <w:highlight w:val="none"/>
              </w:rPr>
              <w:t>氟虫腈、</w:t>
            </w:r>
            <w:r>
              <w:rPr>
                <w:rFonts w:eastAsia="仿宋_GB2312"/>
                <w:color w:val="auto"/>
                <w:spacing w:val="5"/>
                <w:szCs w:val="21"/>
                <w:highlight w:val="none"/>
              </w:rPr>
              <w:t>克百威</w:t>
            </w:r>
          </w:p>
        </w:tc>
      </w:tr>
      <w:tr w14:paraId="6DD7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7B2968E">
            <w:pPr>
              <w:spacing w:line="300" w:lineRule="exact"/>
              <w:jc w:val="center"/>
              <w:rPr>
                <w:rFonts w:eastAsia="仿宋_GB2312"/>
                <w:color w:val="auto"/>
                <w:szCs w:val="21"/>
                <w:highlight w:val="none"/>
              </w:rPr>
            </w:pPr>
          </w:p>
        </w:tc>
        <w:tc>
          <w:tcPr>
            <w:tcW w:w="360" w:type="pct"/>
            <w:vMerge w:val="continue"/>
            <w:noWrap w:val="0"/>
            <w:vAlign w:val="center"/>
          </w:tcPr>
          <w:p w14:paraId="208B211B">
            <w:pPr>
              <w:spacing w:line="300" w:lineRule="exact"/>
              <w:jc w:val="center"/>
              <w:rPr>
                <w:rFonts w:eastAsia="仿宋_GB2312"/>
                <w:color w:val="auto"/>
                <w:szCs w:val="21"/>
                <w:highlight w:val="none"/>
              </w:rPr>
            </w:pPr>
          </w:p>
        </w:tc>
        <w:tc>
          <w:tcPr>
            <w:tcW w:w="360" w:type="pct"/>
            <w:vMerge w:val="continue"/>
            <w:noWrap w:val="0"/>
            <w:vAlign w:val="center"/>
          </w:tcPr>
          <w:p w14:paraId="13A4362E">
            <w:pPr>
              <w:spacing w:line="300" w:lineRule="exact"/>
              <w:jc w:val="center"/>
              <w:rPr>
                <w:rFonts w:eastAsia="仿宋_GB2312"/>
                <w:color w:val="auto"/>
                <w:szCs w:val="21"/>
                <w:highlight w:val="none"/>
              </w:rPr>
            </w:pPr>
          </w:p>
        </w:tc>
        <w:tc>
          <w:tcPr>
            <w:tcW w:w="438" w:type="pct"/>
            <w:vMerge w:val="continue"/>
            <w:noWrap w:val="0"/>
            <w:vAlign w:val="center"/>
          </w:tcPr>
          <w:p w14:paraId="7E802209">
            <w:pPr>
              <w:widowControl/>
              <w:spacing w:line="300" w:lineRule="exact"/>
              <w:jc w:val="center"/>
              <w:rPr>
                <w:rFonts w:eastAsia="仿宋_GB2312"/>
                <w:color w:val="auto"/>
                <w:kern w:val="0"/>
                <w:szCs w:val="21"/>
                <w:highlight w:val="none"/>
              </w:rPr>
            </w:pPr>
          </w:p>
        </w:tc>
        <w:tc>
          <w:tcPr>
            <w:tcW w:w="607" w:type="pct"/>
            <w:noWrap w:val="0"/>
            <w:vAlign w:val="center"/>
          </w:tcPr>
          <w:p w14:paraId="580F0C0B">
            <w:pPr>
              <w:spacing w:line="300" w:lineRule="exact"/>
              <w:jc w:val="center"/>
              <w:rPr>
                <w:rFonts w:eastAsia="仿宋_GB2312"/>
                <w:color w:val="auto"/>
                <w:spacing w:val="5"/>
                <w:szCs w:val="21"/>
                <w:highlight w:val="none"/>
              </w:rPr>
            </w:pPr>
            <w:r>
              <w:rPr>
                <w:rFonts w:eastAsia="仿宋_GB2312"/>
                <w:color w:val="auto"/>
                <w:spacing w:val="5"/>
                <w:szCs w:val="21"/>
                <w:highlight w:val="none"/>
              </w:rPr>
              <w:t>橄榄</w:t>
            </w:r>
          </w:p>
        </w:tc>
        <w:tc>
          <w:tcPr>
            <w:tcW w:w="279" w:type="pct"/>
            <w:noWrap w:val="0"/>
            <w:vAlign w:val="center"/>
          </w:tcPr>
          <w:p w14:paraId="552E7BFC">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6E47F2F6">
            <w:pPr>
              <w:spacing w:line="300" w:lineRule="exact"/>
              <w:jc w:val="left"/>
              <w:rPr>
                <w:rFonts w:eastAsia="仿宋_GB2312"/>
                <w:color w:val="auto"/>
                <w:spacing w:val="5"/>
                <w:szCs w:val="21"/>
                <w:highlight w:val="none"/>
              </w:rPr>
            </w:pPr>
            <w:r>
              <w:rPr>
                <w:rFonts w:eastAsia="仿宋_GB2312"/>
                <w:color w:val="auto"/>
                <w:spacing w:val="5"/>
                <w:szCs w:val="21"/>
                <w:highlight w:val="none"/>
              </w:rPr>
              <w:t>三氯蔗糖、多菌灵、甲胺磷、戊唑醇、乙酰甲胺磷</w:t>
            </w:r>
          </w:p>
        </w:tc>
        <w:tc>
          <w:tcPr>
            <w:tcW w:w="1051" w:type="pct"/>
            <w:noWrap w:val="0"/>
            <w:vAlign w:val="center"/>
          </w:tcPr>
          <w:p w14:paraId="0B732ABB">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4BC8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F8D82D0">
            <w:pPr>
              <w:spacing w:line="300" w:lineRule="exact"/>
              <w:jc w:val="center"/>
              <w:rPr>
                <w:rFonts w:eastAsia="仿宋_GB2312"/>
                <w:color w:val="auto"/>
                <w:szCs w:val="21"/>
                <w:highlight w:val="none"/>
              </w:rPr>
            </w:pPr>
          </w:p>
        </w:tc>
        <w:tc>
          <w:tcPr>
            <w:tcW w:w="360" w:type="pct"/>
            <w:vMerge w:val="continue"/>
            <w:noWrap w:val="0"/>
            <w:vAlign w:val="center"/>
          </w:tcPr>
          <w:p w14:paraId="73B5DB5A">
            <w:pPr>
              <w:spacing w:line="300" w:lineRule="exact"/>
              <w:jc w:val="center"/>
              <w:rPr>
                <w:rFonts w:eastAsia="仿宋_GB2312"/>
                <w:color w:val="auto"/>
                <w:szCs w:val="21"/>
                <w:highlight w:val="none"/>
              </w:rPr>
            </w:pPr>
          </w:p>
        </w:tc>
        <w:tc>
          <w:tcPr>
            <w:tcW w:w="360" w:type="pct"/>
            <w:vMerge w:val="continue"/>
            <w:noWrap w:val="0"/>
            <w:vAlign w:val="center"/>
          </w:tcPr>
          <w:p w14:paraId="1643F5FC">
            <w:pPr>
              <w:spacing w:line="300" w:lineRule="exact"/>
              <w:jc w:val="center"/>
              <w:rPr>
                <w:rFonts w:eastAsia="仿宋_GB2312"/>
                <w:color w:val="auto"/>
                <w:szCs w:val="21"/>
                <w:highlight w:val="none"/>
              </w:rPr>
            </w:pPr>
          </w:p>
        </w:tc>
        <w:tc>
          <w:tcPr>
            <w:tcW w:w="438" w:type="pct"/>
            <w:vMerge w:val="continue"/>
            <w:noWrap w:val="0"/>
            <w:vAlign w:val="center"/>
          </w:tcPr>
          <w:p w14:paraId="15735DF1">
            <w:pPr>
              <w:widowControl/>
              <w:spacing w:line="300" w:lineRule="exact"/>
              <w:jc w:val="center"/>
              <w:rPr>
                <w:rFonts w:eastAsia="仿宋_GB2312"/>
                <w:color w:val="auto"/>
                <w:kern w:val="0"/>
                <w:szCs w:val="21"/>
                <w:highlight w:val="none"/>
              </w:rPr>
            </w:pPr>
          </w:p>
        </w:tc>
        <w:tc>
          <w:tcPr>
            <w:tcW w:w="607" w:type="pct"/>
            <w:noWrap w:val="0"/>
            <w:vAlign w:val="center"/>
          </w:tcPr>
          <w:p w14:paraId="1B24FBF5">
            <w:pPr>
              <w:spacing w:line="300" w:lineRule="exact"/>
              <w:jc w:val="center"/>
              <w:rPr>
                <w:rFonts w:eastAsia="仿宋_GB2312"/>
                <w:color w:val="auto"/>
                <w:spacing w:val="5"/>
                <w:szCs w:val="21"/>
                <w:highlight w:val="none"/>
              </w:rPr>
            </w:pPr>
            <w:r>
              <w:rPr>
                <w:rFonts w:eastAsia="仿宋_GB2312"/>
                <w:color w:val="auto"/>
                <w:spacing w:val="5"/>
                <w:szCs w:val="21"/>
                <w:highlight w:val="none"/>
              </w:rPr>
              <w:t>番木瓜</w:t>
            </w:r>
            <w:r>
              <w:rPr>
                <w:rFonts w:hint="eastAsia" w:eastAsia="仿宋_GB2312"/>
                <w:color w:val="auto"/>
                <w:kern w:val="0"/>
                <w:szCs w:val="21"/>
                <w:highlight w:val="none"/>
              </w:rPr>
              <w:t>*</w:t>
            </w:r>
          </w:p>
        </w:tc>
        <w:tc>
          <w:tcPr>
            <w:tcW w:w="279" w:type="pct"/>
            <w:noWrap w:val="0"/>
            <w:vAlign w:val="center"/>
          </w:tcPr>
          <w:p w14:paraId="46B04998">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0233679A">
            <w:pPr>
              <w:spacing w:line="300" w:lineRule="exact"/>
              <w:jc w:val="left"/>
              <w:rPr>
                <w:rFonts w:eastAsia="仿宋_GB2312"/>
                <w:color w:val="auto"/>
                <w:spacing w:val="5"/>
                <w:szCs w:val="21"/>
                <w:highlight w:val="none"/>
              </w:rPr>
            </w:pPr>
            <w:r>
              <w:rPr>
                <w:rFonts w:eastAsia="仿宋_GB2312"/>
                <w:color w:val="auto"/>
                <w:spacing w:val="5"/>
                <w:szCs w:val="21"/>
                <w:highlight w:val="none"/>
              </w:rPr>
              <w:t>噻虫胺、噻虫嗪、乙酰甲胺磷</w:t>
            </w:r>
          </w:p>
        </w:tc>
        <w:tc>
          <w:tcPr>
            <w:tcW w:w="1051" w:type="pct"/>
            <w:noWrap w:val="0"/>
            <w:vAlign w:val="center"/>
          </w:tcPr>
          <w:p w14:paraId="225EEFAC">
            <w:pPr>
              <w:spacing w:line="300" w:lineRule="exact"/>
              <w:jc w:val="left"/>
              <w:rPr>
                <w:rFonts w:eastAsia="仿宋_GB2312"/>
                <w:color w:val="auto"/>
                <w:spacing w:val="5"/>
                <w:szCs w:val="21"/>
                <w:highlight w:val="none"/>
              </w:rPr>
            </w:pPr>
            <w:r>
              <w:rPr>
                <w:rFonts w:eastAsia="仿宋_GB2312"/>
                <w:color w:val="auto"/>
                <w:spacing w:val="5"/>
                <w:szCs w:val="21"/>
                <w:highlight w:val="none"/>
              </w:rPr>
              <w:t>克百威、氧乐果</w:t>
            </w:r>
          </w:p>
        </w:tc>
      </w:tr>
      <w:tr w14:paraId="4C97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320465B4">
            <w:pPr>
              <w:spacing w:line="300" w:lineRule="exact"/>
              <w:jc w:val="center"/>
              <w:rPr>
                <w:rFonts w:eastAsia="仿宋_GB2312"/>
                <w:color w:val="auto"/>
                <w:szCs w:val="21"/>
                <w:highlight w:val="none"/>
              </w:rPr>
            </w:pPr>
          </w:p>
        </w:tc>
        <w:tc>
          <w:tcPr>
            <w:tcW w:w="360" w:type="pct"/>
            <w:vMerge w:val="continue"/>
            <w:noWrap w:val="0"/>
            <w:vAlign w:val="center"/>
          </w:tcPr>
          <w:p w14:paraId="07A83021">
            <w:pPr>
              <w:spacing w:line="300" w:lineRule="exact"/>
              <w:jc w:val="center"/>
              <w:rPr>
                <w:rFonts w:eastAsia="仿宋_GB2312"/>
                <w:color w:val="auto"/>
                <w:szCs w:val="21"/>
                <w:highlight w:val="none"/>
              </w:rPr>
            </w:pPr>
          </w:p>
        </w:tc>
        <w:tc>
          <w:tcPr>
            <w:tcW w:w="360" w:type="pct"/>
            <w:vMerge w:val="continue"/>
            <w:noWrap w:val="0"/>
            <w:vAlign w:val="center"/>
          </w:tcPr>
          <w:p w14:paraId="329A883E">
            <w:pPr>
              <w:spacing w:line="300" w:lineRule="exact"/>
              <w:jc w:val="center"/>
              <w:rPr>
                <w:rFonts w:eastAsia="仿宋_GB2312"/>
                <w:color w:val="auto"/>
                <w:szCs w:val="21"/>
                <w:highlight w:val="none"/>
              </w:rPr>
            </w:pPr>
          </w:p>
        </w:tc>
        <w:tc>
          <w:tcPr>
            <w:tcW w:w="438" w:type="pct"/>
            <w:vMerge w:val="continue"/>
            <w:noWrap w:val="0"/>
            <w:vAlign w:val="center"/>
          </w:tcPr>
          <w:p w14:paraId="6A9D6CF8">
            <w:pPr>
              <w:widowControl/>
              <w:spacing w:line="300" w:lineRule="exact"/>
              <w:jc w:val="center"/>
              <w:rPr>
                <w:rFonts w:eastAsia="仿宋_GB2312"/>
                <w:color w:val="auto"/>
                <w:kern w:val="0"/>
                <w:szCs w:val="21"/>
                <w:highlight w:val="none"/>
              </w:rPr>
            </w:pPr>
          </w:p>
        </w:tc>
        <w:tc>
          <w:tcPr>
            <w:tcW w:w="607" w:type="pct"/>
            <w:noWrap w:val="0"/>
            <w:vAlign w:val="center"/>
          </w:tcPr>
          <w:p w14:paraId="35BD13A0">
            <w:pPr>
              <w:spacing w:line="300" w:lineRule="exact"/>
              <w:jc w:val="center"/>
              <w:rPr>
                <w:rFonts w:eastAsia="仿宋_GB2312"/>
                <w:color w:val="auto"/>
                <w:spacing w:val="5"/>
                <w:szCs w:val="21"/>
                <w:highlight w:val="none"/>
              </w:rPr>
            </w:pPr>
            <w:r>
              <w:rPr>
                <w:rFonts w:eastAsia="仿宋_GB2312"/>
                <w:color w:val="auto"/>
                <w:spacing w:val="5"/>
                <w:szCs w:val="21"/>
                <w:highlight w:val="none"/>
              </w:rPr>
              <w:t>柿子</w:t>
            </w:r>
          </w:p>
        </w:tc>
        <w:tc>
          <w:tcPr>
            <w:tcW w:w="279" w:type="pct"/>
            <w:noWrap w:val="0"/>
            <w:vAlign w:val="center"/>
          </w:tcPr>
          <w:p w14:paraId="5425E32F">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6708234E">
            <w:pPr>
              <w:spacing w:line="300" w:lineRule="exact"/>
              <w:jc w:val="left"/>
              <w:rPr>
                <w:rFonts w:eastAsia="仿宋_GB2312"/>
                <w:color w:val="auto"/>
                <w:spacing w:val="5"/>
                <w:szCs w:val="21"/>
                <w:highlight w:val="none"/>
              </w:rPr>
            </w:pPr>
            <w:r>
              <w:rPr>
                <w:rFonts w:eastAsia="仿宋_GB2312"/>
                <w:color w:val="auto"/>
                <w:spacing w:val="5"/>
                <w:szCs w:val="21"/>
                <w:highlight w:val="none"/>
              </w:rPr>
              <w:t>吡唑醚菌酯、氧乐果、甲胺磷、啶虫脒、水胺硫磷、克百威</w:t>
            </w:r>
          </w:p>
        </w:tc>
        <w:tc>
          <w:tcPr>
            <w:tcW w:w="1051" w:type="pct"/>
            <w:noWrap w:val="0"/>
            <w:vAlign w:val="center"/>
          </w:tcPr>
          <w:p w14:paraId="5565E01E">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627C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051ED555">
            <w:pPr>
              <w:spacing w:line="300" w:lineRule="exact"/>
              <w:jc w:val="center"/>
              <w:rPr>
                <w:rFonts w:eastAsia="仿宋_GB2312"/>
                <w:color w:val="auto"/>
                <w:szCs w:val="21"/>
                <w:highlight w:val="none"/>
              </w:rPr>
            </w:pPr>
          </w:p>
        </w:tc>
        <w:tc>
          <w:tcPr>
            <w:tcW w:w="360" w:type="pct"/>
            <w:vMerge w:val="continue"/>
            <w:noWrap w:val="0"/>
            <w:vAlign w:val="center"/>
          </w:tcPr>
          <w:p w14:paraId="1D164E0D">
            <w:pPr>
              <w:spacing w:line="300" w:lineRule="exact"/>
              <w:jc w:val="center"/>
              <w:rPr>
                <w:rFonts w:eastAsia="仿宋_GB2312"/>
                <w:color w:val="auto"/>
                <w:szCs w:val="21"/>
                <w:highlight w:val="none"/>
              </w:rPr>
            </w:pPr>
          </w:p>
        </w:tc>
        <w:tc>
          <w:tcPr>
            <w:tcW w:w="360" w:type="pct"/>
            <w:vMerge w:val="continue"/>
            <w:noWrap w:val="0"/>
            <w:vAlign w:val="center"/>
          </w:tcPr>
          <w:p w14:paraId="6E7ECAC5">
            <w:pPr>
              <w:spacing w:line="300" w:lineRule="exact"/>
              <w:jc w:val="center"/>
              <w:rPr>
                <w:rFonts w:eastAsia="仿宋_GB2312"/>
                <w:color w:val="auto"/>
                <w:szCs w:val="21"/>
                <w:highlight w:val="none"/>
              </w:rPr>
            </w:pPr>
          </w:p>
        </w:tc>
        <w:tc>
          <w:tcPr>
            <w:tcW w:w="438" w:type="pct"/>
            <w:vMerge w:val="continue"/>
            <w:noWrap w:val="0"/>
            <w:vAlign w:val="center"/>
          </w:tcPr>
          <w:p w14:paraId="7F4E4D52">
            <w:pPr>
              <w:widowControl/>
              <w:spacing w:line="300" w:lineRule="exact"/>
              <w:jc w:val="center"/>
              <w:rPr>
                <w:rFonts w:eastAsia="仿宋_GB2312"/>
                <w:color w:val="auto"/>
                <w:kern w:val="0"/>
                <w:szCs w:val="21"/>
                <w:highlight w:val="none"/>
              </w:rPr>
            </w:pPr>
          </w:p>
        </w:tc>
        <w:tc>
          <w:tcPr>
            <w:tcW w:w="607" w:type="pct"/>
            <w:noWrap w:val="0"/>
            <w:vAlign w:val="center"/>
          </w:tcPr>
          <w:p w14:paraId="0E887B8B">
            <w:pPr>
              <w:spacing w:line="300" w:lineRule="exact"/>
              <w:jc w:val="center"/>
              <w:rPr>
                <w:rFonts w:eastAsia="仿宋_GB2312"/>
                <w:color w:val="auto"/>
                <w:spacing w:val="5"/>
                <w:szCs w:val="21"/>
                <w:highlight w:val="none"/>
              </w:rPr>
            </w:pPr>
            <w:r>
              <w:rPr>
                <w:rFonts w:eastAsia="仿宋_GB2312"/>
                <w:color w:val="auto"/>
                <w:spacing w:val="5"/>
                <w:szCs w:val="21"/>
                <w:highlight w:val="none"/>
              </w:rPr>
              <w:t>菠萝</w:t>
            </w:r>
          </w:p>
        </w:tc>
        <w:tc>
          <w:tcPr>
            <w:tcW w:w="279" w:type="pct"/>
            <w:noWrap w:val="0"/>
            <w:vAlign w:val="center"/>
          </w:tcPr>
          <w:p w14:paraId="027C0A61">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5A038D00">
            <w:pPr>
              <w:spacing w:line="300" w:lineRule="exact"/>
              <w:jc w:val="left"/>
              <w:rPr>
                <w:rFonts w:eastAsia="仿宋_GB2312"/>
                <w:color w:val="auto"/>
                <w:spacing w:val="5"/>
                <w:szCs w:val="21"/>
                <w:highlight w:val="none"/>
              </w:rPr>
            </w:pPr>
            <w:r>
              <w:rPr>
                <w:rFonts w:eastAsia="仿宋_GB2312"/>
                <w:color w:val="auto"/>
                <w:spacing w:val="5"/>
                <w:szCs w:val="21"/>
                <w:highlight w:val="none"/>
              </w:rPr>
              <w:t>甜蜜素（以环己基氨基磺酸计）、柠檬黄、脱氢乙酸及其钠盐（以脱氢乙酸计）、三氯蔗糖、糖精钠（以糖精计）、苯醚甲环唑</w:t>
            </w:r>
          </w:p>
        </w:tc>
        <w:tc>
          <w:tcPr>
            <w:tcW w:w="1051" w:type="pct"/>
            <w:noWrap w:val="0"/>
            <w:vAlign w:val="center"/>
          </w:tcPr>
          <w:p w14:paraId="0A8A9408">
            <w:pPr>
              <w:spacing w:line="300" w:lineRule="exact"/>
              <w:jc w:val="left"/>
              <w:rPr>
                <w:rFonts w:eastAsia="仿宋_GB2312"/>
                <w:color w:val="auto"/>
                <w:spacing w:val="5"/>
                <w:szCs w:val="21"/>
                <w:highlight w:val="none"/>
              </w:rPr>
            </w:pPr>
            <w:r>
              <w:rPr>
                <w:rFonts w:eastAsia="仿宋_GB2312"/>
                <w:color w:val="auto"/>
                <w:spacing w:val="5"/>
                <w:szCs w:val="21"/>
                <w:highlight w:val="none"/>
              </w:rPr>
              <w:t>多菌灵、咪鲜胺和咪鲜胺锰盐</w:t>
            </w:r>
          </w:p>
        </w:tc>
      </w:tr>
      <w:tr w14:paraId="02D8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8A3FEC8">
            <w:pPr>
              <w:spacing w:line="300" w:lineRule="exact"/>
              <w:jc w:val="center"/>
              <w:rPr>
                <w:rFonts w:eastAsia="仿宋_GB2312"/>
                <w:color w:val="auto"/>
                <w:szCs w:val="21"/>
                <w:highlight w:val="none"/>
              </w:rPr>
            </w:pPr>
          </w:p>
        </w:tc>
        <w:tc>
          <w:tcPr>
            <w:tcW w:w="360" w:type="pct"/>
            <w:vMerge w:val="continue"/>
            <w:noWrap w:val="0"/>
            <w:vAlign w:val="center"/>
          </w:tcPr>
          <w:p w14:paraId="32A9B538">
            <w:pPr>
              <w:spacing w:line="300" w:lineRule="exact"/>
              <w:jc w:val="center"/>
              <w:rPr>
                <w:rFonts w:eastAsia="仿宋_GB2312"/>
                <w:color w:val="auto"/>
                <w:szCs w:val="21"/>
                <w:highlight w:val="none"/>
              </w:rPr>
            </w:pPr>
          </w:p>
        </w:tc>
        <w:tc>
          <w:tcPr>
            <w:tcW w:w="360" w:type="pct"/>
            <w:vMerge w:val="continue"/>
            <w:noWrap w:val="0"/>
            <w:vAlign w:val="center"/>
          </w:tcPr>
          <w:p w14:paraId="641D91A8">
            <w:pPr>
              <w:spacing w:line="300" w:lineRule="exact"/>
              <w:jc w:val="center"/>
              <w:rPr>
                <w:rFonts w:eastAsia="仿宋_GB2312"/>
                <w:color w:val="auto"/>
                <w:szCs w:val="21"/>
                <w:highlight w:val="none"/>
              </w:rPr>
            </w:pPr>
          </w:p>
        </w:tc>
        <w:tc>
          <w:tcPr>
            <w:tcW w:w="438" w:type="pct"/>
            <w:vMerge w:val="continue"/>
            <w:noWrap w:val="0"/>
            <w:vAlign w:val="center"/>
          </w:tcPr>
          <w:p w14:paraId="516B0371">
            <w:pPr>
              <w:widowControl/>
              <w:spacing w:line="300" w:lineRule="exact"/>
              <w:jc w:val="center"/>
              <w:rPr>
                <w:rFonts w:eastAsia="仿宋_GB2312"/>
                <w:color w:val="auto"/>
                <w:kern w:val="0"/>
                <w:szCs w:val="21"/>
                <w:highlight w:val="none"/>
              </w:rPr>
            </w:pPr>
          </w:p>
        </w:tc>
        <w:tc>
          <w:tcPr>
            <w:tcW w:w="607" w:type="pct"/>
            <w:noWrap w:val="0"/>
            <w:vAlign w:val="center"/>
          </w:tcPr>
          <w:p w14:paraId="0104D604">
            <w:pPr>
              <w:spacing w:line="300" w:lineRule="exact"/>
              <w:jc w:val="center"/>
              <w:rPr>
                <w:rFonts w:eastAsia="仿宋_GB2312"/>
                <w:color w:val="auto"/>
                <w:spacing w:val="5"/>
                <w:szCs w:val="21"/>
                <w:highlight w:val="none"/>
              </w:rPr>
            </w:pPr>
            <w:r>
              <w:rPr>
                <w:rFonts w:eastAsia="仿宋_GB2312"/>
                <w:color w:val="auto"/>
                <w:spacing w:val="5"/>
                <w:szCs w:val="21"/>
                <w:highlight w:val="none"/>
              </w:rPr>
              <w:t>黄皮</w:t>
            </w:r>
          </w:p>
        </w:tc>
        <w:tc>
          <w:tcPr>
            <w:tcW w:w="279" w:type="pct"/>
            <w:noWrap w:val="0"/>
            <w:vAlign w:val="center"/>
          </w:tcPr>
          <w:p w14:paraId="507C546B">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6FA86338">
            <w:pPr>
              <w:spacing w:line="300" w:lineRule="exact"/>
              <w:jc w:val="left"/>
              <w:rPr>
                <w:rFonts w:eastAsia="仿宋_GB2312"/>
                <w:color w:val="auto"/>
                <w:spacing w:val="5"/>
                <w:szCs w:val="21"/>
                <w:highlight w:val="none"/>
              </w:rPr>
            </w:pPr>
            <w:r>
              <w:rPr>
                <w:rFonts w:eastAsia="仿宋_GB2312"/>
                <w:color w:val="auto"/>
                <w:spacing w:val="5"/>
                <w:szCs w:val="21"/>
                <w:highlight w:val="none"/>
              </w:rPr>
              <w:t>甲胺磷、氧乐果、甲拌磷、甲基异柳磷</w:t>
            </w:r>
          </w:p>
        </w:tc>
        <w:tc>
          <w:tcPr>
            <w:tcW w:w="1051" w:type="pct"/>
            <w:noWrap w:val="0"/>
            <w:vAlign w:val="center"/>
          </w:tcPr>
          <w:p w14:paraId="4205E247">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0298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5FF1CD94">
            <w:pPr>
              <w:spacing w:line="300" w:lineRule="exact"/>
              <w:jc w:val="center"/>
              <w:rPr>
                <w:rFonts w:eastAsia="仿宋_GB2312"/>
                <w:color w:val="auto"/>
                <w:szCs w:val="21"/>
                <w:highlight w:val="none"/>
              </w:rPr>
            </w:pPr>
          </w:p>
        </w:tc>
        <w:tc>
          <w:tcPr>
            <w:tcW w:w="360" w:type="pct"/>
            <w:vMerge w:val="continue"/>
            <w:noWrap w:val="0"/>
            <w:vAlign w:val="center"/>
          </w:tcPr>
          <w:p w14:paraId="15E41DAA">
            <w:pPr>
              <w:spacing w:line="300" w:lineRule="exact"/>
              <w:jc w:val="center"/>
              <w:rPr>
                <w:rFonts w:eastAsia="仿宋_GB2312"/>
                <w:color w:val="auto"/>
                <w:szCs w:val="21"/>
                <w:highlight w:val="none"/>
              </w:rPr>
            </w:pPr>
          </w:p>
        </w:tc>
        <w:tc>
          <w:tcPr>
            <w:tcW w:w="360" w:type="pct"/>
            <w:vMerge w:val="continue"/>
            <w:noWrap w:val="0"/>
            <w:vAlign w:val="center"/>
          </w:tcPr>
          <w:p w14:paraId="3B7A286D">
            <w:pPr>
              <w:spacing w:line="300" w:lineRule="exact"/>
              <w:jc w:val="center"/>
              <w:rPr>
                <w:rFonts w:eastAsia="仿宋_GB2312"/>
                <w:color w:val="auto"/>
                <w:szCs w:val="21"/>
                <w:highlight w:val="none"/>
              </w:rPr>
            </w:pPr>
          </w:p>
        </w:tc>
        <w:tc>
          <w:tcPr>
            <w:tcW w:w="438" w:type="pct"/>
            <w:vMerge w:val="continue"/>
            <w:noWrap w:val="0"/>
            <w:vAlign w:val="center"/>
          </w:tcPr>
          <w:p w14:paraId="1B6931D9">
            <w:pPr>
              <w:widowControl/>
              <w:spacing w:line="300" w:lineRule="exact"/>
              <w:jc w:val="center"/>
              <w:rPr>
                <w:rFonts w:eastAsia="仿宋_GB2312"/>
                <w:color w:val="auto"/>
                <w:kern w:val="0"/>
                <w:szCs w:val="21"/>
                <w:highlight w:val="none"/>
              </w:rPr>
            </w:pPr>
          </w:p>
        </w:tc>
        <w:tc>
          <w:tcPr>
            <w:tcW w:w="607" w:type="pct"/>
            <w:noWrap w:val="0"/>
            <w:vAlign w:val="center"/>
          </w:tcPr>
          <w:p w14:paraId="6AF77AB2">
            <w:pPr>
              <w:spacing w:line="300" w:lineRule="exact"/>
              <w:jc w:val="center"/>
              <w:rPr>
                <w:rFonts w:eastAsia="仿宋_GB2312"/>
                <w:color w:val="auto"/>
                <w:spacing w:val="5"/>
                <w:szCs w:val="21"/>
                <w:highlight w:val="none"/>
              </w:rPr>
            </w:pPr>
            <w:r>
              <w:rPr>
                <w:rFonts w:eastAsia="仿宋_GB2312"/>
                <w:color w:val="auto"/>
                <w:spacing w:val="5"/>
                <w:szCs w:val="21"/>
                <w:highlight w:val="none"/>
              </w:rPr>
              <w:t>榴莲</w:t>
            </w:r>
          </w:p>
        </w:tc>
        <w:tc>
          <w:tcPr>
            <w:tcW w:w="279" w:type="pct"/>
            <w:noWrap w:val="0"/>
            <w:vAlign w:val="center"/>
          </w:tcPr>
          <w:p w14:paraId="62A7F3CB">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07A24AEB">
            <w:pPr>
              <w:spacing w:line="300" w:lineRule="exact"/>
              <w:jc w:val="left"/>
              <w:rPr>
                <w:rFonts w:eastAsia="仿宋_GB2312"/>
                <w:color w:val="auto"/>
                <w:spacing w:val="5"/>
                <w:szCs w:val="21"/>
                <w:highlight w:val="none"/>
              </w:rPr>
            </w:pPr>
            <w:r>
              <w:rPr>
                <w:rFonts w:eastAsia="仿宋_GB2312"/>
                <w:color w:val="auto"/>
                <w:spacing w:val="5"/>
                <w:szCs w:val="21"/>
                <w:highlight w:val="none"/>
              </w:rPr>
              <w:t>氯氰菊酯和高效氯氰菊酯、甲胺磷、甲拌磷、氧乐果、镉(以Cd计)</w:t>
            </w:r>
          </w:p>
        </w:tc>
        <w:tc>
          <w:tcPr>
            <w:tcW w:w="1051" w:type="pct"/>
            <w:noWrap w:val="0"/>
            <w:vAlign w:val="center"/>
          </w:tcPr>
          <w:p w14:paraId="3DED2EDE">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2AF2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02EFB0C8">
            <w:pPr>
              <w:spacing w:line="300" w:lineRule="exact"/>
              <w:jc w:val="center"/>
              <w:rPr>
                <w:rFonts w:eastAsia="仿宋_GB2312"/>
                <w:color w:val="auto"/>
                <w:szCs w:val="21"/>
                <w:highlight w:val="none"/>
              </w:rPr>
            </w:pPr>
          </w:p>
        </w:tc>
        <w:tc>
          <w:tcPr>
            <w:tcW w:w="360" w:type="pct"/>
            <w:vMerge w:val="continue"/>
            <w:noWrap w:val="0"/>
            <w:vAlign w:val="center"/>
          </w:tcPr>
          <w:p w14:paraId="0591330B">
            <w:pPr>
              <w:spacing w:line="300" w:lineRule="exact"/>
              <w:jc w:val="center"/>
              <w:rPr>
                <w:rFonts w:eastAsia="仿宋_GB2312"/>
                <w:color w:val="auto"/>
                <w:szCs w:val="21"/>
                <w:highlight w:val="none"/>
              </w:rPr>
            </w:pPr>
          </w:p>
        </w:tc>
        <w:tc>
          <w:tcPr>
            <w:tcW w:w="360" w:type="pct"/>
            <w:vMerge w:val="continue"/>
            <w:noWrap w:val="0"/>
            <w:vAlign w:val="center"/>
          </w:tcPr>
          <w:p w14:paraId="4E2787C0">
            <w:pPr>
              <w:spacing w:line="300" w:lineRule="exact"/>
              <w:jc w:val="center"/>
              <w:rPr>
                <w:rFonts w:eastAsia="仿宋_GB2312"/>
                <w:color w:val="auto"/>
                <w:szCs w:val="21"/>
                <w:highlight w:val="none"/>
              </w:rPr>
            </w:pPr>
          </w:p>
        </w:tc>
        <w:tc>
          <w:tcPr>
            <w:tcW w:w="438" w:type="pct"/>
            <w:vMerge w:val="restart"/>
            <w:noWrap w:val="0"/>
            <w:vAlign w:val="center"/>
          </w:tcPr>
          <w:p w14:paraId="1BE91202">
            <w:pPr>
              <w:spacing w:line="300" w:lineRule="exact"/>
              <w:jc w:val="center"/>
              <w:rPr>
                <w:rFonts w:eastAsia="仿宋_GB2312"/>
                <w:color w:val="auto"/>
                <w:spacing w:val="5"/>
                <w:szCs w:val="21"/>
                <w:highlight w:val="none"/>
              </w:rPr>
            </w:pPr>
            <w:r>
              <w:rPr>
                <w:rFonts w:eastAsia="仿宋_GB2312"/>
                <w:color w:val="auto"/>
                <w:spacing w:val="5"/>
                <w:szCs w:val="21"/>
                <w:highlight w:val="none"/>
              </w:rPr>
              <w:t>瓜果类水果</w:t>
            </w:r>
          </w:p>
        </w:tc>
        <w:tc>
          <w:tcPr>
            <w:tcW w:w="607" w:type="pct"/>
            <w:noWrap w:val="0"/>
            <w:vAlign w:val="center"/>
          </w:tcPr>
          <w:p w14:paraId="7F022DCF">
            <w:pPr>
              <w:spacing w:line="300" w:lineRule="exact"/>
              <w:jc w:val="center"/>
              <w:rPr>
                <w:rFonts w:eastAsia="仿宋_GB2312"/>
                <w:color w:val="auto"/>
                <w:spacing w:val="5"/>
                <w:szCs w:val="21"/>
                <w:highlight w:val="none"/>
              </w:rPr>
            </w:pPr>
            <w:r>
              <w:rPr>
                <w:rFonts w:eastAsia="仿宋_GB2312"/>
                <w:color w:val="auto"/>
                <w:spacing w:val="5"/>
                <w:szCs w:val="21"/>
                <w:highlight w:val="none"/>
              </w:rPr>
              <w:t>西瓜</w:t>
            </w:r>
          </w:p>
        </w:tc>
        <w:tc>
          <w:tcPr>
            <w:tcW w:w="279" w:type="pct"/>
            <w:noWrap w:val="0"/>
            <w:vAlign w:val="center"/>
          </w:tcPr>
          <w:p w14:paraId="25186282">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296650EC">
            <w:pPr>
              <w:spacing w:line="300" w:lineRule="exact"/>
              <w:jc w:val="left"/>
              <w:rPr>
                <w:rFonts w:eastAsia="仿宋_GB2312"/>
                <w:color w:val="auto"/>
                <w:spacing w:val="5"/>
                <w:szCs w:val="21"/>
                <w:highlight w:val="none"/>
              </w:rPr>
            </w:pPr>
            <w:r>
              <w:rPr>
                <w:rFonts w:eastAsia="仿宋_GB2312"/>
                <w:color w:val="auto"/>
                <w:spacing w:val="5"/>
                <w:szCs w:val="21"/>
                <w:highlight w:val="none"/>
              </w:rPr>
              <w:t>克百威、噻虫嗪、氧乐果、乙酰甲胺磷、苯醚甲环唑、氯氟氰菊酯和高效氯氟氰菊酯</w:t>
            </w:r>
          </w:p>
        </w:tc>
        <w:tc>
          <w:tcPr>
            <w:tcW w:w="1051" w:type="pct"/>
            <w:noWrap w:val="0"/>
            <w:vAlign w:val="center"/>
          </w:tcPr>
          <w:p w14:paraId="322FE09A">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7810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81C714A">
            <w:pPr>
              <w:spacing w:line="300" w:lineRule="exact"/>
              <w:jc w:val="center"/>
              <w:rPr>
                <w:rFonts w:eastAsia="仿宋_GB2312"/>
                <w:color w:val="auto"/>
                <w:szCs w:val="21"/>
                <w:highlight w:val="none"/>
              </w:rPr>
            </w:pPr>
          </w:p>
        </w:tc>
        <w:tc>
          <w:tcPr>
            <w:tcW w:w="360" w:type="pct"/>
            <w:vMerge w:val="continue"/>
            <w:noWrap w:val="0"/>
            <w:vAlign w:val="center"/>
          </w:tcPr>
          <w:p w14:paraId="7D3615A4">
            <w:pPr>
              <w:spacing w:line="300" w:lineRule="exact"/>
              <w:jc w:val="center"/>
              <w:rPr>
                <w:rFonts w:eastAsia="仿宋_GB2312"/>
                <w:color w:val="auto"/>
                <w:szCs w:val="21"/>
                <w:highlight w:val="none"/>
              </w:rPr>
            </w:pPr>
          </w:p>
        </w:tc>
        <w:tc>
          <w:tcPr>
            <w:tcW w:w="360" w:type="pct"/>
            <w:vMerge w:val="continue"/>
            <w:noWrap w:val="0"/>
            <w:vAlign w:val="center"/>
          </w:tcPr>
          <w:p w14:paraId="228434E4">
            <w:pPr>
              <w:spacing w:line="300" w:lineRule="exact"/>
              <w:jc w:val="center"/>
              <w:rPr>
                <w:rFonts w:eastAsia="仿宋_GB2312"/>
                <w:color w:val="auto"/>
                <w:szCs w:val="21"/>
                <w:highlight w:val="none"/>
              </w:rPr>
            </w:pPr>
          </w:p>
        </w:tc>
        <w:tc>
          <w:tcPr>
            <w:tcW w:w="438" w:type="pct"/>
            <w:vMerge w:val="continue"/>
            <w:noWrap w:val="0"/>
            <w:vAlign w:val="center"/>
          </w:tcPr>
          <w:p w14:paraId="2C2B1266">
            <w:pPr>
              <w:widowControl/>
              <w:spacing w:line="300" w:lineRule="exact"/>
              <w:jc w:val="center"/>
              <w:rPr>
                <w:rFonts w:eastAsia="仿宋_GB2312"/>
                <w:color w:val="auto"/>
                <w:kern w:val="0"/>
                <w:szCs w:val="21"/>
                <w:highlight w:val="none"/>
              </w:rPr>
            </w:pPr>
          </w:p>
        </w:tc>
        <w:tc>
          <w:tcPr>
            <w:tcW w:w="607" w:type="pct"/>
            <w:noWrap w:val="0"/>
            <w:vAlign w:val="center"/>
          </w:tcPr>
          <w:p w14:paraId="58C338F2">
            <w:pPr>
              <w:spacing w:line="300" w:lineRule="exact"/>
              <w:jc w:val="center"/>
              <w:rPr>
                <w:rFonts w:eastAsia="仿宋_GB2312"/>
                <w:color w:val="auto"/>
                <w:spacing w:val="5"/>
                <w:szCs w:val="21"/>
                <w:highlight w:val="none"/>
              </w:rPr>
            </w:pPr>
            <w:r>
              <w:rPr>
                <w:rFonts w:eastAsia="仿宋_GB2312"/>
                <w:color w:val="auto"/>
                <w:spacing w:val="5"/>
                <w:szCs w:val="21"/>
                <w:highlight w:val="none"/>
              </w:rPr>
              <w:t>甜瓜类</w:t>
            </w:r>
          </w:p>
        </w:tc>
        <w:tc>
          <w:tcPr>
            <w:tcW w:w="279" w:type="pct"/>
            <w:noWrap w:val="0"/>
            <w:vAlign w:val="center"/>
          </w:tcPr>
          <w:p w14:paraId="106FB76B">
            <w:pPr>
              <w:spacing w:line="300" w:lineRule="exact"/>
              <w:jc w:val="center"/>
              <w:rPr>
                <w:rFonts w:eastAsia="仿宋_GB2312"/>
                <w:color w:val="auto"/>
                <w:spacing w:val="5"/>
                <w:szCs w:val="21"/>
                <w:highlight w:val="none"/>
              </w:rPr>
            </w:pPr>
            <w:r>
              <w:rPr>
                <w:rFonts w:eastAsia="仿宋_GB2312"/>
                <w:color w:val="auto"/>
                <w:spacing w:val="5"/>
                <w:szCs w:val="21"/>
                <w:highlight w:val="none"/>
              </w:rPr>
              <w:t>较高</w:t>
            </w:r>
          </w:p>
        </w:tc>
        <w:tc>
          <w:tcPr>
            <w:tcW w:w="1754" w:type="pct"/>
            <w:noWrap w:val="0"/>
            <w:vAlign w:val="center"/>
          </w:tcPr>
          <w:p w14:paraId="1A645EEB">
            <w:pPr>
              <w:spacing w:line="300" w:lineRule="exact"/>
              <w:jc w:val="left"/>
              <w:rPr>
                <w:rFonts w:eastAsia="仿宋_GB2312"/>
                <w:color w:val="auto"/>
                <w:spacing w:val="5"/>
                <w:szCs w:val="21"/>
                <w:highlight w:val="none"/>
              </w:rPr>
            </w:pPr>
            <w:r>
              <w:rPr>
                <w:rFonts w:eastAsia="仿宋_GB2312"/>
                <w:color w:val="auto"/>
                <w:spacing w:val="5"/>
                <w:szCs w:val="21"/>
                <w:highlight w:val="none"/>
              </w:rPr>
              <w:t>乙酰甲胺磷、烯酰吗啉、氧乐果、克百威</w:t>
            </w:r>
          </w:p>
        </w:tc>
        <w:tc>
          <w:tcPr>
            <w:tcW w:w="1051" w:type="pct"/>
            <w:noWrap w:val="0"/>
            <w:vAlign w:val="center"/>
          </w:tcPr>
          <w:p w14:paraId="519D6751">
            <w:pPr>
              <w:spacing w:line="300" w:lineRule="exact"/>
              <w:jc w:val="left"/>
              <w:rPr>
                <w:rFonts w:eastAsia="仿宋_GB2312"/>
                <w:color w:val="auto"/>
                <w:spacing w:val="5"/>
                <w:szCs w:val="21"/>
                <w:highlight w:val="none"/>
              </w:rPr>
            </w:pPr>
            <w:r>
              <w:rPr>
                <w:rFonts w:eastAsia="仿宋_GB2312"/>
                <w:color w:val="auto"/>
                <w:spacing w:val="5"/>
                <w:szCs w:val="21"/>
                <w:highlight w:val="none"/>
              </w:rPr>
              <w:t>/</w:t>
            </w:r>
          </w:p>
        </w:tc>
      </w:tr>
      <w:tr w14:paraId="6010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atLeast"/>
        </w:trPr>
        <w:tc>
          <w:tcPr>
            <w:tcW w:w="148" w:type="pct"/>
            <w:vMerge w:val="restart"/>
            <w:noWrap w:val="0"/>
            <w:vAlign w:val="center"/>
          </w:tcPr>
          <w:p w14:paraId="35ED84A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5</w:t>
            </w:r>
          </w:p>
        </w:tc>
        <w:tc>
          <w:tcPr>
            <w:tcW w:w="360" w:type="pct"/>
            <w:vMerge w:val="restart"/>
            <w:noWrap w:val="0"/>
            <w:vAlign w:val="center"/>
          </w:tcPr>
          <w:p w14:paraId="409D645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鲜蛋</w:t>
            </w:r>
          </w:p>
        </w:tc>
        <w:tc>
          <w:tcPr>
            <w:tcW w:w="360" w:type="pct"/>
            <w:vMerge w:val="restart"/>
            <w:noWrap w:val="0"/>
            <w:vAlign w:val="center"/>
          </w:tcPr>
          <w:p w14:paraId="7A6929F0">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鲜蛋</w:t>
            </w:r>
          </w:p>
        </w:tc>
        <w:tc>
          <w:tcPr>
            <w:tcW w:w="438" w:type="pct"/>
            <w:vMerge w:val="restart"/>
            <w:noWrap w:val="0"/>
            <w:vAlign w:val="center"/>
          </w:tcPr>
          <w:p w14:paraId="420B86C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鲜蛋</w:t>
            </w:r>
          </w:p>
        </w:tc>
        <w:tc>
          <w:tcPr>
            <w:tcW w:w="607" w:type="pct"/>
            <w:noWrap w:val="0"/>
            <w:vAlign w:val="center"/>
          </w:tcPr>
          <w:p w14:paraId="31E6462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鸡蛋</w:t>
            </w:r>
            <w:r>
              <w:rPr>
                <w:rFonts w:hint="eastAsia" w:eastAsia="仿宋_GB2312"/>
                <w:color w:val="auto"/>
                <w:kern w:val="0"/>
                <w:szCs w:val="21"/>
                <w:highlight w:val="none"/>
              </w:rPr>
              <w:t>*</w:t>
            </w:r>
          </w:p>
        </w:tc>
        <w:tc>
          <w:tcPr>
            <w:tcW w:w="279" w:type="pct"/>
            <w:noWrap w:val="0"/>
            <w:vAlign w:val="center"/>
          </w:tcPr>
          <w:p w14:paraId="6555AB5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高</w:t>
            </w:r>
          </w:p>
        </w:tc>
        <w:tc>
          <w:tcPr>
            <w:tcW w:w="1754" w:type="pct"/>
            <w:noWrap w:val="0"/>
            <w:vAlign w:val="center"/>
          </w:tcPr>
          <w:p w14:paraId="74897F9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6"/>
                <w:kern w:val="0"/>
                <w:szCs w:val="21"/>
                <w:highlight w:val="none"/>
              </w:rPr>
              <w:t>多西环素、甲氧苄啶、磺胺类(总量)、甲硝唑、氟苯尼考、地美硝唑</w:t>
            </w:r>
            <w:r>
              <w:rPr>
                <w:rFonts w:eastAsia="仿宋_GB2312"/>
                <w:color w:val="auto"/>
                <w:kern w:val="0"/>
                <w:szCs w:val="21"/>
                <w:highlight w:val="none"/>
              </w:rPr>
              <w:t>、</w:t>
            </w:r>
            <w:r>
              <w:rPr>
                <w:rFonts w:eastAsia="仿宋_GB2312"/>
                <w:color w:val="auto"/>
                <w:spacing w:val="-6"/>
                <w:kern w:val="0"/>
                <w:szCs w:val="21"/>
                <w:highlight w:val="none"/>
              </w:rPr>
              <w:t>恩诺沙星、托曲珠利</w:t>
            </w:r>
          </w:p>
        </w:tc>
        <w:tc>
          <w:tcPr>
            <w:tcW w:w="1051" w:type="pct"/>
            <w:noWrap w:val="0"/>
            <w:vAlign w:val="center"/>
          </w:tcPr>
          <w:p w14:paraId="5D650662">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spacing w:val="-6"/>
                <w:kern w:val="0"/>
                <w:szCs w:val="21"/>
                <w:highlight w:val="none"/>
              </w:rPr>
              <w:t>氯霉素、氧氟沙星、沙拉沙星</w:t>
            </w:r>
          </w:p>
        </w:tc>
      </w:tr>
      <w:tr w14:paraId="252D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48" w:type="pct"/>
            <w:vMerge w:val="continue"/>
            <w:noWrap w:val="0"/>
            <w:vAlign w:val="center"/>
          </w:tcPr>
          <w:p w14:paraId="5EA90FD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p>
        </w:tc>
        <w:tc>
          <w:tcPr>
            <w:tcW w:w="360" w:type="pct"/>
            <w:vMerge w:val="continue"/>
            <w:noWrap w:val="0"/>
            <w:vAlign w:val="center"/>
          </w:tcPr>
          <w:p w14:paraId="1E822C39">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p>
        </w:tc>
        <w:tc>
          <w:tcPr>
            <w:tcW w:w="360" w:type="pct"/>
            <w:vMerge w:val="continue"/>
            <w:noWrap w:val="0"/>
            <w:vAlign w:val="center"/>
          </w:tcPr>
          <w:p w14:paraId="5FA445D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p>
        </w:tc>
        <w:tc>
          <w:tcPr>
            <w:tcW w:w="438" w:type="pct"/>
            <w:vMerge w:val="continue"/>
            <w:noWrap w:val="0"/>
            <w:vAlign w:val="center"/>
          </w:tcPr>
          <w:p w14:paraId="7238BD8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p>
        </w:tc>
        <w:tc>
          <w:tcPr>
            <w:tcW w:w="607" w:type="pct"/>
            <w:noWrap w:val="0"/>
            <w:vAlign w:val="center"/>
          </w:tcPr>
          <w:p w14:paraId="036AA89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其他禽蛋</w:t>
            </w:r>
            <w:r>
              <w:rPr>
                <w:rFonts w:hint="eastAsia" w:eastAsia="仿宋_GB2312"/>
                <w:color w:val="auto"/>
                <w:kern w:val="0"/>
                <w:szCs w:val="21"/>
                <w:highlight w:val="none"/>
              </w:rPr>
              <w:t>*</w:t>
            </w:r>
          </w:p>
        </w:tc>
        <w:tc>
          <w:tcPr>
            <w:tcW w:w="279" w:type="pct"/>
            <w:noWrap w:val="0"/>
            <w:vAlign w:val="center"/>
          </w:tcPr>
          <w:p w14:paraId="7519C2D5">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color w:val="auto"/>
                <w:szCs w:val="21"/>
                <w:highlight w:val="none"/>
              </w:rPr>
            </w:pPr>
            <w:r>
              <w:rPr>
                <w:rFonts w:eastAsia="仿宋_GB2312"/>
                <w:color w:val="auto"/>
                <w:spacing w:val="-6"/>
                <w:kern w:val="0"/>
                <w:szCs w:val="21"/>
                <w:highlight w:val="none"/>
              </w:rPr>
              <w:t>高</w:t>
            </w:r>
          </w:p>
        </w:tc>
        <w:tc>
          <w:tcPr>
            <w:tcW w:w="1754" w:type="pct"/>
            <w:noWrap w:val="0"/>
            <w:vAlign w:val="center"/>
          </w:tcPr>
          <w:p w14:paraId="7643DA5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szCs w:val="21"/>
                <w:highlight w:val="none"/>
              </w:rPr>
            </w:pPr>
            <w:r>
              <w:rPr>
                <w:rFonts w:eastAsia="仿宋_GB2312"/>
                <w:color w:val="auto"/>
                <w:spacing w:val="-6"/>
                <w:kern w:val="0"/>
                <w:szCs w:val="21"/>
                <w:highlight w:val="none"/>
              </w:rPr>
              <w:t>磺胺类(总量)、多西环素</w:t>
            </w:r>
          </w:p>
        </w:tc>
        <w:tc>
          <w:tcPr>
            <w:tcW w:w="1051" w:type="pct"/>
            <w:noWrap w:val="0"/>
            <w:vAlign w:val="center"/>
          </w:tcPr>
          <w:p w14:paraId="58CCC69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color w:val="auto"/>
                <w:kern w:val="0"/>
                <w:szCs w:val="21"/>
                <w:highlight w:val="none"/>
              </w:rPr>
            </w:pPr>
            <w:r>
              <w:rPr>
                <w:rFonts w:eastAsia="仿宋_GB2312"/>
                <w:color w:val="auto"/>
                <w:spacing w:val="-6"/>
                <w:kern w:val="0"/>
                <w:szCs w:val="21"/>
                <w:highlight w:val="none"/>
              </w:rPr>
              <w:t>呋喃唑酮代谢物</w:t>
            </w:r>
            <w:r>
              <w:rPr>
                <w:rFonts w:eastAsia="仿宋_GB2312"/>
                <w:color w:val="auto"/>
                <w:kern w:val="0"/>
                <w:szCs w:val="21"/>
                <w:highlight w:val="none"/>
              </w:rPr>
              <w:t>、呋喃西林代谢物</w:t>
            </w:r>
            <w:r>
              <w:rPr>
                <w:rFonts w:eastAsia="仿宋_GB2312"/>
                <w:color w:val="auto"/>
                <w:spacing w:val="-6"/>
                <w:kern w:val="0"/>
                <w:szCs w:val="21"/>
                <w:highlight w:val="none"/>
              </w:rPr>
              <w:t>、氯霉素</w:t>
            </w:r>
          </w:p>
        </w:tc>
      </w:tr>
      <w:tr w14:paraId="6C2F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48" w:type="pct"/>
            <w:noWrap w:val="0"/>
            <w:vAlign w:val="center"/>
          </w:tcPr>
          <w:p w14:paraId="085DA4F8">
            <w:pPr>
              <w:widowControl/>
              <w:spacing w:line="300" w:lineRule="exact"/>
              <w:jc w:val="center"/>
              <w:rPr>
                <w:rFonts w:eastAsia="仿宋_GB2312"/>
                <w:color w:val="auto"/>
                <w:szCs w:val="21"/>
                <w:highlight w:val="none"/>
              </w:rPr>
            </w:pPr>
            <w:r>
              <w:rPr>
                <w:rFonts w:eastAsia="仿宋_GB2312"/>
                <w:color w:val="auto"/>
                <w:kern w:val="0"/>
                <w:szCs w:val="21"/>
                <w:highlight w:val="none"/>
              </w:rPr>
              <w:t>6</w:t>
            </w:r>
          </w:p>
        </w:tc>
        <w:tc>
          <w:tcPr>
            <w:tcW w:w="360" w:type="pct"/>
            <w:noWrap w:val="0"/>
            <w:vAlign w:val="center"/>
          </w:tcPr>
          <w:p w14:paraId="1DDFFC05">
            <w:pPr>
              <w:widowControl/>
              <w:spacing w:line="300" w:lineRule="exact"/>
              <w:jc w:val="center"/>
              <w:rPr>
                <w:rFonts w:eastAsia="仿宋_GB2312"/>
                <w:color w:val="auto"/>
                <w:szCs w:val="21"/>
                <w:highlight w:val="none"/>
              </w:rPr>
            </w:pPr>
            <w:r>
              <w:rPr>
                <w:rFonts w:eastAsia="仿宋_GB2312"/>
                <w:color w:val="auto"/>
                <w:kern w:val="0"/>
                <w:szCs w:val="21"/>
                <w:highlight w:val="none"/>
              </w:rPr>
              <w:t>豆类</w:t>
            </w:r>
          </w:p>
        </w:tc>
        <w:tc>
          <w:tcPr>
            <w:tcW w:w="360" w:type="pct"/>
            <w:noWrap w:val="0"/>
            <w:vAlign w:val="center"/>
          </w:tcPr>
          <w:p w14:paraId="25BC4400">
            <w:pPr>
              <w:widowControl/>
              <w:spacing w:line="300" w:lineRule="exact"/>
              <w:jc w:val="center"/>
              <w:rPr>
                <w:rFonts w:eastAsia="仿宋_GB2312"/>
                <w:color w:val="auto"/>
                <w:szCs w:val="21"/>
                <w:highlight w:val="none"/>
              </w:rPr>
            </w:pPr>
            <w:r>
              <w:rPr>
                <w:rFonts w:eastAsia="仿宋_GB2312"/>
                <w:color w:val="auto"/>
                <w:kern w:val="0"/>
                <w:szCs w:val="21"/>
                <w:highlight w:val="none"/>
              </w:rPr>
              <w:t>豆类</w:t>
            </w:r>
          </w:p>
        </w:tc>
        <w:tc>
          <w:tcPr>
            <w:tcW w:w="438" w:type="pct"/>
            <w:noWrap w:val="0"/>
            <w:vAlign w:val="center"/>
          </w:tcPr>
          <w:p w14:paraId="64925A25">
            <w:pPr>
              <w:widowControl/>
              <w:spacing w:line="300" w:lineRule="exact"/>
              <w:jc w:val="center"/>
              <w:rPr>
                <w:rFonts w:eastAsia="仿宋_GB2312"/>
                <w:color w:val="auto"/>
                <w:szCs w:val="21"/>
                <w:highlight w:val="none"/>
              </w:rPr>
            </w:pPr>
            <w:r>
              <w:rPr>
                <w:rFonts w:eastAsia="仿宋_GB2312"/>
                <w:color w:val="auto"/>
                <w:kern w:val="0"/>
                <w:szCs w:val="21"/>
                <w:highlight w:val="none"/>
              </w:rPr>
              <w:t>豆类</w:t>
            </w:r>
          </w:p>
        </w:tc>
        <w:tc>
          <w:tcPr>
            <w:tcW w:w="607" w:type="pct"/>
            <w:noWrap w:val="0"/>
            <w:vAlign w:val="center"/>
          </w:tcPr>
          <w:p w14:paraId="3CE36830">
            <w:pPr>
              <w:widowControl/>
              <w:spacing w:line="300" w:lineRule="exact"/>
              <w:jc w:val="center"/>
              <w:rPr>
                <w:rFonts w:eastAsia="仿宋_GB2312"/>
                <w:color w:val="auto"/>
                <w:spacing w:val="-6"/>
                <w:kern w:val="0"/>
                <w:szCs w:val="21"/>
                <w:highlight w:val="none"/>
              </w:rPr>
            </w:pPr>
            <w:r>
              <w:rPr>
                <w:rFonts w:eastAsia="仿宋_GB2312"/>
                <w:color w:val="auto"/>
                <w:kern w:val="0"/>
                <w:szCs w:val="21"/>
                <w:highlight w:val="none"/>
              </w:rPr>
              <w:t>豆类</w:t>
            </w:r>
          </w:p>
        </w:tc>
        <w:tc>
          <w:tcPr>
            <w:tcW w:w="279" w:type="pct"/>
            <w:noWrap w:val="0"/>
            <w:vAlign w:val="center"/>
          </w:tcPr>
          <w:p w14:paraId="5D3872FA">
            <w:pPr>
              <w:widowControl/>
              <w:spacing w:line="300" w:lineRule="exact"/>
              <w:jc w:val="center"/>
              <w:rPr>
                <w:rFonts w:eastAsia="仿宋_GB2312"/>
                <w:color w:val="auto"/>
                <w:spacing w:val="-6"/>
                <w:kern w:val="0"/>
                <w:szCs w:val="21"/>
                <w:highlight w:val="none"/>
              </w:rPr>
            </w:pPr>
            <w:r>
              <w:rPr>
                <w:rFonts w:eastAsia="仿宋_GB2312"/>
                <w:color w:val="auto"/>
                <w:kern w:val="0"/>
                <w:szCs w:val="21"/>
                <w:highlight w:val="none"/>
              </w:rPr>
              <w:t>一般</w:t>
            </w:r>
          </w:p>
        </w:tc>
        <w:tc>
          <w:tcPr>
            <w:tcW w:w="1754" w:type="pct"/>
            <w:noWrap w:val="0"/>
            <w:vAlign w:val="center"/>
          </w:tcPr>
          <w:p w14:paraId="5855E3A7">
            <w:pPr>
              <w:widowControl/>
              <w:spacing w:line="300" w:lineRule="exact"/>
              <w:jc w:val="left"/>
              <w:rPr>
                <w:rFonts w:eastAsia="仿宋_GB2312"/>
                <w:color w:val="auto"/>
                <w:spacing w:val="-6"/>
                <w:kern w:val="0"/>
                <w:szCs w:val="21"/>
                <w:highlight w:val="none"/>
              </w:rPr>
            </w:pPr>
            <w:r>
              <w:rPr>
                <w:rFonts w:eastAsia="仿宋_GB2312"/>
                <w:color w:val="auto"/>
                <w:kern w:val="0"/>
                <w:szCs w:val="21"/>
                <w:highlight w:val="none"/>
              </w:rPr>
              <w:t>铅（以Pb计）、铬（以Cr计）、赭曲霉毒素A、吡虫啉、环丙唑醇、噻虫胺、噻虫嗪</w:t>
            </w:r>
          </w:p>
        </w:tc>
        <w:tc>
          <w:tcPr>
            <w:tcW w:w="1051" w:type="pct"/>
            <w:noWrap w:val="0"/>
            <w:vAlign w:val="center"/>
          </w:tcPr>
          <w:p w14:paraId="565659F8">
            <w:pPr>
              <w:widowControl/>
              <w:spacing w:line="300" w:lineRule="exact"/>
              <w:jc w:val="left"/>
              <w:rPr>
                <w:rFonts w:eastAsia="仿宋_GB2312"/>
                <w:color w:val="auto"/>
                <w:spacing w:val="-6"/>
                <w:kern w:val="0"/>
                <w:szCs w:val="21"/>
                <w:highlight w:val="none"/>
              </w:rPr>
            </w:pPr>
            <w:r>
              <w:rPr>
                <w:rFonts w:eastAsia="仿宋_GB2312"/>
                <w:color w:val="auto"/>
                <w:kern w:val="0"/>
                <w:szCs w:val="21"/>
                <w:highlight w:val="none"/>
              </w:rPr>
              <w:t>/</w:t>
            </w:r>
          </w:p>
        </w:tc>
      </w:tr>
      <w:tr w14:paraId="0A86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noWrap w:val="0"/>
            <w:vAlign w:val="center"/>
          </w:tcPr>
          <w:p w14:paraId="5A7EE821">
            <w:pPr>
              <w:spacing w:line="300" w:lineRule="exact"/>
              <w:jc w:val="center"/>
              <w:rPr>
                <w:rFonts w:eastAsia="仿宋_GB2312"/>
                <w:color w:val="auto"/>
                <w:szCs w:val="21"/>
                <w:highlight w:val="none"/>
              </w:rPr>
            </w:pPr>
            <w:r>
              <w:rPr>
                <w:rFonts w:eastAsia="仿宋_GB2312"/>
                <w:color w:val="auto"/>
                <w:szCs w:val="21"/>
                <w:highlight w:val="none"/>
              </w:rPr>
              <w:t>7</w:t>
            </w:r>
          </w:p>
          <w:p w14:paraId="0150FF56">
            <w:pPr>
              <w:spacing w:line="300" w:lineRule="exact"/>
              <w:jc w:val="center"/>
              <w:rPr>
                <w:rFonts w:eastAsia="仿宋_GB2312"/>
                <w:color w:val="auto"/>
                <w:szCs w:val="21"/>
                <w:highlight w:val="none"/>
              </w:rPr>
            </w:pPr>
          </w:p>
        </w:tc>
        <w:tc>
          <w:tcPr>
            <w:tcW w:w="360" w:type="pct"/>
            <w:vMerge w:val="restart"/>
            <w:noWrap w:val="0"/>
            <w:vAlign w:val="center"/>
          </w:tcPr>
          <w:p w14:paraId="3D84178B">
            <w:pPr>
              <w:spacing w:line="300" w:lineRule="exact"/>
              <w:jc w:val="center"/>
              <w:rPr>
                <w:rFonts w:eastAsia="仿宋_GB2312"/>
                <w:color w:val="auto"/>
                <w:szCs w:val="21"/>
                <w:highlight w:val="none"/>
              </w:rPr>
            </w:pPr>
            <w:r>
              <w:rPr>
                <w:rFonts w:eastAsia="仿宋_GB2312"/>
                <w:color w:val="auto"/>
                <w:szCs w:val="21"/>
                <w:highlight w:val="none"/>
              </w:rPr>
              <w:t>生干坚果与籽类食品</w:t>
            </w:r>
          </w:p>
        </w:tc>
        <w:tc>
          <w:tcPr>
            <w:tcW w:w="360" w:type="pct"/>
            <w:vMerge w:val="restart"/>
            <w:noWrap w:val="0"/>
            <w:vAlign w:val="center"/>
          </w:tcPr>
          <w:p w14:paraId="53BE89B2">
            <w:pPr>
              <w:spacing w:line="300" w:lineRule="exact"/>
              <w:jc w:val="center"/>
              <w:rPr>
                <w:rFonts w:eastAsia="仿宋_GB2312"/>
                <w:color w:val="auto"/>
                <w:szCs w:val="21"/>
                <w:highlight w:val="none"/>
              </w:rPr>
            </w:pPr>
            <w:r>
              <w:rPr>
                <w:rFonts w:eastAsia="仿宋_GB2312"/>
                <w:color w:val="auto"/>
                <w:szCs w:val="21"/>
                <w:highlight w:val="none"/>
              </w:rPr>
              <w:t>生干坚果与籽类食品</w:t>
            </w:r>
          </w:p>
        </w:tc>
        <w:tc>
          <w:tcPr>
            <w:tcW w:w="438" w:type="pct"/>
            <w:vMerge w:val="restart"/>
            <w:noWrap w:val="0"/>
            <w:vAlign w:val="center"/>
          </w:tcPr>
          <w:p w14:paraId="064921FF">
            <w:pPr>
              <w:spacing w:line="300" w:lineRule="exact"/>
              <w:jc w:val="center"/>
              <w:rPr>
                <w:rFonts w:eastAsia="仿宋_GB2312"/>
                <w:color w:val="auto"/>
                <w:szCs w:val="21"/>
                <w:highlight w:val="none"/>
              </w:rPr>
            </w:pPr>
            <w:r>
              <w:rPr>
                <w:rFonts w:eastAsia="仿宋_GB2312"/>
                <w:color w:val="auto"/>
                <w:szCs w:val="21"/>
                <w:highlight w:val="none"/>
              </w:rPr>
              <w:t>生干坚果与籽类食品</w:t>
            </w:r>
          </w:p>
        </w:tc>
        <w:tc>
          <w:tcPr>
            <w:tcW w:w="607" w:type="pct"/>
            <w:noWrap w:val="0"/>
            <w:vAlign w:val="center"/>
          </w:tcPr>
          <w:p w14:paraId="3C12A1D8">
            <w:pPr>
              <w:spacing w:line="300" w:lineRule="exact"/>
              <w:jc w:val="center"/>
              <w:rPr>
                <w:rFonts w:eastAsia="仿宋_GB2312"/>
                <w:color w:val="auto"/>
                <w:szCs w:val="21"/>
                <w:highlight w:val="none"/>
              </w:rPr>
            </w:pPr>
            <w:r>
              <w:rPr>
                <w:rFonts w:eastAsia="仿宋_GB2312"/>
                <w:color w:val="auto"/>
                <w:szCs w:val="21"/>
                <w:highlight w:val="none"/>
              </w:rPr>
              <w:t>生干坚果</w:t>
            </w:r>
          </w:p>
        </w:tc>
        <w:tc>
          <w:tcPr>
            <w:tcW w:w="279" w:type="pct"/>
            <w:noWrap w:val="0"/>
            <w:vAlign w:val="center"/>
          </w:tcPr>
          <w:p w14:paraId="782B37D2">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754" w:type="pct"/>
            <w:noWrap w:val="0"/>
            <w:vAlign w:val="center"/>
          </w:tcPr>
          <w:p w14:paraId="64CB4EC7">
            <w:pPr>
              <w:spacing w:line="300" w:lineRule="exact"/>
              <w:jc w:val="left"/>
              <w:rPr>
                <w:rFonts w:eastAsia="仿宋_GB2312"/>
                <w:color w:val="auto"/>
                <w:szCs w:val="21"/>
                <w:highlight w:val="none"/>
              </w:rPr>
            </w:pPr>
            <w:r>
              <w:rPr>
                <w:rFonts w:eastAsia="仿宋_GB2312"/>
                <w:color w:val="auto"/>
                <w:szCs w:val="21"/>
                <w:highlight w:val="none"/>
              </w:rPr>
              <w:t>酸价(以脂肪计)(KOH)、过氧化值(以脂肪计)、二氧化硫残留量、吡虫啉</w:t>
            </w:r>
          </w:p>
        </w:tc>
        <w:tc>
          <w:tcPr>
            <w:tcW w:w="1051" w:type="pct"/>
            <w:noWrap w:val="0"/>
            <w:vAlign w:val="center"/>
          </w:tcPr>
          <w:p w14:paraId="12C7524C">
            <w:pPr>
              <w:spacing w:line="300" w:lineRule="exact"/>
              <w:jc w:val="left"/>
              <w:rPr>
                <w:rFonts w:eastAsia="仿宋_GB2312"/>
                <w:color w:val="auto"/>
                <w:szCs w:val="21"/>
                <w:highlight w:val="none"/>
              </w:rPr>
            </w:pPr>
            <w:r>
              <w:rPr>
                <w:rFonts w:eastAsia="仿宋_GB2312"/>
                <w:color w:val="auto"/>
                <w:szCs w:val="21"/>
                <w:highlight w:val="none"/>
              </w:rPr>
              <w:t>/</w:t>
            </w:r>
          </w:p>
        </w:tc>
      </w:tr>
      <w:tr w14:paraId="041E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2E10846E">
            <w:pPr>
              <w:spacing w:line="300" w:lineRule="exact"/>
              <w:jc w:val="center"/>
              <w:rPr>
                <w:rFonts w:eastAsia="仿宋_GB2312"/>
                <w:color w:val="auto"/>
                <w:szCs w:val="21"/>
                <w:highlight w:val="none"/>
              </w:rPr>
            </w:pPr>
          </w:p>
        </w:tc>
        <w:tc>
          <w:tcPr>
            <w:tcW w:w="360" w:type="pct"/>
            <w:vMerge w:val="continue"/>
            <w:noWrap w:val="0"/>
            <w:vAlign w:val="center"/>
          </w:tcPr>
          <w:p w14:paraId="0495B63D">
            <w:pPr>
              <w:spacing w:line="300" w:lineRule="exact"/>
              <w:jc w:val="center"/>
              <w:rPr>
                <w:rFonts w:eastAsia="仿宋_GB2312"/>
                <w:color w:val="auto"/>
                <w:szCs w:val="21"/>
                <w:highlight w:val="none"/>
              </w:rPr>
            </w:pPr>
          </w:p>
        </w:tc>
        <w:tc>
          <w:tcPr>
            <w:tcW w:w="360" w:type="pct"/>
            <w:vMerge w:val="continue"/>
            <w:noWrap w:val="0"/>
            <w:vAlign w:val="center"/>
          </w:tcPr>
          <w:p w14:paraId="7596C85C">
            <w:pPr>
              <w:spacing w:line="300" w:lineRule="exact"/>
              <w:jc w:val="center"/>
              <w:rPr>
                <w:rFonts w:eastAsia="仿宋_GB2312"/>
                <w:color w:val="auto"/>
                <w:szCs w:val="21"/>
                <w:highlight w:val="none"/>
              </w:rPr>
            </w:pPr>
          </w:p>
        </w:tc>
        <w:tc>
          <w:tcPr>
            <w:tcW w:w="438" w:type="pct"/>
            <w:vMerge w:val="continue"/>
            <w:noWrap w:val="0"/>
            <w:vAlign w:val="center"/>
          </w:tcPr>
          <w:p w14:paraId="534CC32F">
            <w:pPr>
              <w:spacing w:line="300" w:lineRule="exact"/>
              <w:jc w:val="center"/>
              <w:rPr>
                <w:rFonts w:eastAsia="仿宋_GB2312"/>
                <w:color w:val="auto"/>
                <w:szCs w:val="21"/>
                <w:highlight w:val="none"/>
              </w:rPr>
            </w:pPr>
          </w:p>
        </w:tc>
        <w:tc>
          <w:tcPr>
            <w:tcW w:w="607" w:type="pct"/>
            <w:noWrap w:val="0"/>
            <w:vAlign w:val="center"/>
          </w:tcPr>
          <w:p w14:paraId="693218C5">
            <w:pPr>
              <w:spacing w:line="300" w:lineRule="exact"/>
              <w:jc w:val="center"/>
              <w:rPr>
                <w:rFonts w:eastAsia="仿宋_GB2312"/>
                <w:color w:val="auto"/>
                <w:szCs w:val="21"/>
                <w:highlight w:val="none"/>
              </w:rPr>
            </w:pPr>
            <w:r>
              <w:rPr>
                <w:rFonts w:eastAsia="仿宋_GB2312"/>
                <w:color w:val="auto"/>
                <w:szCs w:val="21"/>
                <w:highlight w:val="none"/>
              </w:rPr>
              <w:t>花生</w:t>
            </w:r>
            <w:r>
              <w:rPr>
                <w:rFonts w:hint="eastAsia" w:eastAsia="仿宋_GB2312"/>
                <w:color w:val="auto"/>
                <w:kern w:val="0"/>
                <w:szCs w:val="21"/>
                <w:highlight w:val="none"/>
              </w:rPr>
              <w:t>*</w:t>
            </w:r>
          </w:p>
        </w:tc>
        <w:tc>
          <w:tcPr>
            <w:tcW w:w="279" w:type="pct"/>
            <w:noWrap w:val="0"/>
            <w:vAlign w:val="center"/>
          </w:tcPr>
          <w:p w14:paraId="10D40339">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754" w:type="pct"/>
            <w:noWrap w:val="0"/>
            <w:vAlign w:val="center"/>
          </w:tcPr>
          <w:p w14:paraId="14173ED8">
            <w:pPr>
              <w:spacing w:line="300" w:lineRule="exact"/>
              <w:jc w:val="left"/>
              <w:rPr>
                <w:rFonts w:eastAsia="仿宋_GB2312"/>
                <w:color w:val="auto"/>
                <w:szCs w:val="21"/>
                <w:highlight w:val="none"/>
              </w:rPr>
            </w:pPr>
            <w:r>
              <w:rPr>
                <w:rFonts w:eastAsia="仿宋_GB2312"/>
                <w:color w:val="auto"/>
                <w:szCs w:val="21"/>
                <w:highlight w:val="none"/>
              </w:rPr>
              <w:t>酸价 (以脂肪计) (KOH)、黄曲霉毒素 B</w:t>
            </w:r>
            <w:r>
              <w:rPr>
                <w:rFonts w:eastAsia="仿宋_GB2312"/>
                <w:color w:val="auto"/>
                <w:szCs w:val="21"/>
                <w:highlight w:val="none"/>
                <w:vertAlign w:val="subscript"/>
              </w:rPr>
              <w:t>1</w:t>
            </w:r>
          </w:p>
        </w:tc>
        <w:tc>
          <w:tcPr>
            <w:tcW w:w="1051" w:type="pct"/>
            <w:noWrap w:val="0"/>
            <w:vAlign w:val="center"/>
          </w:tcPr>
          <w:p w14:paraId="12CC77FF">
            <w:pPr>
              <w:spacing w:line="300" w:lineRule="exact"/>
              <w:jc w:val="left"/>
              <w:rPr>
                <w:rFonts w:eastAsia="仿宋_GB2312"/>
                <w:color w:val="auto"/>
                <w:szCs w:val="21"/>
                <w:highlight w:val="none"/>
              </w:rPr>
            </w:pPr>
            <w:r>
              <w:rPr>
                <w:rFonts w:eastAsia="仿宋_GB2312"/>
                <w:color w:val="auto"/>
                <w:szCs w:val="21"/>
                <w:highlight w:val="none"/>
              </w:rPr>
              <w:t>铅 (以Pb计)、镉（以 Cd 计）、噻虫嗪 、噻虫胺、过氧化值(以脂肪计)</w:t>
            </w:r>
          </w:p>
        </w:tc>
      </w:tr>
      <w:tr w14:paraId="6A9A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noWrap w:val="0"/>
            <w:vAlign w:val="center"/>
          </w:tcPr>
          <w:p w14:paraId="73EEE5A8">
            <w:pPr>
              <w:spacing w:line="300" w:lineRule="exact"/>
              <w:jc w:val="center"/>
              <w:rPr>
                <w:rFonts w:eastAsia="仿宋_GB2312"/>
                <w:color w:val="auto"/>
                <w:szCs w:val="21"/>
                <w:highlight w:val="none"/>
              </w:rPr>
            </w:pPr>
          </w:p>
        </w:tc>
        <w:tc>
          <w:tcPr>
            <w:tcW w:w="360" w:type="pct"/>
            <w:vMerge w:val="continue"/>
            <w:noWrap w:val="0"/>
            <w:vAlign w:val="center"/>
          </w:tcPr>
          <w:p w14:paraId="17F734C4">
            <w:pPr>
              <w:spacing w:line="300" w:lineRule="exact"/>
              <w:jc w:val="center"/>
              <w:rPr>
                <w:rFonts w:eastAsia="仿宋_GB2312"/>
                <w:color w:val="auto"/>
                <w:szCs w:val="21"/>
                <w:highlight w:val="none"/>
              </w:rPr>
            </w:pPr>
          </w:p>
        </w:tc>
        <w:tc>
          <w:tcPr>
            <w:tcW w:w="360" w:type="pct"/>
            <w:vMerge w:val="continue"/>
            <w:noWrap w:val="0"/>
            <w:vAlign w:val="center"/>
          </w:tcPr>
          <w:p w14:paraId="3D0D959E">
            <w:pPr>
              <w:spacing w:line="300" w:lineRule="exact"/>
              <w:jc w:val="center"/>
              <w:rPr>
                <w:rFonts w:eastAsia="仿宋_GB2312"/>
                <w:color w:val="auto"/>
                <w:szCs w:val="21"/>
                <w:highlight w:val="none"/>
              </w:rPr>
            </w:pPr>
          </w:p>
        </w:tc>
        <w:tc>
          <w:tcPr>
            <w:tcW w:w="438" w:type="pct"/>
            <w:vMerge w:val="continue"/>
            <w:noWrap w:val="0"/>
            <w:vAlign w:val="center"/>
          </w:tcPr>
          <w:p w14:paraId="752792C7">
            <w:pPr>
              <w:spacing w:line="300" w:lineRule="exact"/>
              <w:jc w:val="center"/>
              <w:rPr>
                <w:rFonts w:eastAsia="仿宋_GB2312"/>
                <w:color w:val="auto"/>
                <w:szCs w:val="21"/>
                <w:highlight w:val="none"/>
              </w:rPr>
            </w:pPr>
          </w:p>
        </w:tc>
        <w:tc>
          <w:tcPr>
            <w:tcW w:w="607" w:type="pct"/>
            <w:noWrap w:val="0"/>
            <w:vAlign w:val="center"/>
          </w:tcPr>
          <w:p w14:paraId="5C84DEE6">
            <w:pPr>
              <w:spacing w:line="300" w:lineRule="exact"/>
              <w:jc w:val="center"/>
              <w:rPr>
                <w:rFonts w:eastAsia="仿宋_GB2312"/>
                <w:color w:val="auto"/>
                <w:szCs w:val="21"/>
                <w:highlight w:val="none"/>
              </w:rPr>
            </w:pPr>
            <w:r>
              <w:rPr>
                <w:rFonts w:eastAsia="仿宋_GB2312"/>
                <w:color w:val="auto"/>
                <w:szCs w:val="21"/>
                <w:highlight w:val="none"/>
              </w:rPr>
              <w:t>其他籽类</w:t>
            </w:r>
          </w:p>
        </w:tc>
        <w:tc>
          <w:tcPr>
            <w:tcW w:w="279" w:type="pct"/>
            <w:noWrap w:val="0"/>
            <w:vAlign w:val="center"/>
          </w:tcPr>
          <w:p w14:paraId="525D91E5">
            <w:pPr>
              <w:spacing w:line="300" w:lineRule="exact"/>
              <w:jc w:val="center"/>
              <w:rPr>
                <w:rFonts w:eastAsia="仿宋_GB2312"/>
                <w:color w:val="auto"/>
                <w:szCs w:val="21"/>
                <w:highlight w:val="none"/>
              </w:rPr>
            </w:pPr>
            <w:r>
              <w:rPr>
                <w:rFonts w:eastAsia="仿宋_GB2312"/>
                <w:color w:val="auto"/>
                <w:szCs w:val="21"/>
                <w:highlight w:val="none"/>
              </w:rPr>
              <w:t>一般</w:t>
            </w:r>
          </w:p>
        </w:tc>
        <w:tc>
          <w:tcPr>
            <w:tcW w:w="1754" w:type="pct"/>
            <w:noWrap w:val="0"/>
            <w:vAlign w:val="center"/>
          </w:tcPr>
          <w:p w14:paraId="500DDFAD">
            <w:pPr>
              <w:spacing w:line="300" w:lineRule="exact"/>
              <w:jc w:val="left"/>
              <w:rPr>
                <w:rFonts w:eastAsia="仿宋_GB2312"/>
                <w:color w:val="auto"/>
                <w:szCs w:val="21"/>
                <w:highlight w:val="none"/>
              </w:rPr>
            </w:pPr>
            <w:r>
              <w:rPr>
                <w:rFonts w:eastAsia="仿宋_GB2312"/>
                <w:color w:val="auto"/>
                <w:szCs w:val="21"/>
                <w:highlight w:val="none"/>
              </w:rPr>
              <w:t>酸价 (以脂肪计) (KOH)、过氧化值(以脂肪计)、铅 (以 Pb 计)、噻虫嗪 、噻虫胺</w:t>
            </w:r>
          </w:p>
        </w:tc>
        <w:tc>
          <w:tcPr>
            <w:tcW w:w="1051" w:type="pct"/>
            <w:noWrap w:val="0"/>
            <w:vAlign w:val="center"/>
          </w:tcPr>
          <w:p w14:paraId="0705C2DF">
            <w:pPr>
              <w:spacing w:line="300" w:lineRule="exact"/>
              <w:jc w:val="left"/>
              <w:rPr>
                <w:rFonts w:eastAsia="仿宋_GB2312"/>
                <w:color w:val="auto"/>
                <w:szCs w:val="21"/>
                <w:highlight w:val="none"/>
              </w:rPr>
            </w:pPr>
            <w:r>
              <w:rPr>
                <w:rFonts w:eastAsia="仿宋_GB2312"/>
                <w:color w:val="auto"/>
                <w:szCs w:val="21"/>
                <w:highlight w:val="none"/>
              </w:rPr>
              <w:t>/</w:t>
            </w:r>
          </w:p>
        </w:tc>
      </w:tr>
      <w:tr w14:paraId="4EA7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4E5B66A4">
            <w:pPr>
              <w:pStyle w:val="132"/>
              <w:spacing w:before="180" w:line="400" w:lineRule="exact"/>
              <w:ind w:right="6"/>
              <w:rPr>
                <w:rFonts w:hint="eastAsia" w:ascii="Times New Roman" w:hAnsi="Times New Roman" w:eastAsia="仿宋_GB2312" w:cs="Times New Roman"/>
                <w:color w:val="auto"/>
                <w:spacing w:val="-4"/>
                <w:sz w:val="21"/>
                <w:szCs w:val="21"/>
                <w:highlight w:val="none"/>
              </w:rPr>
            </w:pPr>
            <w:r>
              <w:rPr>
                <w:rFonts w:ascii="Times New Roman" w:hAnsi="Times New Roman" w:eastAsia="仿宋_GB2312" w:cs="Times New Roman"/>
                <w:b/>
                <w:bCs/>
                <w:color w:val="auto"/>
                <w:spacing w:val="-4"/>
                <w:sz w:val="21"/>
                <w:szCs w:val="21"/>
                <w:highlight w:val="none"/>
              </w:rPr>
              <w:t>注：</w:t>
            </w:r>
            <w:r>
              <w:rPr>
                <w:rFonts w:ascii="Times New Roman" w:hAnsi="Times New Roman" w:eastAsia="仿宋_GB2312" w:cs="Times New Roman"/>
                <w:color w:val="auto"/>
                <w:spacing w:val="-4"/>
                <w:sz w:val="21"/>
                <w:szCs w:val="21"/>
                <w:highlight w:val="none"/>
              </w:rPr>
              <w:t>1.</w:t>
            </w:r>
            <w:r>
              <w:rPr>
                <w:rFonts w:hint="eastAsia" w:ascii="Times New Roman" w:hAnsi="Times New Roman" w:eastAsia="仿宋_GB2312" w:cs="Times New Roman"/>
                <w:color w:val="auto"/>
                <w:spacing w:val="-4"/>
                <w:sz w:val="21"/>
                <w:szCs w:val="21"/>
                <w:highlight w:val="none"/>
              </w:rPr>
              <w:t>带*的食品细类为必检品种，各市县必须开展该品种抽检，必检项目全项检测，选检项目检测至少选2项。不带*的食品细类不做强制抽检要求，若抽检，必检项目全项检测，选检项目不做强制要求。</w:t>
            </w:r>
          </w:p>
          <w:p w14:paraId="3915DC08">
            <w:pPr>
              <w:pStyle w:val="132"/>
              <w:spacing w:before="180" w:line="400" w:lineRule="exact"/>
              <w:ind w:right="6" w:firstLine="404" w:firstLineChars="200"/>
              <w:rPr>
                <w:rFonts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pacing w:val="-4"/>
                <w:sz w:val="21"/>
                <w:szCs w:val="21"/>
                <w:highlight w:val="none"/>
              </w:rPr>
              <w:t>2.</w:t>
            </w:r>
            <w:r>
              <w:rPr>
                <w:rFonts w:ascii="Times New Roman" w:hAnsi="Times New Roman" w:eastAsia="仿宋_GB2312" w:cs="Times New Roman"/>
                <w:color w:val="auto"/>
                <w:spacing w:val="-4"/>
                <w:sz w:val="21"/>
                <w:szCs w:val="21"/>
                <w:highlight w:val="none"/>
              </w:rPr>
              <w:t>部分项目检测结果说明：恩诺沙星检验结果以恩诺沙星与环丙沙星之和计；孔雀石绿检验结果以孔雀石绿与隐色孔雀石绿之和</w:t>
            </w:r>
            <w:r>
              <w:rPr>
                <w:rFonts w:ascii="Times New Roman" w:hAnsi="Times New Roman" w:eastAsia="仿宋_GB2312" w:cs="Times New Roman"/>
                <w:color w:val="auto"/>
                <w:spacing w:val="-5"/>
                <w:sz w:val="21"/>
                <w:szCs w:val="21"/>
                <w:highlight w:val="none"/>
              </w:rPr>
              <w:t>计，以孔雀石绿表示；磺胺</w:t>
            </w:r>
            <w:r>
              <w:rPr>
                <w:rFonts w:ascii="Times New Roman" w:hAnsi="Times New Roman" w:eastAsia="仿宋_GB2312" w:cs="Times New Roman"/>
                <w:color w:val="auto"/>
                <w:sz w:val="21"/>
                <w:szCs w:val="21"/>
                <w:highlight w:val="none"/>
              </w:rPr>
              <w:t>类(总量)包含的具体磺胺药物按食品安全监督抽检实施细则(2026年版)中相应食品类别要求检验。</w:t>
            </w:r>
          </w:p>
          <w:p w14:paraId="1E81D36B">
            <w:pPr>
              <w:pStyle w:val="132"/>
              <w:spacing w:before="180" w:line="400" w:lineRule="exact"/>
              <w:ind w:right="6" w:firstLine="420" w:firstLineChars="200"/>
              <w:rPr>
                <w:rFonts w:ascii="Times New Roman" w:hAnsi="Times New Roman" w:eastAsia="仿宋_GB2312" w:cs="Times New Roman"/>
                <w:color w:val="auto"/>
                <w:spacing w:val="-1"/>
                <w:sz w:val="21"/>
                <w:szCs w:val="21"/>
                <w:highlight w:val="none"/>
              </w:rPr>
            </w:pPr>
            <w:r>
              <w:rPr>
                <w:rFonts w:hint="eastAsia" w:ascii="Times New Roman" w:hAnsi="Times New Roman" w:eastAsia="仿宋_GB2312" w:cs="Times New Roman"/>
                <w:color w:val="auto"/>
                <w:sz w:val="21"/>
                <w:szCs w:val="21"/>
                <w:highlight w:val="none"/>
              </w:rPr>
              <w:t>3</w:t>
            </w:r>
            <w:r>
              <w:rPr>
                <w:rFonts w:ascii="Times New Roman" w:hAnsi="Times New Roman" w:eastAsia="仿宋_GB2312" w:cs="Times New Roman"/>
                <w:color w:val="auto"/>
                <w:sz w:val="21"/>
                <w:szCs w:val="21"/>
                <w:highlight w:val="none"/>
              </w:rPr>
              <w:t>.脂肪含量低的莲子、板栗类等食品，其酸价、过氧化值不作要</w:t>
            </w:r>
            <w:r>
              <w:rPr>
                <w:rFonts w:ascii="Times New Roman" w:hAnsi="Times New Roman" w:eastAsia="仿宋_GB2312" w:cs="Times New Roman"/>
                <w:color w:val="auto"/>
                <w:spacing w:val="-1"/>
                <w:sz w:val="21"/>
                <w:szCs w:val="21"/>
                <w:highlight w:val="none"/>
              </w:rPr>
              <w:t>求。</w:t>
            </w:r>
          </w:p>
          <w:p w14:paraId="3C9A0450">
            <w:pPr>
              <w:pStyle w:val="132"/>
              <w:spacing w:before="180" w:line="400" w:lineRule="exact"/>
              <w:ind w:right="6" w:firstLine="404" w:firstLineChars="200"/>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pacing w:val="-4"/>
                <w:sz w:val="21"/>
                <w:szCs w:val="21"/>
                <w:highlight w:val="none"/>
              </w:rPr>
              <w:t>4.因其他水产品中包含除重点品种牛蛙、鱿鱼外的其他水产品，其他禽蛋包含除鸭蛋、鹅蛋外的其他禽蛋无适用的多西环素检测方法，因此“国抽信息系统</w:t>
            </w:r>
            <w:r>
              <w:rPr>
                <w:rFonts w:ascii="Times New Roman" w:hAnsi="Times New Roman" w:eastAsia="仿宋_GB2312" w:cs="Times New Roman"/>
                <w:color w:val="auto"/>
                <w:sz w:val="21"/>
                <w:szCs w:val="21"/>
                <w:highlight w:val="none"/>
              </w:rPr>
              <w:t xml:space="preserve"> ”不作必检项限制，但各承检机构应按必检项目要求实施检验，不得漏检漏报。</w:t>
            </w:r>
          </w:p>
        </w:tc>
      </w:tr>
    </w:tbl>
    <w:p w14:paraId="03F08489">
      <w:pPr>
        <w:rPr>
          <w:color w:val="auto"/>
          <w:highlight w:val="none"/>
        </w:rPr>
      </w:pPr>
    </w:p>
    <w:p w14:paraId="2DBC1BC3">
      <w:pPr>
        <w:pStyle w:val="3"/>
        <w:jc w:val="center"/>
        <w:rPr>
          <w:rFonts w:ascii="宋体" w:hAnsi="宋体"/>
          <w:color w:val="auto"/>
          <w:highlight w:val="none"/>
        </w:rPr>
        <w:sectPr>
          <w:pgSz w:w="16838" w:h="11906" w:orient="landscape"/>
          <w:pgMar w:top="1134" w:right="1440" w:bottom="1134" w:left="1440" w:header="851" w:footer="992" w:gutter="0"/>
          <w:pgBorders>
            <w:top w:val="none" w:sz="0" w:space="0"/>
            <w:left w:val="none" w:sz="0" w:space="0"/>
            <w:bottom w:val="none" w:sz="0" w:space="0"/>
            <w:right w:val="none" w:sz="0" w:space="0"/>
          </w:pgBorders>
          <w:cols w:space="720" w:num="1"/>
          <w:docGrid w:linePitch="312" w:charSpace="0"/>
        </w:sectPr>
      </w:pPr>
      <w:bookmarkStart w:id="9" w:name="_Toc2994"/>
    </w:p>
    <w:p w14:paraId="0B3363B0">
      <w:pPr>
        <w:pStyle w:val="3"/>
        <w:jc w:val="center"/>
        <w:rPr>
          <w:rFonts w:hint="eastAsia"/>
          <w:color w:val="auto"/>
          <w:highlight w:val="none"/>
        </w:rPr>
      </w:pPr>
      <w:r>
        <w:rPr>
          <w:rFonts w:hint="eastAsia"/>
          <w:color w:val="auto"/>
          <w:highlight w:val="none"/>
        </w:rPr>
        <w:t>第三章  投标人须知</w:t>
      </w:r>
      <w:bookmarkEnd w:id="9"/>
    </w:p>
    <w:p w14:paraId="1B3ADA35">
      <w:pPr>
        <w:jc w:val="center"/>
        <w:rPr>
          <w:rFonts w:hint="eastAsia" w:ascii="宋体" w:hAnsi="宋体" w:cs="宋体"/>
          <w:color w:val="auto"/>
          <w:sz w:val="36"/>
          <w:szCs w:val="36"/>
          <w:highlight w:val="none"/>
        </w:rPr>
      </w:pPr>
      <w:bookmarkStart w:id="10" w:name="_Toc254970526"/>
      <w:bookmarkStart w:id="11" w:name="_Toc254970667"/>
      <w:r>
        <w:rPr>
          <w:rFonts w:hint="eastAsia" w:ascii="宋体" w:hAnsi="宋体" w:cs="宋体"/>
          <w:color w:val="auto"/>
          <w:sz w:val="36"/>
          <w:szCs w:val="36"/>
          <w:highlight w:val="none"/>
        </w:rPr>
        <w:t>投标人须知前附表</w:t>
      </w:r>
      <w:bookmarkEnd w:id="10"/>
      <w:bookmarkEnd w:id="11"/>
    </w:p>
    <w:tbl>
      <w:tblPr>
        <w:tblStyle w:val="4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52"/>
        <w:gridCol w:w="8802"/>
      </w:tblGrid>
      <w:tr w14:paraId="49BAB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7F15B287">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4E8B8C8D">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编列内容</w:t>
            </w:r>
          </w:p>
        </w:tc>
      </w:tr>
      <w:tr w14:paraId="68978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299C586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6C8798A7">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1.投标人的资格要求详见招标公告。</w:t>
            </w:r>
          </w:p>
          <w:p w14:paraId="61AC4577">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2.投标人出现下列情形之一的，不得参加政府采购活动：</w:t>
            </w:r>
          </w:p>
          <w:p w14:paraId="337FB6B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B8C6C0">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2FC11E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1B06FE08">
            <w:pPr>
              <w:spacing w:line="360" w:lineRule="auto"/>
              <w:jc w:val="center"/>
              <w:rPr>
                <w:rFonts w:hint="eastAsia" w:ascii="宋体" w:hAnsi="宋体" w:cs="宋体"/>
                <w:color w:val="auto"/>
                <w:szCs w:val="21"/>
                <w:highlight w:val="none"/>
              </w:rPr>
            </w:pPr>
            <w:bookmarkStart w:id="12" w:name="_8.1"/>
            <w:bookmarkEnd w:id="12"/>
            <w:bookmarkStart w:id="13" w:name="_9.2"/>
            <w:bookmarkEnd w:id="13"/>
            <w:bookmarkStart w:id="14" w:name="_5"/>
            <w:bookmarkEnd w:id="14"/>
            <w:r>
              <w:rPr>
                <w:rFonts w:hint="eastAsia" w:ascii="宋体" w:hAnsi="宋体" w:cs="宋体"/>
                <w:color w:val="auto"/>
                <w:szCs w:val="21"/>
                <w:highlight w:val="none"/>
              </w:rPr>
              <w:t>6.1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34D5CBCD">
            <w:pPr>
              <w:pStyle w:val="17"/>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本项目是否接受联合体投标：详见招标公告。</w:t>
            </w:r>
          </w:p>
        </w:tc>
      </w:tr>
      <w:tr w14:paraId="2E4C4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0686823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7.2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7C413247">
            <w:pPr>
              <w:pStyle w:val="17"/>
              <w:spacing w:line="360" w:lineRule="auto"/>
              <w:rPr>
                <w:rFonts w:hint="eastAsia" w:ascii="宋体" w:hAnsi="宋体" w:cs="宋体"/>
                <w:color w:val="auto"/>
                <w:szCs w:val="21"/>
                <w:highlight w:val="none"/>
                <w:lang w:val="en-US" w:eastAsia="zh-CN"/>
              </w:rPr>
            </w:pPr>
            <w:r>
              <w:rPr>
                <w:rFonts w:hint="eastAsia" w:ascii="Segoe UI Symbol" w:hAnsi="Segoe UI Symbol" w:cs="Segoe UI Symbol"/>
                <w:color w:val="auto"/>
                <w:szCs w:val="21"/>
                <w:highlight w:val="none"/>
                <w:lang w:val="en-US" w:eastAsia="zh-CN"/>
              </w:rPr>
              <w:t>☑</w:t>
            </w:r>
            <w:r>
              <w:rPr>
                <w:rFonts w:hint="eastAsia" w:ascii="宋体" w:hAnsi="宋体" w:cs="宋体"/>
                <w:color w:val="auto"/>
                <w:szCs w:val="21"/>
                <w:highlight w:val="none"/>
                <w:lang w:val="en-US" w:eastAsia="zh-CN"/>
              </w:rPr>
              <w:t>不允许分包</w:t>
            </w:r>
          </w:p>
          <w:p w14:paraId="32EB04FC">
            <w:pPr>
              <w:pStyle w:val="17"/>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sym w:font="Wingdings 2" w:char="00A3"/>
            </w:r>
            <w:r>
              <w:rPr>
                <w:rFonts w:hint="eastAsia" w:ascii="宋体" w:hAnsi="宋体" w:cs="宋体"/>
                <w:color w:val="auto"/>
                <w:szCs w:val="21"/>
                <w:highlight w:val="none"/>
                <w:lang w:val="en-US" w:eastAsia="zh-CN"/>
              </w:rPr>
              <w:t>允许分包</w:t>
            </w:r>
          </w:p>
          <w:p w14:paraId="33AC1988">
            <w:pPr>
              <w:pStyle w:val="17"/>
              <w:spacing w:line="360" w:lineRule="auto"/>
              <w:jc w:val="both"/>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lang w:val="en-US" w:eastAsia="zh-CN"/>
              </w:rPr>
              <w:t>允许分包内容：</w:t>
            </w:r>
            <w:r>
              <w:rPr>
                <w:rFonts w:hint="eastAsia" w:ascii="宋体" w:hAnsi="宋体" w:cs="宋体"/>
                <w:color w:val="auto"/>
                <w:szCs w:val="21"/>
                <w:highlight w:val="none"/>
                <w:u w:val="single"/>
                <w:lang w:val="en-US" w:eastAsia="zh-CN"/>
              </w:rPr>
              <w:t xml:space="preserve">                              </w:t>
            </w:r>
          </w:p>
        </w:tc>
      </w:tr>
      <w:tr w14:paraId="4F246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534" w:type="pct"/>
            <w:vMerge w:val="restart"/>
            <w:tcBorders>
              <w:top w:val="single" w:color="auto" w:sz="4" w:space="0"/>
              <w:left w:val="single" w:color="auto" w:sz="4" w:space="0"/>
              <w:right w:val="single" w:color="auto" w:sz="4" w:space="0"/>
            </w:tcBorders>
            <w:noWrap w:val="0"/>
            <w:vAlign w:val="center"/>
          </w:tcPr>
          <w:p w14:paraId="42C79A2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11.2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48AD5129">
            <w:pPr>
              <w:snapToGrid w:val="0"/>
              <w:spacing w:line="360" w:lineRule="auto"/>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不组织现场考察</w:t>
            </w:r>
          </w:p>
          <w:p w14:paraId="5D9E9CE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□组织现场考察：</w:t>
            </w:r>
          </w:p>
          <w:p w14:paraId="1B803616">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集中时间：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 分</w:t>
            </w:r>
            <w:r>
              <w:rPr>
                <w:rFonts w:hint="eastAsia" w:ascii="宋体" w:hAnsi="宋体" w:cs="宋体"/>
                <w:color w:val="auto"/>
                <w:szCs w:val="21"/>
                <w:highlight w:val="none"/>
              </w:rPr>
              <w:t>，逾期后果自负。集中地点：</w:t>
            </w:r>
            <w:r>
              <w:rPr>
                <w:rFonts w:hint="eastAsia" w:ascii="宋体" w:hAnsi="宋体" w:cs="宋体"/>
                <w:color w:val="auto"/>
                <w:szCs w:val="21"/>
                <w:highlight w:val="none"/>
                <w:u w:val="single"/>
              </w:rPr>
              <w:t xml:space="preserve"> / </w:t>
            </w:r>
          </w:p>
          <w:p w14:paraId="2664D78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 </w:t>
            </w:r>
          </w:p>
        </w:tc>
      </w:tr>
      <w:tr w14:paraId="7A99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534" w:type="pct"/>
            <w:vMerge w:val="continue"/>
            <w:tcBorders>
              <w:left w:val="single" w:color="auto" w:sz="4" w:space="0"/>
              <w:bottom w:val="single" w:color="auto" w:sz="4" w:space="0"/>
              <w:right w:val="single" w:color="auto" w:sz="4" w:space="0"/>
            </w:tcBorders>
            <w:noWrap w:val="0"/>
            <w:vAlign w:val="center"/>
          </w:tcPr>
          <w:p w14:paraId="5256C441">
            <w:pPr>
              <w:spacing w:line="360" w:lineRule="auto"/>
              <w:jc w:val="center"/>
              <w:rPr>
                <w:rFonts w:hint="eastAsia" w:ascii="宋体" w:hAnsi="宋体" w:cs="宋体"/>
                <w:color w:val="auto"/>
                <w:szCs w:val="21"/>
                <w:highlight w:val="none"/>
              </w:rPr>
            </w:pPr>
          </w:p>
        </w:tc>
        <w:tc>
          <w:tcPr>
            <w:tcW w:w="4466" w:type="pct"/>
            <w:tcBorders>
              <w:top w:val="single" w:color="auto" w:sz="4" w:space="0"/>
              <w:left w:val="single" w:color="auto" w:sz="4" w:space="0"/>
              <w:bottom w:val="single" w:color="auto" w:sz="4" w:space="0"/>
              <w:right w:val="single" w:color="auto" w:sz="4" w:space="0"/>
            </w:tcBorders>
            <w:noWrap w:val="0"/>
            <w:vAlign w:val="center"/>
          </w:tcPr>
          <w:p w14:paraId="2043C538">
            <w:pPr>
              <w:snapToGrid w:val="0"/>
              <w:spacing w:line="360" w:lineRule="auto"/>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不组织召开开标前答疑会</w:t>
            </w:r>
          </w:p>
          <w:p w14:paraId="51AD44C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□组织召开开标前答疑会</w:t>
            </w:r>
          </w:p>
          <w:p w14:paraId="240B916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会议开始时间：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 分</w:t>
            </w:r>
            <w:r>
              <w:rPr>
                <w:rFonts w:hint="eastAsia" w:ascii="宋体" w:hAnsi="宋体" w:cs="宋体"/>
                <w:color w:val="auto"/>
                <w:szCs w:val="21"/>
                <w:highlight w:val="none"/>
              </w:rPr>
              <w:t>，逾期后果自负。会议地点：</w:t>
            </w:r>
            <w:r>
              <w:rPr>
                <w:rFonts w:hint="eastAsia" w:ascii="宋体" w:hAnsi="宋体" w:cs="宋体"/>
                <w:color w:val="auto"/>
                <w:szCs w:val="21"/>
                <w:highlight w:val="none"/>
                <w:u w:val="single"/>
              </w:rPr>
              <w:t xml:space="preserve"> / </w:t>
            </w:r>
          </w:p>
        </w:tc>
      </w:tr>
      <w:tr w14:paraId="35A2A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vMerge w:val="restart"/>
            <w:tcBorders>
              <w:top w:val="single" w:color="auto" w:sz="4" w:space="0"/>
              <w:left w:val="single" w:color="auto" w:sz="4" w:space="0"/>
              <w:right w:val="single" w:color="auto" w:sz="4" w:space="0"/>
            </w:tcBorders>
            <w:noWrap w:val="0"/>
            <w:vAlign w:val="center"/>
          </w:tcPr>
          <w:p w14:paraId="5517E4C9">
            <w:pPr>
              <w:spacing w:line="360" w:lineRule="auto"/>
              <w:rPr>
                <w:rFonts w:hint="eastAsia" w:ascii="宋体" w:hAnsi="宋体" w:cs="宋体"/>
                <w:color w:val="auto"/>
                <w:szCs w:val="21"/>
                <w:highlight w:val="none"/>
              </w:rPr>
            </w:pPr>
            <w:bookmarkStart w:id="15" w:name="_13.1"/>
            <w:bookmarkEnd w:id="15"/>
            <w:r>
              <w:rPr>
                <w:rFonts w:hint="eastAsia" w:ascii="宋体" w:hAnsi="宋体" w:cs="宋体"/>
                <w:color w:val="auto"/>
                <w:szCs w:val="21"/>
                <w:highlight w:val="none"/>
              </w:rPr>
              <w:t>13</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1D375D52">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6651CC13">
            <w:pPr>
              <w:tabs>
                <w:tab w:val="left" w:pos="459"/>
              </w:tabs>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3C9F8DC">
            <w:pPr>
              <w:tabs>
                <w:tab w:val="left" w:pos="459"/>
              </w:tabs>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2.投标报价明细表（</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0EA22CF8">
            <w:pPr>
              <w:tabs>
                <w:tab w:val="left" w:pos="459"/>
              </w:tabs>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3.投标人可以承检的食品监督抽检品种及项目表。（</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099C5310">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.本项目专门面向中小企业采购，供应商必须提供以下中小企业证明材料之一（必须提供，格式见第五章）</w:t>
            </w:r>
          </w:p>
          <w:p w14:paraId="722E45FE">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①</w:t>
            </w:r>
            <w:r>
              <w:rPr>
                <w:rFonts w:hint="eastAsia" w:ascii="宋体" w:hAnsi="宋体" w:cs="宋体"/>
                <w:color w:val="auto"/>
                <w:szCs w:val="21"/>
                <w:highlight w:val="none"/>
              </w:rPr>
              <w:t>中小企业声明函必须提供，按第六章要求格式填写）；</w:t>
            </w:r>
          </w:p>
          <w:p w14:paraId="3B1B1B63">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②</w:t>
            </w: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监狱企业参加政府采购活动时，应当提供由省级以上监狱管理局、戒毒管理局(含新疆生产建设兵团)出具的属于监狱企业的证明文件（如有，按第六章要求格式填写）</w:t>
            </w:r>
          </w:p>
          <w:p w14:paraId="6F31543A">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③</w:t>
            </w:r>
            <w:r>
              <w:rPr>
                <w:rFonts w:hint="eastAsia" w:ascii="宋体" w:hAnsi="宋体" w:cs="宋体"/>
                <w:color w:val="auto"/>
                <w:szCs w:val="21"/>
                <w:highlight w:val="none"/>
              </w:rPr>
              <w:t>残疾人福利性单位声明函（如有，按第六章要求格式填写）。</w:t>
            </w:r>
          </w:p>
          <w:p w14:paraId="5EB2B2A2">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.投标人针对报价需要说明的其他文件和说明（格式自拟）。</w:t>
            </w:r>
          </w:p>
          <w:p w14:paraId="4F7B5205">
            <w:pPr>
              <w:tabs>
                <w:tab w:val="left" w:pos="459"/>
              </w:tabs>
              <w:snapToGrid w:val="0"/>
              <w:spacing w:line="360" w:lineRule="auto"/>
              <w:jc w:val="left"/>
              <w:rPr>
                <w:rFonts w:hint="eastAsia" w:ascii="宋体" w:hAnsi="宋体" w:cs="宋体"/>
                <w:color w:val="auto"/>
                <w:szCs w:val="21"/>
                <w:highlight w:val="none"/>
              </w:rPr>
            </w:pPr>
            <w:r>
              <w:rPr>
                <w:rFonts w:hint="eastAsia" w:ascii="宋体" w:hAnsi="宋体" w:cs="宋体"/>
                <w:b/>
                <w:bCs/>
                <w:color w:val="auto"/>
                <w:szCs w:val="21"/>
                <w:highlight w:val="none"/>
              </w:rPr>
              <w:t>注：上述资料的第六章格式中规定必须由法定代表人（负责人、自然人）或委托代理人签名或加盖单位CA证书签章的，必须按规定执行。</w:t>
            </w:r>
          </w:p>
        </w:tc>
      </w:tr>
      <w:tr w14:paraId="1F0D36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vMerge w:val="continue"/>
            <w:tcBorders>
              <w:left w:val="single" w:color="auto" w:sz="4" w:space="0"/>
              <w:right w:val="single" w:color="auto" w:sz="4" w:space="0"/>
            </w:tcBorders>
            <w:noWrap w:val="0"/>
            <w:vAlign w:val="center"/>
          </w:tcPr>
          <w:p w14:paraId="0DC31208">
            <w:pPr>
              <w:spacing w:line="360" w:lineRule="auto"/>
              <w:rPr>
                <w:rFonts w:hint="eastAsia" w:ascii="宋体" w:hAnsi="宋体" w:cs="宋体"/>
                <w:color w:val="auto"/>
                <w:szCs w:val="21"/>
                <w:highlight w:val="none"/>
              </w:rPr>
            </w:pPr>
            <w:bookmarkStart w:id="16" w:name="_13.2"/>
            <w:bookmarkEnd w:id="16"/>
          </w:p>
        </w:tc>
        <w:tc>
          <w:tcPr>
            <w:tcW w:w="4466" w:type="pct"/>
            <w:tcBorders>
              <w:top w:val="single" w:color="auto" w:sz="4" w:space="0"/>
              <w:left w:val="single" w:color="auto" w:sz="4" w:space="0"/>
              <w:bottom w:val="single" w:color="auto" w:sz="4" w:space="0"/>
              <w:right w:val="single" w:color="auto" w:sz="4" w:space="0"/>
            </w:tcBorders>
            <w:noWrap w:val="0"/>
            <w:vAlign w:val="center"/>
          </w:tcPr>
          <w:p w14:paraId="38BAFAF2">
            <w:pPr>
              <w:snapToGrid w:val="0"/>
              <w:spacing w:line="360" w:lineRule="auto"/>
              <w:jc w:val="left"/>
              <w:rPr>
                <w:rFonts w:hint="eastAsia" w:ascii="宋体" w:hAnsi="宋体" w:cs="宋体"/>
                <w:color w:val="auto"/>
                <w:highlight w:val="none"/>
              </w:rPr>
            </w:pPr>
            <w:r>
              <w:rPr>
                <w:rFonts w:hint="eastAsia" w:ascii="宋体" w:hAnsi="宋体" w:cs="宋体"/>
                <w:b/>
                <w:color w:val="auto"/>
                <w:szCs w:val="21"/>
                <w:highlight w:val="none"/>
              </w:rPr>
              <w:t>资格证明文件（投标人所提供的材料不完整，或模糊不清以致关键信息无法辨认的，责任自负）:</w:t>
            </w:r>
          </w:p>
          <w:p w14:paraId="7187F487">
            <w:pPr>
              <w:numPr>
                <w:ilvl w:val="0"/>
                <w:numId w:val="4"/>
              </w:num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投标人为法人或者其他组织的，提供营业执照等证明文件复印件（如营业执照或者事业单位法人证书或者</w:t>
            </w:r>
            <w:r>
              <w:rPr>
                <w:rStyle w:val="89"/>
                <w:rFonts w:hint="eastAsia"/>
                <w:color w:val="auto"/>
                <w:sz w:val="21"/>
                <w:szCs w:val="21"/>
                <w:highlight w:val="none"/>
              </w:rPr>
              <w:t>执业许可证</w:t>
            </w:r>
            <w:r>
              <w:rPr>
                <w:rFonts w:hint="eastAsia" w:ascii="宋体" w:hAnsi="宋体" w:cs="宋体"/>
                <w:color w:val="auto"/>
                <w:szCs w:val="21"/>
                <w:highlight w:val="none"/>
              </w:rPr>
              <w:t>或者登记证书等），投标人为自然人的，提供身份证复印件；（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CAA62BC">
            <w:pPr>
              <w:pStyle w:val="2"/>
              <w:numPr>
                <w:ilvl w:val="0"/>
                <w:numId w:val="4"/>
              </w:numPr>
              <w:spacing w:line="360" w:lineRule="auto"/>
              <w:ind w:firstLineChars="200"/>
              <w:rPr>
                <w:rFonts w:hint="eastAsia" w:ascii="宋体" w:hAnsi="宋体" w:cs="宋体"/>
                <w:color w:val="auto"/>
                <w:highlight w:val="none"/>
              </w:rPr>
            </w:pPr>
            <w:r>
              <w:rPr>
                <w:rFonts w:hint="eastAsia" w:ascii="宋体" w:hAnsi="宋体" w:cs="宋体"/>
                <w:color w:val="auto"/>
                <w:szCs w:val="21"/>
                <w:highlight w:val="none"/>
              </w:rPr>
              <w:t>投标人必须具有有效期内的CMA证书（须提供完整的证书（含附表））且该证书中含有“食品”字样检测产品/项目。投标人CMA资质检测项目指标完整性【即获得上述资质的检测项目数占监测项目数（附件1项目总数）不小于</w:t>
            </w:r>
            <w:r>
              <w:rPr>
                <w:rFonts w:hint="eastAsia" w:ascii="宋体" w:hAnsi="宋体" w:cs="宋体"/>
                <w:color w:val="auto"/>
                <w:szCs w:val="21"/>
                <w:highlight w:val="none"/>
                <w:lang w:val="en-US" w:eastAsia="zh-CN"/>
              </w:rPr>
              <w:t>100</w:t>
            </w:r>
            <w:r>
              <w:rPr>
                <w:rFonts w:hint="eastAsia" w:ascii="宋体" w:hAnsi="宋体" w:cs="宋体"/>
                <w:color w:val="auto"/>
                <w:szCs w:val="21"/>
                <w:highlight w:val="none"/>
              </w:rPr>
              <w:t>%</w:t>
            </w:r>
            <w:r>
              <w:rPr>
                <w:rFonts w:hint="eastAsia"/>
                <w:b/>
                <w:bCs/>
                <w:color w:val="auto"/>
                <w:sz w:val="21"/>
                <w:szCs w:val="21"/>
                <w:highlight w:val="none"/>
                <w:lang w:val="en-US" w:eastAsia="zh-CN"/>
              </w:rPr>
              <w:t>（没有CMA检验部分，供应商承诺全覆盖）</w:t>
            </w:r>
            <w:r>
              <w:rPr>
                <w:rFonts w:hint="eastAsia" w:ascii="宋体" w:hAnsi="宋体" w:cs="宋体"/>
                <w:color w:val="auto"/>
                <w:szCs w:val="21"/>
                <w:highlight w:val="none"/>
              </w:rPr>
              <w:t>。投标人按实际逐项填写自查表，如存在虚假影响，按投标无效处理】</w:t>
            </w:r>
          </w:p>
          <w:p w14:paraId="5F5E5D16">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.投标人直接控股、管理关系信息表（格式见第六章）；（</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3C0132D">
            <w:pPr>
              <w:snapToGrid w:val="0"/>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4.政府采购供应商资格信用承诺函（必须提供，否则按无效投标处理）</w:t>
            </w:r>
          </w:p>
          <w:p w14:paraId="634172F4">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.本项目专门面向中小企业采购，供应商必须提供以下中小企业证明材料之一（必须提供，格式见第五章）</w:t>
            </w:r>
          </w:p>
          <w:p w14:paraId="4C4397B0">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①</w:t>
            </w:r>
            <w:r>
              <w:rPr>
                <w:rFonts w:hint="eastAsia" w:ascii="宋体" w:hAnsi="宋体" w:cs="宋体"/>
                <w:color w:val="auto"/>
                <w:szCs w:val="21"/>
                <w:highlight w:val="none"/>
              </w:rPr>
              <w:t>中小企业声明函必须提供，按第六章要求格式填写）；</w:t>
            </w:r>
          </w:p>
          <w:p w14:paraId="18DEF4D1">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②</w:t>
            </w: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监狱企业参加政府采购活动时，应当提供由省级以上监狱管理局、戒毒管理局(含新疆生产建设兵团)出具的属于监狱企业的证明文件（如有，按第六章要求格式填写）</w:t>
            </w:r>
          </w:p>
          <w:p w14:paraId="76C1CCB0">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③</w:t>
            </w:r>
            <w:r>
              <w:rPr>
                <w:rFonts w:hint="eastAsia" w:ascii="宋体" w:hAnsi="宋体" w:cs="宋体"/>
                <w:color w:val="auto"/>
                <w:szCs w:val="21"/>
                <w:highlight w:val="none"/>
              </w:rPr>
              <w:t>残疾人福利性单位声明函（如有，按第六章要求格式填写）。</w:t>
            </w:r>
          </w:p>
          <w:p w14:paraId="75172F50">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.投标人认为需要提供的其他证明材料（如有，请提供）。</w:t>
            </w:r>
          </w:p>
          <w:p w14:paraId="4D427FAF">
            <w:pPr>
              <w:snapToGrid w:val="0"/>
              <w:spacing w:line="360" w:lineRule="auto"/>
              <w:jc w:val="left"/>
              <w:rPr>
                <w:rFonts w:hint="eastAsia" w:ascii="宋体" w:hAnsi="宋体" w:cs="宋体"/>
                <w:b/>
                <w:bCs/>
                <w:color w:val="auto"/>
                <w:szCs w:val="21"/>
                <w:highlight w:val="none"/>
              </w:rPr>
            </w:pPr>
            <w:r>
              <w:rPr>
                <w:rFonts w:hint="eastAsia" w:ascii="宋体" w:hAnsi="宋体" w:cs="宋体"/>
                <w:b/>
                <w:bCs/>
                <w:color w:val="auto"/>
                <w:szCs w:val="21"/>
                <w:highlight w:val="none"/>
              </w:rPr>
              <w:t>注：</w:t>
            </w:r>
          </w:p>
          <w:p w14:paraId="4A1CA7F4">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bCs/>
                <w:color w:val="auto"/>
                <w:szCs w:val="21"/>
                <w:highlight w:val="none"/>
              </w:rPr>
              <w:t>1.以上标明“必须提供”的材料属于复印件的，必须加盖投标人电子签章，否则按无效投标</w:t>
            </w:r>
            <w:r>
              <w:rPr>
                <w:rFonts w:hint="eastAsia" w:ascii="宋体" w:hAnsi="宋体" w:cs="宋体"/>
                <w:b/>
                <w:color w:val="auto"/>
                <w:szCs w:val="21"/>
                <w:highlight w:val="none"/>
              </w:rPr>
              <w:t>处理。</w:t>
            </w:r>
          </w:p>
          <w:p w14:paraId="0355849A">
            <w:pPr>
              <w:snapToGrid w:val="0"/>
              <w:spacing w:line="360" w:lineRule="auto"/>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▲2.分公司参加投标的，应当取得总公司授权。</w:t>
            </w:r>
          </w:p>
        </w:tc>
      </w:tr>
      <w:tr w14:paraId="3E5F4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3" w:hRule="atLeast"/>
        </w:trPr>
        <w:tc>
          <w:tcPr>
            <w:tcW w:w="534" w:type="pct"/>
            <w:vMerge w:val="continue"/>
            <w:tcBorders>
              <w:left w:val="single" w:color="auto" w:sz="4" w:space="0"/>
              <w:right w:val="single" w:color="auto" w:sz="4" w:space="0"/>
            </w:tcBorders>
            <w:noWrap w:val="0"/>
            <w:vAlign w:val="center"/>
          </w:tcPr>
          <w:p w14:paraId="3F650DB3">
            <w:pPr>
              <w:spacing w:line="360" w:lineRule="auto"/>
              <w:rPr>
                <w:rFonts w:hint="eastAsia" w:ascii="宋体" w:hAnsi="宋体" w:cs="宋体"/>
                <w:color w:val="auto"/>
                <w:szCs w:val="21"/>
                <w:highlight w:val="none"/>
              </w:rPr>
            </w:pPr>
            <w:bookmarkStart w:id="17" w:name="_13.3"/>
            <w:bookmarkEnd w:id="17"/>
          </w:p>
        </w:tc>
        <w:tc>
          <w:tcPr>
            <w:tcW w:w="4466" w:type="pct"/>
            <w:tcBorders>
              <w:top w:val="single" w:color="auto" w:sz="4" w:space="0"/>
              <w:left w:val="single" w:color="auto" w:sz="4" w:space="0"/>
              <w:bottom w:val="single" w:color="auto" w:sz="4" w:space="0"/>
              <w:right w:val="single" w:color="auto" w:sz="4" w:space="0"/>
            </w:tcBorders>
            <w:noWrap w:val="0"/>
            <w:vAlign w:val="center"/>
          </w:tcPr>
          <w:p w14:paraId="08C5EF89">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商务技术文件：</w:t>
            </w:r>
          </w:p>
          <w:p w14:paraId="4DFE15C4">
            <w:pPr>
              <w:snapToGrid w:val="0"/>
              <w:spacing w:line="360" w:lineRule="auto"/>
              <w:ind w:left="413"/>
              <w:jc w:val="left"/>
              <w:rPr>
                <w:rFonts w:hint="eastAsia" w:ascii="宋体" w:hAnsi="宋体" w:cs="宋体"/>
                <w:color w:val="auto"/>
                <w:szCs w:val="21"/>
                <w:highlight w:val="none"/>
              </w:rPr>
            </w:pPr>
            <w:r>
              <w:rPr>
                <w:rFonts w:hint="eastAsia" w:ascii="宋体" w:hAnsi="宋体" w:cs="宋体"/>
                <w:color w:val="auto"/>
                <w:szCs w:val="21"/>
                <w:highlight w:val="none"/>
              </w:rPr>
              <w:t>1.无串通投标行为的承诺函（格式见第六章）；（</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9E113F6">
            <w:pPr>
              <w:snapToGrid w:val="0"/>
              <w:spacing w:line="360" w:lineRule="auto"/>
              <w:ind w:left="413"/>
              <w:jc w:val="left"/>
              <w:rPr>
                <w:rFonts w:hint="eastAsia" w:ascii="宋体" w:hAnsi="宋体" w:cs="宋体"/>
                <w:color w:val="auto"/>
                <w:szCs w:val="21"/>
                <w:highlight w:val="none"/>
              </w:rPr>
            </w:pPr>
            <w:r>
              <w:rPr>
                <w:rFonts w:hint="eastAsia" w:ascii="宋体" w:hAnsi="宋体" w:cs="宋体"/>
                <w:color w:val="auto"/>
                <w:szCs w:val="21"/>
                <w:highlight w:val="none"/>
              </w:rPr>
              <w:t>2.法定代表人（负责人或自然人）身份证明及法定代表人有效身份证正反面复印件（格式见第六章）；（</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0AFDDE6A">
            <w:pPr>
              <w:snapToGrid w:val="0"/>
              <w:spacing w:line="360" w:lineRule="auto"/>
              <w:ind w:left="413"/>
              <w:jc w:val="left"/>
              <w:rPr>
                <w:rFonts w:hint="eastAsia" w:ascii="宋体" w:hAnsi="宋体" w:cs="宋体"/>
                <w:color w:val="auto"/>
                <w:szCs w:val="21"/>
                <w:highlight w:val="none"/>
              </w:rPr>
            </w:pPr>
            <w:r>
              <w:rPr>
                <w:rFonts w:hint="eastAsia" w:ascii="宋体" w:hAnsi="宋体" w:cs="宋体"/>
                <w:color w:val="auto"/>
                <w:szCs w:val="21"/>
                <w:highlight w:val="none"/>
              </w:rPr>
              <w:t>3.授权委托书及委托代理人有效身份证正反面复印件（格式见第六章）；（</w:t>
            </w:r>
            <w:r>
              <w:rPr>
                <w:rFonts w:hint="eastAsia" w:ascii="宋体" w:hAnsi="宋体" w:cs="宋体"/>
                <w:b/>
                <w:color w:val="auto"/>
                <w:szCs w:val="21"/>
                <w:highlight w:val="none"/>
              </w:rPr>
              <w:t>委托时必须提供，否则按无效投标处理</w:t>
            </w:r>
            <w:r>
              <w:rPr>
                <w:rFonts w:hint="eastAsia" w:ascii="宋体" w:hAnsi="宋体" w:cs="宋体"/>
                <w:color w:val="auto"/>
                <w:szCs w:val="21"/>
                <w:highlight w:val="none"/>
              </w:rPr>
              <w:t>）</w:t>
            </w:r>
          </w:p>
          <w:p w14:paraId="35EAC515">
            <w:pPr>
              <w:snapToGrid w:val="0"/>
              <w:spacing w:line="360" w:lineRule="auto"/>
              <w:ind w:left="413"/>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.投标声明（格式见第六章）；</w:t>
            </w:r>
            <w:r>
              <w:rPr>
                <w:rFonts w:hint="eastAsia" w:ascii="宋体" w:hAnsi="宋体" w:cs="宋体"/>
                <w:b/>
                <w:bCs/>
                <w:color w:val="auto"/>
                <w:szCs w:val="21"/>
                <w:highlight w:val="none"/>
              </w:rPr>
              <w:t>（必须提供，否则按无效投标处理）</w:t>
            </w:r>
          </w:p>
          <w:p w14:paraId="346BF798">
            <w:pPr>
              <w:snapToGrid w:val="0"/>
              <w:spacing w:line="360" w:lineRule="auto"/>
              <w:ind w:left="413"/>
              <w:jc w:val="left"/>
              <w:rPr>
                <w:rFonts w:hint="eastAsia" w:ascii="宋体" w:hAnsi="宋体" w:cs="宋体"/>
                <w:b/>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.商务要求偏离表（格式见第六章）；（</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2B4F4C30">
            <w:pPr>
              <w:snapToGrid w:val="0"/>
              <w:spacing w:line="360" w:lineRule="auto"/>
              <w:ind w:left="42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.技术要求偏离表（格式见第六章）；（</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23E0BDFD">
            <w:pPr>
              <w:pStyle w:val="2"/>
              <w:spacing w:line="360" w:lineRule="auto"/>
              <w:rPr>
                <w:rFonts w:hint="eastAsia" w:ascii="宋体" w:hAnsi="宋体" w:cs="宋体"/>
                <w:color w:val="auto"/>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投</w:t>
            </w:r>
            <w:r>
              <w:rPr>
                <w:rFonts w:hint="eastAsia" w:ascii="宋体" w:hAnsi="宋体" w:cs="宋体"/>
                <w:color w:val="auto"/>
                <w:highlight w:val="none"/>
              </w:rPr>
              <w:t>标人认为可以证明其能力或业绩的其他材料（格式自拟，如有）；</w:t>
            </w:r>
          </w:p>
          <w:p w14:paraId="6A7709C5">
            <w:pPr>
              <w:snapToGrid w:val="0"/>
              <w:spacing w:line="360" w:lineRule="auto"/>
              <w:ind w:left="42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.服务实施方案（格式见六章）（</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9C32B4E">
            <w:pPr>
              <w:snapToGrid w:val="0"/>
              <w:spacing w:line="360" w:lineRule="auto"/>
              <w:ind w:left="42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.项目拟投入人员一览表（格式见第六章）；（</w:t>
            </w:r>
            <w:r>
              <w:rPr>
                <w:rFonts w:hint="eastAsia" w:ascii="宋体" w:hAnsi="宋体" w:cs="宋体"/>
                <w:b/>
                <w:color w:val="auto"/>
                <w:szCs w:val="21"/>
                <w:highlight w:val="none"/>
              </w:rPr>
              <w:t>如有</w:t>
            </w:r>
            <w:r>
              <w:rPr>
                <w:rFonts w:hint="eastAsia" w:ascii="宋体" w:hAnsi="宋体" w:cs="宋体"/>
                <w:color w:val="auto"/>
                <w:szCs w:val="21"/>
                <w:highlight w:val="none"/>
              </w:rPr>
              <w:t>）</w:t>
            </w:r>
          </w:p>
          <w:p w14:paraId="38F3F3DA">
            <w:pPr>
              <w:snapToGrid w:val="0"/>
              <w:spacing w:line="360" w:lineRule="auto"/>
              <w:ind w:left="420"/>
              <w:jc w:val="left"/>
              <w:rPr>
                <w:rFonts w:hint="eastAsia" w:ascii="宋体" w:hAnsi="宋体" w:cs="宋体"/>
                <w:bCs/>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.投标人认为有必要提供的其他资料（格式自拟）；（如有，请提供，投标人根据“第二章 采购需求”及“第四章 评标方法及评标标准”提供有关证明材料）。</w:t>
            </w:r>
          </w:p>
          <w:p w14:paraId="5D7E8F1B">
            <w:pPr>
              <w:snapToGrid w:val="0"/>
              <w:spacing w:line="360" w:lineRule="auto"/>
              <w:jc w:val="left"/>
              <w:rPr>
                <w:rFonts w:hint="eastAsia" w:ascii="宋体" w:hAnsi="宋体" w:cs="宋体"/>
                <w:b/>
                <w:bCs/>
                <w:color w:val="auto"/>
                <w:szCs w:val="21"/>
                <w:highlight w:val="none"/>
              </w:rPr>
            </w:pPr>
            <w:r>
              <w:rPr>
                <w:rFonts w:hint="eastAsia" w:ascii="宋体" w:hAnsi="宋体" w:cs="宋体"/>
                <w:b/>
                <w:bCs/>
                <w:color w:val="auto"/>
                <w:szCs w:val="21"/>
                <w:highlight w:val="none"/>
              </w:rPr>
              <w:t>注：以上标明“必须提供”的材料属于复印件的，必须加盖投标人电子签章，否则按无效投标</w:t>
            </w:r>
            <w:r>
              <w:rPr>
                <w:rFonts w:hint="eastAsia" w:ascii="宋体" w:hAnsi="宋体" w:cs="宋体"/>
                <w:b/>
                <w:color w:val="auto"/>
                <w:szCs w:val="21"/>
                <w:highlight w:val="none"/>
              </w:rPr>
              <w:t>处理</w:t>
            </w:r>
            <w:r>
              <w:rPr>
                <w:rFonts w:hint="eastAsia" w:ascii="宋体" w:hAnsi="宋体" w:cs="宋体"/>
                <w:b/>
                <w:bCs/>
                <w:color w:val="auto"/>
                <w:szCs w:val="21"/>
                <w:highlight w:val="none"/>
              </w:rPr>
              <w:t>。</w:t>
            </w:r>
          </w:p>
        </w:tc>
      </w:tr>
      <w:tr w14:paraId="06440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0CA6029F">
            <w:pPr>
              <w:spacing w:line="360" w:lineRule="auto"/>
              <w:rPr>
                <w:rFonts w:hint="eastAsia" w:ascii="宋体" w:hAnsi="宋体" w:cs="宋体"/>
                <w:color w:val="auto"/>
                <w:szCs w:val="21"/>
                <w:highlight w:val="none"/>
              </w:rPr>
            </w:pPr>
            <w:bookmarkStart w:id="18" w:name="_13.4"/>
            <w:bookmarkEnd w:id="18"/>
            <w:bookmarkStart w:id="19" w:name="_16.2"/>
            <w:bookmarkEnd w:id="19"/>
            <w:bookmarkStart w:id="20" w:name="_13.5"/>
            <w:bookmarkEnd w:id="20"/>
            <w:r>
              <w:rPr>
                <w:rFonts w:hint="eastAsia" w:ascii="宋体" w:hAnsi="宋体" w:cs="宋体"/>
                <w:color w:val="auto"/>
                <w:szCs w:val="21"/>
                <w:highlight w:val="none"/>
              </w:rPr>
              <w:t>16</w:t>
            </w:r>
            <w:bookmarkStart w:id="21" w:name="_Hlt19194066"/>
            <w:bookmarkStart w:id="22" w:name="_Hlt19194067"/>
            <w:bookmarkStart w:id="23" w:name="_Hlt19693758"/>
            <w:bookmarkStart w:id="24" w:name="_Hlt19693759"/>
            <w:r>
              <w:rPr>
                <w:rFonts w:hint="eastAsia" w:ascii="宋体" w:hAnsi="宋体" w:cs="宋体"/>
                <w:color w:val="auto"/>
                <w:szCs w:val="21"/>
                <w:highlight w:val="none"/>
              </w:rPr>
              <w:t>.</w:t>
            </w:r>
            <w:bookmarkEnd w:id="21"/>
            <w:bookmarkEnd w:id="22"/>
            <w:bookmarkEnd w:id="23"/>
            <w:bookmarkEnd w:id="24"/>
            <w:r>
              <w:rPr>
                <w:rFonts w:hint="eastAsia" w:ascii="宋体" w:hAnsi="宋体" w:cs="宋体"/>
                <w:color w:val="auto"/>
                <w:szCs w:val="21"/>
                <w:highlight w:val="none"/>
              </w:rPr>
              <w:t>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675D1F39">
            <w:pPr>
              <w:snapToGrid w:val="0"/>
              <w:spacing w:line="360" w:lineRule="auto"/>
              <w:rPr>
                <w:rFonts w:hint="eastAsia" w:ascii="宋体" w:hAnsi="宋体" w:cs="宋体"/>
                <w:b/>
                <w:i/>
                <w:color w:val="auto"/>
                <w:szCs w:val="21"/>
                <w:highlight w:val="none"/>
              </w:rPr>
            </w:pPr>
            <w:r>
              <w:rPr>
                <w:rFonts w:hint="eastAsia" w:ascii="宋体" w:hAnsi="宋体" w:cs="宋体"/>
                <w:color w:val="auto"/>
                <w:szCs w:val="21"/>
                <w:highlight w:val="none"/>
              </w:rPr>
              <w:t>投标报价是履行合同的最终价格，即满足全部采购需求所应提供的服务，包括但不限于：中标人完成本项目所有工作任务（出具成果文件）所需的一切费用（含完成项目过程中所需的劳务、技术服务费、交通差旅费、资料印刷费、调研、材料、设备、仪器、运输、检测与试验、安全警戒、评审、咨询、会务、管理、保险、税费、利润等费用，以及合同明示或暗示的所有责任、义务和一般风险等的一切费用等各种费用在内），即总价包干。合同价不因任何因素而调整。根据采购方的需要，供应商将无偿提供抽检合格备份样品给广西壮族自治区市场监督管理局。</w:t>
            </w:r>
          </w:p>
        </w:tc>
      </w:tr>
      <w:tr w14:paraId="475EB8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7B18B5ED">
            <w:pPr>
              <w:spacing w:line="360" w:lineRule="auto"/>
              <w:rPr>
                <w:rFonts w:hint="eastAsia" w:ascii="宋体" w:hAnsi="宋体" w:cs="宋体"/>
                <w:color w:val="auto"/>
                <w:szCs w:val="21"/>
                <w:highlight w:val="none"/>
              </w:rPr>
            </w:pPr>
            <w:bookmarkStart w:id="25" w:name="_17.1"/>
            <w:bookmarkEnd w:id="25"/>
            <w:r>
              <w:rPr>
                <w:rFonts w:hint="eastAsia" w:ascii="宋体" w:hAnsi="宋体" w:cs="宋体"/>
                <w:color w:val="auto"/>
                <w:szCs w:val="21"/>
                <w:highlight w:val="none"/>
              </w:rPr>
              <w:t>17.2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3D10AD9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投标有效期：自投标截止之日起</w:t>
            </w:r>
            <w:r>
              <w:rPr>
                <w:rFonts w:hint="eastAsia" w:ascii="宋体" w:hAnsi="宋体" w:cs="宋体"/>
                <w:color w:val="auto"/>
                <w:szCs w:val="21"/>
                <w:highlight w:val="none"/>
                <w:u w:val="single"/>
              </w:rPr>
              <w:t xml:space="preserve"> 60 </w:t>
            </w:r>
            <w:r>
              <w:rPr>
                <w:rFonts w:hint="eastAsia" w:ascii="宋体" w:hAnsi="宋体" w:cs="宋体"/>
                <w:color w:val="auto"/>
                <w:szCs w:val="21"/>
                <w:highlight w:val="none"/>
              </w:rPr>
              <w:t>日。</w:t>
            </w:r>
          </w:p>
        </w:tc>
      </w:tr>
      <w:tr w14:paraId="2D2DC4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08603F0B">
            <w:pPr>
              <w:spacing w:line="360" w:lineRule="auto"/>
              <w:rPr>
                <w:rFonts w:hint="eastAsia" w:ascii="宋体" w:hAnsi="宋体" w:cs="宋体"/>
                <w:color w:val="auto"/>
                <w:szCs w:val="21"/>
                <w:highlight w:val="none"/>
              </w:rPr>
            </w:pPr>
            <w:bookmarkStart w:id="26" w:name="_18"/>
            <w:bookmarkEnd w:id="26"/>
            <w:r>
              <w:rPr>
                <w:rFonts w:hint="eastAsia" w:ascii="宋体" w:hAnsi="宋体" w:cs="宋体"/>
                <w:color w:val="auto"/>
                <w:szCs w:val="21"/>
                <w:highlight w:val="none"/>
              </w:rPr>
              <w:t>18.1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03A02CA3">
            <w:pPr>
              <w:autoSpaceDE w:val="0"/>
              <w:autoSpaceDN w:val="0"/>
              <w:snapToGrid w:val="0"/>
              <w:spacing w:line="360" w:lineRule="auto"/>
              <w:textAlignment w:val="bottom"/>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本项目不收取投标保证金。</w:t>
            </w:r>
          </w:p>
          <w:p w14:paraId="77F88A5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□本项目收取投标保证金，具体规定如下：</w:t>
            </w:r>
          </w:p>
          <w:p w14:paraId="145598FE">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投标保证金的交纳方式：银行转账、支票、汇票、本票或者银行、保险机构出具的保函，禁止采用现钞方式。采用银行转账方式的，在投标截止时间前交至指定账户并且到账（开户银行：</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，开户名称：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，银行账号：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；采用支票、汇票、本票或者保函等方式的，在投标截止时间前，投标人必须递交单独密封的支票、汇票、本票或者保函原件。否则视为无效投标保证金。</w:t>
            </w:r>
          </w:p>
          <w:p w14:paraId="6C6D14B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相关要求：</w:t>
            </w:r>
          </w:p>
          <w:p w14:paraId="1FD52BFE">
            <w:pPr>
              <w:pStyle w:val="17"/>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1.投标保证金采用银行转账交纳方式的，在投标截止时间前交至指定账户并且到账，投标人应将银行转账底单的复印件作为投标保证金提交凭证，放置于商务文件中，否则投标无效。</w:t>
            </w:r>
          </w:p>
          <w:p w14:paraId="3C512A2A">
            <w:pPr>
              <w:pStyle w:val="17"/>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2.投标保证金采用支票、汇票、本票或者银行、保险机构出具的保函交纳方式的，投标人应在投标截止时间前采用现场或邮寄方式（现场提交地址：</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szCs w:val="21"/>
                <w:highlight w:val="none"/>
                <w:lang w:val="en-US" w:eastAsia="zh-CN"/>
              </w:rPr>
              <w:t>；邮寄地址：</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szCs w:val="21"/>
                <w:highlight w:val="none"/>
                <w:lang w:val="en-US" w:eastAsia="zh-CN"/>
              </w:rPr>
              <w:t>，收件人：</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szCs w:val="21"/>
                <w:highlight w:val="none"/>
                <w:lang w:val="en-US" w:eastAsia="zh-CN"/>
              </w:rPr>
              <w:t>，联系方式：</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szCs w:val="21"/>
                <w:highlight w:val="none"/>
                <w:lang w:val="en-US" w:eastAsia="zh-CN"/>
              </w:rPr>
              <w:t>将</w:t>
            </w:r>
            <w:r>
              <w:rPr>
                <w:rFonts w:hint="eastAsia" w:ascii="宋体" w:hAnsi="宋体" w:cs="宋体"/>
                <w:color w:val="auto"/>
                <w:kern w:val="0"/>
                <w:szCs w:val="21"/>
                <w:highlight w:val="none"/>
                <w:lang w:val="en-US" w:eastAsia="zh-CN"/>
              </w:rPr>
              <w:t>单独密封的</w:t>
            </w:r>
            <w:r>
              <w:rPr>
                <w:rFonts w:hint="eastAsia" w:ascii="宋体" w:hAnsi="宋体" w:cs="宋体"/>
                <w:color w:val="auto"/>
                <w:szCs w:val="21"/>
                <w:highlight w:val="none"/>
                <w:lang w:val="en-US" w:eastAsia="zh-CN"/>
              </w:rPr>
              <w:t>支票、汇票、本票或者银行、保险机构出具的保函原件提交给采购人或者采购代理机构，由采购人或者采购代理机构向投标人出具回执（邮寄方式的除外），并妥善保管。</w:t>
            </w:r>
          </w:p>
          <w:p w14:paraId="04B1B48B">
            <w:pPr>
              <w:snapToGri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备注： </w:t>
            </w:r>
          </w:p>
          <w:p w14:paraId="38D96D82">
            <w:pPr>
              <w:snapToGri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1.投标保证金在投标截止时间后提交的，或者不按规定交纳方式交纳的，或者未足额交纳的（包含保函额度不足的），视为无效投标保证金。</w:t>
            </w:r>
          </w:p>
          <w:p w14:paraId="6C1A699D">
            <w:pPr>
              <w:snapToGri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2.投标人采用现钞方式或者从个人账户（自然人投标除外）转出的投标保证金，视为无效投标保证金。</w:t>
            </w:r>
          </w:p>
          <w:p w14:paraId="0D9AA509">
            <w:pPr>
              <w:snapToGri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3.支票、汇票或者本票出现无效或者背书情形的，视为无效投标保证金。</w:t>
            </w:r>
          </w:p>
          <w:p w14:paraId="522781D9">
            <w:pPr>
              <w:snapToGri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4.保函有效期低于投标有效期的，视为无效投标保证金。</w:t>
            </w:r>
          </w:p>
          <w:p w14:paraId="22EBEF52">
            <w:pPr>
              <w:snapToGri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5.采用银行、保险机构出具保函的，必须为无条件保函，否则视为无效投标保证金。</w:t>
            </w:r>
          </w:p>
          <w:p w14:paraId="727B3ECA">
            <w:pPr>
              <w:snapToGrid w:val="0"/>
              <w:spacing w:line="360" w:lineRule="auto"/>
              <w:rPr>
                <w:rFonts w:hint="eastAsia" w:ascii="宋体" w:hAnsi="宋体" w:cs="宋体"/>
                <w:b/>
                <w:color w:val="auto"/>
                <w:szCs w:val="21"/>
                <w:highlight w:val="none"/>
              </w:rPr>
            </w:pPr>
            <w:r>
              <w:rPr>
                <w:rFonts w:hint="eastAsia" w:ascii="宋体" w:hAnsi="宋体" w:cs="宋体"/>
                <w:bCs/>
                <w:color w:val="auto"/>
                <w:szCs w:val="21"/>
                <w:highlight w:val="none"/>
              </w:rPr>
              <w:t>6.广西政府采购云平台平台暂未支持电子保函功能，故本项目暂不接受电子保函形式的保证金。</w:t>
            </w:r>
          </w:p>
        </w:tc>
      </w:tr>
      <w:tr w14:paraId="1F58A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534" w:type="pct"/>
            <w:tcBorders>
              <w:top w:val="single" w:color="auto" w:sz="4" w:space="0"/>
              <w:left w:val="single" w:color="auto" w:sz="4" w:space="0"/>
              <w:bottom w:val="single" w:color="auto" w:sz="4" w:space="0"/>
              <w:right w:val="single" w:color="auto" w:sz="4" w:space="0"/>
            </w:tcBorders>
            <w:noWrap w:val="0"/>
            <w:vAlign w:val="center"/>
          </w:tcPr>
          <w:p w14:paraId="50E749EA">
            <w:pPr>
              <w:spacing w:line="360" w:lineRule="auto"/>
              <w:jc w:val="center"/>
              <w:rPr>
                <w:rFonts w:hint="eastAsia" w:ascii="宋体" w:hAnsi="宋体" w:cs="宋体"/>
                <w:color w:val="auto"/>
                <w:szCs w:val="21"/>
                <w:highlight w:val="none"/>
              </w:rPr>
            </w:pPr>
            <w:bookmarkStart w:id="27" w:name="_21.1"/>
            <w:bookmarkEnd w:id="27"/>
            <w:bookmarkStart w:id="28" w:name="_19.2"/>
            <w:bookmarkEnd w:id="28"/>
            <w:r>
              <w:rPr>
                <w:rFonts w:hint="eastAsia" w:ascii="宋体" w:hAnsi="宋体" w:cs="宋体"/>
                <w:color w:val="auto"/>
                <w:szCs w:val="21"/>
                <w:highlight w:val="none"/>
              </w:rPr>
              <w:t>20</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45B85E70">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本项目不接受电子备份投标文件。</w:t>
            </w:r>
          </w:p>
        </w:tc>
      </w:tr>
      <w:tr w14:paraId="01B750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534" w:type="pct"/>
            <w:tcBorders>
              <w:top w:val="single" w:color="auto" w:sz="4" w:space="0"/>
              <w:left w:val="single" w:color="auto" w:sz="4" w:space="0"/>
              <w:bottom w:val="single" w:color="auto" w:sz="4" w:space="0"/>
              <w:right w:val="single" w:color="auto" w:sz="4" w:space="0"/>
            </w:tcBorders>
            <w:noWrap w:val="0"/>
            <w:vAlign w:val="center"/>
          </w:tcPr>
          <w:p w14:paraId="381BF33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0829BF97">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1.投标文件提交截止时间：详见招标公告</w:t>
            </w:r>
          </w:p>
          <w:p w14:paraId="418142C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2.投标地点：详见招标公告</w:t>
            </w:r>
          </w:p>
        </w:tc>
      </w:tr>
      <w:tr w14:paraId="17E4D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72D26BB5">
            <w:pPr>
              <w:spacing w:line="360" w:lineRule="auto"/>
              <w:jc w:val="center"/>
              <w:rPr>
                <w:rFonts w:hint="eastAsia" w:ascii="宋体" w:hAnsi="宋体" w:cs="宋体"/>
                <w:color w:val="auto"/>
                <w:szCs w:val="21"/>
                <w:highlight w:val="none"/>
              </w:rPr>
            </w:pPr>
            <w:bookmarkStart w:id="29" w:name="_23"/>
            <w:bookmarkEnd w:id="29"/>
            <w:r>
              <w:rPr>
                <w:rFonts w:hint="eastAsia" w:ascii="宋体" w:hAnsi="宋体" w:cs="宋体"/>
                <w:color w:val="auto"/>
                <w:szCs w:val="21"/>
                <w:highlight w:val="none"/>
              </w:rPr>
              <w:t>23</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75A3473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1.开标时间：详见招标公告</w:t>
            </w:r>
          </w:p>
          <w:p w14:paraId="2E36FED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2.开标地点：详见招标公告</w:t>
            </w:r>
          </w:p>
        </w:tc>
      </w:tr>
      <w:tr w14:paraId="1AC61A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276780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24.3（1）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39428C5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电子投标文件解密时间：</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分钟。</w:t>
            </w:r>
          </w:p>
        </w:tc>
      </w:tr>
      <w:tr w14:paraId="2FD03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24250D01">
            <w:pPr>
              <w:spacing w:line="360" w:lineRule="auto"/>
              <w:jc w:val="center"/>
              <w:rPr>
                <w:rFonts w:hint="eastAsia" w:ascii="宋体" w:hAnsi="宋体" w:cs="宋体"/>
                <w:color w:val="auto"/>
                <w:szCs w:val="21"/>
                <w:highlight w:val="none"/>
              </w:rPr>
            </w:pPr>
            <w:bookmarkStart w:id="30" w:name="_25.3"/>
            <w:bookmarkEnd w:id="30"/>
            <w:r>
              <w:rPr>
                <w:rFonts w:hint="eastAsia" w:ascii="宋体" w:hAnsi="宋体" w:cs="宋体"/>
                <w:color w:val="auto"/>
                <w:szCs w:val="21"/>
                <w:highlight w:val="none"/>
              </w:rPr>
              <w:t>25.3（2）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1A00BDA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2C2BCF7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 、中国政府采购网（www.ccgp.gov.cn）。</w:t>
            </w:r>
          </w:p>
          <w:p w14:paraId="3773711E">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信用查询截止时点：资格审查结束前</w:t>
            </w:r>
          </w:p>
          <w:p w14:paraId="217A6B9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查询记录和证据留存方式：在查询网站中直接截图查询记录，截图作为在“广西政府采购云平台”附件上传保存。</w:t>
            </w:r>
          </w:p>
          <w:p w14:paraId="6D767AF6">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w:t>
            </w:r>
          </w:p>
        </w:tc>
      </w:tr>
      <w:tr w14:paraId="4A960D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7F652212">
            <w:pPr>
              <w:spacing w:line="360" w:lineRule="auto"/>
              <w:jc w:val="center"/>
              <w:rPr>
                <w:rFonts w:hint="eastAsia" w:ascii="宋体" w:hAnsi="宋体" w:cs="宋体"/>
                <w:color w:val="auto"/>
                <w:szCs w:val="21"/>
                <w:highlight w:val="none"/>
              </w:rPr>
            </w:pPr>
            <w:bookmarkStart w:id="31" w:name="_26"/>
            <w:bookmarkEnd w:id="31"/>
            <w:r>
              <w:rPr>
                <w:rFonts w:hint="eastAsia" w:ascii="宋体" w:hAnsi="宋体" w:cs="宋体"/>
                <w:color w:val="auto"/>
                <w:szCs w:val="21"/>
                <w:highlight w:val="none"/>
              </w:rPr>
              <w:t>26.1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08C79EF8">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评标委员会的人数：</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人</w:t>
            </w:r>
          </w:p>
        </w:tc>
      </w:tr>
      <w:tr w14:paraId="537759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57BFD15D">
            <w:pPr>
              <w:spacing w:line="360" w:lineRule="auto"/>
              <w:jc w:val="center"/>
              <w:rPr>
                <w:rFonts w:hint="eastAsia" w:ascii="宋体" w:hAnsi="宋体" w:cs="宋体"/>
                <w:color w:val="auto"/>
                <w:szCs w:val="21"/>
                <w:highlight w:val="none"/>
              </w:rPr>
            </w:pPr>
            <w:bookmarkStart w:id="32" w:name="_28.3"/>
            <w:bookmarkEnd w:id="32"/>
            <w:r>
              <w:rPr>
                <w:rFonts w:hint="eastAsia" w:ascii="宋体" w:hAnsi="宋体" w:cs="宋体"/>
                <w:color w:val="auto"/>
                <w:szCs w:val="21"/>
                <w:highlight w:val="none"/>
              </w:rPr>
              <w:t>29.1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7C942F1A">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评标方法：</w:t>
            </w:r>
          </w:p>
          <w:p w14:paraId="52E348F5">
            <w:pPr>
              <w:autoSpaceDE w:val="0"/>
              <w:autoSpaceDN w:val="0"/>
              <w:snapToGrid w:val="0"/>
              <w:spacing w:line="360" w:lineRule="auto"/>
              <w:textAlignment w:val="bottom"/>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综合评分法</w:t>
            </w:r>
          </w:p>
          <w:p w14:paraId="42A198BB">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□最低评标报法</w:t>
            </w:r>
          </w:p>
        </w:tc>
      </w:tr>
      <w:tr w14:paraId="417E4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34" w:type="pct"/>
            <w:tcBorders>
              <w:top w:val="single" w:color="auto" w:sz="4" w:space="0"/>
              <w:left w:val="single" w:color="auto" w:sz="4" w:space="0"/>
              <w:bottom w:val="single" w:color="auto" w:sz="4" w:space="0"/>
              <w:right w:val="single" w:color="auto" w:sz="4" w:space="0"/>
            </w:tcBorders>
            <w:noWrap w:val="0"/>
            <w:vAlign w:val="center"/>
          </w:tcPr>
          <w:p w14:paraId="1C77096E">
            <w:pPr>
              <w:spacing w:line="360" w:lineRule="auto"/>
              <w:jc w:val="center"/>
              <w:rPr>
                <w:rFonts w:hint="eastAsia" w:ascii="宋体" w:hAnsi="宋体" w:cs="宋体"/>
                <w:color w:val="auto"/>
                <w:szCs w:val="21"/>
                <w:highlight w:val="none"/>
              </w:rPr>
            </w:pPr>
            <w:bookmarkStart w:id="33" w:name="_29.2.2（2）"/>
            <w:bookmarkEnd w:id="33"/>
            <w:r>
              <w:rPr>
                <w:rFonts w:hint="eastAsia" w:ascii="宋体" w:hAnsi="宋体" w:cs="宋体"/>
                <w:color w:val="auto"/>
                <w:szCs w:val="21"/>
                <w:highlight w:val="none"/>
              </w:rPr>
              <w:t>29.2</w:t>
            </w:r>
          </w:p>
        </w:tc>
        <w:tc>
          <w:tcPr>
            <w:tcW w:w="4466" w:type="pct"/>
            <w:tcBorders>
              <w:top w:val="single" w:color="auto" w:sz="4" w:space="0"/>
              <w:left w:val="single" w:color="auto" w:sz="4" w:space="0"/>
              <w:right w:val="single" w:color="auto" w:sz="4" w:space="0"/>
            </w:tcBorders>
            <w:noWrap w:val="0"/>
            <w:vAlign w:val="center"/>
          </w:tcPr>
          <w:p w14:paraId="154A7EC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5683BE9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项。</w:t>
            </w:r>
          </w:p>
        </w:tc>
      </w:tr>
      <w:tr w14:paraId="1333D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34" w:type="pct"/>
            <w:tcBorders>
              <w:top w:val="single" w:color="auto" w:sz="4" w:space="0"/>
              <w:left w:val="single" w:color="auto" w:sz="4" w:space="0"/>
              <w:right w:val="single" w:color="auto" w:sz="4" w:space="0"/>
            </w:tcBorders>
            <w:noWrap w:val="0"/>
            <w:vAlign w:val="center"/>
          </w:tcPr>
          <w:p w14:paraId="15F2BEB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29.3</w:t>
            </w:r>
          </w:p>
        </w:tc>
        <w:tc>
          <w:tcPr>
            <w:tcW w:w="4466" w:type="pct"/>
            <w:tcBorders>
              <w:top w:val="single" w:color="auto" w:sz="4" w:space="0"/>
              <w:left w:val="single" w:color="auto" w:sz="4" w:space="0"/>
              <w:right w:val="single" w:color="auto" w:sz="4" w:space="0"/>
            </w:tcBorders>
            <w:noWrap w:val="0"/>
            <w:vAlign w:val="center"/>
          </w:tcPr>
          <w:p w14:paraId="65CF7CE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中标候选人推荐数量：</w:t>
            </w:r>
          </w:p>
          <w:p w14:paraId="5D050EDE">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名</w:t>
            </w:r>
          </w:p>
          <w:p w14:paraId="3B3D1F01">
            <w:pPr>
              <w:snapToGrid w:val="0"/>
              <w:spacing w:line="360" w:lineRule="auto"/>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根据总得分由高到低排列次序并全部推荐为中标候选人。</w:t>
            </w:r>
          </w:p>
        </w:tc>
      </w:tr>
      <w:tr w14:paraId="2F97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41B4A1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30.1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5A4AEA3E">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采购人确定中标人时，出现中标候选人并列的情形，采购人按以下的方式确定中标人：</w:t>
            </w:r>
          </w:p>
          <w:p w14:paraId="281B6BCB">
            <w:pPr>
              <w:autoSpaceDE w:val="0"/>
              <w:autoSpaceDN w:val="0"/>
              <w:snapToGrid w:val="0"/>
              <w:spacing w:line="360" w:lineRule="auto"/>
              <w:textAlignment w:val="bottom"/>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iCs/>
                <w:color w:val="auto"/>
                <w:szCs w:val="21"/>
                <w:highlight w:val="none"/>
              </w:rPr>
              <w:t>依次按投标报价低的优先、技术评分高的优先、商务评分高的优先、服务</w:t>
            </w:r>
            <w:r>
              <w:rPr>
                <w:rFonts w:hint="eastAsia" w:ascii="宋体" w:hAnsi="宋体" w:cs="宋体"/>
                <w:color w:val="auto"/>
                <w:szCs w:val="21"/>
                <w:highlight w:val="none"/>
              </w:rPr>
              <w:t>方案</w:t>
            </w:r>
            <w:r>
              <w:rPr>
                <w:rFonts w:hint="eastAsia" w:ascii="宋体" w:hAnsi="宋体" w:cs="宋体"/>
                <w:iCs/>
                <w:color w:val="auto"/>
                <w:szCs w:val="21"/>
                <w:highlight w:val="none"/>
              </w:rPr>
              <w:t>分高的优先顺序确定；</w:t>
            </w:r>
          </w:p>
          <w:p w14:paraId="67553877">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□随机抽取。</w:t>
            </w:r>
          </w:p>
        </w:tc>
      </w:tr>
      <w:tr w14:paraId="03E41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34" w:type="pct"/>
            <w:tcBorders>
              <w:top w:val="single" w:color="auto" w:sz="4" w:space="0"/>
              <w:left w:val="single" w:color="auto" w:sz="4" w:space="0"/>
              <w:bottom w:val="single" w:color="auto" w:sz="4" w:space="0"/>
              <w:right w:val="single" w:color="auto" w:sz="4" w:space="0"/>
            </w:tcBorders>
            <w:noWrap w:val="0"/>
            <w:vAlign w:val="center"/>
          </w:tcPr>
          <w:p w14:paraId="2D280951">
            <w:pPr>
              <w:spacing w:line="360" w:lineRule="auto"/>
              <w:jc w:val="center"/>
              <w:rPr>
                <w:rFonts w:hint="eastAsia" w:ascii="宋体" w:hAnsi="宋体" w:cs="宋体"/>
                <w:color w:val="auto"/>
                <w:szCs w:val="21"/>
                <w:highlight w:val="none"/>
              </w:rPr>
            </w:pPr>
            <w:bookmarkStart w:id="34" w:name="_39.1"/>
            <w:bookmarkEnd w:id="34"/>
            <w:r>
              <w:rPr>
                <w:rFonts w:hint="eastAsia" w:ascii="宋体" w:hAnsi="宋体" w:cs="宋体"/>
                <w:color w:val="auto"/>
                <w:szCs w:val="21"/>
                <w:highlight w:val="none"/>
              </w:rPr>
              <w:t>35.1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3BFBDEB6">
            <w:pPr>
              <w:autoSpaceDE w:val="0"/>
              <w:autoSpaceDN w:val="0"/>
              <w:snapToGrid w:val="0"/>
              <w:spacing w:line="360" w:lineRule="auto"/>
              <w:textAlignment w:val="bottom"/>
              <w:rPr>
                <w:rFonts w:hint="eastAsia" w:ascii="宋体" w:hAnsi="宋体" w:cs="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本项目不收取履约保证金。</w:t>
            </w:r>
          </w:p>
          <w:p w14:paraId="67198C68">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□本项目收取履约保证金，具体规定如下：</w:t>
            </w:r>
          </w:p>
          <w:p w14:paraId="58FB3287">
            <w:pPr>
              <w:pStyle w:val="17"/>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履约保证金金额：按中标金额的</w:t>
            </w:r>
            <w:r>
              <w:rPr>
                <w:rFonts w:hint="eastAsia" w:ascii="宋体" w:hAnsi="宋体" w:cs="宋体"/>
                <w:color w:val="auto"/>
                <w:szCs w:val="21"/>
                <w:highlight w:val="none"/>
                <w:u w:val="single"/>
                <w:lang w:val="en-US" w:eastAsia="zh-CN"/>
              </w:rPr>
              <w:t xml:space="preserve"> / </w:t>
            </w:r>
            <w:r>
              <w:rPr>
                <w:rFonts w:hint="eastAsia" w:ascii="宋体" w:hAnsi="宋体" w:cs="宋体"/>
                <w:color w:val="auto"/>
                <w:szCs w:val="21"/>
                <w:highlight w:val="none"/>
                <w:lang w:val="en-US" w:eastAsia="zh-CN"/>
              </w:rPr>
              <w:t>%收取。</w:t>
            </w:r>
          </w:p>
          <w:p w14:paraId="3C96424C">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履约保证金递交方式：银行转账、支票、汇票、本票或者银行、保险机构出具的保函等非现金方式（参照投标保证金）</w:t>
            </w:r>
          </w:p>
          <w:p w14:paraId="05BD38CD">
            <w:pPr>
              <w:autoSpaceDE w:val="0"/>
              <w:autoSpaceDN w:val="0"/>
              <w:snapToGrid w:val="0"/>
              <w:spacing w:line="360" w:lineRule="auto"/>
              <w:textAlignment w:val="bottom"/>
              <w:rPr>
                <w:rFonts w:hint="eastAsia" w:ascii="宋体" w:hAnsi="宋体" w:cs="宋体"/>
                <w:color w:val="auto"/>
                <w:szCs w:val="21"/>
                <w:highlight w:val="none"/>
                <w:u w:val="singl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 xml:space="preserve">   /   。</w:t>
            </w:r>
          </w:p>
          <w:p w14:paraId="151B92A6">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履约保证金指定账户：</w:t>
            </w:r>
          </w:p>
          <w:p w14:paraId="581DD823">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开户名称：</w:t>
            </w:r>
            <w:r>
              <w:rPr>
                <w:rFonts w:hint="eastAsia" w:ascii="宋体" w:hAnsi="宋体" w:cs="宋体"/>
                <w:color w:val="auto"/>
                <w:szCs w:val="21"/>
                <w:highlight w:val="none"/>
                <w:u w:val="single"/>
              </w:rPr>
              <w:t xml:space="preserve">     /     </w:t>
            </w:r>
          </w:p>
          <w:p w14:paraId="5AA47EF1">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     </w:t>
            </w:r>
          </w:p>
          <w:p w14:paraId="2974E333">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银行账号：</w:t>
            </w:r>
            <w:r>
              <w:rPr>
                <w:rFonts w:hint="eastAsia" w:ascii="宋体" w:hAnsi="宋体" w:cs="宋体"/>
                <w:color w:val="auto"/>
                <w:szCs w:val="21"/>
                <w:highlight w:val="none"/>
                <w:u w:val="single"/>
              </w:rPr>
              <w:t xml:space="preserve">     /     </w:t>
            </w:r>
          </w:p>
          <w:p w14:paraId="6C73A4AF">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备注：</w:t>
            </w:r>
          </w:p>
          <w:p w14:paraId="2B0110E0">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1.</w:t>
            </w:r>
            <w:bookmarkStart w:id="35" w:name="_Hlk54170335"/>
            <w:r>
              <w:rPr>
                <w:rFonts w:hint="eastAsia" w:ascii="宋体" w:hAnsi="宋体" w:cs="宋体"/>
                <w:b/>
                <w:color w:val="auto"/>
                <w:szCs w:val="21"/>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35"/>
          </w:p>
          <w:p w14:paraId="09BF4FC2">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1A575F81">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rPr>
              <w:t>3.采用银行、保险机构出具的保函的，必须为无条件保函，否则不予签订合同。</w:t>
            </w:r>
          </w:p>
        </w:tc>
      </w:tr>
      <w:tr w14:paraId="0881F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2E10C3AD">
            <w:pPr>
              <w:spacing w:line="360" w:lineRule="auto"/>
              <w:jc w:val="center"/>
              <w:rPr>
                <w:rFonts w:hint="eastAsia" w:ascii="宋体" w:hAnsi="宋体" w:cs="宋体"/>
                <w:color w:val="auto"/>
                <w:szCs w:val="21"/>
                <w:highlight w:val="none"/>
              </w:rPr>
            </w:pPr>
            <w:bookmarkStart w:id="36" w:name="_40.1"/>
            <w:bookmarkEnd w:id="36"/>
            <w:r>
              <w:rPr>
                <w:rFonts w:hint="eastAsia" w:ascii="宋体" w:hAnsi="宋体" w:cs="宋体"/>
                <w:color w:val="auto"/>
                <w:szCs w:val="21"/>
                <w:highlight w:val="none"/>
              </w:rPr>
              <w:t>36.1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5A86E54B">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签订合同携带的证明材料： </w:t>
            </w:r>
          </w:p>
          <w:p w14:paraId="1F5B044E">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58740695">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336A1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3D2B845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38.2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2289592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3C7230B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质疑联系部门及联系方式</w:t>
            </w:r>
          </w:p>
          <w:p w14:paraId="2A923E3C">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名   称：广西远潮管理咨询股份有限公司</w:t>
            </w:r>
          </w:p>
          <w:p w14:paraId="53AB8A1B">
            <w:pPr>
              <w:autoSpaceDE w:val="0"/>
              <w:autoSpaceDN w:val="0"/>
              <w:snapToGrid w:val="0"/>
              <w:spacing w:line="360" w:lineRule="auto"/>
              <w:textAlignment w:val="bottom"/>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地   址： </w:t>
            </w:r>
            <w:r>
              <w:rPr>
                <w:rFonts w:hint="eastAsia" w:ascii="宋体" w:hAnsi="宋体" w:cs="宋体"/>
                <w:color w:val="auto"/>
                <w:szCs w:val="21"/>
                <w:highlight w:val="none"/>
                <w:lang w:eastAsia="zh-CN"/>
              </w:rPr>
              <w:t>柳州市东环大道228号双福雅苑1栋13-5</w:t>
            </w:r>
          </w:p>
          <w:p w14:paraId="0F71ADE4">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张工</w:t>
            </w:r>
            <w:r>
              <w:rPr>
                <w:rFonts w:hint="eastAsia" w:ascii="宋体" w:hAnsi="宋体" w:cs="宋体"/>
                <w:color w:val="auto"/>
                <w:szCs w:val="21"/>
                <w:highlight w:val="none"/>
              </w:rPr>
              <w:t xml:space="preserve">   项目联系方式：0772-2567662  </w:t>
            </w:r>
          </w:p>
          <w:p w14:paraId="17C0FF6E">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业务时间：工作日每天上午8时30分到12时00分，下午2时30分到5时00分。</w:t>
            </w:r>
          </w:p>
        </w:tc>
      </w:tr>
      <w:tr w14:paraId="252E02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78ED39E6">
            <w:pPr>
              <w:spacing w:line="360" w:lineRule="auto"/>
              <w:jc w:val="center"/>
              <w:rPr>
                <w:rFonts w:hint="eastAsia" w:ascii="宋体" w:hAnsi="宋体" w:cs="宋体"/>
                <w:color w:val="auto"/>
                <w:szCs w:val="21"/>
                <w:highlight w:val="none"/>
              </w:rPr>
            </w:pPr>
            <w:bookmarkStart w:id="37" w:name="_42"/>
            <w:bookmarkEnd w:id="37"/>
            <w:bookmarkStart w:id="38" w:name="_41"/>
            <w:bookmarkEnd w:id="38"/>
            <w:bookmarkStart w:id="39" w:name="_Hlt17709148"/>
            <w:r>
              <w:rPr>
                <w:rFonts w:hint="eastAsia" w:ascii="宋体" w:hAnsi="宋体" w:cs="宋体"/>
                <w:color w:val="auto"/>
                <w:szCs w:val="21"/>
                <w:highlight w:val="none"/>
              </w:rPr>
              <w:t>3</w:t>
            </w:r>
            <w:bookmarkEnd w:id="39"/>
            <w:r>
              <w:rPr>
                <w:rFonts w:hint="eastAsia" w:ascii="宋体" w:hAnsi="宋体" w:cs="宋体"/>
                <w:color w:val="auto"/>
                <w:szCs w:val="21"/>
                <w:highlight w:val="none"/>
              </w:rPr>
              <w:t>9.1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34EF0520">
            <w:pPr>
              <w:pStyle w:val="25"/>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1.采购代理费支付方式：</w:t>
            </w:r>
          </w:p>
          <w:p w14:paraId="1A668D28">
            <w:pPr>
              <w:pStyle w:val="25"/>
              <w:snapToGrid w:val="0"/>
              <w:spacing w:line="360" w:lineRule="auto"/>
              <w:rPr>
                <w:rFonts w:hint="eastAsia" w:hAnsi="宋体" w:cs="宋体"/>
                <w:color w:val="auto"/>
                <w:sz w:val="21"/>
                <w:highlight w:val="none"/>
                <w:lang w:val="en-US" w:eastAsia="zh-CN"/>
              </w:rPr>
            </w:pPr>
            <w:r>
              <w:rPr>
                <w:rFonts w:ascii="Segoe UI Symbol" w:hAnsi="Segoe UI Symbol" w:cs="Segoe UI Symbol"/>
                <w:color w:val="auto"/>
                <w:sz w:val="21"/>
                <w:highlight w:val="none"/>
                <w:lang w:val="en-US" w:eastAsia="zh-CN"/>
              </w:rPr>
              <w:t>☑</w:t>
            </w:r>
            <w:r>
              <w:rPr>
                <w:rFonts w:hint="eastAsia" w:hAnsi="宋体" w:cs="宋体"/>
                <w:color w:val="auto"/>
                <w:sz w:val="21"/>
                <w:highlight w:val="none"/>
                <w:lang w:val="en-US" w:eastAsia="zh-CN"/>
              </w:rPr>
              <w:t>本项目代理服务费由</w:t>
            </w:r>
            <w:r>
              <w:rPr>
                <w:rFonts w:hint="eastAsia" w:hAnsi="宋体" w:cs="宋体"/>
                <w:color w:val="auto"/>
                <w:sz w:val="21"/>
                <w:highlight w:val="none"/>
                <w:u w:val="single"/>
                <w:lang w:val="en-US" w:eastAsia="zh-CN"/>
              </w:rPr>
              <w:t>中标人</w:t>
            </w:r>
            <w:r>
              <w:rPr>
                <w:rFonts w:hint="eastAsia" w:hAnsi="宋体" w:cs="宋体"/>
                <w:color w:val="auto"/>
                <w:sz w:val="21"/>
                <w:highlight w:val="none"/>
                <w:lang w:val="en-US" w:eastAsia="zh-CN"/>
              </w:rPr>
              <w:t>在领取中标通知书前，一次性向采购代理机构支付。</w:t>
            </w:r>
          </w:p>
          <w:p w14:paraId="6143BA1B">
            <w:pPr>
              <w:pStyle w:val="25"/>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□采购人支付。</w:t>
            </w:r>
          </w:p>
          <w:p w14:paraId="04803B2C">
            <w:pPr>
              <w:pStyle w:val="25"/>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2.采购代理费收取标准：</w:t>
            </w:r>
          </w:p>
          <w:p w14:paraId="16446B4D">
            <w:pPr>
              <w:pStyle w:val="25"/>
              <w:snapToGrid w:val="0"/>
              <w:spacing w:line="360" w:lineRule="auto"/>
              <w:rPr>
                <w:rFonts w:hint="eastAsia" w:hAnsi="宋体" w:cs="宋体"/>
                <w:color w:val="auto"/>
                <w:sz w:val="21"/>
                <w:highlight w:val="none"/>
                <w:lang w:val="en-US" w:eastAsia="zh-CN"/>
              </w:rPr>
            </w:pPr>
            <w:r>
              <w:rPr>
                <w:rFonts w:ascii="Segoe UI Symbol" w:hAnsi="Segoe UI Symbol" w:cs="Segoe UI Symbol"/>
                <w:color w:val="auto"/>
                <w:sz w:val="21"/>
                <w:highlight w:val="none"/>
                <w:lang w:val="en-US" w:eastAsia="zh-CN"/>
              </w:rPr>
              <w:t>☑</w:t>
            </w:r>
            <w:r>
              <w:rPr>
                <w:rFonts w:hint="eastAsia" w:hAnsi="宋体" w:cs="宋体"/>
                <w:color w:val="auto"/>
                <w:sz w:val="21"/>
                <w:highlight w:val="none"/>
                <w:lang w:val="en-US" w:eastAsia="zh-CN"/>
              </w:rPr>
              <w:t>以分标（☑中标金额/</w:t>
            </w:r>
            <w:r>
              <w:rPr>
                <w:rFonts w:hint="eastAsia" w:ascii="Segoe UI Symbol" w:hAnsi="Segoe UI Symbol" w:cs="Segoe UI Symbol"/>
                <w:color w:val="auto"/>
                <w:sz w:val="21"/>
                <w:highlight w:val="none"/>
                <w:lang w:val="en-US" w:eastAsia="zh-CN"/>
              </w:rPr>
              <w:t>□</w:t>
            </w:r>
            <w:r>
              <w:rPr>
                <w:rFonts w:hint="eastAsia" w:hAnsi="宋体" w:cs="宋体"/>
                <w:color w:val="auto"/>
                <w:sz w:val="21"/>
                <w:highlight w:val="none"/>
                <w:lang w:val="en-US" w:eastAsia="zh-CN"/>
              </w:rPr>
              <w:t>采购预算/□暂定中标金额/□其他</w:t>
            </w:r>
            <w:r>
              <w:rPr>
                <w:rFonts w:hint="eastAsia" w:hAnsi="宋体" w:cs="宋体"/>
                <w:color w:val="auto"/>
                <w:sz w:val="21"/>
                <w:highlight w:val="none"/>
                <w:u w:val="single"/>
                <w:lang w:val="en-US" w:eastAsia="zh-CN"/>
              </w:rPr>
              <w:t xml:space="preserve"> / </w:t>
            </w:r>
            <w:r>
              <w:rPr>
                <w:rFonts w:hint="eastAsia" w:hAnsi="宋体" w:cs="宋体"/>
                <w:color w:val="auto"/>
                <w:sz w:val="21"/>
                <w:highlight w:val="none"/>
                <w:lang w:val="en-US" w:eastAsia="zh-CN"/>
              </w:rPr>
              <w:t>）为计费额，按本须知正文第39.2条规定的收费计算标准（□货物招标/</w:t>
            </w:r>
            <w:r>
              <w:rPr>
                <w:rFonts w:ascii="Segoe UI Symbol" w:hAnsi="Segoe UI Symbol" w:cs="Segoe UI Symbol"/>
                <w:color w:val="auto"/>
                <w:sz w:val="21"/>
                <w:highlight w:val="none"/>
                <w:lang w:val="en-US" w:eastAsia="zh-CN"/>
              </w:rPr>
              <w:t>☑</w:t>
            </w:r>
            <w:r>
              <w:rPr>
                <w:rFonts w:hint="eastAsia" w:hAnsi="宋体" w:cs="宋体"/>
                <w:color w:val="auto"/>
                <w:sz w:val="21"/>
                <w:highlight w:val="none"/>
                <w:lang w:val="en-US" w:eastAsia="zh-CN"/>
              </w:rPr>
              <w:t>服务招标/□工程招标）采用差额定率累进法计算出收费基准价格，采购代理收费以（</w:t>
            </w:r>
            <w:r>
              <w:rPr>
                <w:rFonts w:ascii="Segoe UI Symbol" w:hAnsi="Segoe UI Symbol" w:cs="Segoe UI Symbol"/>
                <w:color w:val="auto"/>
                <w:sz w:val="21"/>
                <w:highlight w:val="none"/>
                <w:lang w:val="en-US" w:eastAsia="zh-CN"/>
              </w:rPr>
              <w:t>☑</w:t>
            </w:r>
            <w:r>
              <w:rPr>
                <w:rFonts w:hint="eastAsia" w:hAnsi="宋体" w:cs="宋体"/>
                <w:color w:val="auto"/>
                <w:sz w:val="21"/>
                <w:highlight w:val="none"/>
                <w:lang w:val="en-US" w:eastAsia="zh-CN"/>
              </w:rPr>
              <w:t>收费基准价格/□收费基准价格下浮</w:t>
            </w:r>
            <w:r>
              <w:rPr>
                <w:rFonts w:hint="eastAsia" w:hAnsi="宋体" w:cs="宋体"/>
                <w:color w:val="auto"/>
                <w:sz w:val="21"/>
                <w:highlight w:val="none"/>
                <w:u w:val="single"/>
                <w:lang w:val="en-US" w:eastAsia="zh-CN"/>
              </w:rPr>
              <w:t xml:space="preserve"> / %</w:t>
            </w:r>
            <w:r>
              <w:rPr>
                <w:rFonts w:hint="eastAsia" w:hAnsi="宋体" w:cs="宋体"/>
                <w:color w:val="auto"/>
                <w:sz w:val="21"/>
                <w:highlight w:val="none"/>
                <w:lang w:val="en-US" w:eastAsia="zh-CN"/>
              </w:rPr>
              <w:t>/□收费基准价格上浮</w:t>
            </w:r>
            <w:r>
              <w:rPr>
                <w:rFonts w:hint="eastAsia" w:hAnsi="宋体" w:cs="宋体"/>
                <w:color w:val="auto"/>
                <w:sz w:val="21"/>
                <w:highlight w:val="none"/>
                <w:u w:val="single"/>
                <w:lang w:val="en-US" w:eastAsia="zh-CN"/>
              </w:rPr>
              <w:t xml:space="preserve"> / %</w:t>
            </w:r>
            <w:r>
              <w:rPr>
                <w:rFonts w:hint="eastAsia" w:hAnsi="宋体" w:cs="宋体"/>
                <w:color w:val="auto"/>
                <w:sz w:val="21"/>
                <w:highlight w:val="none"/>
                <w:lang w:val="en-US" w:eastAsia="zh-CN"/>
              </w:rPr>
              <w:t>）收取。</w:t>
            </w:r>
          </w:p>
          <w:p w14:paraId="2C8ABF07">
            <w:pPr>
              <w:pStyle w:val="25"/>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□固定采购代理收费</w:t>
            </w:r>
            <w:r>
              <w:rPr>
                <w:rFonts w:hint="eastAsia" w:hAnsi="宋体" w:cs="宋体"/>
                <w:color w:val="auto"/>
                <w:sz w:val="21"/>
                <w:highlight w:val="none"/>
                <w:u w:val="single"/>
                <w:lang w:val="en-US" w:eastAsia="zh-CN"/>
              </w:rPr>
              <w:t xml:space="preserve"> / 。</w:t>
            </w:r>
          </w:p>
        </w:tc>
      </w:tr>
      <w:tr w14:paraId="7E272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5F0895A0">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40.1</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2CFDF5A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4BFAE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14:paraId="37B0F0BE">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40.2</w:t>
            </w:r>
          </w:p>
        </w:tc>
        <w:tc>
          <w:tcPr>
            <w:tcW w:w="4466" w:type="pct"/>
            <w:tcBorders>
              <w:top w:val="single" w:color="auto" w:sz="4" w:space="0"/>
              <w:left w:val="single" w:color="auto" w:sz="4" w:space="0"/>
              <w:bottom w:val="single" w:color="auto" w:sz="4" w:space="0"/>
              <w:right w:val="single" w:color="auto" w:sz="4" w:space="0"/>
            </w:tcBorders>
            <w:noWrap w:val="0"/>
            <w:vAlign w:val="center"/>
          </w:tcPr>
          <w:p w14:paraId="60D8FF62">
            <w:pPr>
              <w:pStyle w:val="25"/>
              <w:snapToGrid w:val="0"/>
              <w:spacing w:line="360" w:lineRule="auto"/>
              <w:rPr>
                <w:rFonts w:hint="eastAsia" w:hAnsi="宋体" w:cs="宋体"/>
                <w:bCs/>
                <w:color w:val="auto"/>
                <w:sz w:val="21"/>
                <w:highlight w:val="none"/>
                <w:lang w:val="en-US" w:eastAsia="zh-CN"/>
              </w:rPr>
            </w:pPr>
            <w:r>
              <w:rPr>
                <w:rFonts w:hint="eastAsia" w:hAnsi="宋体" w:cs="宋体"/>
                <w:bCs/>
                <w:color w:val="auto"/>
                <w:sz w:val="21"/>
                <w:highlight w:val="none"/>
                <w:lang w:val="en-US" w:eastAsia="zh-CN"/>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1477763">
            <w:pPr>
              <w:pStyle w:val="25"/>
              <w:snapToGrid w:val="0"/>
              <w:spacing w:line="360" w:lineRule="auto"/>
              <w:rPr>
                <w:rFonts w:hint="eastAsia" w:hAnsi="宋体" w:cs="宋体"/>
                <w:bCs/>
                <w:color w:val="auto"/>
                <w:sz w:val="21"/>
                <w:highlight w:val="none"/>
                <w:lang w:val="en-US" w:eastAsia="zh-CN"/>
              </w:rPr>
            </w:pPr>
            <w:r>
              <w:rPr>
                <w:rFonts w:hint="eastAsia" w:hAnsi="宋体" w:cs="宋体"/>
                <w:bCs/>
                <w:color w:val="auto"/>
                <w:sz w:val="21"/>
                <w:highlight w:val="none"/>
                <w:lang w:val="en-US" w:eastAsia="zh-CN"/>
              </w:rPr>
              <w:t>2.本招标文件所称的“</w:t>
            </w:r>
            <w:r>
              <w:rPr>
                <w:rFonts w:hint="eastAsia" w:hAnsi="宋体" w:cs="宋体"/>
                <w:color w:val="auto"/>
                <w:sz w:val="21"/>
                <w:highlight w:val="none"/>
                <w:lang w:val="en-US" w:eastAsia="zh-CN"/>
              </w:rPr>
              <w:t>电子签章</w:t>
            </w:r>
            <w:r>
              <w:rPr>
                <w:rFonts w:hint="eastAsia" w:hAnsi="宋体" w:cs="宋体"/>
                <w:bCs/>
                <w:color w:val="auto"/>
                <w:sz w:val="21"/>
                <w:highlight w:val="none"/>
                <w:lang w:val="en-US" w:eastAsia="zh-CN"/>
              </w:rPr>
              <w:t>”、“电子签名”</w:t>
            </w:r>
            <w:r>
              <w:rPr>
                <w:rFonts w:hint="eastAsia" w:hAnsi="宋体" w:cs="宋体"/>
                <w:color w:val="auto"/>
                <w:sz w:val="21"/>
                <w:highlight w:val="none"/>
                <w:lang w:val="en-US" w:eastAsia="zh-CN"/>
              </w:rPr>
              <w:t>，是指经“广西政府采购云平台”认可的CA认证的电子签名数据为表现形式的印章，可用于签署电子投标文件，电子印章与实物印章具有同等法律效力，不因其采用电子化表现形式而否定其法律效力。</w:t>
            </w:r>
          </w:p>
          <w:p w14:paraId="18815777">
            <w:pPr>
              <w:pStyle w:val="25"/>
              <w:snapToGrid w:val="0"/>
              <w:spacing w:line="360" w:lineRule="auto"/>
              <w:rPr>
                <w:rFonts w:hint="eastAsia" w:hAnsi="宋体" w:cs="宋体"/>
                <w:bCs/>
                <w:color w:val="auto"/>
                <w:sz w:val="21"/>
                <w:highlight w:val="none"/>
                <w:lang w:val="en-US" w:eastAsia="zh-CN"/>
              </w:rPr>
            </w:pPr>
            <w:r>
              <w:rPr>
                <w:rFonts w:hint="eastAsia" w:hAnsi="宋体" w:cs="宋体"/>
                <w:bCs/>
                <w:color w:val="auto"/>
                <w:sz w:val="21"/>
                <w:highlight w:val="none"/>
                <w:lang w:val="en-US" w:eastAsia="zh-CN"/>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EF306E0">
            <w:pPr>
              <w:pStyle w:val="25"/>
              <w:snapToGrid w:val="0"/>
              <w:spacing w:line="360" w:lineRule="auto"/>
              <w:rPr>
                <w:rFonts w:hint="eastAsia" w:hAnsi="宋体" w:cs="宋体"/>
                <w:bCs/>
                <w:color w:val="auto"/>
                <w:sz w:val="21"/>
                <w:highlight w:val="none"/>
                <w:lang w:val="en-US" w:eastAsia="zh-CN"/>
              </w:rPr>
            </w:pPr>
            <w:r>
              <w:rPr>
                <w:rFonts w:hint="eastAsia" w:hAnsi="宋体" w:cs="宋体"/>
                <w:bCs/>
                <w:color w:val="auto"/>
                <w:sz w:val="21"/>
                <w:highlight w:val="none"/>
                <w:lang w:val="en-US" w:eastAsia="zh-CN"/>
              </w:rPr>
              <w:t>4.本招标文件中描述投标人的“签字”是指投标人的法定代表人或者委托代理人亲自在文件规定签字处亲笔写上个人的名字的行为，私章、签字章、印鉴、影印等其他形式均不能代替亲笔签字。</w:t>
            </w:r>
          </w:p>
          <w:p w14:paraId="33961724">
            <w:pPr>
              <w:spacing w:line="360" w:lineRule="auto"/>
              <w:jc w:val="left"/>
              <w:rPr>
                <w:rFonts w:hint="eastAsia" w:ascii="宋体" w:hAnsi="宋体" w:cs="宋体"/>
                <w:color w:val="auto"/>
                <w:szCs w:val="21"/>
                <w:highlight w:val="none"/>
              </w:rPr>
            </w:pPr>
            <w:r>
              <w:rPr>
                <w:rFonts w:hint="eastAsia" w:ascii="宋体" w:hAnsi="宋体" w:cs="宋体"/>
                <w:bCs/>
                <w:color w:val="auto"/>
                <w:szCs w:val="21"/>
                <w:highlight w:val="none"/>
              </w:rPr>
              <w:t>5.</w:t>
            </w:r>
            <w:r>
              <w:rPr>
                <w:rFonts w:hint="eastAsia" w:ascii="宋体" w:hAnsi="宋体" w:cs="宋体"/>
                <w:bCs/>
                <w:color w:val="auto"/>
                <w:kern w:val="0"/>
                <w:szCs w:val="21"/>
                <w:highlight w:val="none"/>
              </w:rPr>
              <w:t>本招标文件所称的“以上”“以下”“以内”“届满”，包括本数；所称的“不满”“超过”“以外”，不包括本数。</w:t>
            </w:r>
          </w:p>
        </w:tc>
      </w:tr>
    </w:tbl>
    <w:p w14:paraId="38C1FE7F">
      <w:pPr>
        <w:snapToGrid w:val="0"/>
        <w:rPr>
          <w:rFonts w:hint="eastAsia" w:ascii="宋体" w:hAnsi="宋体" w:cs="宋体"/>
          <w:color w:val="auto"/>
          <w:sz w:val="24"/>
          <w:szCs w:val="20"/>
          <w:highlight w:val="none"/>
        </w:rPr>
      </w:pPr>
    </w:p>
    <w:p w14:paraId="4B60BB54">
      <w:pPr>
        <w:pStyle w:val="6"/>
        <w:keepNext w:val="0"/>
        <w:keepLines w:val="0"/>
        <w:jc w:val="center"/>
        <w:rPr>
          <w:rFonts w:hint="eastAsia" w:ascii="宋体" w:hAnsi="宋体" w:cs="宋体"/>
          <w:color w:val="auto"/>
          <w:highlight w:val="none"/>
        </w:rPr>
      </w:pPr>
      <w:r>
        <w:rPr>
          <w:rFonts w:hint="eastAsia" w:ascii="宋体" w:hAnsi="宋体" w:cs="宋体"/>
          <w:color w:val="auto"/>
          <w:highlight w:val="none"/>
        </w:rPr>
        <w:t>投标人须知正文</w:t>
      </w:r>
    </w:p>
    <w:p w14:paraId="1C4EB49E">
      <w:pPr>
        <w:pStyle w:val="6"/>
        <w:keepNext w:val="0"/>
        <w:keepLines w:val="0"/>
        <w:jc w:val="center"/>
        <w:rPr>
          <w:rFonts w:hint="eastAsia" w:ascii="宋体" w:hAnsi="宋体" w:cs="宋体"/>
          <w:color w:val="auto"/>
          <w:highlight w:val="none"/>
        </w:rPr>
      </w:pPr>
      <w:r>
        <w:rPr>
          <w:rFonts w:hint="eastAsia" w:ascii="宋体" w:hAnsi="宋体" w:cs="宋体"/>
          <w:color w:val="auto"/>
          <w:highlight w:val="none"/>
        </w:rPr>
        <w:t>一、总  则</w:t>
      </w:r>
    </w:p>
    <w:p w14:paraId="2737187C">
      <w:pPr>
        <w:pStyle w:val="8"/>
        <w:keepNext w:val="0"/>
        <w:keepLines w:val="0"/>
        <w:spacing w:before="0" w:after="0" w:line="360" w:lineRule="auto"/>
        <w:ind w:left="420" w:leftChars="200"/>
        <w:rPr>
          <w:rFonts w:hint="eastAsia" w:ascii="宋体" w:hAnsi="宋体" w:cs="宋体"/>
          <w:color w:val="auto"/>
          <w:sz w:val="24"/>
          <w:highlight w:val="none"/>
        </w:rPr>
      </w:pPr>
      <w:bookmarkStart w:id="40" w:name="_Toc254970527"/>
      <w:bookmarkStart w:id="41" w:name="_Toc254970668"/>
      <w:r>
        <w:rPr>
          <w:rFonts w:hint="eastAsia" w:ascii="宋体" w:hAnsi="宋体" w:cs="宋体"/>
          <w:color w:val="auto"/>
          <w:sz w:val="24"/>
          <w:highlight w:val="none"/>
        </w:rPr>
        <w:t>1.适用范围</w:t>
      </w:r>
      <w:bookmarkEnd w:id="40"/>
      <w:bookmarkEnd w:id="41"/>
    </w:p>
    <w:p w14:paraId="123874C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3341E96A">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374BC7D9">
      <w:pPr>
        <w:pStyle w:val="8"/>
        <w:keepNext w:val="0"/>
        <w:keepLines w:val="0"/>
        <w:spacing w:before="0" w:after="0" w:line="360" w:lineRule="auto"/>
        <w:ind w:left="420" w:leftChars="200"/>
        <w:rPr>
          <w:rFonts w:hint="eastAsia" w:ascii="宋体" w:hAnsi="宋体" w:cs="宋体"/>
          <w:color w:val="auto"/>
          <w:sz w:val="24"/>
          <w:highlight w:val="none"/>
        </w:rPr>
      </w:pPr>
      <w:bookmarkStart w:id="42" w:name="_Toc254970528"/>
      <w:bookmarkStart w:id="43" w:name="_Toc254970669"/>
      <w:r>
        <w:rPr>
          <w:rFonts w:hint="eastAsia" w:ascii="宋体" w:hAnsi="宋体" w:cs="宋体"/>
          <w:color w:val="auto"/>
          <w:sz w:val="24"/>
          <w:highlight w:val="none"/>
        </w:rPr>
        <w:t>2.定义</w:t>
      </w:r>
      <w:bookmarkEnd w:id="42"/>
      <w:bookmarkEnd w:id="43"/>
    </w:p>
    <w:p w14:paraId="6D0D18AB">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2.1“采购人”是指依法进行政府采购的国家机关、事业单位、团体组织。</w:t>
      </w:r>
    </w:p>
    <w:p w14:paraId="40EE0B06">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2.2“采购代理机构”是指政府采购集中采购机构和集中采购机构以外的采购代理机构。</w:t>
      </w:r>
    </w:p>
    <w:p w14:paraId="75B22F55">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2.3“供应商”是指向采购人提供货物、工程或者服务的法人、其他组织或者自然人。</w:t>
      </w:r>
    </w:p>
    <w:p w14:paraId="77864F37">
      <w:pPr>
        <w:pStyle w:val="2"/>
        <w:spacing w:line="360" w:lineRule="auto"/>
        <w:rPr>
          <w:rFonts w:hint="eastAsia"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22EB0CFD">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2.5“服务”是指除货物和工程以外的其他政府采购对象。</w:t>
      </w:r>
    </w:p>
    <w:p w14:paraId="3B7067F4">
      <w:pPr>
        <w:pStyle w:val="8"/>
        <w:keepNext w:val="0"/>
        <w:keepLines w:val="0"/>
        <w:spacing w:before="0" w:after="0" w:line="360" w:lineRule="auto"/>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2.6“书面形式”是指合同书、信件和数据电文（包括电报、电传、传真、电子数据交换和电子邮件）等可以有形地表现所载内容的形式。</w:t>
      </w:r>
    </w:p>
    <w:p w14:paraId="27E525AF">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2.7“实质性要求”是指招标文件中已经指明不满足则投标无效的条款，或者不能负偏离的条款，或者采购需求中带“▲”的条款。</w:t>
      </w:r>
    </w:p>
    <w:p w14:paraId="1263987E">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62BF0018">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011A5508">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44" w:name="_Toc254970670"/>
      <w:bookmarkStart w:id="45" w:name="_Toc254970529"/>
    </w:p>
    <w:p w14:paraId="50800335">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w:t>
      </w:r>
      <w:bookmarkEnd w:id="44"/>
      <w:bookmarkEnd w:id="45"/>
      <w:r>
        <w:rPr>
          <w:rFonts w:hint="eastAsia" w:ascii="宋体" w:hAnsi="宋体" w:cs="宋体"/>
          <w:color w:val="auto"/>
          <w:sz w:val="24"/>
          <w:highlight w:val="none"/>
        </w:rPr>
        <w:t>投标人的资格要求</w:t>
      </w:r>
    </w:p>
    <w:p w14:paraId="4A77E49E">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5E7574F3">
      <w:pPr>
        <w:pStyle w:val="8"/>
        <w:keepNext w:val="0"/>
        <w:keepLines w:val="0"/>
        <w:spacing w:before="0" w:after="0" w:line="360" w:lineRule="auto"/>
        <w:ind w:left="420" w:leftChars="200"/>
        <w:rPr>
          <w:rFonts w:hint="eastAsia" w:ascii="宋体" w:hAnsi="宋体" w:cs="宋体"/>
          <w:color w:val="auto"/>
          <w:sz w:val="24"/>
          <w:highlight w:val="none"/>
        </w:rPr>
      </w:pPr>
      <w:bookmarkStart w:id="46" w:name="_Toc254970530"/>
      <w:bookmarkStart w:id="47" w:name="_Toc254970671"/>
      <w:r>
        <w:rPr>
          <w:rFonts w:hint="eastAsia" w:ascii="宋体" w:hAnsi="宋体" w:cs="宋体"/>
          <w:color w:val="auto"/>
          <w:sz w:val="24"/>
          <w:highlight w:val="none"/>
        </w:rPr>
        <w:t>4.投标委托</w:t>
      </w:r>
      <w:bookmarkEnd w:id="46"/>
      <w:bookmarkEnd w:id="47"/>
    </w:p>
    <w:p w14:paraId="1C69FC29">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165A9004">
      <w:pPr>
        <w:pStyle w:val="8"/>
        <w:keepNext w:val="0"/>
        <w:keepLines w:val="0"/>
        <w:spacing w:before="0" w:after="0" w:line="360" w:lineRule="auto"/>
        <w:ind w:left="420" w:leftChars="200"/>
        <w:rPr>
          <w:rFonts w:hint="eastAsia" w:ascii="宋体" w:hAnsi="宋体" w:cs="宋体"/>
          <w:color w:val="auto"/>
          <w:sz w:val="24"/>
          <w:highlight w:val="none"/>
        </w:rPr>
      </w:pPr>
      <w:bookmarkStart w:id="48" w:name="_5.投标费用"/>
      <w:bookmarkEnd w:id="48"/>
      <w:bookmarkStart w:id="49" w:name="_Toc254970531"/>
      <w:bookmarkStart w:id="50" w:name="_Toc254970672"/>
      <w:r>
        <w:rPr>
          <w:rFonts w:hint="eastAsia" w:ascii="宋体" w:hAnsi="宋体" w:cs="宋体"/>
          <w:color w:val="auto"/>
          <w:sz w:val="24"/>
          <w:highlight w:val="none"/>
        </w:rPr>
        <w:t>5.投标费用</w:t>
      </w:r>
      <w:bookmarkEnd w:id="49"/>
      <w:bookmarkEnd w:id="50"/>
    </w:p>
    <w:p w14:paraId="6E2BE01B">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2DBF62A6">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6.联合体投标</w:t>
      </w:r>
    </w:p>
    <w:p w14:paraId="6582C871">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6C67B793">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 xml:space="preserve">7.转包与分包             </w:t>
      </w:r>
    </w:p>
    <w:p w14:paraId="12462421">
      <w:pPr>
        <w:pStyle w:val="8"/>
        <w:keepNext w:val="0"/>
        <w:keepLines w:val="0"/>
        <w:spacing w:before="0" w:after="0" w:line="360" w:lineRule="auto"/>
        <w:ind w:left="420" w:leftChars="200"/>
        <w:rPr>
          <w:rFonts w:hint="eastAsia" w:ascii="宋体" w:hAnsi="宋体" w:cs="宋体"/>
          <w:b w:val="0"/>
          <w:color w:val="auto"/>
          <w:sz w:val="21"/>
          <w:szCs w:val="21"/>
          <w:highlight w:val="none"/>
        </w:rPr>
      </w:pPr>
      <w:bookmarkStart w:id="51" w:name="_Toc254970673"/>
      <w:bookmarkStart w:id="52" w:name="_Toc254970532"/>
      <w:r>
        <w:rPr>
          <w:rFonts w:hint="eastAsia" w:ascii="宋体" w:hAnsi="宋体" w:cs="宋体"/>
          <w:b w:val="0"/>
          <w:color w:val="auto"/>
          <w:sz w:val="21"/>
          <w:szCs w:val="21"/>
          <w:highlight w:val="none"/>
        </w:rPr>
        <w:t>7.1本项目不允许转包。</w:t>
      </w:r>
    </w:p>
    <w:p w14:paraId="4DB86DE3">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38441FD">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6AA87A2">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8.特别说明</w:t>
      </w:r>
      <w:bookmarkEnd w:id="51"/>
      <w:bookmarkEnd w:id="52"/>
    </w:p>
    <w:p w14:paraId="383725D1">
      <w:pPr>
        <w:pStyle w:val="8"/>
        <w:keepNext w:val="0"/>
        <w:keepLines w:val="0"/>
        <w:spacing w:before="0" w:after="0" w:line="360" w:lineRule="auto"/>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5D9DD81B">
      <w:pPr>
        <w:pStyle w:val="8"/>
        <w:keepNext w:val="0"/>
        <w:keepLines w:val="0"/>
        <w:spacing w:before="0" w:after="0" w:line="360" w:lineRule="auto"/>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8.2投标人应仔细阅读招标文件的所有内容，按照招标文件的要求提交投标文件，并对所提供的全部资料的真实性承担法律责任。</w:t>
      </w:r>
    </w:p>
    <w:p w14:paraId="099C1975">
      <w:pPr>
        <w:pStyle w:val="8"/>
        <w:keepNext w:val="0"/>
        <w:keepLines w:val="0"/>
        <w:spacing w:before="0" w:after="0" w:line="360" w:lineRule="auto"/>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31DD39FD">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9.回避与串通投标</w:t>
      </w:r>
    </w:p>
    <w:p w14:paraId="3D2936DC">
      <w:pPr>
        <w:pStyle w:val="8"/>
        <w:keepNext w:val="0"/>
        <w:keepLines w:val="0"/>
        <w:spacing w:before="0" w:after="0" w:line="360" w:lineRule="auto"/>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9.1在政府采购活动中，采购人员及相关人员与供应商有下列利害关系之一的，应当回避：</w:t>
      </w:r>
    </w:p>
    <w:p w14:paraId="39549E5F">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（1）参加采购活动前3年内与供应商存在劳动关系；</w:t>
      </w:r>
    </w:p>
    <w:p w14:paraId="5E333CA1">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（2）参加采购活动前3年内担任供应商的董事、监事；</w:t>
      </w:r>
    </w:p>
    <w:p w14:paraId="5C7C6C7C">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（3）参加采购活动前3年内是供应商的控股股东或者实际控制人；</w:t>
      </w:r>
    </w:p>
    <w:p w14:paraId="5E33D741">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（4）与供应商的法定代表人或者负责人有夫妻、直系血亲、三代以内旁系血亲或者近姻亲关系；</w:t>
      </w:r>
    </w:p>
    <w:p w14:paraId="270AED41">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（5）与供应商有其他可能影响政府采购活动公平、公正进行的关系。</w:t>
      </w:r>
    </w:p>
    <w:p w14:paraId="5BAE5244">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4615BEB">
      <w:pPr>
        <w:pStyle w:val="8"/>
        <w:keepNext w:val="0"/>
        <w:keepLines w:val="0"/>
        <w:spacing w:before="0" w:after="0" w:line="360" w:lineRule="auto"/>
        <w:ind w:left="42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9.2有下列情形之一的视为投标人相互串通投标，投标文件将被视为无效：</w:t>
      </w:r>
    </w:p>
    <w:p w14:paraId="27F8E95E">
      <w:pPr>
        <w:pStyle w:val="25"/>
        <w:snapToGrid w:val="0"/>
        <w:spacing w:line="360" w:lineRule="auto"/>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 xml:space="preserve">（1）不同投标人的投标文件由同一单位或者个人编制； </w:t>
      </w:r>
    </w:p>
    <w:p w14:paraId="6AC61A33">
      <w:pPr>
        <w:pStyle w:val="25"/>
        <w:snapToGrid w:val="0"/>
        <w:spacing w:line="360" w:lineRule="auto"/>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（2）不同投标人委托同一单位或者个人办理投标事宜；</w:t>
      </w:r>
    </w:p>
    <w:p w14:paraId="727EA6E3">
      <w:pPr>
        <w:pStyle w:val="25"/>
        <w:snapToGrid w:val="0"/>
        <w:spacing w:line="360" w:lineRule="auto"/>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（3）不同的投标人的投标文件载明的项目管理员为同一个人；</w:t>
      </w:r>
    </w:p>
    <w:p w14:paraId="5D56CF09">
      <w:pPr>
        <w:pStyle w:val="25"/>
        <w:snapToGrid w:val="0"/>
        <w:spacing w:line="360" w:lineRule="auto"/>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（4）不同投标人的投标文件异常一致或者投标报价呈规律性差异；</w:t>
      </w:r>
    </w:p>
    <w:p w14:paraId="3E03D078">
      <w:pPr>
        <w:pStyle w:val="25"/>
        <w:snapToGrid w:val="0"/>
        <w:spacing w:line="360" w:lineRule="auto"/>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（5）不同投标人的投标文件相互混装；</w:t>
      </w:r>
    </w:p>
    <w:p w14:paraId="48EEB186">
      <w:pPr>
        <w:pStyle w:val="25"/>
        <w:snapToGrid w:val="0"/>
        <w:spacing w:line="360" w:lineRule="auto"/>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（6）不同投标人的投标保证金从同一单位或者个人账户转出。</w:t>
      </w:r>
    </w:p>
    <w:p w14:paraId="1A985802">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9.3供应商有下列情形之一的，属于恶意串通行为，将报同级监督管理部门：</w:t>
      </w:r>
    </w:p>
    <w:p w14:paraId="427F4245">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（1）供应商直接或者间接从采购人或者采购代理机构处获得其他供应商的相关信息并修改其投标文件或者响应文件；</w:t>
      </w:r>
    </w:p>
    <w:p w14:paraId="5324012B">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（2）供应商按照采购人或者采购代理机构的授意撤换、修改投标文件或者响应文件；</w:t>
      </w:r>
    </w:p>
    <w:p w14:paraId="2D04BE3E">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（3）供应商之间协商报价、技术方案等投标文件或者响应文件的实质性内容；</w:t>
      </w:r>
    </w:p>
    <w:p w14:paraId="5CCC9938">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（4）属于同一集团、协会、商会等组织成员的供应商按照该组织要求协同参加政府采购活动；</w:t>
      </w:r>
    </w:p>
    <w:p w14:paraId="0472FDCB">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41F4FB85">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（6）供应商之间商定部分供应商放弃参加政府采购活动或者放弃中标；</w:t>
      </w:r>
    </w:p>
    <w:p w14:paraId="12278DFF">
      <w:pPr>
        <w:pStyle w:val="25"/>
        <w:snapToGrid w:val="0"/>
        <w:spacing w:line="360" w:lineRule="auto"/>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（7）供应商与采购人或者采购代理机构之间、供应商相互之间，为谋求特定供应商中标或者排斥其他供应商的其他串通行为。</w:t>
      </w:r>
    </w:p>
    <w:p w14:paraId="44795596">
      <w:pPr>
        <w:pStyle w:val="25"/>
        <w:snapToGrid w:val="0"/>
        <w:spacing w:line="360" w:lineRule="auto"/>
        <w:ind w:left="2" w:leftChars="1" w:firstLine="422" w:firstLineChars="200"/>
        <w:rPr>
          <w:rFonts w:hint="eastAsia" w:hAnsi="宋体" w:cs="宋体"/>
          <w:b/>
          <w:color w:val="auto"/>
          <w:kern w:val="2"/>
          <w:sz w:val="21"/>
          <w:highlight w:val="none"/>
        </w:rPr>
      </w:pPr>
    </w:p>
    <w:p w14:paraId="641227EF">
      <w:pPr>
        <w:pStyle w:val="6"/>
        <w:keepNext w:val="0"/>
        <w:keepLines w:val="0"/>
        <w:jc w:val="center"/>
        <w:rPr>
          <w:rFonts w:hint="eastAsia" w:ascii="宋体" w:hAnsi="宋体" w:cs="宋体"/>
          <w:color w:val="auto"/>
          <w:highlight w:val="none"/>
        </w:rPr>
      </w:pPr>
      <w:bookmarkStart w:id="53" w:name="_Toc254970675"/>
      <w:bookmarkStart w:id="54" w:name="_Toc254970534"/>
      <w:r>
        <w:rPr>
          <w:rFonts w:hint="eastAsia" w:ascii="宋体" w:hAnsi="宋体" w:cs="宋体"/>
          <w:color w:val="auto"/>
          <w:highlight w:val="none"/>
        </w:rPr>
        <w:t>二、招标文件</w:t>
      </w:r>
      <w:bookmarkEnd w:id="53"/>
      <w:bookmarkEnd w:id="54"/>
    </w:p>
    <w:p w14:paraId="5AE0EC47">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10.招标文件的组成</w:t>
      </w:r>
    </w:p>
    <w:p w14:paraId="096CF172">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（1）招标公告；</w:t>
      </w:r>
    </w:p>
    <w:p w14:paraId="6D319A82">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 xml:space="preserve">（2）采购需求； </w:t>
      </w:r>
    </w:p>
    <w:p w14:paraId="65E4C473">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1A0C1899">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1BA14B45">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51369BFB">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125C6856">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14:paraId="0ADF5950">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922788D">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7ACCDE03">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11.2</w:t>
      </w:r>
      <w:bookmarkStart w:id="55" w:name="_Hlk53134511"/>
      <w:r>
        <w:rPr>
          <w:rFonts w:hint="eastAsia" w:hAnsi="宋体" w:cs="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55"/>
    <w:p w14:paraId="12C86003">
      <w:pPr>
        <w:pStyle w:val="6"/>
        <w:keepNext w:val="0"/>
        <w:keepLines w:val="0"/>
        <w:jc w:val="center"/>
        <w:rPr>
          <w:rFonts w:hint="eastAsia" w:ascii="宋体" w:hAnsi="宋体" w:cs="宋体"/>
          <w:color w:val="auto"/>
          <w:highlight w:val="none"/>
        </w:rPr>
      </w:pPr>
      <w:bookmarkStart w:id="56" w:name="_Toc254970535"/>
      <w:bookmarkStart w:id="57" w:name="_Toc254970676"/>
      <w:r>
        <w:rPr>
          <w:rFonts w:hint="eastAsia" w:ascii="宋体" w:hAnsi="宋体" w:cs="宋体"/>
          <w:color w:val="auto"/>
          <w:highlight w:val="none"/>
        </w:rPr>
        <w:t>三、投标文件的编制</w:t>
      </w:r>
      <w:bookmarkEnd w:id="56"/>
      <w:bookmarkEnd w:id="57"/>
    </w:p>
    <w:p w14:paraId="359C9D27">
      <w:pPr>
        <w:pStyle w:val="8"/>
        <w:keepNext w:val="0"/>
        <w:keepLines w:val="0"/>
        <w:spacing w:before="0" w:after="0" w:line="360" w:lineRule="auto"/>
        <w:ind w:left="420" w:leftChars="200"/>
        <w:rPr>
          <w:rFonts w:hint="eastAsia" w:ascii="宋体" w:hAnsi="宋体" w:cs="宋体"/>
          <w:color w:val="auto"/>
          <w:sz w:val="24"/>
          <w:highlight w:val="none"/>
        </w:rPr>
      </w:pPr>
      <w:bookmarkStart w:id="58" w:name="_Toc254970677"/>
      <w:bookmarkStart w:id="59" w:name="_Toc254970536"/>
      <w:r>
        <w:rPr>
          <w:rFonts w:hint="eastAsia" w:ascii="宋体" w:hAnsi="宋体" w:cs="宋体"/>
          <w:color w:val="auto"/>
          <w:sz w:val="24"/>
          <w:highlight w:val="none"/>
        </w:rPr>
        <w:t>12.投标文件的编制原则</w:t>
      </w:r>
    </w:p>
    <w:p w14:paraId="5BD4B57E">
      <w:pPr>
        <w:snapToGrid w:val="0"/>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1FE73DAC">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13.投标文件的组成</w:t>
      </w:r>
      <w:bookmarkEnd w:id="58"/>
      <w:bookmarkEnd w:id="59"/>
    </w:p>
    <w:p w14:paraId="54D4522D">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投标文件由报价文件、资格证明文件、商务文件、技术文件四部分组成。</w:t>
      </w:r>
    </w:p>
    <w:p w14:paraId="40E767B3">
      <w:pPr>
        <w:pStyle w:val="8"/>
        <w:keepNext w:val="0"/>
        <w:keepLines w:val="0"/>
        <w:spacing w:before="0" w:after="0" w:line="360" w:lineRule="auto"/>
        <w:ind w:left="420" w:leftChars="200"/>
        <w:rPr>
          <w:rFonts w:hint="eastAsia" w:ascii="宋体" w:hAnsi="宋体" w:cs="宋体"/>
          <w:b w:val="0"/>
          <w:color w:val="auto"/>
          <w:sz w:val="21"/>
          <w:szCs w:val="21"/>
          <w:highlight w:val="none"/>
        </w:rPr>
      </w:pPr>
      <w:bookmarkStart w:id="60" w:name="_13.1报价文件:_具体材料见“投标人须知前附表”。"/>
      <w:bookmarkEnd w:id="60"/>
      <w:r>
        <w:rPr>
          <w:rFonts w:hint="eastAsia" w:ascii="宋体" w:hAnsi="宋体" w:cs="宋体"/>
          <w:b w:val="0"/>
          <w:color w:val="auto"/>
          <w:sz w:val="21"/>
          <w:szCs w:val="21"/>
          <w:highlight w:val="none"/>
        </w:rPr>
        <w:t>（1）报价文件： 具体材料见“投标人须知前附表”。</w:t>
      </w:r>
    </w:p>
    <w:p w14:paraId="3D4E32C1">
      <w:pPr>
        <w:pStyle w:val="8"/>
        <w:keepNext w:val="0"/>
        <w:keepLines w:val="0"/>
        <w:spacing w:before="0" w:after="0" w:line="360" w:lineRule="auto"/>
        <w:ind w:left="420" w:leftChars="200"/>
        <w:rPr>
          <w:rFonts w:hint="eastAsia" w:ascii="宋体" w:hAnsi="宋体" w:cs="宋体"/>
          <w:b w:val="0"/>
          <w:color w:val="auto"/>
          <w:sz w:val="21"/>
          <w:szCs w:val="21"/>
          <w:highlight w:val="none"/>
        </w:rPr>
      </w:pPr>
      <w:bookmarkStart w:id="61" w:name="_13.2资格证明文件：具体材料见“投标人须知前附表”。"/>
      <w:bookmarkEnd w:id="61"/>
      <w:r>
        <w:rPr>
          <w:rFonts w:hint="eastAsia" w:ascii="宋体" w:hAnsi="宋体" w:cs="宋体"/>
          <w:b w:val="0"/>
          <w:color w:val="auto"/>
          <w:sz w:val="21"/>
          <w:szCs w:val="21"/>
          <w:highlight w:val="none"/>
        </w:rPr>
        <w:t>（2）资格证明文件：具体材料见“投标人须知前附表”。</w:t>
      </w:r>
    </w:p>
    <w:p w14:paraId="6E06F905">
      <w:pPr>
        <w:pStyle w:val="8"/>
        <w:keepNext w:val="0"/>
        <w:keepLines w:val="0"/>
        <w:spacing w:before="0" w:after="0" w:line="360" w:lineRule="auto"/>
        <w:ind w:left="420" w:leftChars="200"/>
        <w:rPr>
          <w:rFonts w:hint="eastAsia" w:ascii="宋体" w:hAnsi="宋体" w:cs="宋体"/>
          <w:b w:val="0"/>
          <w:color w:val="auto"/>
          <w:sz w:val="21"/>
          <w:szCs w:val="21"/>
          <w:highlight w:val="none"/>
        </w:rPr>
      </w:pPr>
      <w:bookmarkStart w:id="62" w:name="_13.3商务文件:_具体材料见“投标人须知前附表”。"/>
      <w:bookmarkEnd w:id="62"/>
      <w:r>
        <w:rPr>
          <w:rFonts w:hint="eastAsia" w:ascii="宋体" w:hAnsi="宋体" w:cs="宋体"/>
          <w:b w:val="0"/>
          <w:color w:val="auto"/>
          <w:sz w:val="21"/>
          <w:szCs w:val="21"/>
          <w:highlight w:val="none"/>
        </w:rPr>
        <w:t>（3）商务文件：具体材料见“投标人须知前附表”。</w:t>
      </w:r>
    </w:p>
    <w:p w14:paraId="1DCEECB1">
      <w:pPr>
        <w:pStyle w:val="8"/>
        <w:keepNext w:val="0"/>
        <w:keepLines w:val="0"/>
        <w:spacing w:before="0" w:after="0" w:line="360" w:lineRule="auto"/>
        <w:ind w:left="420" w:leftChars="200"/>
        <w:rPr>
          <w:rFonts w:hint="eastAsia" w:ascii="宋体" w:hAnsi="宋体" w:cs="宋体"/>
          <w:b w:val="0"/>
          <w:color w:val="auto"/>
          <w:sz w:val="21"/>
          <w:szCs w:val="21"/>
          <w:highlight w:val="none"/>
        </w:rPr>
      </w:pPr>
      <w:bookmarkStart w:id="63" w:name="_13.4技术文件：具体材料见“投标人须知前附表”。"/>
      <w:bookmarkEnd w:id="63"/>
      <w:r>
        <w:rPr>
          <w:rFonts w:hint="eastAsia" w:ascii="宋体" w:hAnsi="宋体" w:cs="宋体"/>
          <w:b w:val="0"/>
          <w:color w:val="auto"/>
          <w:sz w:val="21"/>
          <w:szCs w:val="21"/>
          <w:highlight w:val="none"/>
        </w:rPr>
        <w:t>（4）技术文件：具体材料见“投标人须知前附表”。</w:t>
      </w:r>
    </w:p>
    <w:p w14:paraId="49A164F1">
      <w:pPr>
        <w:pStyle w:val="8"/>
        <w:keepNext w:val="0"/>
        <w:keepLines w:val="0"/>
        <w:spacing w:before="0" w:after="0" w:line="360" w:lineRule="auto"/>
        <w:ind w:left="420" w:leftChars="200"/>
        <w:rPr>
          <w:rFonts w:hint="eastAsia" w:ascii="宋体" w:hAnsi="宋体" w:cs="宋体"/>
          <w:color w:val="auto"/>
          <w:sz w:val="24"/>
          <w:highlight w:val="none"/>
        </w:rPr>
      </w:pPr>
      <w:bookmarkStart w:id="64" w:name="_13.5投标文件电子版：具体材料见“投标人须知前附表”。"/>
      <w:bookmarkEnd w:id="64"/>
      <w:bookmarkStart w:id="65" w:name="_Toc254970537"/>
      <w:bookmarkStart w:id="66" w:name="_Toc254970678"/>
      <w:r>
        <w:rPr>
          <w:rFonts w:hint="eastAsia" w:ascii="宋体" w:hAnsi="宋体" w:cs="宋体"/>
          <w:color w:val="auto"/>
          <w:sz w:val="24"/>
          <w:highlight w:val="none"/>
        </w:rPr>
        <w:t>14.投标文件的语言及计量</w:t>
      </w:r>
      <w:bookmarkEnd w:id="65"/>
      <w:bookmarkEnd w:id="66"/>
    </w:p>
    <w:p w14:paraId="118256D4">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14.1语言文字</w:t>
      </w:r>
    </w:p>
    <w:p w14:paraId="481E32D8">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BE80211">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14.2投标计量单位</w:t>
      </w:r>
    </w:p>
    <w:p w14:paraId="3E2E2941">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Cs/>
          <w:color w:val="auto"/>
          <w:sz w:val="21"/>
          <w:szCs w:val="21"/>
          <w:highlight w:val="none"/>
        </w:rPr>
        <w:t>，否则视同未响应。</w:t>
      </w:r>
    </w:p>
    <w:p w14:paraId="6BC95353">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15.投标的风险</w:t>
      </w:r>
    </w:p>
    <w:p w14:paraId="62B48F95">
      <w:pPr>
        <w:pStyle w:val="25"/>
        <w:snapToGrid w:val="0"/>
        <w:spacing w:line="360" w:lineRule="auto"/>
        <w:ind w:firstLine="420" w:firstLineChars="200"/>
        <w:jc w:val="left"/>
        <w:rPr>
          <w:rFonts w:hint="eastAsia" w:hAnsi="宋体" w:cs="宋体"/>
          <w:color w:val="auto"/>
          <w:sz w:val="21"/>
          <w:highlight w:val="none"/>
        </w:rPr>
      </w:pPr>
      <w:r>
        <w:rPr>
          <w:rFonts w:hint="eastAsia" w:hAnsi="宋体" w:cs="宋体"/>
          <w:color w:val="auto"/>
          <w:sz w:val="21"/>
          <w:highlight w:val="none"/>
        </w:rPr>
        <w:t>投标人没有按照招标文件要求提供全部资料，或者投标人没有对招标文件作出实质性响应是投标人的风险，并可能导致其投标被拒绝。</w:t>
      </w:r>
    </w:p>
    <w:p w14:paraId="6A76BC05">
      <w:pPr>
        <w:pStyle w:val="8"/>
        <w:keepNext w:val="0"/>
        <w:keepLines w:val="0"/>
        <w:spacing w:before="0" w:after="0" w:line="360" w:lineRule="auto"/>
        <w:ind w:left="420" w:leftChars="200"/>
        <w:rPr>
          <w:rFonts w:hint="eastAsia" w:ascii="宋体" w:hAnsi="宋体" w:cs="宋体"/>
          <w:color w:val="auto"/>
          <w:sz w:val="24"/>
          <w:highlight w:val="none"/>
        </w:rPr>
      </w:pPr>
      <w:bookmarkStart w:id="67" w:name="_Toc254970679"/>
      <w:bookmarkStart w:id="68" w:name="_Toc254970538"/>
      <w:r>
        <w:rPr>
          <w:rFonts w:hint="eastAsia" w:ascii="宋体" w:hAnsi="宋体" w:cs="宋体"/>
          <w:color w:val="auto"/>
          <w:sz w:val="24"/>
          <w:highlight w:val="none"/>
        </w:rPr>
        <w:t>16.投标报价</w:t>
      </w:r>
      <w:bookmarkEnd w:id="67"/>
      <w:bookmarkEnd w:id="68"/>
    </w:p>
    <w:p w14:paraId="25D2A6BB">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16.1投标报价应按“第六章　投标文件格式”中“开标一览表”格式填写。</w:t>
      </w:r>
    </w:p>
    <w:p w14:paraId="40FA65D9">
      <w:pPr>
        <w:pStyle w:val="8"/>
        <w:keepNext w:val="0"/>
        <w:keepLines w:val="0"/>
        <w:spacing w:before="0" w:after="0" w:line="360" w:lineRule="auto"/>
        <w:ind w:left="420" w:leftChars="200"/>
        <w:rPr>
          <w:rFonts w:hint="eastAsia" w:ascii="宋体" w:hAnsi="宋体" w:cs="宋体"/>
          <w:b w:val="0"/>
          <w:color w:val="auto"/>
          <w:sz w:val="21"/>
          <w:szCs w:val="21"/>
          <w:highlight w:val="none"/>
        </w:rPr>
      </w:pPr>
      <w:bookmarkStart w:id="69" w:name="_16.2投标报价具体定义见投标人须知前附表。"/>
      <w:bookmarkEnd w:id="69"/>
      <w:r>
        <w:rPr>
          <w:rFonts w:hint="eastAsia" w:ascii="宋体" w:hAnsi="宋体" w:cs="宋体"/>
          <w:b w:val="0"/>
          <w:color w:val="auto"/>
          <w:sz w:val="21"/>
          <w:szCs w:val="21"/>
          <w:highlight w:val="none"/>
        </w:rPr>
        <w:t>16.2投标报价具体包括内容详见“投标人须知前附表”。</w:t>
      </w:r>
    </w:p>
    <w:p w14:paraId="6F001110">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16.3投标人必须就所投的全部内容分别作完整唯一总价报价，不得存在漏项报价；投标人必须就所投</w:t>
      </w:r>
      <w:r>
        <w:rPr>
          <w:rFonts w:hint="eastAsia" w:ascii="宋体" w:hAnsi="宋体" w:cs="宋体"/>
          <w:b w:val="0"/>
          <w:color w:val="auto"/>
          <w:sz w:val="21"/>
          <w:szCs w:val="21"/>
          <w:highlight w:val="none"/>
          <w:lang w:val="en-US" w:eastAsia="zh-CN"/>
        </w:rPr>
        <w:t>项目</w:t>
      </w:r>
      <w:r>
        <w:rPr>
          <w:rFonts w:hint="eastAsia" w:ascii="宋体" w:hAnsi="宋体" w:cs="宋体"/>
          <w:b w:val="0"/>
          <w:color w:val="auto"/>
          <w:sz w:val="21"/>
          <w:szCs w:val="21"/>
          <w:highlight w:val="none"/>
        </w:rPr>
        <w:t>的单项内容作唯一报价。</w:t>
      </w:r>
    </w:p>
    <w:p w14:paraId="29C9CB9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w:t>
      </w:r>
      <w:r>
        <w:rPr>
          <w:rFonts w:hint="eastAsia" w:ascii="宋体" w:hAnsi="宋体"/>
          <w:color w:val="auto"/>
          <w:szCs w:val="21"/>
          <w:highlight w:val="none"/>
          <w:lang w:val="en-US" w:eastAsia="zh-CN"/>
        </w:rPr>
        <w:t>4</w:t>
      </w:r>
      <w:r>
        <w:rPr>
          <w:rFonts w:hint="eastAsia" w:ascii="宋体" w:hAnsi="宋体"/>
          <w:color w:val="auto"/>
          <w:szCs w:val="21"/>
          <w:highlight w:val="none"/>
        </w:rPr>
        <w:t>异常低价审查</w:t>
      </w:r>
    </w:p>
    <w:p w14:paraId="7995E8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评标委员会认为投标人的报价明显低于其他通过符合性审查投标人的报价，有可能影响产品质量或者不能诚信履约的，根据《关于推动解决政府采购异常低价问题的通知》（财库〔2026〕2号）中规定执行： </w:t>
      </w:r>
    </w:p>
    <w:p w14:paraId="563314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w:t>
      </w:r>
      <w:r>
        <w:rPr>
          <w:rFonts w:hint="eastAsia" w:ascii="宋体" w:hAnsi="宋体"/>
          <w:color w:val="auto"/>
          <w:szCs w:val="21"/>
          <w:highlight w:val="none"/>
          <w:lang w:val="en-US" w:eastAsia="zh-CN"/>
        </w:rPr>
        <w:t>4</w:t>
      </w:r>
      <w:r>
        <w:rPr>
          <w:rFonts w:hint="eastAsia" w:ascii="宋体" w:hAnsi="宋体"/>
          <w:color w:val="auto"/>
          <w:szCs w:val="21"/>
          <w:highlight w:val="none"/>
        </w:rPr>
        <w:t>.1政府采购评审中出现下列情形之一的，评标委员会应当启动异常低价投标（响应）审查程序：</w:t>
      </w:r>
    </w:p>
    <w:p w14:paraId="2EE3D3E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①投标（响应）报价低于全部通过符合性审查供应商投标（响应）报价平均值50%的，即投标（响应）报价&lt;全部通过符合性审查供应商投标（响应）报价平均值×50%； </w:t>
      </w:r>
    </w:p>
    <w:p w14:paraId="7A24E1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②投标（响应）报价低于通过符合性审查且报价次低供应商投标（响应）报价50%的，即投标（响应）报价&lt;通过符合性审查且报价次低供应商投标（响应）报价×50%； </w:t>
      </w:r>
    </w:p>
    <w:p w14:paraId="23E72C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③投标（响应）报价低于采购项目最高限价45%的，即投标（响应）报价&lt;采购项目最高限价×45%； </w:t>
      </w:r>
    </w:p>
    <w:p w14:paraId="1FC06FC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④其他评标委员会基于专业判断，认为供应商报价过低，有可能影响产品质量或者不能诚信履约的情形。</w:t>
      </w:r>
    </w:p>
    <w:p w14:paraId="6FAFB94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采购人可以结合具体项目实际情况，提高上述第①项至第③项中启动异常低价投标（响应）审查的数值标准，但是最高不得超过65%。</w:t>
      </w:r>
    </w:p>
    <w:p w14:paraId="5B47A7D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相关法律法规对供应商报价有规定的，从其规定。</w:t>
      </w:r>
    </w:p>
    <w:p w14:paraId="5D34B4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w:t>
      </w:r>
      <w:r>
        <w:rPr>
          <w:rFonts w:hint="eastAsia" w:ascii="宋体" w:hAnsi="宋体"/>
          <w:color w:val="auto"/>
          <w:szCs w:val="21"/>
          <w:highlight w:val="none"/>
          <w:lang w:val="en-US" w:eastAsia="zh-CN"/>
        </w:rPr>
        <w:t>4</w:t>
      </w:r>
      <w:r>
        <w:rPr>
          <w:rFonts w:hint="eastAsia" w:ascii="宋体" w:hAnsi="宋体"/>
          <w:color w:val="auto"/>
          <w:szCs w:val="21"/>
          <w:highlight w:val="none"/>
        </w:rPr>
        <w:t xml:space="preserve">.2审查工作流程。评标委员会严格按照评审现场说明、综合评估研判和出具处理结果三个步骤开展审查流程。 </w:t>
      </w:r>
    </w:p>
    <w:p w14:paraId="47C08E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①评标现场说明。评标委员会启动异常低价投标（响应）审查后，属于前述第①项至第④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响应）文件一并提交相关书面说明及必要的证明材料的，在评审现场可不再重复提交。 </w:t>
      </w:r>
    </w:p>
    <w:p w14:paraId="28777E4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综合评估研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w:t>
      </w:r>
      <w:r>
        <w:rPr>
          <w:rFonts w:hint="eastAsia" w:ascii="宋体" w:hAnsi="宋体"/>
          <w:b/>
          <w:bCs/>
          <w:color w:val="auto"/>
          <w:szCs w:val="21"/>
          <w:highlight w:val="none"/>
          <w:lang w:val="en-US" w:eastAsia="zh-CN"/>
        </w:rPr>
        <w:t>评标</w:t>
      </w:r>
      <w:r>
        <w:rPr>
          <w:rFonts w:hint="eastAsia" w:ascii="宋体" w:hAnsi="宋体"/>
          <w:b/>
          <w:bCs/>
          <w:color w:val="auto"/>
          <w:szCs w:val="21"/>
          <w:highlight w:val="none"/>
        </w:rPr>
        <w:t xml:space="preserve">小组会应当将其作为无效投标（响应）处理。 </w:t>
      </w:r>
    </w:p>
    <w:p w14:paraId="19D19154">
      <w:pPr>
        <w:spacing w:line="360" w:lineRule="auto"/>
        <w:ind w:firstLine="420" w:firstLineChars="200"/>
        <w:rPr>
          <w:rFonts w:hint="eastAsia"/>
          <w:color w:val="auto"/>
          <w:highlight w:val="none"/>
        </w:rPr>
      </w:pPr>
      <w:r>
        <w:rPr>
          <w:rFonts w:hint="eastAsia" w:ascii="宋体" w:hAnsi="宋体"/>
          <w:color w:val="auto"/>
          <w:szCs w:val="21"/>
          <w:highlight w:val="none"/>
        </w:rPr>
        <w:t>③出具处理结果。异常低价投标（响应）审查的启动原因、审查意见和审查结果应当在评审报告中记录，并随供应商提供的相关书面说明及证明材料，以及评审委员会有关互联网浏览、查询历史一并归档。</w:t>
      </w:r>
    </w:p>
    <w:p w14:paraId="26F9C814">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17.投标有效期</w:t>
      </w:r>
    </w:p>
    <w:p w14:paraId="6B6501BA">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bookmarkStart w:id="70" w:name="_17.1投标有效期应按“投标人须知中的前附表”规定的期限。"/>
      <w:bookmarkEnd w:id="70"/>
      <w:r>
        <w:rPr>
          <w:rFonts w:hint="eastAsia" w:ascii="宋体" w:hAnsi="宋体" w:cs="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7B858108">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17.2</w:t>
      </w:r>
      <w:bookmarkStart w:id="71" w:name="_Toc254970681"/>
      <w:bookmarkStart w:id="72" w:name="_Toc254970540"/>
      <w:r>
        <w:rPr>
          <w:rFonts w:hint="eastAsia" w:ascii="宋体" w:hAnsi="宋体" w:cs="宋体"/>
          <w:b w:val="0"/>
          <w:color w:val="auto"/>
          <w:sz w:val="21"/>
          <w:szCs w:val="21"/>
          <w:highlight w:val="none"/>
        </w:rPr>
        <w:t xml:space="preserve"> 投标有效期应按规定的期限作出承诺，具体详见“投标人须知前附表”。</w:t>
      </w:r>
    </w:p>
    <w:p w14:paraId="569E3AFE">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17.3投标人的投标文件在投标有效期内均保持有效。</w:t>
      </w:r>
      <w:bookmarkEnd w:id="71"/>
      <w:bookmarkEnd w:id="72"/>
    </w:p>
    <w:p w14:paraId="02FC8043">
      <w:pPr>
        <w:pStyle w:val="8"/>
        <w:keepNext w:val="0"/>
        <w:keepLines w:val="0"/>
        <w:spacing w:before="0" w:after="0" w:line="360" w:lineRule="auto"/>
        <w:ind w:left="420" w:leftChars="200"/>
        <w:rPr>
          <w:rFonts w:hint="eastAsia" w:ascii="宋体" w:hAnsi="宋体" w:cs="宋体"/>
          <w:color w:val="auto"/>
          <w:sz w:val="24"/>
          <w:highlight w:val="none"/>
        </w:rPr>
      </w:pPr>
      <w:bookmarkStart w:id="73" w:name="_18.投标保证金"/>
      <w:bookmarkEnd w:id="73"/>
      <w:bookmarkStart w:id="74" w:name="_Toc254970682"/>
      <w:bookmarkStart w:id="75" w:name="_Toc254970541"/>
      <w:r>
        <w:rPr>
          <w:rFonts w:hint="eastAsia" w:ascii="宋体" w:hAnsi="宋体" w:cs="宋体"/>
          <w:color w:val="auto"/>
          <w:sz w:val="24"/>
          <w:highlight w:val="none"/>
        </w:rPr>
        <w:t>18.投标保证金</w:t>
      </w:r>
      <w:bookmarkEnd w:id="74"/>
      <w:bookmarkEnd w:id="75"/>
    </w:p>
    <w:p w14:paraId="13AD5F3F">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18.1投标人须按“投标人须知前附表” 的规定提交投标保证金。</w:t>
      </w:r>
    </w:p>
    <w:p w14:paraId="07DC4E92">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14:paraId="05319B4B">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69817EE3">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14:paraId="43E2A123">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18.4投标人有下列情形之一的，投标保证金将不予退还： </w:t>
      </w:r>
    </w:p>
    <w:p w14:paraId="2D855BCE">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4730F084">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142DFEA8">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7B6AA78B">
      <w:pPr>
        <w:snapToGrid w:val="0"/>
        <w:spacing w:line="360"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67AAA648">
      <w:pPr>
        <w:snapToGrid w:val="0"/>
        <w:spacing w:line="360" w:lineRule="auto"/>
        <w:ind w:firstLine="420" w:firstLineChars="200"/>
        <w:rPr>
          <w:rFonts w:hint="eastAsia" w:ascii="宋体" w:hAnsi="宋体" w:cs="宋体"/>
          <w:color w:val="auto"/>
          <w:szCs w:val="21"/>
          <w:highlight w:val="none"/>
        </w:rPr>
      </w:pPr>
      <w:bookmarkStart w:id="76" w:name="_Toc254970542"/>
      <w:bookmarkStart w:id="77" w:name="_Toc254970683"/>
      <w:r>
        <w:rPr>
          <w:rFonts w:hint="eastAsia" w:ascii="宋体" w:hAnsi="宋体" w:cs="宋体"/>
          <w:color w:val="auto"/>
          <w:szCs w:val="21"/>
          <w:highlight w:val="none"/>
        </w:rPr>
        <w:t>（5）投标人出现本章第9.2、9.3情形的；</w:t>
      </w:r>
    </w:p>
    <w:p w14:paraId="7CD7016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76"/>
    <w:bookmarkEnd w:id="77"/>
    <w:p w14:paraId="264639EA">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19.投标文件的编制</w:t>
      </w:r>
    </w:p>
    <w:p w14:paraId="3A4958B8">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19.1投标人应先安装“广西政府采购云平台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131368E7">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bookmarkStart w:id="78" w:name="_19.2投标文件应按报价文件、资格证明文件、商务文件、技术文件分别编制"/>
      <w:bookmarkEnd w:id="78"/>
      <w:r>
        <w:rPr>
          <w:rFonts w:hint="eastAsia" w:ascii="宋体" w:hAnsi="宋体" w:cs="宋体"/>
          <w:b w:val="0"/>
          <w:color w:val="auto"/>
          <w:sz w:val="21"/>
          <w:szCs w:val="21"/>
          <w:highlight w:val="none"/>
        </w:rPr>
        <w:t>19.2为确保网上操作合法、有效和安全，投标人应当在投标截止时间前完成在“广西政府采购云平台”的身份认证，确保在电子投标过程中能够对相关数据电文进行加密和使用电子签章。</w:t>
      </w:r>
    </w:p>
    <w:p w14:paraId="68FF7619">
      <w:pPr>
        <w:pStyle w:val="8"/>
        <w:keepNext w:val="0"/>
        <w:keepLines w:val="0"/>
        <w:spacing w:before="0" w:after="0" w:line="360" w:lineRule="auto"/>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19.3投标文件须由投标人在规定位置签字（或者电子签名）、盖章（具体以投标人须知前附表或投标文件格式规定为准），</w:t>
      </w:r>
      <w:r>
        <w:rPr>
          <w:rFonts w:hint="eastAsia" w:ascii="宋体" w:hAnsi="宋体" w:cs="宋体"/>
          <w:bCs/>
          <w:color w:val="auto"/>
          <w:sz w:val="21"/>
          <w:szCs w:val="21"/>
          <w:highlight w:val="none"/>
        </w:rPr>
        <w:t>否则按无效投标处理</w:t>
      </w:r>
      <w:r>
        <w:rPr>
          <w:rFonts w:hint="eastAsia" w:ascii="宋体" w:hAnsi="宋体" w:cs="宋体"/>
          <w:b w:val="0"/>
          <w:color w:val="auto"/>
          <w:sz w:val="21"/>
          <w:szCs w:val="21"/>
          <w:highlight w:val="none"/>
        </w:rPr>
        <w:t>。</w:t>
      </w:r>
    </w:p>
    <w:p w14:paraId="7B641EFC">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2EF18DA3">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1164184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20.电子备份投标文件</w:t>
      </w:r>
    </w:p>
    <w:p w14:paraId="06EF8BBB">
      <w:pPr>
        <w:spacing w:line="360" w:lineRule="auto"/>
        <w:ind w:firstLine="420" w:firstLineChars="200"/>
        <w:rPr>
          <w:rFonts w:hint="eastAsia" w:ascii="宋体" w:hAnsi="宋体" w:cs="宋体"/>
          <w:color w:val="auto"/>
          <w:sz w:val="24"/>
          <w:highlight w:val="none"/>
        </w:rPr>
      </w:pPr>
      <w:r>
        <w:rPr>
          <w:rFonts w:hint="eastAsia" w:ascii="宋体" w:hAnsi="宋体" w:cs="宋体"/>
          <w:color w:val="auto"/>
          <w:highlight w:val="none"/>
        </w:rPr>
        <w:t>电子备份投标文件是指通过“广西政府采购云平台电子投标客户端”在线编制生成且后缀名为“bfbs”的文件，是否接受电子备份投标文件</w:t>
      </w:r>
      <w:r>
        <w:rPr>
          <w:rFonts w:hint="eastAsia" w:ascii="宋体" w:hAnsi="宋体" w:cs="宋体"/>
          <w:bCs/>
          <w:color w:val="auto"/>
          <w:szCs w:val="21"/>
          <w:highlight w:val="none"/>
        </w:rPr>
        <w:t>详见在“投标人须知前附表”。</w:t>
      </w:r>
    </w:p>
    <w:p w14:paraId="32E6B6D3">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21.投标文件的提交</w:t>
      </w:r>
    </w:p>
    <w:p w14:paraId="46F96CDE">
      <w:pPr>
        <w:spacing w:line="360" w:lineRule="auto"/>
        <w:ind w:firstLine="420" w:firstLineChars="200"/>
        <w:rPr>
          <w:rFonts w:hint="eastAsia" w:ascii="宋体" w:hAnsi="宋体" w:cs="宋体"/>
          <w:bCs/>
          <w:color w:val="auto"/>
          <w:highlight w:val="none"/>
        </w:rPr>
      </w:pPr>
      <w:bookmarkStart w:id="79" w:name="_21.1投标人必须在“投标人须知中的前附表”规定的投标文件接收时间和投"/>
      <w:bookmarkEnd w:id="79"/>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投标文件提交截止时间前将</w:t>
      </w:r>
      <w:r>
        <w:rPr>
          <w:rFonts w:hint="eastAsia" w:ascii="宋体" w:hAnsi="宋体" w:cs="宋体"/>
          <w:bCs/>
          <w:color w:val="auto"/>
          <w:szCs w:val="21"/>
          <w:highlight w:val="none"/>
        </w:rPr>
        <w:t xml:space="preserve">电子投标文件提交至投标地点。电子投标文件应在制作完成后，在投标截止时间前通过有效数字证书（CA认证锁）进行电子签章、加密，然后通过网络将加密的电子投标文件递交至“广西政府采购云平台”。 </w:t>
      </w:r>
      <w:r>
        <w:rPr>
          <w:rFonts w:hint="eastAsia" w:ascii="宋体" w:hAnsi="宋体" w:cs="宋体"/>
          <w:bCs/>
          <w:color w:val="auto"/>
          <w:highlight w:val="none"/>
        </w:rPr>
        <w:t xml:space="preserve"> </w:t>
      </w:r>
    </w:p>
    <w:p w14:paraId="109D7758">
      <w:pPr>
        <w:spacing w:line="360" w:lineRule="auto"/>
        <w:ind w:firstLine="420" w:firstLineChars="200"/>
        <w:rPr>
          <w:rFonts w:hint="eastAsia" w:ascii="宋体" w:hAnsi="宋体" w:cs="宋体"/>
          <w:bCs/>
          <w:color w:val="auto"/>
          <w:szCs w:val="20"/>
          <w:highlight w:val="none"/>
        </w:rPr>
      </w:pPr>
      <w:r>
        <w:rPr>
          <w:rFonts w:hint="eastAsia" w:ascii="宋体" w:hAnsi="宋体" w:cs="宋体"/>
          <w:bCs/>
          <w:color w:val="auto"/>
          <w:szCs w:val="21"/>
          <w:highlight w:val="none"/>
        </w:rPr>
        <w:t>21.2未在规定时间内提交或者未按照招标文件要求加密的电子投标文件，“广西政府采购云平台”将拒收。</w:t>
      </w:r>
    </w:p>
    <w:p w14:paraId="6276CF4F">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22. 投标文件的补充、修改、撤回与退回</w:t>
      </w:r>
    </w:p>
    <w:p w14:paraId="56CECF3A">
      <w:pPr>
        <w:snapToGrid w:val="0"/>
        <w:spacing w:line="360" w:lineRule="auto"/>
        <w:ind w:firstLine="420"/>
        <w:jc w:val="left"/>
        <w:rPr>
          <w:rFonts w:hint="eastAsia" w:ascii="宋体" w:hAnsi="宋体" w:cs="宋体"/>
          <w:color w:val="auto"/>
          <w:szCs w:val="21"/>
          <w:highlight w:val="none"/>
        </w:rPr>
      </w:pPr>
      <w:bookmarkStart w:id="80" w:name="_Toc254970684"/>
      <w:bookmarkStart w:id="81" w:name="_Toc254970543"/>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（补充、修改或者撤回方式可登陆</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 “电子投标文件制作与投送教程”）</w:t>
      </w:r>
    </w:p>
    <w:bookmarkEnd w:id="80"/>
    <w:bookmarkEnd w:id="81"/>
    <w:p w14:paraId="4FE85FFA">
      <w:pPr>
        <w:pStyle w:val="117"/>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4D9F69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4FCDAA12">
      <w:pPr>
        <w:pStyle w:val="6"/>
        <w:keepNext w:val="0"/>
        <w:keepLines w:val="0"/>
        <w:jc w:val="center"/>
        <w:rPr>
          <w:rFonts w:hint="eastAsia" w:ascii="宋体" w:hAnsi="宋体" w:cs="宋体"/>
          <w:color w:val="auto"/>
          <w:highlight w:val="none"/>
        </w:rPr>
      </w:pPr>
      <w:bookmarkStart w:id="82" w:name="_Toc254970685"/>
      <w:bookmarkStart w:id="83" w:name="_Toc254970544"/>
      <w:r>
        <w:rPr>
          <w:rFonts w:hint="eastAsia" w:ascii="宋体" w:hAnsi="宋体" w:cs="宋体"/>
          <w:color w:val="auto"/>
          <w:highlight w:val="none"/>
        </w:rPr>
        <w:t>四、开    标</w:t>
      </w:r>
      <w:bookmarkEnd w:id="82"/>
      <w:bookmarkEnd w:id="83"/>
    </w:p>
    <w:p w14:paraId="7A5094B9">
      <w:pPr>
        <w:pStyle w:val="8"/>
        <w:keepNext w:val="0"/>
        <w:keepLines w:val="0"/>
        <w:spacing w:before="0" w:after="0" w:line="360" w:lineRule="auto"/>
        <w:ind w:left="420" w:leftChars="200"/>
        <w:rPr>
          <w:rFonts w:hint="eastAsia" w:ascii="宋体" w:hAnsi="宋体" w:cs="宋体"/>
          <w:color w:val="auto"/>
          <w:sz w:val="24"/>
          <w:highlight w:val="none"/>
        </w:rPr>
      </w:pPr>
      <w:bookmarkStart w:id="84" w:name="_23.开标时间和地点"/>
      <w:bookmarkEnd w:id="84"/>
      <w:r>
        <w:rPr>
          <w:rFonts w:hint="eastAsia" w:ascii="宋体" w:hAnsi="宋体" w:cs="宋体"/>
          <w:color w:val="auto"/>
          <w:sz w:val="24"/>
          <w:highlight w:val="none"/>
        </w:rPr>
        <w:t>23.开标时间和地点</w:t>
      </w:r>
    </w:p>
    <w:p w14:paraId="0CCFD7A1">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开标时间及地点详见“投标人须知前附表”</w:t>
      </w:r>
    </w:p>
    <w:p w14:paraId="72F9B488">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24.开标程序</w:t>
      </w:r>
    </w:p>
    <w:p w14:paraId="74BD3766">
      <w:pPr>
        <w:pStyle w:val="2"/>
        <w:spacing w:line="360" w:lineRule="auto"/>
        <w:rPr>
          <w:rFonts w:hint="eastAsia"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0F4541EC">
      <w:pPr>
        <w:pStyle w:val="2"/>
        <w:spacing w:line="360" w:lineRule="auto"/>
        <w:rPr>
          <w:rFonts w:hint="eastAsia" w:ascii="宋体" w:hAnsi="宋体" w:cs="宋体"/>
          <w:color w:val="auto"/>
          <w:highlight w:val="none"/>
        </w:rPr>
      </w:pPr>
      <w:r>
        <w:rPr>
          <w:rFonts w:hint="eastAsia" w:ascii="宋体" w:hAnsi="宋体" w:cs="宋体"/>
          <w:color w:val="auto"/>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2FEEA351">
      <w:pPr>
        <w:pStyle w:val="2"/>
        <w:spacing w:line="360" w:lineRule="auto"/>
        <w:rPr>
          <w:rFonts w:hint="eastAsia" w:ascii="宋体" w:hAnsi="宋体" w:cs="宋体"/>
          <w:color w:val="auto"/>
          <w:highlight w:val="none"/>
        </w:rPr>
      </w:pPr>
      <w:r>
        <w:rPr>
          <w:rFonts w:hint="eastAsia" w:ascii="宋体" w:hAnsi="宋体" w:cs="宋体"/>
          <w:color w:val="auto"/>
          <w:highlight w:val="none"/>
        </w:rPr>
        <w:t>24.3开标程序</w:t>
      </w:r>
    </w:p>
    <w:p w14:paraId="1DEEB1B1">
      <w:pPr>
        <w:pStyle w:val="2"/>
        <w:spacing w:line="360" w:lineRule="auto"/>
        <w:rPr>
          <w:rFonts w:hint="eastAsia" w:ascii="宋体" w:hAnsi="宋体" w:cs="宋体"/>
          <w:color w:val="auto"/>
          <w:highlight w:val="none"/>
        </w:rPr>
      </w:pPr>
      <w:r>
        <w:rPr>
          <w:rFonts w:hint="eastAsia" w:ascii="宋体" w:hAnsi="宋体" w:cs="宋体"/>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r>
        <w:rPr>
          <w:rFonts w:hint="eastAsia" w:ascii="宋体" w:hAnsi="宋体" w:cs="宋体"/>
          <w:b/>
          <w:color w:val="auto"/>
          <w:highlight w:val="none"/>
        </w:rPr>
        <w:t>。</w:t>
      </w:r>
    </w:p>
    <w:p w14:paraId="4FEA32DB">
      <w:pPr>
        <w:pStyle w:val="2"/>
        <w:spacing w:line="360" w:lineRule="auto"/>
        <w:rPr>
          <w:rFonts w:hint="eastAsia" w:ascii="宋体" w:hAnsi="宋体" w:cs="宋体"/>
          <w:color w:val="auto"/>
          <w:highlight w:val="none"/>
        </w:rPr>
      </w:pPr>
      <w:r>
        <w:rPr>
          <w:rFonts w:hint="eastAsia" w:ascii="宋体" w:hAnsi="宋体" w:cs="宋体"/>
          <w:color w:val="auto"/>
          <w:highlight w:val="none"/>
        </w:rPr>
        <w:t>（2）电子唱标。投标文件解密结束，宣布的内容均在“广西政府采购云平台”远程开标大厅展示，具体详见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51A79E7E">
      <w:pPr>
        <w:pStyle w:val="2"/>
        <w:spacing w:line="360" w:lineRule="auto"/>
        <w:rPr>
          <w:rFonts w:hint="eastAsia" w:ascii="宋体" w:hAnsi="宋体" w:cs="宋体"/>
          <w:color w:val="auto"/>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3BEAD259">
      <w:pPr>
        <w:pStyle w:val="2"/>
        <w:spacing w:line="360" w:lineRule="auto"/>
        <w:rPr>
          <w:rFonts w:hint="eastAsia" w:ascii="宋体" w:hAnsi="宋体" w:cs="宋体"/>
          <w:color w:val="auto"/>
          <w:highlight w:val="none"/>
        </w:rPr>
      </w:pPr>
      <w:r>
        <w:rPr>
          <w:rFonts w:hint="eastAsia" w:ascii="宋体" w:hAnsi="宋体" w:cs="宋体"/>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F4EA4C0">
      <w:pPr>
        <w:pStyle w:val="2"/>
        <w:spacing w:line="360" w:lineRule="auto"/>
        <w:rPr>
          <w:rFonts w:hint="eastAsia" w:ascii="宋体" w:hAnsi="宋体" w:cs="宋体"/>
          <w:color w:val="auto"/>
          <w:szCs w:val="21"/>
          <w:highlight w:val="none"/>
        </w:rPr>
      </w:pPr>
      <w:r>
        <w:rPr>
          <w:rFonts w:hint="eastAsia" w:ascii="宋体" w:hAnsi="宋体" w:cs="宋体"/>
          <w:color w:val="auto"/>
          <w:szCs w:val="21"/>
          <w:highlight w:val="none"/>
        </w:rPr>
        <w:t>（5）开标结束。</w:t>
      </w:r>
    </w:p>
    <w:p w14:paraId="5BF93872">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特别说明：如遇“广西政府采购云平台”电子化开标或评审程序调整的，按调整后执行。</w:t>
      </w:r>
    </w:p>
    <w:p w14:paraId="235A51D6">
      <w:pPr>
        <w:pStyle w:val="25"/>
        <w:snapToGrid w:val="0"/>
        <w:spacing w:line="360" w:lineRule="auto"/>
        <w:ind w:left="689" w:leftChars="228" w:hanging="210" w:hangingChars="100"/>
        <w:rPr>
          <w:rFonts w:hint="eastAsia" w:hAnsi="宋体" w:cs="宋体"/>
          <w:color w:val="auto"/>
          <w:sz w:val="21"/>
          <w:highlight w:val="none"/>
        </w:rPr>
      </w:pPr>
    </w:p>
    <w:p w14:paraId="04DA12D9">
      <w:pPr>
        <w:pStyle w:val="6"/>
        <w:keepNext w:val="0"/>
        <w:keepLines w:val="0"/>
        <w:jc w:val="center"/>
        <w:rPr>
          <w:rFonts w:hint="eastAsia" w:ascii="宋体" w:hAnsi="宋体" w:cs="宋体"/>
          <w:color w:val="auto"/>
          <w:highlight w:val="none"/>
        </w:rPr>
      </w:pPr>
      <w:r>
        <w:rPr>
          <w:rFonts w:hint="eastAsia" w:ascii="宋体" w:hAnsi="宋体" w:cs="宋体"/>
          <w:color w:val="auto"/>
          <w:highlight w:val="none"/>
        </w:rPr>
        <w:t>五、资格审查</w:t>
      </w:r>
    </w:p>
    <w:p w14:paraId="50C16829">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25.资格审查</w:t>
      </w:r>
    </w:p>
    <w:p w14:paraId="380FF582">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25.1开标结束后，采购人或者采购代理机构通过电子开评标系统依据招标文件对电子投标文件进行线上资格审查。</w:t>
      </w:r>
    </w:p>
    <w:p w14:paraId="03F5FE41">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7BF7DA5E">
      <w:pPr>
        <w:pStyle w:val="8"/>
        <w:keepNext w:val="0"/>
        <w:keepLines w:val="0"/>
        <w:numPr>
          <w:ilvl w:val="0"/>
          <w:numId w:val="0"/>
        </w:numPr>
        <w:spacing w:before="0" w:after="0" w:line="360" w:lineRule="auto"/>
        <w:ind w:firstLine="422" w:firstLineChars="200"/>
        <w:rPr>
          <w:rFonts w:hint="eastAsia" w:ascii="宋体" w:hAnsi="宋体" w:cs="宋体"/>
          <w:color w:val="auto"/>
          <w:sz w:val="21"/>
          <w:szCs w:val="21"/>
          <w:highlight w:val="none"/>
        </w:rPr>
      </w:pPr>
      <w:bookmarkStart w:id="85" w:name="_25.3_投标人有下列情形之一的，资格审查不通过而导致其投标无效："/>
      <w:bookmarkEnd w:id="85"/>
      <w:r>
        <w:rPr>
          <w:rFonts w:hint="eastAsia" w:ascii="宋体" w:hAnsi="宋体" w:cs="宋体"/>
          <w:color w:val="auto"/>
          <w:sz w:val="21"/>
          <w:szCs w:val="21"/>
          <w:highlight w:val="none"/>
        </w:rPr>
        <w:t>25.3 投标人有下列情形之一的，资格审查不通过，作无效投标处理：</w:t>
      </w:r>
    </w:p>
    <w:p w14:paraId="64E23907">
      <w:pPr>
        <w:pStyle w:val="25"/>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（1）不具备招标文件中规定的资格要求的；</w:t>
      </w:r>
    </w:p>
    <w:p w14:paraId="57DC2ACA">
      <w:pPr>
        <w:pStyle w:val="25"/>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2）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14:paraId="2F9C6EA2">
      <w:pPr>
        <w:pStyle w:val="25"/>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73FB7F60">
      <w:pPr>
        <w:pStyle w:val="25"/>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（4）投标文件中的资格证明文件缺少任一项“投标人须知前附表”资格证明文件规定“必须提供”的文件资料的；</w:t>
      </w:r>
    </w:p>
    <w:p w14:paraId="5023A51C">
      <w:pPr>
        <w:pStyle w:val="25"/>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（5）投标文件中的资格证明文件出现任一项不符合“投标人须知前附表”资格证明文件规定“必须提供”的文件资料要求或者无效的。</w:t>
      </w:r>
    </w:p>
    <w:p w14:paraId="022D69E9">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color w:val="auto"/>
          <w:sz w:val="21"/>
          <w:szCs w:val="21"/>
          <w:highlight w:val="none"/>
        </w:rPr>
        <w:t>25.4合格投标人不足3家的，不得评标。</w:t>
      </w:r>
    </w:p>
    <w:p w14:paraId="4C4B1CF8">
      <w:pPr>
        <w:pStyle w:val="2"/>
        <w:rPr>
          <w:rFonts w:hint="eastAsia"/>
          <w:color w:val="auto"/>
          <w:highlight w:val="none"/>
        </w:rPr>
      </w:pPr>
    </w:p>
    <w:p w14:paraId="33833624">
      <w:pPr>
        <w:pStyle w:val="6"/>
        <w:keepNext w:val="0"/>
        <w:keepLines w:val="0"/>
        <w:jc w:val="center"/>
        <w:rPr>
          <w:rFonts w:hint="eastAsia" w:ascii="宋体" w:hAnsi="宋体" w:cs="宋体"/>
          <w:color w:val="auto"/>
          <w:highlight w:val="none"/>
        </w:rPr>
      </w:pPr>
      <w:r>
        <w:rPr>
          <w:rFonts w:hint="eastAsia" w:ascii="宋体" w:hAnsi="宋体" w:cs="宋体"/>
          <w:color w:val="auto"/>
          <w:highlight w:val="none"/>
        </w:rPr>
        <w:t>六、评   标</w:t>
      </w:r>
    </w:p>
    <w:p w14:paraId="076E1D94">
      <w:pPr>
        <w:pStyle w:val="8"/>
        <w:keepNext w:val="0"/>
        <w:keepLines w:val="0"/>
        <w:spacing w:before="0" w:after="0" w:line="360" w:lineRule="auto"/>
        <w:ind w:left="420" w:leftChars="200"/>
        <w:rPr>
          <w:rFonts w:hint="eastAsia" w:ascii="宋体" w:hAnsi="宋体" w:cs="宋体"/>
          <w:color w:val="auto"/>
          <w:sz w:val="24"/>
          <w:highlight w:val="none"/>
        </w:rPr>
      </w:pPr>
      <w:bookmarkStart w:id="86" w:name="_26.组建评标委员会"/>
      <w:bookmarkEnd w:id="86"/>
      <w:r>
        <w:rPr>
          <w:rFonts w:hint="eastAsia" w:ascii="宋体" w:hAnsi="宋体" w:cs="宋体"/>
          <w:color w:val="auto"/>
          <w:sz w:val="24"/>
          <w:highlight w:val="none"/>
        </w:rPr>
        <w:t>26.组建评标委员会</w:t>
      </w:r>
    </w:p>
    <w:p w14:paraId="5DCF6F12">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26.1评标委员会由采购人代表和评审专家组成，具体人数详见“投标人须知前附表”，其中评审专家不得少于成员总数的三分之二。</w:t>
      </w:r>
    </w:p>
    <w:p w14:paraId="61D5E3C5">
      <w:pPr>
        <w:pStyle w:val="25"/>
        <w:snapToGrid w:val="0"/>
        <w:spacing w:line="360" w:lineRule="auto"/>
        <w:ind w:left="2" w:leftChars="1" w:firstLine="420" w:firstLineChars="200"/>
        <w:rPr>
          <w:rFonts w:hint="eastAsia" w:hAnsi="宋体" w:cs="宋体"/>
          <w:color w:val="auto"/>
          <w:sz w:val="21"/>
          <w:highlight w:val="none"/>
        </w:rPr>
      </w:pPr>
      <w:r>
        <w:rPr>
          <w:rFonts w:hint="eastAsia" w:hAnsi="宋体" w:cs="宋体"/>
          <w:color w:val="auto"/>
          <w:sz w:val="21"/>
          <w:highlight w:val="none"/>
        </w:rPr>
        <w:t>26.2参加过采购项目前期咨询论证的专家，不得参加该采购项目的评审活动。</w:t>
      </w:r>
    </w:p>
    <w:p w14:paraId="49DF705C">
      <w:pPr>
        <w:pStyle w:val="25"/>
        <w:snapToGrid w:val="0"/>
        <w:spacing w:line="360" w:lineRule="auto"/>
        <w:ind w:left="2" w:leftChars="1" w:firstLine="420" w:firstLineChars="200"/>
        <w:rPr>
          <w:rFonts w:hint="eastAsia" w:hAnsi="宋体" w:cs="宋体"/>
          <w:color w:val="auto"/>
          <w:sz w:val="21"/>
          <w:highlight w:val="none"/>
        </w:rPr>
      </w:pPr>
      <w:r>
        <w:rPr>
          <w:rFonts w:hint="eastAsia" w:hAnsi="宋体" w:cs="宋体"/>
          <w:color w:val="auto"/>
          <w:sz w:val="21"/>
          <w:highlight w:val="none"/>
        </w:rPr>
        <w:t>26.3</w:t>
      </w:r>
      <w:r>
        <w:rPr>
          <w:rFonts w:hint="eastAsia" w:hAnsi="宋体" w:cs="宋体"/>
          <w:bCs/>
          <w:color w:val="auto"/>
          <w:sz w:val="21"/>
          <w:highlight w:val="none"/>
        </w:rPr>
        <w:t>采购代理机构应当基于“广西政府采购云平台”抽（选）取评审专家。</w:t>
      </w:r>
    </w:p>
    <w:p w14:paraId="18A5267C">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27.评标的依据</w:t>
      </w:r>
    </w:p>
    <w:p w14:paraId="1960C5D3">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评标委员会以“第四章 评标方法和评标标准”为依据对投标文件进行评审，没有规定的方法、评审因素和标准，不作为评标依据。</w:t>
      </w:r>
    </w:p>
    <w:p w14:paraId="17B47DE9">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28.评标原则</w:t>
      </w:r>
    </w:p>
    <w:p w14:paraId="07928588">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08FC0B6">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28.2</w:t>
      </w:r>
      <w:bookmarkStart w:id="87" w:name="_28.3评标方法。本项目将按须知前附表规定的评标办法进行评标，具体评标"/>
      <w:bookmarkEnd w:id="87"/>
      <w:r>
        <w:rPr>
          <w:rFonts w:hint="eastAsia" w:hAnsi="宋体" w:cs="宋体"/>
          <w:color w:val="auto"/>
          <w:sz w:val="21"/>
          <w:highlight w:val="none"/>
        </w:rPr>
        <w:t>评委表决。评标委员会成员对需要共同认定的事项存在争议的，应当按照少数服从多数的原则作出结论。</w:t>
      </w:r>
    </w:p>
    <w:p w14:paraId="3A3B82BE">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ADE73BC">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28.4评标过程的监控。本项目电子评标过程实行网上留痕、全程录音、录像监控，</w:t>
      </w:r>
      <w:r>
        <w:rPr>
          <w:rFonts w:hint="eastAsia" w:hAnsi="宋体" w:cs="宋体"/>
          <w:b/>
          <w:color w:val="auto"/>
          <w:sz w:val="21"/>
          <w:highlight w:val="none"/>
        </w:rPr>
        <w:t>投标人在评标过程中所进行的试图影响评标结果的不公正活动，可能导致其投标按无效处理。</w:t>
      </w:r>
    </w:p>
    <w:p w14:paraId="5381C87D">
      <w:pPr>
        <w:pStyle w:val="8"/>
        <w:keepNext w:val="0"/>
        <w:keepLines w:val="0"/>
        <w:spacing w:before="0" w:after="0" w:line="360" w:lineRule="auto"/>
        <w:ind w:left="42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29.评标方法及中标候选人推荐</w:t>
      </w:r>
    </w:p>
    <w:p w14:paraId="51199877">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29.1本项目的评标方法详见“投标人须知前附表”。</w:t>
      </w:r>
    </w:p>
    <w:p w14:paraId="48E628A5">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29.2 商务/技术要求允许负偏离的条款数详见“投标人须知前附表”。</w:t>
      </w:r>
    </w:p>
    <w:p w14:paraId="7A14E374">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29.3 中标候选人推荐数量详见“投标人须知前附表”。</w:t>
      </w:r>
    </w:p>
    <w:p w14:paraId="07CF5DF1">
      <w:pPr>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29.4 电子交易活动的中止。采购过程中出现以下情形，导致</w:t>
      </w:r>
      <w:r>
        <w:rPr>
          <w:rFonts w:hint="eastAsia" w:ascii="宋体" w:hAnsi="宋体" w:cs="宋体"/>
          <w:color w:val="auto"/>
          <w:highlight w:val="none"/>
        </w:rPr>
        <w:t>电子交易平台无法正常运行，或者无法保证电子交易的公平、公正和安全时，采购代理机构可以中止电子交易活动：</w:t>
      </w:r>
    </w:p>
    <w:p w14:paraId="5C773B6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5D0677E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00668DF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2A138F3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（4）病毒发作导致不能进行正常操作的； </w:t>
      </w:r>
    </w:p>
    <w:p w14:paraId="3D1A187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（5）其他无法保证电子交易的公平、公正和安全的情况。</w:t>
      </w:r>
    </w:p>
    <w:p w14:paraId="53D0D6C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5E11468">
      <w:pPr>
        <w:pStyle w:val="46"/>
        <w:rPr>
          <w:rFonts w:hint="eastAsia"/>
          <w:color w:val="auto"/>
          <w:highlight w:val="none"/>
        </w:rPr>
      </w:pPr>
      <w:bookmarkStart w:id="88" w:name="_Toc254970546"/>
      <w:bookmarkStart w:id="89" w:name="_Toc254970687"/>
    </w:p>
    <w:p w14:paraId="2C7A7167">
      <w:pPr>
        <w:pStyle w:val="6"/>
        <w:keepNext w:val="0"/>
        <w:keepLines w:val="0"/>
        <w:jc w:val="center"/>
        <w:rPr>
          <w:rFonts w:hint="eastAsia" w:ascii="宋体" w:hAnsi="宋体" w:cs="宋体"/>
          <w:color w:val="auto"/>
          <w:highlight w:val="none"/>
        </w:rPr>
      </w:pPr>
      <w:r>
        <w:rPr>
          <w:rFonts w:hint="eastAsia" w:ascii="宋体" w:hAnsi="宋体" w:cs="宋体"/>
          <w:color w:val="auto"/>
          <w:highlight w:val="none"/>
        </w:rPr>
        <w:t>七、</w:t>
      </w:r>
      <w:bookmarkEnd w:id="88"/>
      <w:bookmarkEnd w:id="89"/>
      <w:r>
        <w:rPr>
          <w:rFonts w:hint="eastAsia" w:ascii="宋体" w:hAnsi="宋体" w:cs="宋体"/>
          <w:color w:val="auto"/>
          <w:highlight w:val="none"/>
        </w:rPr>
        <w:t>中标和合同</w:t>
      </w:r>
    </w:p>
    <w:p w14:paraId="483D0C61">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30 确定中标人</w:t>
      </w:r>
    </w:p>
    <w:p w14:paraId="1F4F1D83">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0221E879">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2ED1E73B">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30.3出现下列情形之一的，应予废标：</w:t>
      </w:r>
    </w:p>
    <w:p w14:paraId="2BA2ABA9">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（1）符合专业条件的供应商或者对招标文件作实质响应的供应商不足三家的；</w:t>
      </w:r>
    </w:p>
    <w:p w14:paraId="6539003A">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4AB1B74B">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0B7BAB5D">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（4）因重大变故，采购任务取消的。</w:t>
      </w:r>
    </w:p>
    <w:p w14:paraId="6A57D2C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废标后，采购人应当将废标理由通知所有投标人。</w:t>
      </w:r>
    </w:p>
    <w:p w14:paraId="75E2573C">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31. 结果公告</w:t>
      </w:r>
    </w:p>
    <w:p w14:paraId="6760F7E2">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32B95CA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6DA786E8">
      <w:pPr>
        <w:pStyle w:val="8"/>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3D9D5AD3">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32.发出中标通知书</w:t>
      </w:r>
    </w:p>
    <w:p w14:paraId="71305041">
      <w:pPr>
        <w:pStyle w:val="8"/>
        <w:keepNext w:val="0"/>
        <w:keepLines w:val="0"/>
        <w:spacing w:before="0" w:after="0" w:line="360" w:lineRule="auto"/>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16F5B98B">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33. 无义务解释未中标原因</w:t>
      </w:r>
    </w:p>
    <w:p w14:paraId="7C6F95D7">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w:t>
      </w:r>
    </w:p>
    <w:p w14:paraId="4D089F70">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34.合同授予标准</w:t>
      </w:r>
    </w:p>
    <w:p w14:paraId="42EA28A9">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2EED45D1">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35.履约保证金</w:t>
      </w:r>
    </w:p>
    <w:p w14:paraId="08DDF340">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bookmarkStart w:id="90" w:name="_39.1中标人须于签订合同前按本须知前附表规定的金额转账或电汇到指定账"/>
      <w:bookmarkEnd w:id="90"/>
      <w:r>
        <w:rPr>
          <w:rFonts w:hint="eastAsia" w:ascii="宋体" w:hAnsi="宋体" w:cs="宋体"/>
          <w:b w:val="0"/>
          <w:color w:val="auto"/>
          <w:sz w:val="21"/>
          <w:szCs w:val="21"/>
          <w:highlight w:val="none"/>
        </w:rPr>
        <w:t xml:space="preserve"> 35.1 履约保证金的金额、提交方式、退付的时间和条件详见 “投标人须知前附表”。中标人未按规定提交履约保证金的，视为拒绝与采购人签订合同。</w:t>
      </w:r>
    </w:p>
    <w:p w14:paraId="71DB35FF">
      <w:pPr>
        <w:pStyle w:val="8"/>
        <w:keepNext w:val="0"/>
        <w:keepLines w:val="0"/>
        <w:spacing w:before="0" w:after="0" w:line="360" w:lineRule="auto"/>
        <w:ind w:firstLine="316"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3F5A1A6B">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36.签订合同</w:t>
      </w:r>
    </w:p>
    <w:p w14:paraId="7573EE87">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bookmarkStart w:id="91" w:name="_40.1投标人接到中标通知书后，按须知前附表规定向采购人出示相关资格证"/>
      <w:bookmarkEnd w:id="91"/>
      <w:r>
        <w:rPr>
          <w:rFonts w:hint="eastAsia" w:ascii="宋体" w:hAnsi="宋体" w:cs="宋体"/>
          <w:b w:val="0"/>
          <w:color w:val="auto"/>
          <w:sz w:val="21"/>
          <w:szCs w:val="21"/>
          <w:highlight w:val="none"/>
        </w:rPr>
        <w:t xml:space="preserve"> </w:t>
      </w:r>
      <w:r>
        <w:rPr>
          <w:rFonts w:hint="eastAsia" w:ascii="宋体" w:hAnsi="宋体" w:cs="宋体"/>
          <w:color w:val="auto"/>
          <w:sz w:val="21"/>
          <w:szCs w:val="21"/>
          <w:highlight w:val="none"/>
        </w:rPr>
        <w:t>36.1签订电子采购合同：中标人领取电子中标通知书后，</w:t>
      </w:r>
      <w:r>
        <w:rPr>
          <w:rFonts w:hint="eastAsia" w:ascii="宋体" w:hAnsi="宋体" w:cs="宋体"/>
          <w:color w:val="auto"/>
          <w:kern w:val="0"/>
          <w:sz w:val="21"/>
          <w:szCs w:val="21"/>
          <w:highlight w:val="none"/>
        </w:rPr>
        <w:t>在</w:t>
      </w:r>
      <w:r>
        <w:rPr>
          <w:rFonts w:hint="eastAsia" w:ascii="宋体" w:hAnsi="宋体" w:cs="宋体"/>
          <w:color w:val="auto"/>
          <w:kern w:val="0"/>
          <w:sz w:val="21"/>
          <w:szCs w:val="21"/>
          <w:highlight w:val="none"/>
          <w:lang w:val="zh-CN"/>
        </w:rPr>
        <w:t>规定的日期、时间、地点，由法定代表人或其授权代表与采购人代表签订电子采购合同。</w:t>
      </w:r>
    </w:p>
    <w:p w14:paraId="775C3FF1">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79C29CEF">
      <w:pPr>
        <w:pStyle w:val="8"/>
        <w:keepNext w:val="0"/>
        <w:keepLines w:val="0"/>
        <w:numPr>
          <w:ilvl w:val="0"/>
          <w:numId w:val="0"/>
        </w:numPr>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36.2签订合同时间：按中标通知书规定的时间与采购人签订合同。</w:t>
      </w:r>
    </w:p>
    <w:p w14:paraId="15726DFA">
      <w:pPr>
        <w:pStyle w:val="8"/>
        <w:keepNext w:val="0"/>
        <w:keepLines w:val="0"/>
        <w:spacing w:before="0" w:after="0" w:line="360" w:lineRule="auto"/>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27F5FD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FBB57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06B0E7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36.6如签订合同并生效后，供应商无故拒绝或延期，除按照合同条款处理外，将承担相应的法律责任。</w:t>
      </w:r>
    </w:p>
    <w:p w14:paraId="60968C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33E65786">
      <w:pPr>
        <w:pStyle w:val="8"/>
        <w:keepNext w:val="0"/>
        <w:keepLines w:val="0"/>
        <w:spacing w:before="0" w:after="0" w:line="360" w:lineRule="auto"/>
        <w:ind w:left="420" w:leftChars="200"/>
        <w:rPr>
          <w:rFonts w:hint="eastAsia" w:ascii="宋体" w:hAnsi="宋体" w:cs="宋体"/>
          <w:color w:val="auto"/>
          <w:sz w:val="24"/>
          <w:highlight w:val="none"/>
        </w:rPr>
      </w:pPr>
      <w:bookmarkStart w:id="92" w:name="_41.政府采购合同公告"/>
      <w:bookmarkEnd w:id="92"/>
      <w:r>
        <w:rPr>
          <w:rFonts w:hint="eastAsia" w:ascii="宋体" w:hAnsi="宋体" w:cs="宋体"/>
          <w:color w:val="auto"/>
          <w:sz w:val="24"/>
          <w:highlight w:val="none"/>
        </w:rPr>
        <w:t>37.政府采购合同公告</w:t>
      </w:r>
    </w:p>
    <w:p w14:paraId="483484AD">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3674A9C0">
      <w:pPr>
        <w:pStyle w:val="8"/>
        <w:keepNext w:val="0"/>
        <w:keepLines w:val="0"/>
        <w:spacing w:before="0" w:after="0" w:line="360"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38. 询问、质疑和投诉</w:t>
      </w:r>
    </w:p>
    <w:p w14:paraId="00EC0311">
      <w:pPr>
        <w:pStyle w:val="2"/>
        <w:spacing w:line="360" w:lineRule="auto"/>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3ED3219C">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474D6BC9">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（1）对可以质疑的招标文件提出质疑的，为收到招标文件之日或者招标文件公告期限届满之日；</w:t>
      </w:r>
    </w:p>
    <w:p w14:paraId="08E8BD95">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（2）对采购过程提出质疑的，为各采购程序环节结束之日；</w:t>
      </w:r>
    </w:p>
    <w:p w14:paraId="247B2153">
      <w:pPr>
        <w:pStyle w:val="25"/>
        <w:snapToGrid w:val="0"/>
        <w:spacing w:line="360" w:lineRule="auto"/>
        <w:ind w:firstLine="420" w:firstLineChars="200"/>
        <w:rPr>
          <w:rFonts w:hint="eastAsia" w:hAnsi="宋体" w:cs="宋体"/>
          <w:bCs/>
          <w:color w:val="auto"/>
          <w:sz w:val="21"/>
          <w:highlight w:val="none"/>
        </w:rPr>
      </w:pPr>
      <w:r>
        <w:rPr>
          <w:rFonts w:hint="eastAsia" w:hAnsi="宋体" w:cs="宋体"/>
          <w:color w:val="auto"/>
          <w:sz w:val="21"/>
          <w:highlight w:val="none"/>
        </w:rPr>
        <w:t>（3）对中标结果提出质疑的，为中标结果公告期限届满之日。</w:t>
      </w:r>
    </w:p>
    <w:p w14:paraId="0EC282DB">
      <w:pPr>
        <w:pStyle w:val="8"/>
        <w:keepNext w:val="0"/>
        <w:keepLines w:val="0"/>
        <w:spacing w:before="0" w:after="0" w:line="360" w:lineRule="auto"/>
        <w:ind w:firstLine="315" w:firstLineChars="150"/>
        <w:rPr>
          <w:rFonts w:hint="eastAsia" w:ascii="宋体" w:hAnsi="宋体" w:cs="宋体"/>
          <w:b w:val="0"/>
          <w:color w:val="auto"/>
          <w:sz w:val="21"/>
          <w:szCs w:val="21"/>
          <w:highlight w:val="none"/>
        </w:rPr>
      </w:pPr>
      <w:bookmarkStart w:id="93" w:name="_9.2质疑、投诉应当采用书面形式，质疑函、投诉书均应明确阐述招标文件、"/>
      <w:bookmarkEnd w:id="93"/>
      <w:r>
        <w:rPr>
          <w:rFonts w:hint="eastAsia" w:ascii="宋体" w:hAnsi="宋体" w:cs="宋体"/>
          <w:b w:val="0"/>
          <w:color w:val="auto"/>
          <w:sz w:val="21"/>
          <w:szCs w:val="21"/>
          <w:highlight w:val="none"/>
        </w:rPr>
        <w:t xml:space="preserve"> 38.3 </w:t>
      </w:r>
      <w:r>
        <w:rPr>
          <w:rFonts w:hint="eastAsia" w:ascii="宋体" w:hAnsi="宋体" w:cs="宋体"/>
          <w:b w:val="0"/>
          <w:bCs/>
          <w:color w:val="auto"/>
          <w:sz w:val="21"/>
          <w:highlight w:val="none"/>
        </w:rPr>
        <w:t>供应商提出质疑应当提交质疑函和必要的证明材料，针对同一采购程序环节的质疑必须在法定质疑期内一次性提出。质疑函应当包括下列内容（质疑函格式见第六章）：</w:t>
      </w:r>
    </w:p>
    <w:p w14:paraId="6911C69D">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（1）供应商的姓名或者名称、地址、邮编、联系人及联系电话；</w:t>
      </w:r>
    </w:p>
    <w:p w14:paraId="24AB867F">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（2）质疑项目的名称、编号；</w:t>
      </w:r>
    </w:p>
    <w:p w14:paraId="3A0B731D">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（3）具体、明确的质疑事项和与质疑事项相关的请求；</w:t>
      </w:r>
    </w:p>
    <w:p w14:paraId="60BE05BD">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（4）事实依据；</w:t>
      </w:r>
    </w:p>
    <w:p w14:paraId="7F90D39A">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（5）必要的法律依据；</w:t>
      </w:r>
    </w:p>
    <w:p w14:paraId="3A263A26">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（6）提出质疑的日期。</w:t>
      </w:r>
    </w:p>
    <w:p w14:paraId="00A25D0B">
      <w:pPr>
        <w:pStyle w:val="25"/>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供应商为自然人的，应当由本人签字；供应商为法人或者其他组织的，应当由法定代表人、主要负责人，或者其委托代理人签字或者盖章，并加盖公章。</w:t>
      </w:r>
    </w:p>
    <w:p w14:paraId="025B0B7A">
      <w:pPr>
        <w:pStyle w:val="8"/>
        <w:keepNext w:val="0"/>
        <w:keepLines w:val="0"/>
        <w:snapToGrid w:val="0"/>
        <w:spacing w:before="0" w:after="0" w:line="360" w:lineRule="auto"/>
        <w:ind w:firstLine="420" w:firstLineChars="200"/>
        <w:rPr>
          <w:rFonts w:hint="eastAsia" w:ascii="宋体" w:hAnsi="宋体" w:cs="宋体"/>
          <w:b w:val="0"/>
          <w:bCs/>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bCs/>
          <w:color w:val="auto"/>
          <w:sz w:val="21"/>
          <w:szCs w:val="21"/>
          <w:highlight w:val="none"/>
        </w:rPr>
        <w:t>8.4采购人、采购代理机构认为供应商质疑不成立，或者成立但未对中标结果构成影响的，继续开展采购活动；认为供应商质疑成立且影响或者可能影响中标结果的，按照下列情况处理：</w:t>
      </w:r>
    </w:p>
    <w:p w14:paraId="73FE2A17">
      <w:pPr>
        <w:pStyle w:val="25"/>
        <w:snapToGrid w:val="0"/>
        <w:spacing w:line="360" w:lineRule="auto"/>
        <w:rPr>
          <w:rFonts w:hint="eastAsia" w:hAnsi="宋体" w:cs="宋体"/>
          <w:bCs/>
          <w:color w:val="auto"/>
          <w:sz w:val="21"/>
          <w:highlight w:val="none"/>
        </w:rPr>
      </w:pPr>
      <w:r>
        <w:rPr>
          <w:rFonts w:hint="eastAsia" w:hAnsi="宋体" w:cs="宋体"/>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550C94FD">
      <w:pPr>
        <w:pStyle w:val="25"/>
        <w:snapToGrid w:val="0"/>
        <w:spacing w:line="360" w:lineRule="auto"/>
        <w:rPr>
          <w:rFonts w:hint="eastAsia" w:hAnsi="宋体" w:cs="宋体"/>
          <w:bCs/>
          <w:color w:val="auto"/>
          <w:sz w:val="21"/>
          <w:highlight w:val="none"/>
        </w:rPr>
      </w:pPr>
      <w:r>
        <w:rPr>
          <w:rFonts w:hint="eastAsia" w:hAnsi="宋体" w:cs="宋体"/>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770900AE">
      <w:pPr>
        <w:pStyle w:val="25"/>
        <w:snapToGrid w:val="0"/>
        <w:spacing w:line="360" w:lineRule="auto"/>
        <w:ind w:firstLine="420"/>
        <w:rPr>
          <w:rFonts w:hint="eastAsia" w:hAnsi="宋体" w:cs="宋体"/>
          <w:bCs/>
          <w:color w:val="auto"/>
          <w:sz w:val="21"/>
          <w:highlight w:val="none"/>
        </w:rPr>
      </w:pPr>
      <w:r>
        <w:rPr>
          <w:rFonts w:hint="eastAsia" w:hAnsi="宋体" w:cs="宋体"/>
          <w:bCs/>
          <w:color w:val="auto"/>
          <w:sz w:val="21"/>
          <w:highlight w:val="none"/>
        </w:rPr>
        <w:t>质疑答复导致中标结果改变的，采购人或者采购代理机构应当将有关情况书面报告本级财政部门。</w:t>
      </w:r>
    </w:p>
    <w:p w14:paraId="5587F6B3">
      <w:pPr>
        <w:pStyle w:val="25"/>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见第六章）。</w:t>
      </w:r>
    </w:p>
    <w:p w14:paraId="6A4E3DA2">
      <w:pPr>
        <w:pStyle w:val="6"/>
        <w:keepNext w:val="0"/>
        <w:keepLines w:val="0"/>
        <w:spacing w:before="240" w:after="240" w:line="415" w:lineRule="auto"/>
        <w:jc w:val="center"/>
        <w:rPr>
          <w:rFonts w:hint="eastAsia" w:ascii="宋体" w:hAnsi="宋体" w:cs="宋体"/>
          <w:color w:val="auto"/>
          <w:highlight w:val="none"/>
        </w:rPr>
      </w:pPr>
      <w:bookmarkStart w:id="94" w:name="_八、其他事项"/>
      <w:bookmarkEnd w:id="94"/>
      <w:r>
        <w:rPr>
          <w:rFonts w:hint="eastAsia" w:ascii="宋体" w:hAnsi="宋体" w:cs="宋体"/>
          <w:color w:val="auto"/>
          <w:highlight w:val="none"/>
        </w:rPr>
        <w:t>八、其他事项</w:t>
      </w:r>
    </w:p>
    <w:p w14:paraId="551DF1F0">
      <w:pPr>
        <w:pStyle w:val="8"/>
        <w:keepNext w:val="0"/>
        <w:keepLines w:val="0"/>
        <w:spacing w:before="0" w:after="0" w:line="360" w:lineRule="auto"/>
        <w:ind w:left="420" w:leftChars="200"/>
        <w:rPr>
          <w:rFonts w:hint="eastAsia" w:ascii="宋体" w:hAnsi="宋体" w:cs="宋体"/>
          <w:color w:val="auto"/>
          <w:sz w:val="24"/>
          <w:highlight w:val="none"/>
        </w:rPr>
      </w:pPr>
      <w:bookmarkStart w:id="95" w:name="_42.代理服务费"/>
      <w:bookmarkEnd w:id="95"/>
      <w:r>
        <w:rPr>
          <w:rFonts w:hint="eastAsia" w:ascii="宋体" w:hAnsi="宋体" w:cs="宋体"/>
          <w:color w:val="auto"/>
          <w:sz w:val="24"/>
          <w:highlight w:val="none"/>
        </w:rPr>
        <w:t>39.代理服务费</w:t>
      </w:r>
    </w:p>
    <w:p w14:paraId="5081DB47">
      <w:pPr>
        <w:pStyle w:val="8"/>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39.1代理服务收取标准及缴费账户详见“投标人须知前附表”。</w:t>
      </w:r>
    </w:p>
    <w:p w14:paraId="3B615AEF">
      <w:pPr>
        <w:pStyle w:val="8"/>
        <w:keepNext w:val="0"/>
        <w:keepLines w:val="0"/>
        <w:spacing w:before="0" w:after="0" w:line="360" w:lineRule="auto"/>
        <w:ind w:left="420" w:leftChars="200"/>
        <w:rPr>
          <w:rFonts w:hint="eastAsia" w:ascii="宋体" w:hAnsi="宋体" w:cs="宋体"/>
          <w:color w:val="auto"/>
          <w:szCs w:val="21"/>
          <w:highlight w:val="none"/>
        </w:rPr>
      </w:pPr>
      <w:r>
        <w:rPr>
          <w:rFonts w:hint="eastAsia" w:ascii="宋体" w:hAnsi="宋体" w:cs="宋体"/>
          <w:color w:val="auto"/>
          <w:sz w:val="21"/>
          <w:szCs w:val="21"/>
          <w:highlight w:val="none"/>
        </w:rPr>
        <w:t>39.2代理服务收费标准：</w:t>
      </w:r>
    </w:p>
    <w:tbl>
      <w:tblPr>
        <w:tblStyle w:val="4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3"/>
        <w:gridCol w:w="1659"/>
        <w:gridCol w:w="1687"/>
        <w:gridCol w:w="1659"/>
      </w:tblGrid>
      <w:tr w14:paraId="4085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3473" w:type="dxa"/>
            <w:tcBorders>
              <w:tl2br w:val="single" w:color="auto" w:sz="4" w:space="0"/>
            </w:tcBorders>
            <w:noWrap w:val="0"/>
            <w:vAlign w:val="top"/>
          </w:tcPr>
          <w:p w14:paraId="1D03600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692BEBD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659" w:type="dxa"/>
            <w:noWrap w:val="0"/>
            <w:vAlign w:val="center"/>
          </w:tcPr>
          <w:p w14:paraId="674EB9BE">
            <w:pPr>
              <w:spacing w:line="360" w:lineRule="auto"/>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货物招标</w:t>
            </w:r>
          </w:p>
        </w:tc>
        <w:tc>
          <w:tcPr>
            <w:tcW w:w="1687" w:type="dxa"/>
            <w:noWrap w:val="0"/>
            <w:vAlign w:val="center"/>
          </w:tcPr>
          <w:p w14:paraId="0BEF29C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服务招标</w:t>
            </w:r>
          </w:p>
        </w:tc>
        <w:tc>
          <w:tcPr>
            <w:tcW w:w="1659" w:type="dxa"/>
            <w:noWrap w:val="0"/>
            <w:vAlign w:val="center"/>
          </w:tcPr>
          <w:p w14:paraId="0251F4D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工程招标</w:t>
            </w:r>
          </w:p>
        </w:tc>
      </w:tr>
      <w:tr w14:paraId="4DCB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57E6D94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noWrap w:val="0"/>
            <w:vAlign w:val="top"/>
          </w:tcPr>
          <w:p w14:paraId="4D086849">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687" w:type="dxa"/>
            <w:noWrap w:val="0"/>
            <w:vAlign w:val="top"/>
          </w:tcPr>
          <w:p w14:paraId="17ACC118">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659" w:type="dxa"/>
            <w:noWrap w:val="0"/>
            <w:vAlign w:val="top"/>
          </w:tcPr>
          <w:p w14:paraId="6615ACEE">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31C1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42DE587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noWrap w:val="0"/>
            <w:vAlign w:val="top"/>
          </w:tcPr>
          <w:p w14:paraId="44E2891E">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687" w:type="dxa"/>
            <w:noWrap w:val="0"/>
            <w:vAlign w:val="top"/>
          </w:tcPr>
          <w:p w14:paraId="541A6F83">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659" w:type="dxa"/>
            <w:noWrap w:val="0"/>
            <w:vAlign w:val="top"/>
          </w:tcPr>
          <w:p w14:paraId="7C567FFB">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7B9E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38E4E2E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noWrap w:val="0"/>
            <w:vAlign w:val="top"/>
          </w:tcPr>
          <w:p w14:paraId="7DF1383B">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687" w:type="dxa"/>
            <w:noWrap w:val="0"/>
            <w:vAlign w:val="top"/>
          </w:tcPr>
          <w:p w14:paraId="640D482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659" w:type="dxa"/>
            <w:noWrap w:val="0"/>
            <w:vAlign w:val="top"/>
          </w:tcPr>
          <w:p w14:paraId="70DFD9F5">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2BC6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29ECF42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noWrap w:val="0"/>
            <w:vAlign w:val="top"/>
          </w:tcPr>
          <w:p w14:paraId="4975712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687" w:type="dxa"/>
            <w:noWrap w:val="0"/>
            <w:vAlign w:val="top"/>
          </w:tcPr>
          <w:p w14:paraId="37863C1F">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659" w:type="dxa"/>
            <w:noWrap w:val="0"/>
            <w:vAlign w:val="top"/>
          </w:tcPr>
          <w:p w14:paraId="305E68EA">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30C8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5A0C22C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noWrap w:val="0"/>
            <w:vAlign w:val="top"/>
          </w:tcPr>
          <w:p w14:paraId="2EA3BFD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687" w:type="dxa"/>
            <w:noWrap w:val="0"/>
            <w:vAlign w:val="top"/>
          </w:tcPr>
          <w:p w14:paraId="704E471E">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659" w:type="dxa"/>
            <w:noWrap w:val="0"/>
            <w:vAlign w:val="top"/>
          </w:tcPr>
          <w:p w14:paraId="1885579B">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408D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4238B86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noWrap w:val="0"/>
            <w:vAlign w:val="top"/>
          </w:tcPr>
          <w:p w14:paraId="264B0F5B">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687" w:type="dxa"/>
            <w:noWrap w:val="0"/>
            <w:vAlign w:val="top"/>
          </w:tcPr>
          <w:p w14:paraId="24573EB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c>
          <w:tcPr>
            <w:tcW w:w="1659" w:type="dxa"/>
            <w:noWrap w:val="0"/>
            <w:vAlign w:val="top"/>
          </w:tcPr>
          <w:p w14:paraId="0FDB0B6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r>
      <w:tr w14:paraId="7029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0FF5644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noWrap w:val="0"/>
            <w:vAlign w:val="top"/>
          </w:tcPr>
          <w:p w14:paraId="5B03A234">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687" w:type="dxa"/>
            <w:noWrap w:val="0"/>
            <w:vAlign w:val="top"/>
          </w:tcPr>
          <w:p w14:paraId="32089F0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0.035%</w:t>
            </w:r>
          </w:p>
        </w:tc>
        <w:tc>
          <w:tcPr>
            <w:tcW w:w="1659" w:type="dxa"/>
            <w:noWrap w:val="0"/>
            <w:vAlign w:val="top"/>
          </w:tcPr>
          <w:p w14:paraId="75777CEB">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r>
      <w:tr w14:paraId="77D0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705B7CE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noWrap w:val="0"/>
            <w:vAlign w:val="top"/>
          </w:tcPr>
          <w:p w14:paraId="0978222A">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687" w:type="dxa"/>
            <w:noWrap w:val="0"/>
            <w:vAlign w:val="top"/>
          </w:tcPr>
          <w:p w14:paraId="160754C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659" w:type="dxa"/>
            <w:noWrap w:val="0"/>
            <w:vAlign w:val="top"/>
          </w:tcPr>
          <w:p w14:paraId="56685887">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r>
      <w:tr w14:paraId="6B1A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73" w:type="dxa"/>
            <w:noWrap w:val="0"/>
            <w:vAlign w:val="top"/>
          </w:tcPr>
          <w:p w14:paraId="6734F9C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noWrap w:val="0"/>
            <w:vAlign w:val="top"/>
          </w:tcPr>
          <w:p w14:paraId="29B64BB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0.006%</w:t>
            </w:r>
          </w:p>
        </w:tc>
        <w:tc>
          <w:tcPr>
            <w:tcW w:w="1687" w:type="dxa"/>
            <w:noWrap w:val="0"/>
            <w:vAlign w:val="top"/>
          </w:tcPr>
          <w:p w14:paraId="6EE891D9">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659" w:type="dxa"/>
            <w:noWrap w:val="0"/>
            <w:vAlign w:val="top"/>
          </w:tcPr>
          <w:p w14:paraId="512534DA">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0.006%</w:t>
            </w:r>
          </w:p>
        </w:tc>
      </w:tr>
      <w:tr w14:paraId="6A13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73" w:type="dxa"/>
            <w:noWrap w:val="0"/>
            <w:vAlign w:val="top"/>
          </w:tcPr>
          <w:p w14:paraId="4F82A03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659" w:type="dxa"/>
            <w:noWrap w:val="0"/>
            <w:vAlign w:val="top"/>
          </w:tcPr>
          <w:p w14:paraId="0B306F0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0.004%</w:t>
            </w:r>
          </w:p>
        </w:tc>
        <w:tc>
          <w:tcPr>
            <w:tcW w:w="1687" w:type="dxa"/>
            <w:noWrap w:val="0"/>
            <w:vAlign w:val="top"/>
          </w:tcPr>
          <w:p w14:paraId="30F16922">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659" w:type="dxa"/>
            <w:noWrap w:val="0"/>
            <w:vAlign w:val="top"/>
          </w:tcPr>
          <w:p w14:paraId="01E6D320">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07C0E5DB">
      <w:pPr>
        <w:spacing w:line="33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注: </w:t>
      </w:r>
    </w:p>
    <w:p w14:paraId="124B4AA0">
      <w:pPr>
        <w:spacing w:line="33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76BA5B46">
      <w:pPr>
        <w:spacing w:line="33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62192132">
      <w:pPr>
        <w:spacing w:line="33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6DCAF8C1">
      <w:pPr>
        <w:spacing w:line="33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100 万元×l.5 %＝ 1.5 万元</w:t>
      </w:r>
    </w:p>
    <w:p w14:paraId="26B0426A">
      <w:pPr>
        <w:spacing w:line="33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200 － 100 ）万元 ×0.8%＝0.8万元</w:t>
      </w:r>
    </w:p>
    <w:p w14:paraId="4434DDD2">
      <w:pPr>
        <w:pStyle w:val="25"/>
        <w:snapToGrid w:val="0"/>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合计收费＝ 1.5+0.8＝ 2.3（万元）</w:t>
      </w:r>
    </w:p>
    <w:p w14:paraId="47AEA5AC">
      <w:pPr>
        <w:pStyle w:val="8"/>
        <w:keepNext w:val="0"/>
        <w:keepLines w:val="0"/>
        <w:spacing w:before="0" w:after="0" w:line="336" w:lineRule="auto"/>
        <w:ind w:left="420" w:leftChars="200"/>
        <w:rPr>
          <w:rFonts w:hint="eastAsia" w:ascii="宋体" w:hAnsi="宋体" w:cs="宋体"/>
          <w:color w:val="auto"/>
          <w:sz w:val="24"/>
          <w:highlight w:val="none"/>
        </w:rPr>
      </w:pPr>
      <w:r>
        <w:rPr>
          <w:rFonts w:hint="eastAsia" w:ascii="宋体" w:hAnsi="宋体" w:cs="宋体"/>
          <w:color w:val="auto"/>
          <w:sz w:val="24"/>
          <w:highlight w:val="none"/>
        </w:rPr>
        <w:t>40. 需要补充的其他内容</w:t>
      </w:r>
    </w:p>
    <w:p w14:paraId="73A89EE8">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5E79338E">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4F905054">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0ECE872D">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62D6E7C1">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13BC9357">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34C56DB4">
      <w:pPr>
        <w:pStyle w:val="25"/>
        <w:spacing w:line="336" w:lineRule="auto"/>
        <w:ind w:firstLine="420" w:firstLineChars="200"/>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依据本招标文件规定享受扶持政策获得政府采购合同的，小微企业不得将合同分包给大中型企业，中型企业不得将合同分包给大型企业。</w:t>
      </w:r>
    </w:p>
    <w:p w14:paraId="42656665">
      <w:pPr>
        <w:pStyle w:val="3"/>
        <w:jc w:val="center"/>
        <w:rPr>
          <w:rStyle w:val="59"/>
          <w:rFonts w:hint="eastAsia"/>
          <w:b w:val="0"/>
          <w:bCs w:val="0"/>
          <w:color w:val="auto"/>
          <w:highlight w:val="none"/>
        </w:rPr>
      </w:pPr>
      <w:bookmarkStart w:id="96" w:name="_Toc21345"/>
      <w:r>
        <w:rPr>
          <w:rFonts w:hint="eastAsia" w:hAnsi="宋体" w:cs="宋体"/>
          <w:color w:val="auto"/>
          <w:highlight w:val="none"/>
        </w:rPr>
        <w:br w:type="page"/>
      </w:r>
      <w:bookmarkStart w:id="97" w:name="_Toc254970548"/>
      <w:bookmarkStart w:id="98" w:name="_Toc495387438"/>
      <w:bookmarkStart w:id="99" w:name="_Toc254970689"/>
      <w:bookmarkStart w:id="100" w:name="_Toc330456896"/>
      <w:bookmarkStart w:id="101" w:name="_Toc2655"/>
      <w:r>
        <w:rPr>
          <w:rStyle w:val="59"/>
          <w:rFonts w:hint="eastAsia"/>
          <w:b w:val="0"/>
          <w:bCs w:val="0"/>
          <w:color w:val="auto"/>
          <w:highlight w:val="none"/>
        </w:rPr>
        <w:t>第四章  评标办法及评分标准</w:t>
      </w:r>
      <w:bookmarkEnd w:id="96"/>
      <w:bookmarkEnd w:id="97"/>
      <w:bookmarkEnd w:id="98"/>
      <w:bookmarkEnd w:id="99"/>
      <w:bookmarkEnd w:id="100"/>
      <w:bookmarkEnd w:id="101"/>
    </w:p>
    <w:p w14:paraId="64867FDF">
      <w:pPr>
        <w:rPr>
          <w:rFonts w:hint="eastAsia"/>
          <w:color w:val="auto"/>
          <w:highlight w:val="none"/>
        </w:rPr>
      </w:pPr>
    </w:p>
    <w:p w14:paraId="32498B0B">
      <w:pPr>
        <w:pStyle w:val="25"/>
        <w:spacing w:line="360" w:lineRule="exact"/>
        <w:ind w:firstLine="640" w:firstLineChars="200"/>
        <w:jc w:val="center"/>
        <w:rPr>
          <w:rFonts w:hint="eastAsia"/>
          <w:color w:val="auto"/>
          <w:sz w:val="32"/>
          <w:szCs w:val="32"/>
          <w:highlight w:val="none"/>
        </w:rPr>
      </w:pPr>
      <w:r>
        <w:rPr>
          <w:rFonts w:hint="eastAsia"/>
          <w:color w:val="auto"/>
          <w:sz w:val="32"/>
          <w:szCs w:val="32"/>
          <w:highlight w:val="none"/>
        </w:rPr>
        <w:t>评分标准</w:t>
      </w:r>
    </w:p>
    <w:p w14:paraId="55616A0D">
      <w:pPr>
        <w:spacing w:line="360" w:lineRule="auto"/>
        <w:ind w:firstLine="420"/>
        <w:rPr>
          <w:rFonts w:hint="eastAsia" w:hAnsi="宋体" w:cs="Courier New"/>
          <w:b/>
          <w:bCs/>
          <w:color w:val="auto"/>
          <w:highlight w:val="none"/>
        </w:rPr>
      </w:pPr>
    </w:p>
    <w:p w14:paraId="20A93D72">
      <w:pPr>
        <w:spacing w:line="360" w:lineRule="auto"/>
        <w:ind w:firstLine="420"/>
        <w:rPr>
          <w:rFonts w:hAnsi="宋体" w:cs="Courier New"/>
          <w:b/>
          <w:bCs/>
          <w:color w:val="auto"/>
          <w:highlight w:val="none"/>
        </w:rPr>
      </w:pPr>
      <w:r>
        <w:rPr>
          <w:rFonts w:hint="eastAsia" w:hAnsi="宋体" w:cs="Courier New"/>
          <w:b/>
          <w:bCs/>
          <w:color w:val="auto"/>
          <w:highlight w:val="none"/>
        </w:rPr>
        <w:t>一、评标原则</w:t>
      </w:r>
    </w:p>
    <w:p w14:paraId="538A9EBA">
      <w:pPr>
        <w:spacing w:line="360" w:lineRule="auto"/>
        <w:ind w:firstLine="420"/>
        <w:rPr>
          <w:rFonts w:hAnsi="宋体" w:cs="Courier New"/>
          <w:bCs/>
          <w:color w:val="auto"/>
          <w:highlight w:val="none"/>
        </w:rPr>
      </w:pPr>
      <w:r>
        <w:rPr>
          <w:rFonts w:hint="eastAsia" w:hAnsi="宋体" w:cs="Courier New"/>
          <w:bCs/>
          <w:color w:val="auto"/>
          <w:highlight w:val="none"/>
        </w:rPr>
        <w:t>(一)评委构成：本招标采购项目的评委分别由依法组成的评审专家、采购单位代表共五人及以上单数构成，其中专家人数不少于成员总数的三分之二。</w:t>
      </w:r>
    </w:p>
    <w:p w14:paraId="60A9F4B0">
      <w:pPr>
        <w:spacing w:line="360" w:lineRule="auto"/>
        <w:ind w:firstLine="420"/>
        <w:rPr>
          <w:rFonts w:hAnsi="宋体" w:cs="Courier New"/>
          <w:bCs/>
          <w:color w:val="auto"/>
          <w:highlight w:val="none"/>
        </w:rPr>
      </w:pPr>
      <w:r>
        <w:rPr>
          <w:rFonts w:hint="eastAsia" w:hAnsi="宋体" w:cs="Courier New"/>
          <w:bCs/>
          <w:color w:val="auto"/>
          <w:highlight w:val="none"/>
        </w:rPr>
        <w:t>(二)评标依据：评委将以招标文件、投标文件为评标依据，对投标文件进行评分。</w:t>
      </w:r>
    </w:p>
    <w:p w14:paraId="78319D01">
      <w:pPr>
        <w:spacing w:line="360" w:lineRule="auto"/>
        <w:ind w:firstLine="420"/>
        <w:rPr>
          <w:rFonts w:hAnsi="宋体" w:cs="Courier New"/>
          <w:b/>
          <w:bCs/>
          <w:color w:val="auto"/>
          <w:highlight w:val="none"/>
        </w:rPr>
      </w:pPr>
      <w:r>
        <w:rPr>
          <w:rFonts w:hint="eastAsia" w:hAnsi="宋体" w:cs="Courier New"/>
          <w:b/>
          <w:bCs/>
          <w:color w:val="auto"/>
          <w:highlight w:val="none"/>
        </w:rPr>
        <w:t>二、评标方法</w:t>
      </w:r>
    </w:p>
    <w:p w14:paraId="2BCE44C0">
      <w:pPr>
        <w:spacing w:line="360" w:lineRule="auto"/>
        <w:ind w:firstLine="420"/>
        <w:rPr>
          <w:rFonts w:hint="eastAsia" w:hAnsi="宋体" w:cs="Courier New"/>
          <w:b/>
          <w:bCs/>
          <w:color w:val="auto"/>
          <w:highlight w:val="none"/>
        </w:rPr>
      </w:pPr>
      <w:r>
        <w:rPr>
          <w:rFonts w:hint="eastAsia" w:hAnsi="宋体" w:cs="Courier New"/>
          <w:b/>
          <w:bCs/>
          <w:color w:val="auto"/>
          <w:highlight w:val="none"/>
        </w:rPr>
        <w:t>（一）对进入详评的，采用百分制综合评分法。</w:t>
      </w:r>
    </w:p>
    <w:tbl>
      <w:tblPr>
        <w:tblStyle w:val="48"/>
        <w:tblW w:w="10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60"/>
        <w:gridCol w:w="1113"/>
        <w:gridCol w:w="7168"/>
      </w:tblGrid>
      <w:tr w14:paraId="668E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0100" w:type="dxa"/>
            <w:gridSpan w:val="4"/>
            <w:tcBorders>
              <w:top w:val="single" w:color="auto" w:sz="4" w:space="0"/>
              <w:left w:val="single" w:color="auto" w:sz="4" w:space="0"/>
              <w:bottom w:val="single" w:color="auto" w:sz="4" w:space="0"/>
              <w:right w:val="single" w:color="auto" w:sz="4" w:space="0"/>
            </w:tcBorders>
            <w:shd w:val="clear" w:color="auto" w:fill="BEBEBE"/>
            <w:noWrap/>
            <w:vAlign w:val="center"/>
          </w:tcPr>
          <w:p w14:paraId="326755E0">
            <w:pPr>
              <w:spacing w:line="240" w:lineRule="auto"/>
              <w:jc w:val="center"/>
              <w:rPr>
                <w:rFonts w:hAnsi="宋体" w:eastAsia="宋体"/>
                <w:color w:val="auto"/>
                <w:kern w:val="2"/>
                <w:sz w:val="20"/>
                <w:szCs w:val="22"/>
                <w:highlight w:val="none"/>
                <w:lang w:eastAsia="zh-CN"/>
              </w:rPr>
            </w:pPr>
            <w:r>
              <w:rPr>
                <w:rFonts w:hint="eastAsia" w:ascii="方正小标宋简体" w:hAnsi="方正小标宋简体" w:eastAsia="方正小标宋简体" w:cs="方正小标宋简体"/>
                <w:color w:val="auto"/>
                <w:kern w:val="2"/>
                <w:sz w:val="40"/>
                <w:szCs w:val="40"/>
                <w:highlight w:val="none"/>
                <w:lang w:eastAsia="zh-CN"/>
              </w:rPr>
              <w:t>综合评分表</w:t>
            </w:r>
          </w:p>
        </w:tc>
      </w:tr>
      <w:tr w14:paraId="77F8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59"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668F111F">
            <w:pPr>
              <w:spacing w:line="240" w:lineRule="auto"/>
              <w:jc w:val="center"/>
              <w:rPr>
                <w:rFonts w:ascii="宋体" w:hAnsi="宋体" w:eastAsia="宋体" w:cs="宋体"/>
                <w:b/>
                <w:color w:val="auto"/>
                <w:kern w:val="2"/>
                <w:sz w:val="20"/>
                <w:szCs w:val="22"/>
                <w:highlight w:val="none"/>
                <w:lang w:eastAsia="zh-CN"/>
              </w:rPr>
            </w:pPr>
            <w:r>
              <w:rPr>
                <w:rFonts w:hint="eastAsia" w:ascii="宋体" w:hAnsi="宋体" w:eastAsia="宋体" w:cs="宋体"/>
                <w:b/>
                <w:color w:val="auto"/>
                <w:kern w:val="2"/>
                <w:sz w:val="20"/>
                <w:szCs w:val="22"/>
                <w:highlight w:val="none"/>
                <w:lang w:eastAsia="zh-CN"/>
              </w:rPr>
              <w:t>序号</w:t>
            </w:r>
          </w:p>
        </w:tc>
        <w:tc>
          <w:tcPr>
            <w:tcW w:w="1160"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381965D9">
            <w:pPr>
              <w:spacing w:line="240" w:lineRule="auto"/>
              <w:jc w:val="center"/>
              <w:rPr>
                <w:rFonts w:ascii="宋体" w:hAnsi="宋体" w:eastAsia="宋体" w:cs="宋体"/>
                <w:b/>
                <w:color w:val="auto"/>
                <w:kern w:val="2"/>
                <w:sz w:val="20"/>
                <w:szCs w:val="22"/>
                <w:highlight w:val="none"/>
                <w:lang w:eastAsia="zh-CN"/>
              </w:rPr>
            </w:pPr>
            <w:r>
              <w:rPr>
                <w:rFonts w:hint="eastAsia" w:ascii="宋体" w:hAnsi="宋体" w:eastAsia="宋体" w:cs="宋体"/>
                <w:b/>
                <w:color w:val="auto"/>
                <w:kern w:val="2"/>
                <w:sz w:val="20"/>
                <w:szCs w:val="22"/>
                <w:highlight w:val="none"/>
                <w:lang w:eastAsia="zh-CN"/>
              </w:rPr>
              <w:t>评审内容</w:t>
            </w:r>
          </w:p>
        </w:tc>
        <w:tc>
          <w:tcPr>
            <w:tcW w:w="1113"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69ECCD63">
            <w:pPr>
              <w:spacing w:line="240" w:lineRule="auto"/>
              <w:jc w:val="center"/>
              <w:rPr>
                <w:rFonts w:ascii="宋体" w:hAnsi="宋体" w:eastAsia="宋体" w:cs="宋体"/>
                <w:b/>
                <w:color w:val="auto"/>
                <w:kern w:val="2"/>
                <w:sz w:val="20"/>
                <w:szCs w:val="22"/>
                <w:highlight w:val="none"/>
                <w:lang w:eastAsia="zh-CN"/>
              </w:rPr>
            </w:pPr>
            <w:r>
              <w:rPr>
                <w:rFonts w:hint="eastAsia" w:ascii="宋体" w:hAnsi="宋体" w:eastAsia="宋体" w:cs="宋体"/>
                <w:b/>
                <w:color w:val="auto"/>
                <w:kern w:val="2"/>
                <w:sz w:val="20"/>
                <w:szCs w:val="22"/>
                <w:highlight w:val="none"/>
                <w:lang w:eastAsia="zh-CN"/>
              </w:rPr>
              <w:t>满分</w:t>
            </w:r>
          </w:p>
        </w:tc>
        <w:tc>
          <w:tcPr>
            <w:tcW w:w="7168"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61D105E1">
            <w:pPr>
              <w:spacing w:line="240" w:lineRule="auto"/>
              <w:jc w:val="center"/>
              <w:rPr>
                <w:rFonts w:ascii="宋体" w:hAnsi="宋体" w:eastAsia="宋体" w:cs="宋体"/>
                <w:b/>
                <w:color w:val="auto"/>
                <w:kern w:val="2"/>
                <w:sz w:val="20"/>
                <w:szCs w:val="22"/>
                <w:highlight w:val="none"/>
                <w:lang w:eastAsia="zh-CN"/>
              </w:rPr>
            </w:pPr>
            <w:r>
              <w:rPr>
                <w:rFonts w:hint="eastAsia" w:ascii="宋体" w:hAnsi="宋体" w:eastAsia="宋体" w:cs="宋体"/>
                <w:b/>
                <w:color w:val="auto"/>
                <w:kern w:val="2"/>
                <w:sz w:val="20"/>
                <w:szCs w:val="22"/>
                <w:highlight w:val="none"/>
              </w:rPr>
              <w:t>评分标准</w:t>
            </w:r>
          </w:p>
        </w:tc>
      </w:tr>
      <w:tr w14:paraId="543C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100" w:type="dxa"/>
            <w:gridSpan w:val="4"/>
            <w:tcBorders>
              <w:top w:val="single" w:color="auto" w:sz="4" w:space="0"/>
              <w:left w:val="single" w:color="auto" w:sz="4" w:space="0"/>
              <w:bottom w:val="single" w:color="auto" w:sz="4" w:space="0"/>
              <w:right w:val="single" w:color="auto" w:sz="4" w:space="0"/>
            </w:tcBorders>
            <w:noWrap/>
            <w:vAlign w:val="center"/>
          </w:tcPr>
          <w:p w14:paraId="7C8C42C0">
            <w:pPr>
              <w:spacing w:line="240" w:lineRule="auto"/>
              <w:jc w:val="center"/>
              <w:rPr>
                <w:rFonts w:hAnsi="宋体" w:eastAsia="宋体"/>
                <w:b/>
                <w:color w:val="auto"/>
                <w:kern w:val="2"/>
                <w:sz w:val="20"/>
                <w:szCs w:val="22"/>
                <w:highlight w:val="none"/>
                <w:lang w:eastAsia="zh-CN"/>
              </w:rPr>
            </w:pPr>
            <w:r>
              <w:rPr>
                <w:rFonts w:hint="eastAsia" w:ascii="宋体" w:hAnsi="宋体" w:eastAsia="宋体"/>
                <w:b/>
                <w:color w:val="auto"/>
                <w:kern w:val="2"/>
                <w:sz w:val="24"/>
                <w:szCs w:val="24"/>
                <w:highlight w:val="none"/>
                <w:lang w:eastAsia="zh-CN"/>
              </w:rPr>
              <w:t>一、价格部分（10分）</w:t>
            </w:r>
          </w:p>
        </w:tc>
      </w:tr>
      <w:tr w14:paraId="55DA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78339B68">
            <w:pPr>
              <w:spacing w:line="240" w:lineRule="auto"/>
              <w:jc w:val="center"/>
              <w:rPr>
                <w:rFonts w:ascii="宋体" w:hAnsi="宋体" w:eastAsia="宋体" w:cs="宋体"/>
                <w:color w:val="auto"/>
                <w:kern w:val="2"/>
                <w:sz w:val="22"/>
                <w:szCs w:val="22"/>
                <w:highlight w:val="none"/>
              </w:rPr>
            </w:pPr>
            <w:r>
              <w:rPr>
                <w:rFonts w:hint="eastAsia" w:ascii="宋体" w:hAnsi="宋体" w:eastAsia="宋体" w:cs="宋体"/>
                <w:color w:val="auto"/>
                <w:kern w:val="2"/>
                <w:sz w:val="22"/>
                <w:szCs w:val="22"/>
                <w:highlight w:val="none"/>
              </w:rPr>
              <w:t>1</w:t>
            </w:r>
          </w:p>
        </w:tc>
        <w:tc>
          <w:tcPr>
            <w:tcW w:w="1160" w:type="dxa"/>
            <w:tcBorders>
              <w:top w:val="single" w:color="auto" w:sz="4" w:space="0"/>
              <w:left w:val="single" w:color="auto" w:sz="4" w:space="0"/>
              <w:bottom w:val="single" w:color="auto" w:sz="4" w:space="0"/>
              <w:right w:val="single" w:color="auto" w:sz="4" w:space="0"/>
            </w:tcBorders>
            <w:noWrap/>
            <w:vAlign w:val="center"/>
          </w:tcPr>
          <w:p w14:paraId="1C348609">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投标报价</w:t>
            </w:r>
          </w:p>
        </w:tc>
        <w:tc>
          <w:tcPr>
            <w:tcW w:w="1113" w:type="dxa"/>
            <w:tcBorders>
              <w:top w:val="single" w:color="auto" w:sz="4" w:space="0"/>
              <w:left w:val="single" w:color="auto" w:sz="4" w:space="0"/>
              <w:bottom w:val="single" w:color="auto" w:sz="4" w:space="0"/>
              <w:right w:val="single" w:color="auto" w:sz="4" w:space="0"/>
            </w:tcBorders>
            <w:noWrap/>
            <w:vAlign w:val="center"/>
          </w:tcPr>
          <w:p w14:paraId="3366D727">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10分</w:t>
            </w:r>
          </w:p>
        </w:tc>
        <w:tc>
          <w:tcPr>
            <w:tcW w:w="7168" w:type="dxa"/>
            <w:tcBorders>
              <w:top w:val="single" w:color="auto" w:sz="4" w:space="0"/>
              <w:left w:val="single" w:color="auto" w:sz="4" w:space="0"/>
              <w:bottom w:val="single" w:color="auto" w:sz="4" w:space="0"/>
              <w:right w:val="single" w:color="auto" w:sz="4" w:space="0"/>
            </w:tcBorders>
            <w:noWrap/>
            <w:vAlign w:val="center"/>
          </w:tcPr>
          <w:p w14:paraId="3C0EE061">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bCs/>
                <w:color w:val="auto"/>
                <w:kern w:val="2"/>
                <w:sz w:val="22"/>
                <w:szCs w:val="22"/>
                <w:highlight w:val="none"/>
                <w:lang w:eastAsia="zh-CN"/>
              </w:rPr>
            </w:pPr>
            <w:r>
              <w:rPr>
                <w:rFonts w:hint="eastAsia"/>
                <w:bCs/>
                <w:color w:val="auto"/>
                <w:kern w:val="2"/>
                <w:sz w:val="22"/>
                <w:szCs w:val="22"/>
                <w:highlight w:val="none"/>
                <w:lang w:eastAsia="zh-CN"/>
              </w:rPr>
              <w:t>1.本项目投标报价得分计算如下：</w:t>
            </w:r>
          </w:p>
          <w:p w14:paraId="73358212">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bCs/>
                <w:color w:val="auto"/>
                <w:kern w:val="2"/>
                <w:sz w:val="22"/>
                <w:szCs w:val="22"/>
                <w:highlight w:val="none"/>
                <w:lang w:eastAsia="zh-CN"/>
              </w:rPr>
            </w:pPr>
            <w:r>
              <w:rPr>
                <w:rFonts w:hint="eastAsia"/>
                <w:bCs/>
                <w:color w:val="auto"/>
                <w:kern w:val="2"/>
                <w:sz w:val="22"/>
                <w:szCs w:val="22"/>
                <w:highlight w:val="none"/>
                <w:lang w:eastAsia="zh-CN"/>
              </w:rPr>
              <w:t>投标报价得分=（评标基准价/投标报价</w:t>
            </w:r>
            <w:r>
              <w:rPr>
                <w:rFonts w:hint="eastAsia"/>
                <w:bCs/>
                <w:color w:val="auto"/>
                <w:kern w:val="2"/>
                <w:sz w:val="22"/>
                <w:szCs w:val="22"/>
                <w:highlight w:val="none"/>
                <w:lang w:val="en-US" w:eastAsia="zh-CN"/>
              </w:rPr>
              <w:t>单价</w:t>
            </w:r>
            <w:r>
              <w:rPr>
                <w:rFonts w:hint="eastAsia"/>
                <w:bCs/>
                <w:color w:val="auto"/>
                <w:kern w:val="2"/>
                <w:sz w:val="22"/>
                <w:szCs w:val="22"/>
                <w:highlight w:val="none"/>
                <w:lang w:eastAsia="zh-CN"/>
              </w:rPr>
              <w:t>）×10</w:t>
            </w:r>
          </w:p>
          <w:p w14:paraId="127D200C">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满足招标文件要求且</w:t>
            </w:r>
            <w:r>
              <w:rPr>
                <w:rFonts w:hint="eastAsia"/>
                <w:b/>
                <w:bCs w:val="0"/>
                <w:color w:val="auto"/>
                <w:kern w:val="2"/>
                <w:sz w:val="22"/>
                <w:szCs w:val="22"/>
                <w:highlight w:val="none"/>
                <w:lang w:eastAsia="zh-CN"/>
              </w:rPr>
              <w:t>评标报价（单批次报价）</w:t>
            </w:r>
            <w:r>
              <w:rPr>
                <w:rFonts w:hint="eastAsia"/>
                <w:bCs/>
                <w:color w:val="auto"/>
                <w:kern w:val="2"/>
                <w:sz w:val="22"/>
                <w:szCs w:val="22"/>
                <w:highlight w:val="none"/>
                <w:lang w:eastAsia="zh-CN"/>
              </w:rPr>
              <w:t>最低的评标报价为评标基准价，其价格分为满分。</w:t>
            </w:r>
          </w:p>
          <w:p w14:paraId="16183BF6">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2.小型和微型企业产品的价格给予20%的扣除，用扣除后的价格参与评审。</w:t>
            </w:r>
          </w:p>
          <w:p w14:paraId="46B7B172">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（1）评标报价为投标人的投标报价进行政策性扣除后的价格，评标报价只是作为评标时使用。最终中标人的中标金额等于投标报价。</w:t>
            </w:r>
          </w:p>
          <w:p w14:paraId="2C441413">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（2）按照《政府采购促进中小企业发展管理办法》（财库〔2020〕46号）的规定，投标人在其投标文件中提供《中小企业声明函》，且其服务为小型和微型企业承接的，对其最后报价给予20%的扣除。</w:t>
            </w:r>
          </w:p>
          <w:p w14:paraId="310C1D66">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0336AD72">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E7AEB53">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（5）政策性扣除计算方法。</w:t>
            </w:r>
          </w:p>
          <w:p w14:paraId="1B0DD9CA">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rFonts w:hint="eastAsia"/>
                <w:bCs/>
                <w:color w:val="auto"/>
                <w:kern w:val="2"/>
                <w:sz w:val="22"/>
                <w:szCs w:val="22"/>
                <w:highlight w:val="none"/>
                <w:lang w:eastAsia="zh-CN"/>
              </w:rPr>
            </w:pPr>
            <w:r>
              <w:rPr>
                <w:rFonts w:hint="eastAsia"/>
                <w:bCs/>
                <w:color w:val="auto"/>
                <w:kern w:val="2"/>
                <w:sz w:val="22"/>
                <w:szCs w:val="22"/>
                <w:highlight w:val="none"/>
                <w:lang w:eastAsia="zh-CN"/>
              </w:rPr>
              <w:t>在服务采购项目中，服务由小微企业承接；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14:paraId="5E838E77">
            <w:pPr>
              <w:pStyle w:val="132"/>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13" w:right="11"/>
              <w:textAlignment w:val="auto"/>
              <w:rPr>
                <w:color w:val="auto"/>
                <w:spacing w:val="-2"/>
                <w:kern w:val="2"/>
                <w:sz w:val="22"/>
                <w:szCs w:val="22"/>
                <w:highlight w:val="none"/>
                <w:lang w:eastAsia="zh-CN"/>
              </w:rPr>
            </w:pPr>
            <w:r>
              <w:rPr>
                <w:rFonts w:hint="eastAsia"/>
                <w:b/>
                <w:bCs w:val="0"/>
                <w:color w:val="auto"/>
                <w:kern w:val="2"/>
                <w:sz w:val="22"/>
                <w:szCs w:val="22"/>
                <w:highlight w:val="none"/>
                <w:lang w:val="en-US" w:eastAsia="zh-CN"/>
              </w:rPr>
              <w:t>3</w:t>
            </w:r>
            <w:r>
              <w:rPr>
                <w:rFonts w:hint="eastAsia"/>
                <w:b/>
                <w:bCs w:val="0"/>
                <w:color w:val="auto"/>
                <w:kern w:val="2"/>
                <w:sz w:val="22"/>
                <w:szCs w:val="22"/>
                <w:highlight w:val="none"/>
                <w:lang w:eastAsia="zh-CN"/>
              </w:rPr>
              <w:t>.专门面向中小企业采购的项目或者采购包，不再执行价格评审优惠的扶持政策。</w:t>
            </w:r>
          </w:p>
        </w:tc>
      </w:tr>
      <w:tr w14:paraId="0D78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100" w:type="dxa"/>
            <w:gridSpan w:val="4"/>
            <w:tcBorders>
              <w:top w:val="single" w:color="auto" w:sz="4" w:space="0"/>
              <w:left w:val="single" w:color="auto" w:sz="4" w:space="0"/>
              <w:bottom w:val="single" w:color="auto" w:sz="4" w:space="0"/>
              <w:right w:val="single" w:color="auto" w:sz="4" w:space="0"/>
            </w:tcBorders>
            <w:noWrap/>
            <w:vAlign w:val="center"/>
          </w:tcPr>
          <w:p w14:paraId="5CE6E1F9">
            <w:pPr>
              <w:spacing w:line="240" w:lineRule="auto"/>
              <w:jc w:val="center"/>
              <w:rPr>
                <w:rFonts w:eastAsia="宋体"/>
                <w:color w:val="auto"/>
                <w:spacing w:val="-2"/>
                <w:kern w:val="2"/>
                <w:sz w:val="20"/>
                <w:szCs w:val="22"/>
                <w:highlight w:val="none"/>
                <w:lang w:eastAsia="zh-CN"/>
              </w:rPr>
            </w:pPr>
            <w:r>
              <w:rPr>
                <w:rFonts w:hint="eastAsia" w:ascii="宋体" w:hAnsi="宋体" w:eastAsia="宋体"/>
                <w:b/>
                <w:color w:val="auto"/>
                <w:kern w:val="2"/>
                <w:sz w:val="24"/>
                <w:szCs w:val="24"/>
                <w:highlight w:val="none"/>
                <w:lang w:eastAsia="zh-CN"/>
              </w:rPr>
              <w:t>二、商务部分（20分）</w:t>
            </w:r>
          </w:p>
        </w:tc>
      </w:tr>
      <w:tr w14:paraId="4BB7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35182BD1">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2</w:t>
            </w:r>
          </w:p>
        </w:tc>
        <w:tc>
          <w:tcPr>
            <w:tcW w:w="1160" w:type="dxa"/>
            <w:tcBorders>
              <w:top w:val="single" w:color="auto" w:sz="4" w:space="0"/>
              <w:left w:val="single" w:color="auto" w:sz="4" w:space="0"/>
              <w:bottom w:val="single" w:color="auto" w:sz="4" w:space="0"/>
              <w:right w:val="single" w:color="auto" w:sz="4" w:space="0"/>
            </w:tcBorders>
            <w:noWrap/>
            <w:vAlign w:val="center"/>
          </w:tcPr>
          <w:p w14:paraId="5FF356A1">
            <w:pPr>
              <w:pStyle w:val="132"/>
              <w:spacing w:before="78" w:line="240" w:lineRule="auto"/>
              <w:ind w:left="138"/>
              <w:rPr>
                <w:color w:val="auto"/>
                <w:kern w:val="2"/>
                <w:sz w:val="22"/>
                <w:szCs w:val="22"/>
                <w:highlight w:val="none"/>
                <w:lang w:eastAsia="zh-CN"/>
              </w:rPr>
            </w:pPr>
            <w:r>
              <w:rPr>
                <w:rFonts w:hint="eastAsia"/>
                <w:bCs/>
                <w:color w:val="auto"/>
                <w:kern w:val="2"/>
                <w:sz w:val="22"/>
                <w:szCs w:val="22"/>
                <w:highlight w:val="none"/>
                <w:lang w:eastAsia="zh-CN"/>
              </w:rPr>
              <w:t>承担食品安全抽样检验工作任务及类似项目情况</w:t>
            </w:r>
          </w:p>
        </w:tc>
        <w:tc>
          <w:tcPr>
            <w:tcW w:w="1113" w:type="dxa"/>
            <w:tcBorders>
              <w:top w:val="single" w:color="auto" w:sz="4" w:space="0"/>
              <w:left w:val="single" w:color="auto" w:sz="4" w:space="0"/>
              <w:bottom w:val="single" w:color="auto" w:sz="4" w:space="0"/>
              <w:right w:val="single" w:color="auto" w:sz="4" w:space="0"/>
            </w:tcBorders>
            <w:noWrap/>
            <w:vAlign w:val="center"/>
          </w:tcPr>
          <w:p w14:paraId="098D8C4B">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9分</w:t>
            </w:r>
          </w:p>
        </w:tc>
        <w:tc>
          <w:tcPr>
            <w:tcW w:w="7168" w:type="dxa"/>
            <w:tcBorders>
              <w:top w:val="single" w:color="auto" w:sz="4" w:space="0"/>
              <w:left w:val="single" w:color="auto" w:sz="4" w:space="0"/>
              <w:bottom w:val="single" w:color="auto" w:sz="4" w:space="0"/>
              <w:right w:val="single" w:color="auto" w:sz="4" w:space="0"/>
            </w:tcBorders>
            <w:noWrap/>
            <w:vAlign w:val="center"/>
          </w:tcPr>
          <w:p w14:paraId="1F31F318">
            <w:pPr>
              <w:pStyle w:val="132"/>
              <w:spacing w:before="205" w:line="240" w:lineRule="auto"/>
              <w:ind w:left="113" w:right="9"/>
              <w:rPr>
                <w:bCs/>
                <w:color w:val="auto"/>
                <w:kern w:val="2"/>
                <w:sz w:val="22"/>
                <w:szCs w:val="22"/>
                <w:highlight w:val="none"/>
                <w:lang w:eastAsia="zh-CN"/>
              </w:rPr>
            </w:pPr>
            <w:r>
              <w:rPr>
                <w:rFonts w:hint="eastAsia"/>
                <w:bCs/>
                <w:color w:val="auto"/>
                <w:kern w:val="2"/>
                <w:sz w:val="22"/>
                <w:szCs w:val="22"/>
                <w:highlight w:val="none"/>
                <w:lang w:eastAsia="zh-CN"/>
              </w:rPr>
              <w:t>近2年（自2024年1月1日至2025年12月31日，以合同签订时间或委托书时间为准）承担过省级及以上食品监督抽检任务（指监督抽检和评价性抽检），且出具省级及以上监督抽检报告情况：</w:t>
            </w:r>
          </w:p>
          <w:p w14:paraId="781EA793">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平均每年报告数量大于800份（含）的，得9分；</w:t>
            </w:r>
          </w:p>
          <w:p w14:paraId="10A30939">
            <w:pPr>
              <w:pStyle w:val="132"/>
              <w:spacing w:before="158"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平均每年报告数量600份（含）-800份（不含）的，得6分；</w:t>
            </w:r>
          </w:p>
          <w:p w14:paraId="2379683C">
            <w:pPr>
              <w:pStyle w:val="132"/>
              <w:spacing w:before="15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平均每年报告数量300份（含）-600份（不含）的，得3分；</w:t>
            </w:r>
          </w:p>
          <w:p w14:paraId="44424781">
            <w:pPr>
              <w:pStyle w:val="132"/>
              <w:spacing w:before="15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平均每年报告数量少于300份（不含）的，得0分。</w:t>
            </w:r>
          </w:p>
          <w:p w14:paraId="7148A711">
            <w:pPr>
              <w:spacing w:line="240" w:lineRule="auto"/>
              <w:rPr>
                <w:rFonts w:ascii="宋体" w:hAnsi="宋体" w:eastAsia="宋体" w:cs="宋体"/>
                <w:bCs/>
                <w:color w:val="auto"/>
                <w:kern w:val="2"/>
                <w:sz w:val="22"/>
                <w:szCs w:val="22"/>
                <w:highlight w:val="none"/>
              </w:rPr>
            </w:pPr>
            <w:r>
              <w:rPr>
                <w:rFonts w:hint="eastAsia" w:ascii="宋体" w:hAnsi="宋体" w:eastAsia="宋体" w:cs="宋体"/>
                <w:bCs/>
                <w:color w:val="auto"/>
                <w:kern w:val="2"/>
                <w:sz w:val="22"/>
                <w:szCs w:val="22"/>
                <w:highlight w:val="none"/>
                <w:lang w:eastAsia="zh-CN"/>
              </w:rPr>
              <w:t>投标人成立时间不足2年的，从成立当月起计算年平均报告数量。（投标人须按招标文件中给定的格式填报监督抽检报告清单，合同或委托书等证明文件的主要内容页和签字盖章页的复印件，不具备类似业绩或未提供有效证明文件的不得分。）</w:t>
            </w:r>
          </w:p>
        </w:tc>
      </w:tr>
      <w:tr w14:paraId="2FFB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5FC33FF4">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3</w:t>
            </w:r>
          </w:p>
        </w:tc>
        <w:tc>
          <w:tcPr>
            <w:tcW w:w="1160" w:type="dxa"/>
            <w:tcBorders>
              <w:top w:val="single" w:color="auto" w:sz="4" w:space="0"/>
              <w:left w:val="single" w:color="auto" w:sz="4" w:space="0"/>
              <w:bottom w:val="single" w:color="auto" w:sz="4" w:space="0"/>
              <w:right w:val="single" w:color="auto" w:sz="4" w:space="0"/>
            </w:tcBorders>
            <w:noWrap/>
            <w:vAlign w:val="center"/>
          </w:tcPr>
          <w:p w14:paraId="5CC6453F">
            <w:pPr>
              <w:spacing w:line="240" w:lineRule="auto"/>
              <w:ind w:left="-105" w:leftChars="-50" w:right="-105" w:rightChars="-50"/>
              <w:jc w:val="center"/>
              <w:rPr>
                <w:rFonts w:ascii="宋体" w:hAnsi="宋体" w:eastAsia="宋体" w:cs="宋体"/>
                <w:bCs/>
                <w:color w:val="auto"/>
                <w:kern w:val="2"/>
                <w:sz w:val="22"/>
                <w:szCs w:val="22"/>
                <w:highlight w:val="none"/>
                <w:lang w:eastAsia="zh-CN"/>
              </w:rPr>
            </w:pPr>
            <w:r>
              <w:rPr>
                <w:rFonts w:hint="eastAsia" w:ascii="宋体" w:hAnsi="宋体" w:eastAsia="宋体" w:cs="宋体"/>
                <w:bCs/>
                <w:color w:val="auto"/>
                <w:kern w:val="2"/>
                <w:sz w:val="22"/>
                <w:szCs w:val="22"/>
                <w:highlight w:val="none"/>
                <w:lang w:eastAsia="zh-CN"/>
              </w:rPr>
              <w:t>承担食品应急或专项抽检任务及类似项目情况</w:t>
            </w:r>
          </w:p>
        </w:tc>
        <w:tc>
          <w:tcPr>
            <w:tcW w:w="1113" w:type="dxa"/>
            <w:tcBorders>
              <w:top w:val="single" w:color="auto" w:sz="4" w:space="0"/>
              <w:left w:val="single" w:color="auto" w:sz="4" w:space="0"/>
              <w:bottom w:val="single" w:color="auto" w:sz="4" w:space="0"/>
              <w:right w:val="single" w:color="auto" w:sz="4" w:space="0"/>
            </w:tcBorders>
            <w:noWrap/>
            <w:vAlign w:val="center"/>
          </w:tcPr>
          <w:p w14:paraId="4B3E44FE">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bCs/>
                <w:color w:val="auto"/>
                <w:kern w:val="2"/>
                <w:sz w:val="22"/>
                <w:szCs w:val="22"/>
                <w:highlight w:val="none"/>
                <w:lang w:eastAsia="zh-CN"/>
              </w:rPr>
              <w:t>8分</w:t>
            </w:r>
          </w:p>
        </w:tc>
        <w:tc>
          <w:tcPr>
            <w:tcW w:w="7168" w:type="dxa"/>
            <w:tcBorders>
              <w:top w:val="single" w:color="auto" w:sz="4" w:space="0"/>
              <w:left w:val="single" w:color="auto" w:sz="4" w:space="0"/>
              <w:bottom w:val="single" w:color="auto" w:sz="4" w:space="0"/>
              <w:right w:val="single" w:color="auto" w:sz="4" w:space="0"/>
            </w:tcBorders>
            <w:noWrap/>
            <w:vAlign w:val="center"/>
          </w:tcPr>
          <w:p w14:paraId="3D7B6D7D">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（按最高等级业绩情况打分，得分不作累加）</w:t>
            </w:r>
          </w:p>
          <w:p w14:paraId="72B14356">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近2年（自2024年1月1日至2025年12月31日，以合同签订时间或委托书时间为准）承担食品应急或专项抽检任务情况：</w:t>
            </w:r>
          </w:p>
          <w:p w14:paraId="4F2407F1">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承担过中央转移支付或省级食品应急或专项抽检任务，得8分；</w:t>
            </w:r>
          </w:p>
          <w:p w14:paraId="3156F2E0">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承担过地市级食品应急或专项抽检任务，得4分；</w:t>
            </w:r>
          </w:p>
          <w:p w14:paraId="153514CF">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不符合上述要求的，得0分。</w:t>
            </w:r>
          </w:p>
          <w:p w14:paraId="5C60BEA6">
            <w:pPr>
              <w:pStyle w:val="132"/>
              <w:spacing w:before="35" w:line="240" w:lineRule="auto"/>
              <w:ind w:left="113"/>
              <w:rPr>
                <w:b/>
                <w:bCs/>
                <w:color w:val="auto"/>
                <w:kern w:val="2"/>
                <w:sz w:val="22"/>
                <w:szCs w:val="22"/>
                <w:highlight w:val="none"/>
              </w:rPr>
            </w:pPr>
            <w:r>
              <w:rPr>
                <w:rFonts w:hint="eastAsia"/>
                <w:bCs/>
                <w:color w:val="auto"/>
                <w:kern w:val="2"/>
                <w:sz w:val="22"/>
                <w:szCs w:val="22"/>
                <w:highlight w:val="none"/>
                <w:lang w:eastAsia="zh-CN"/>
              </w:rPr>
              <w:t>（投标人须提供合同或委托书等证明文件的主要内容页和签字盖章页的复印件，不具备类似业绩或未提供有效证明文件的不得分。）</w:t>
            </w:r>
          </w:p>
        </w:tc>
      </w:tr>
      <w:tr w14:paraId="5FF7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7A93ED0A">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4</w:t>
            </w:r>
          </w:p>
        </w:tc>
        <w:tc>
          <w:tcPr>
            <w:tcW w:w="1160" w:type="dxa"/>
            <w:tcBorders>
              <w:top w:val="single" w:color="auto" w:sz="4" w:space="0"/>
              <w:left w:val="single" w:color="auto" w:sz="4" w:space="0"/>
              <w:bottom w:val="single" w:color="auto" w:sz="4" w:space="0"/>
              <w:right w:val="single" w:color="auto" w:sz="4" w:space="0"/>
            </w:tcBorders>
            <w:noWrap/>
            <w:vAlign w:val="center"/>
          </w:tcPr>
          <w:p w14:paraId="2888C41E">
            <w:pPr>
              <w:spacing w:line="240" w:lineRule="auto"/>
              <w:ind w:left="-105" w:leftChars="-50" w:right="-105" w:rightChars="-50"/>
              <w:jc w:val="center"/>
              <w:rPr>
                <w:rFonts w:ascii="宋体" w:hAnsi="宋体" w:eastAsia="宋体" w:cs="宋体"/>
                <w:bCs/>
                <w:color w:val="auto"/>
                <w:kern w:val="2"/>
                <w:sz w:val="22"/>
                <w:szCs w:val="22"/>
                <w:highlight w:val="none"/>
                <w:lang w:eastAsia="zh-CN"/>
              </w:rPr>
            </w:pPr>
            <w:r>
              <w:rPr>
                <w:rFonts w:hint="eastAsia" w:ascii="宋体" w:hAnsi="宋体" w:eastAsia="宋体" w:cs="宋体"/>
                <w:bCs/>
                <w:color w:val="auto"/>
                <w:kern w:val="2"/>
                <w:sz w:val="22"/>
                <w:szCs w:val="22"/>
                <w:highlight w:val="none"/>
                <w:lang w:eastAsia="zh-CN"/>
              </w:rPr>
              <w:t>围绕食品抽检工作开展的食品安全宣传和风险 交流等情况</w:t>
            </w:r>
          </w:p>
        </w:tc>
        <w:tc>
          <w:tcPr>
            <w:tcW w:w="1113" w:type="dxa"/>
            <w:tcBorders>
              <w:top w:val="single" w:color="auto" w:sz="4" w:space="0"/>
              <w:left w:val="single" w:color="auto" w:sz="4" w:space="0"/>
              <w:bottom w:val="single" w:color="auto" w:sz="4" w:space="0"/>
              <w:right w:val="single" w:color="auto" w:sz="4" w:space="0"/>
            </w:tcBorders>
            <w:noWrap/>
            <w:vAlign w:val="center"/>
          </w:tcPr>
          <w:p w14:paraId="6298F9D3">
            <w:pPr>
              <w:spacing w:line="240" w:lineRule="auto"/>
              <w:jc w:val="center"/>
              <w:rPr>
                <w:rFonts w:ascii="宋体" w:hAnsi="宋体" w:eastAsia="宋体" w:cs="宋体"/>
                <w:bCs/>
                <w:color w:val="auto"/>
                <w:kern w:val="2"/>
                <w:sz w:val="22"/>
                <w:szCs w:val="22"/>
                <w:highlight w:val="none"/>
                <w:lang w:eastAsia="zh-CN"/>
              </w:rPr>
            </w:pPr>
            <w:r>
              <w:rPr>
                <w:rFonts w:hint="eastAsia" w:ascii="宋体" w:hAnsi="宋体" w:eastAsia="宋体" w:cs="宋体"/>
                <w:bCs/>
                <w:color w:val="auto"/>
                <w:kern w:val="2"/>
                <w:sz w:val="22"/>
                <w:szCs w:val="22"/>
                <w:highlight w:val="none"/>
                <w:lang w:eastAsia="zh-CN"/>
              </w:rPr>
              <w:t>3分</w:t>
            </w:r>
          </w:p>
        </w:tc>
        <w:tc>
          <w:tcPr>
            <w:tcW w:w="7168" w:type="dxa"/>
            <w:tcBorders>
              <w:top w:val="single" w:color="auto" w:sz="4" w:space="0"/>
              <w:left w:val="single" w:color="auto" w:sz="4" w:space="0"/>
              <w:bottom w:val="single" w:color="auto" w:sz="4" w:space="0"/>
              <w:right w:val="single" w:color="auto" w:sz="4" w:space="0"/>
            </w:tcBorders>
            <w:noWrap/>
            <w:vAlign w:val="center"/>
          </w:tcPr>
          <w:p w14:paraId="71DAE096">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近2年（自2024年1月1日至2025年12月31日）围绕食品抽检工作开展的食品安全宣传和风险交流等情况：</w:t>
            </w:r>
          </w:p>
          <w:p w14:paraId="5F05061E">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配合开展食品安全宣传和风险交流等相关工作3次及以上的，得3分；</w:t>
            </w:r>
          </w:p>
          <w:p w14:paraId="77499528">
            <w:pPr>
              <w:pStyle w:val="132"/>
              <w:spacing w:before="35" w:line="240" w:lineRule="auto"/>
              <w:ind w:left="113"/>
              <w:rPr>
                <w:rFonts w:hint="eastAsia"/>
                <w:bCs/>
                <w:color w:val="auto"/>
                <w:kern w:val="2"/>
                <w:sz w:val="22"/>
                <w:szCs w:val="22"/>
                <w:highlight w:val="none"/>
                <w:lang w:eastAsia="zh-CN"/>
              </w:rPr>
            </w:pPr>
            <w:r>
              <w:rPr>
                <w:rFonts w:hint="eastAsia"/>
                <w:bCs/>
                <w:color w:val="auto"/>
                <w:kern w:val="2"/>
                <w:sz w:val="22"/>
                <w:szCs w:val="22"/>
                <w:highlight w:val="none"/>
                <w:lang w:eastAsia="zh-CN"/>
              </w:rPr>
              <w:t>配合开展食品安全宣传和风险交流等相关工作1-2次的，得2分；</w:t>
            </w:r>
          </w:p>
          <w:p w14:paraId="05AB779C">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未开展的，得0分。</w:t>
            </w:r>
          </w:p>
          <w:p w14:paraId="720DE491">
            <w:pPr>
              <w:pStyle w:val="132"/>
              <w:spacing w:before="35" w:line="240" w:lineRule="auto"/>
              <w:ind w:left="113"/>
              <w:rPr>
                <w:b/>
                <w:bCs/>
                <w:color w:val="auto"/>
                <w:kern w:val="2"/>
                <w:sz w:val="22"/>
                <w:szCs w:val="22"/>
                <w:highlight w:val="none"/>
                <w:lang w:eastAsia="zh-CN"/>
              </w:rPr>
            </w:pPr>
            <w:r>
              <w:rPr>
                <w:rFonts w:hint="eastAsia"/>
                <w:bCs/>
                <w:color w:val="auto"/>
                <w:kern w:val="2"/>
                <w:sz w:val="22"/>
                <w:szCs w:val="22"/>
                <w:highlight w:val="none"/>
                <w:lang w:eastAsia="zh-CN"/>
              </w:rPr>
              <w:t>（投标人须提供相关证明材料，证明材料为任务书、政府机构新闻稿等，不具备上述工作经验或未提供有效证明文件的不得分）。</w:t>
            </w:r>
          </w:p>
        </w:tc>
      </w:tr>
      <w:tr w14:paraId="7C30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100" w:type="dxa"/>
            <w:gridSpan w:val="4"/>
            <w:tcBorders>
              <w:top w:val="single" w:color="auto" w:sz="4" w:space="0"/>
              <w:left w:val="single" w:color="auto" w:sz="4" w:space="0"/>
              <w:bottom w:val="single" w:color="auto" w:sz="4" w:space="0"/>
              <w:right w:val="single" w:color="auto" w:sz="4" w:space="0"/>
            </w:tcBorders>
            <w:noWrap/>
            <w:vAlign w:val="center"/>
          </w:tcPr>
          <w:p w14:paraId="7F425A73">
            <w:pPr>
              <w:spacing w:line="240" w:lineRule="auto"/>
              <w:jc w:val="center"/>
              <w:rPr>
                <w:rFonts w:eastAsia="宋体"/>
                <w:color w:val="auto"/>
                <w:spacing w:val="-1"/>
                <w:kern w:val="2"/>
                <w:sz w:val="20"/>
                <w:szCs w:val="22"/>
                <w:highlight w:val="none"/>
                <w:lang w:eastAsia="zh-CN"/>
              </w:rPr>
            </w:pPr>
            <w:r>
              <w:rPr>
                <w:rFonts w:hint="eastAsia" w:ascii="宋体" w:hAnsi="宋体" w:eastAsia="宋体"/>
                <w:b/>
                <w:color w:val="auto"/>
                <w:kern w:val="2"/>
                <w:sz w:val="24"/>
                <w:szCs w:val="24"/>
                <w:highlight w:val="none"/>
                <w:lang w:eastAsia="zh-CN"/>
              </w:rPr>
              <w:t>三、技术服务（70分）</w:t>
            </w:r>
          </w:p>
        </w:tc>
      </w:tr>
      <w:tr w14:paraId="7BC2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27A5FF51">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5</w:t>
            </w:r>
          </w:p>
        </w:tc>
        <w:tc>
          <w:tcPr>
            <w:tcW w:w="1160" w:type="dxa"/>
            <w:tcBorders>
              <w:top w:val="single" w:color="auto" w:sz="4" w:space="0"/>
              <w:left w:val="single" w:color="auto" w:sz="4" w:space="0"/>
              <w:bottom w:val="single" w:color="auto" w:sz="4" w:space="0"/>
              <w:right w:val="single" w:color="auto" w:sz="4" w:space="0"/>
            </w:tcBorders>
            <w:noWrap/>
            <w:vAlign w:val="center"/>
          </w:tcPr>
          <w:p w14:paraId="402A52DA">
            <w:pPr>
              <w:spacing w:line="240" w:lineRule="auto"/>
              <w:jc w:val="center"/>
              <w:rPr>
                <w:rFonts w:ascii="宋体" w:hAnsi="宋体" w:eastAsia="宋体" w:cs="宋体"/>
                <w:color w:val="auto"/>
                <w:kern w:val="2"/>
                <w:sz w:val="22"/>
                <w:szCs w:val="22"/>
                <w:highlight w:val="none"/>
                <w:lang w:eastAsia="zh-CN"/>
              </w:rPr>
            </w:pPr>
            <w:r>
              <w:rPr>
                <w:color w:val="auto"/>
                <w:spacing w:val="-2"/>
                <w:kern w:val="2"/>
                <w:sz w:val="22"/>
                <w:szCs w:val="22"/>
                <w:highlight w:val="none"/>
                <w:lang w:eastAsia="zh-CN"/>
              </w:rPr>
              <w:t>检验项目资质覆盖情</w:t>
            </w:r>
            <w:r>
              <w:rPr>
                <w:rFonts w:hint="eastAsia" w:ascii="宋体" w:hAnsi="宋体" w:eastAsia="宋体" w:cs="宋体"/>
                <w:color w:val="auto"/>
                <w:spacing w:val="-2"/>
                <w:kern w:val="2"/>
                <w:sz w:val="22"/>
                <w:szCs w:val="22"/>
                <w:highlight w:val="none"/>
                <w:lang w:eastAsia="zh-CN"/>
              </w:rPr>
              <w:t>况</w:t>
            </w:r>
          </w:p>
        </w:tc>
        <w:tc>
          <w:tcPr>
            <w:tcW w:w="111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7602DF0">
            <w:pPr>
              <w:spacing w:line="240" w:lineRule="auto"/>
              <w:jc w:val="center"/>
              <w:rPr>
                <w:rFonts w:ascii="宋体" w:hAnsi="宋体" w:eastAsia="宋体" w:cs="宋体"/>
                <w:color w:val="auto"/>
                <w:kern w:val="2"/>
                <w:sz w:val="22"/>
                <w:szCs w:val="22"/>
                <w:highlight w:val="none"/>
                <w:lang w:eastAsia="zh-CN"/>
              </w:rPr>
            </w:pPr>
            <w:r>
              <w:rPr>
                <w:rFonts w:hint="eastAsia" w:ascii="宋体" w:hAnsi="宋体" w:eastAsia="宋体" w:cs="宋体"/>
                <w:color w:val="auto"/>
                <w:kern w:val="2"/>
                <w:sz w:val="22"/>
                <w:szCs w:val="22"/>
                <w:highlight w:val="none"/>
                <w:lang w:eastAsia="zh-CN"/>
              </w:rPr>
              <w:t>5分</w:t>
            </w:r>
          </w:p>
        </w:tc>
        <w:tc>
          <w:tcPr>
            <w:tcW w:w="7168" w:type="dxa"/>
            <w:tcBorders>
              <w:top w:val="single" w:color="auto" w:sz="4" w:space="0"/>
              <w:left w:val="single" w:color="auto" w:sz="4" w:space="0"/>
              <w:bottom w:val="single" w:color="auto" w:sz="4" w:space="0"/>
              <w:right w:val="single" w:color="auto" w:sz="4" w:space="0"/>
            </w:tcBorders>
            <w:noWrap/>
            <w:vAlign w:val="top"/>
          </w:tcPr>
          <w:p w14:paraId="0CDF6B80">
            <w:pPr>
              <w:pStyle w:val="132"/>
              <w:spacing w:before="35" w:line="240" w:lineRule="auto"/>
              <w:ind w:left="113"/>
              <w:rPr>
                <w:rFonts w:hint="eastAsia"/>
                <w:bCs/>
                <w:color w:val="auto"/>
                <w:kern w:val="2"/>
                <w:sz w:val="22"/>
                <w:szCs w:val="22"/>
                <w:highlight w:val="none"/>
                <w:lang w:eastAsia="zh-CN"/>
              </w:rPr>
            </w:pPr>
            <w:r>
              <w:rPr>
                <w:rFonts w:hint="eastAsia"/>
                <w:bCs/>
                <w:color w:val="auto"/>
                <w:kern w:val="2"/>
                <w:sz w:val="22"/>
                <w:szCs w:val="22"/>
                <w:highlight w:val="none"/>
                <w:lang w:eastAsia="zh-CN"/>
              </w:rPr>
              <w:t>投标人</w:t>
            </w:r>
            <w:r>
              <w:rPr>
                <w:rFonts w:hint="eastAsia"/>
                <w:bCs/>
                <w:color w:val="auto"/>
                <w:kern w:val="2"/>
                <w:sz w:val="22"/>
                <w:szCs w:val="22"/>
                <w:highlight w:val="none"/>
                <w:lang w:val="en-US" w:eastAsia="zh-CN"/>
              </w:rPr>
              <w:t>可以进行</w:t>
            </w:r>
            <w:r>
              <w:rPr>
                <w:rFonts w:hint="eastAsia"/>
                <w:bCs/>
                <w:color w:val="auto"/>
                <w:kern w:val="2"/>
                <w:sz w:val="22"/>
                <w:szCs w:val="22"/>
                <w:highlight w:val="none"/>
                <w:lang w:eastAsia="zh-CN"/>
              </w:rPr>
              <w:t>的</w:t>
            </w:r>
            <w:r>
              <w:rPr>
                <w:rFonts w:hint="eastAsia"/>
                <w:b/>
                <w:bCs w:val="0"/>
                <w:color w:val="auto"/>
                <w:kern w:val="2"/>
                <w:sz w:val="22"/>
                <w:szCs w:val="22"/>
                <w:highlight w:val="none"/>
                <w:lang w:val="en-US" w:eastAsia="zh-CN"/>
              </w:rPr>
              <w:t>保健食品</w:t>
            </w:r>
            <w:r>
              <w:rPr>
                <w:rFonts w:hint="eastAsia"/>
                <w:bCs/>
                <w:color w:val="auto"/>
                <w:kern w:val="2"/>
                <w:sz w:val="22"/>
                <w:szCs w:val="22"/>
                <w:highlight w:val="none"/>
                <w:lang w:eastAsia="zh-CN"/>
              </w:rPr>
              <w:t>检测项目资质覆盖能力占全部采购项目的比例情况：</w:t>
            </w:r>
          </w:p>
          <w:p w14:paraId="1051F96B">
            <w:pPr>
              <w:pStyle w:val="132"/>
              <w:spacing w:before="35" w:line="240" w:lineRule="auto"/>
              <w:ind w:left="113"/>
              <w:rPr>
                <w:rFonts w:hint="eastAsia"/>
                <w:bCs/>
                <w:color w:val="auto"/>
                <w:kern w:val="2"/>
                <w:sz w:val="22"/>
                <w:szCs w:val="22"/>
                <w:highlight w:val="none"/>
                <w:lang w:eastAsia="zh-CN"/>
              </w:rPr>
            </w:pPr>
            <w:r>
              <w:rPr>
                <w:rFonts w:hint="eastAsia"/>
                <w:bCs/>
                <w:color w:val="auto"/>
                <w:kern w:val="2"/>
                <w:sz w:val="22"/>
                <w:szCs w:val="22"/>
                <w:highlight w:val="none"/>
                <w:lang w:eastAsia="zh-CN"/>
              </w:rPr>
              <w:t>100%（含100%）及以上：5分。</w:t>
            </w:r>
          </w:p>
          <w:p w14:paraId="206BA0F1">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[评分依据为</w:t>
            </w:r>
            <w:r>
              <w:rPr>
                <w:rFonts w:hint="eastAsia"/>
                <w:b/>
                <w:bCs w:val="0"/>
                <w:color w:val="auto"/>
                <w:kern w:val="2"/>
                <w:sz w:val="22"/>
                <w:szCs w:val="22"/>
                <w:highlight w:val="none"/>
                <w:lang w:eastAsia="zh-CN"/>
              </w:rPr>
              <w:t>《2026年柳州市食品检验项目资质覆盖情况自查表格式》</w:t>
            </w:r>
            <w:r>
              <w:rPr>
                <w:rFonts w:hint="eastAsia"/>
                <w:b/>
                <w:bCs w:val="0"/>
                <w:color w:val="auto"/>
                <w:kern w:val="2"/>
                <w:sz w:val="22"/>
                <w:szCs w:val="22"/>
                <w:highlight w:val="none"/>
                <w:lang w:val="en-US" w:eastAsia="zh-CN"/>
              </w:rPr>
              <w:t>附件1第31项</w:t>
            </w:r>
            <w:r>
              <w:rPr>
                <w:rFonts w:hint="eastAsia"/>
                <w:bCs/>
                <w:color w:val="auto"/>
                <w:kern w:val="2"/>
                <w:sz w:val="22"/>
                <w:szCs w:val="22"/>
                <w:highlight w:val="none"/>
                <w:lang w:val="en-US" w:eastAsia="zh-CN"/>
              </w:rPr>
              <w:t>，单独提供</w:t>
            </w:r>
            <w:r>
              <w:rPr>
                <w:rFonts w:hint="eastAsia"/>
                <w:b/>
                <w:bCs w:val="0"/>
                <w:color w:val="auto"/>
                <w:kern w:val="2"/>
                <w:sz w:val="22"/>
                <w:szCs w:val="22"/>
                <w:highlight w:val="none"/>
                <w:lang w:val="en-US" w:eastAsia="zh-CN"/>
              </w:rPr>
              <w:t>保健食品</w:t>
            </w:r>
            <w:r>
              <w:rPr>
                <w:rFonts w:hint="eastAsia"/>
                <w:bCs/>
                <w:color w:val="auto"/>
                <w:kern w:val="2"/>
                <w:sz w:val="22"/>
                <w:szCs w:val="22"/>
                <w:highlight w:val="none"/>
                <w:lang w:val="en-US" w:eastAsia="zh-CN"/>
              </w:rPr>
              <w:t>检测项目资质部分</w:t>
            </w:r>
            <w:r>
              <w:rPr>
                <w:rFonts w:hint="eastAsia"/>
                <w:bCs/>
                <w:color w:val="auto"/>
                <w:kern w:val="2"/>
                <w:sz w:val="22"/>
                <w:szCs w:val="22"/>
                <w:highlight w:val="none"/>
                <w:lang w:eastAsia="zh-CN"/>
              </w:rPr>
              <w:t>(</w:t>
            </w:r>
            <w:r>
              <w:rPr>
                <w:rFonts w:hint="eastAsia"/>
                <w:b/>
                <w:bCs w:val="0"/>
                <w:color w:val="auto"/>
                <w:kern w:val="2"/>
                <w:sz w:val="22"/>
                <w:szCs w:val="22"/>
                <w:highlight w:val="none"/>
                <w:lang w:eastAsia="zh-CN"/>
              </w:rPr>
              <w:t>须按采购文件要求格式填写,否则不予计分</w:t>
            </w:r>
            <w:r>
              <w:rPr>
                <w:rFonts w:hint="eastAsia"/>
                <w:bCs/>
                <w:color w:val="auto"/>
                <w:kern w:val="2"/>
                <w:sz w:val="22"/>
                <w:szCs w:val="22"/>
                <w:highlight w:val="none"/>
                <w:lang w:eastAsia="zh-CN"/>
              </w:rPr>
              <w:t>)，需提供实验室资质认定证书及能力附表复印件验证并加盖投标人单位公章，否则不予计分]。</w:t>
            </w:r>
          </w:p>
        </w:tc>
      </w:tr>
      <w:tr w14:paraId="59CB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3"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31E31F50">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6</w:t>
            </w:r>
          </w:p>
        </w:tc>
        <w:tc>
          <w:tcPr>
            <w:tcW w:w="1160" w:type="dxa"/>
            <w:tcBorders>
              <w:top w:val="single" w:color="auto" w:sz="4" w:space="0"/>
              <w:left w:val="single" w:color="auto" w:sz="4" w:space="0"/>
              <w:bottom w:val="single" w:color="auto" w:sz="4" w:space="0"/>
              <w:right w:val="single" w:color="auto" w:sz="4" w:space="0"/>
            </w:tcBorders>
            <w:noWrap/>
            <w:vAlign w:val="center"/>
          </w:tcPr>
          <w:p w14:paraId="2D0763ED">
            <w:pPr>
              <w:spacing w:line="240" w:lineRule="auto"/>
              <w:ind w:left="-105" w:leftChars="-50" w:right="-105" w:rightChars="-50"/>
              <w:jc w:val="center"/>
              <w:rPr>
                <w:rFonts w:ascii="宋体" w:hAnsi="宋体" w:eastAsia="宋体" w:cs="宋体"/>
                <w:bCs/>
                <w:color w:val="auto"/>
                <w:kern w:val="2"/>
                <w:sz w:val="22"/>
                <w:szCs w:val="22"/>
                <w:highlight w:val="none"/>
              </w:rPr>
            </w:pPr>
            <w:r>
              <w:rPr>
                <w:rFonts w:hint="eastAsia" w:ascii="宋体" w:hAnsi="宋体" w:eastAsia="宋体" w:cs="宋体"/>
                <w:color w:val="auto"/>
                <w:spacing w:val="-4"/>
                <w:kern w:val="2"/>
                <w:sz w:val="22"/>
                <w:szCs w:val="22"/>
                <w:highlight w:val="none"/>
              </w:rPr>
              <w:t>项目人员</w:t>
            </w:r>
          </w:p>
        </w:tc>
        <w:tc>
          <w:tcPr>
            <w:tcW w:w="111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C323C9">
            <w:pPr>
              <w:spacing w:line="240" w:lineRule="auto"/>
              <w:jc w:val="center"/>
              <w:rPr>
                <w:rFonts w:ascii="宋体" w:hAnsi="宋体" w:eastAsia="宋体" w:cs="宋体"/>
                <w:bCs/>
                <w:color w:val="auto"/>
                <w:kern w:val="2"/>
                <w:sz w:val="22"/>
                <w:szCs w:val="22"/>
                <w:highlight w:val="none"/>
              </w:rPr>
            </w:pPr>
            <w:r>
              <w:rPr>
                <w:rFonts w:hint="eastAsia" w:ascii="宋体" w:hAnsi="宋体" w:eastAsia="宋体" w:cs="宋体"/>
                <w:color w:val="auto"/>
                <w:spacing w:val="-15"/>
                <w:kern w:val="2"/>
                <w:sz w:val="22"/>
                <w:szCs w:val="22"/>
                <w:highlight w:val="none"/>
                <w:lang w:eastAsia="zh-CN"/>
              </w:rPr>
              <w:t>1</w:t>
            </w:r>
            <w:r>
              <w:rPr>
                <w:rFonts w:hAnsi="宋体" w:cs="宋体"/>
                <w:color w:val="auto"/>
                <w:spacing w:val="-15"/>
                <w:kern w:val="2"/>
                <w:sz w:val="22"/>
                <w:szCs w:val="22"/>
                <w:highlight w:val="none"/>
                <w:lang w:eastAsia="zh-CN"/>
              </w:rPr>
              <w:t>2</w:t>
            </w:r>
            <w:r>
              <w:rPr>
                <w:rFonts w:hint="eastAsia" w:ascii="宋体" w:hAnsi="宋体" w:eastAsia="宋体" w:cs="宋体"/>
                <w:color w:val="auto"/>
                <w:spacing w:val="-15"/>
                <w:kern w:val="2"/>
                <w:sz w:val="22"/>
                <w:szCs w:val="22"/>
                <w:highlight w:val="none"/>
                <w:lang w:eastAsia="zh-CN"/>
              </w:rPr>
              <w:t>分</w:t>
            </w:r>
          </w:p>
        </w:tc>
        <w:tc>
          <w:tcPr>
            <w:tcW w:w="7168" w:type="dxa"/>
            <w:tcBorders>
              <w:top w:val="single" w:color="auto" w:sz="4" w:space="0"/>
              <w:left w:val="single" w:color="auto" w:sz="4" w:space="0"/>
              <w:bottom w:val="single" w:color="auto" w:sz="4" w:space="0"/>
              <w:right w:val="single" w:color="auto" w:sz="4" w:space="0"/>
            </w:tcBorders>
            <w:noWrap/>
            <w:vAlign w:val="center"/>
          </w:tcPr>
          <w:p w14:paraId="59B38C23">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对拟指派的项目团队的人员数量、人员构成、专业程度等情况进行评议，其中：</w:t>
            </w:r>
          </w:p>
          <w:p w14:paraId="51905B9E">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（1）独立抽样人员达到15人，得4分；6-14人，得 2分；1-5人，得1分。</w:t>
            </w:r>
          </w:p>
          <w:p w14:paraId="54CA92AB">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（2）食品检验业务工作满2年及以上相关人员达到70人（</w:t>
            </w:r>
            <w:r>
              <w:rPr>
                <w:rFonts w:hint="eastAsia"/>
                <w:bCs/>
                <w:color w:val="auto"/>
                <w:kern w:val="2"/>
                <w:sz w:val="22"/>
                <w:szCs w:val="22"/>
                <w:highlight w:val="none"/>
                <w:lang w:val="en-US" w:eastAsia="zh-CN"/>
              </w:rPr>
              <w:t>包含独立抽样人员</w:t>
            </w:r>
            <w:r>
              <w:rPr>
                <w:rFonts w:hint="eastAsia"/>
                <w:bCs/>
                <w:color w:val="auto"/>
                <w:kern w:val="2"/>
                <w:sz w:val="22"/>
                <w:szCs w:val="22"/>
                <w:highlight w:val="none"/>
                <w:lang w:eastAsia="zh-CN"/>
              </w:rPr>
              <w:t>），得4分；40-69人，得2分；20-39人，得1分。</w:t>
            </w:r>
          </w:p>
          <w:p w14:paraId="7B7E1C42">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（3）食品检验业务工作满2年及以上的食品领域高级技术职称人员达到16人，得4分；12-15人，得2分；8-11人，得1分。</w:t>
            </w:r>
          </w:p>
          <w:p w14:paraId="6525838A">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投标人须按照采购文件要求的格式提供人员清单。相关人员须提供社保记录（近半年任意一个月）、职称证书、专家证书/聘书等证明材料，未达到上述要求或未提供有效证明材料的不得分。（2）-（3）符合要求的人员可同时计入打分）</w:t>
            </w:r>
          </w:p>
        </w:tc>
      </w:tr>
      <w:tr w14:paraId="26E9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7"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140D8F0A">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7</w:t>
            </w:r>
          </w:p>
        </w:tc>
        <w:tc>
          <w:tcPr>
            <w:tcW w:w="1160" w:type="dxa"/>
            <w:tcBorders>
              <w:top w:val="single" w:color="auto" w:sz="4" w:space="0"/>
              <w:left w:val="single" w:color="auto" w:sz="4" w:space="0"/>
              <w:bottom w:val="single" w:color="auto" w:sz="4" w:space="0"/>
              <w:right w:val="single" w:color="auto" w:sz="4" w:space="0"/>
            </w:tcBorders>
            <w:noWrap/>
            <w:vAlign w:val="center"/>
          </w:tcPr>
          <w:p w14:paraId="24D1F61C">
            <w:pPr>
              <w:spacing w:line="240" w:lineRule="auto"/>
              <w:jc w:val="center"/>
              <w:rPr>
                <w:rFonts w:ascii="宋体" w:hAnsi="宋体" w:eastAsia="宋体" w:cs="宋体"/>
                <w:bCs/>
                <w:color w:val="auto"/>
                <w:kern w:val="2"/>
                <w:sz w:val="22"/>
                <w:szCs w:val="22"/>
                <w:highlight w:val="none"/>
              </w:rPr>
            </w:pPr>
            <w:r>
              <w:rPr>
                <w:rFonts w:hint="eastAsia" w:ascii="宋体" w:hAnsi="宋体" w:eastAsia="宋体" w:cs="宋体"/>
                <w:color w:val="auto"/>
                <w:spacing w:val="-4"/>
                <w:kern w:val="2"/>
                <w:sz w:val="22"/>
                <w:szCs w:val="22"/>
                <w:highlight w:val="none"/>
              </w:rPr>
              <w:t>实验场所</w:t>
            </w:r>
          </w:p>
        </w:tc>
        <w:tc>
          <w:tcPr>
            <w:tcW w:w="111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CA7BFB">
            <w:pPr>
              <w:pStyle w:val="2"/>
              <w:spacing w:line="240" w:lineRule="auto"/>
              <w:ind w:left="864" w:leftChars="174" w:hanging="499" w:hangingChars="227"/>
              <w:rPr>
                <w:color w:val="auto"/>
                <w:kern w:val="2"/>
                <w:sz w:val="20"/>
                <w:szCs w:val="18"/>
                <w:highlight w:val="none"/>
                <w:lang w:eastAsia="zh-CN"/>
              </w:rPr>
            </w:pPr>
            <w:r>
              <w:rPr>
                <w:rFonts w:hAnsi="宋体" w:cs="宋体"/>
                <w:bCs/>
                <w:color w:val="auto"/>
                <w:kern w:val="2"/>
                <w:sz w:val="22"/>
                <w:szCs w:val="22"/>
                <w:highlight w:val="none"/>
                <w:lang w:eastAsia="zh-CN"/>
              </w:rPr>
              <w:t>8</w:t>
            </w:r>
            <w:r>
              <w:rPr>
                <w:rFonts w:hint="eastAsia" w:hAnsi="宋体" w:eastAsia="宋体" w:cs="宋体"/>
                <w:bCs/>
                <w:color w:val="auto"/>
                <w:kern w:val="2"/>
                <w:sz w:val="22"/>
                <w:szCs w:val="22"/>
                <w:highlight w:val="none"/>
                <w:lang w:eastAsia="zh-CN"/>
              </w:rPr>
              <w:t>分</w:t>
            </w:r>
          </w:p>
        </w:tc>
        <w:tc>
          <w:tcPr>
            <w:tcW w:w="7168" w:type="dxa"/>
            <w:tcBorders>
              <w:top w:val="single" w:color="auto" w:sz="4" w:space="0"/>
              <w:left w:val="single" w:color="auto" w:sz="4" w:space="0"/>
              <w:bottom w:val="single" w:color="auto" w:sz="4" w:space="0"/>
              <w:right w:val="single" w:color="auto" w:sz="4" w:space="0"/>
            </w:tcBorders>
            <w:noWrap/>
            <w:vAlign w:val="center"/>
          </w:tcPr>
          <w:p w14:paraId="5244AFA4">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（1）开展食品安全检验工作实验室实际使用面积（满分4分）：</w:t>
            </w:r>
          </w:p>
          <w:p w14:paraId="27342C40">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2000（含）-3000（不含）平方米得1分；</w:t>
            </w:r>
          </w:p>
          <w:p w14:paraId="60A6471C">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3000（含）-4000（不含）平方米得2分；</w:t>
            </w:r>
          </w:p>
          <w:p w14:paraId="411282AD">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4000（含）平方米以上得4分。</w:t>
            </w:r>
          </w:p>
          <w:p w14:paraId="40856873">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（2）实验室存放备用样品储藏间必须具备冷藏（冷冻）能力（满分4分）：</w:t>
            </w:r>
          </w:p>
          <w:p w14:paraId="3D3F83DC">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储存冰箱/冰柜容积总和大于100（含）立方米或冷冻（冷藏）库面积大于50（含）平方米的，得4分；</w:t>
            </w:r>
          </w:p>
          <w:p w14:paraId="139D5593">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储存冰箱/冰柜容积总和80（含）～100（不含）立方米或冷冻（冷藏）库面积30（含）～50（不含）平方米的，得2分；</w:t>
            </w:r>
          </w:p>
          <w:p w14:paraId="66996C4D">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储存冰箱/冰柜容积总和60（含）～80（不含）立方米或冷冻（冷藏）库面积20（含）～30（不含）平方米的，得1分；</w:t>
            </w:r>
          </w:p>
          <w:p w14:paraId="4D96923D">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储存冰箱/冰柜容积总和低于60（不含）立方米或冷冻（冷藏）库面积少于20（不含）平方米的，不得分；</w:t>
            </w:r>
          </w:p>
          <w:p w14:paraId="510D13A5">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储藏间应为投标人所有，地址应与所提供资质认定证书的地址相符，冰箱/冰柜提供购置发票、容积证明及照片；冷库需提供平面图及照片等证明材料。（按房产证、购买合同或房产租赁合同为准，在投标文件中提供上述证明材料复印件并加盖单位公章，证明材料不清晰的不予计分）。</w:t>
            </w:r>
          </w:p>
        </w:tc>
      </w:tr>
      <w:tr w14:paraId="00A3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3"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2EDA1679">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8</w:t>
            </w:r>
          </w:p>
        </w:tc>
        <w:tc>
          <w:tcPr>
            <w:tcW w:w="1160" w:type="dxa"/>
            <w:tcBorders>
              <w:top w:val="single" w:color="auto" w:sz="4" w:space="0"/>
              <w:left w:val="single" w:color="auto" w:sz="4" w:space="0"/>
              <w:bottom w:val="single" w:color="auto" w:sz="4" w:space="0"/>
              <w:right w:val="single" w:color="auto" w:sz="4" w:space="0"/>
            </w:tcBorders>
            <w:noWrap/>
            <w:vAlign w:val="center"/>
          </w:tcPr>
          <w:p w14:paraId="630FB096">
            <w:pPr>
              <w:spacing w:line="240" w:lineRule="auto"/>
              <w:jc w:val="center"/>
              <w:rPr>
                <w:rFonts w:ascii="宋体" w:hAnsi="宋体" w:eastAsia="宋体" w:cs="宋体"/>
                <w:color w:val="auto"/>
                <w:kern w:val="2"/>
                <w:sz w:val="22"/>
                <w:szCs w:val="22"/>
                <w:highlight w:val="none"/>
              </w:rPr>
            </w:pPr>
            <w:r>
              <w:rPr>
                <w:rFonts w:hint="eastAsia" w:ascii="宋体" w:hAnsi="宋体" w:eastAsia="宋体" w:cs="宋体"/>
                <w:color w:val="auto"/>
                <w:spacing w:val="-4"/>
                <w:kern w:val="2"/>
                <w:sz w:val="22"/>
                <w:szCs w:val="22"/>
                <w:highlight w:val="none"/>
              </w:rPr>
              <w:t>实验室能力</w:t>
            </w:r>
            <w:r>
              <w:rPr>
                <w:rFonts w:hint="eastAsia" w:ascii="宋体" w:hAnsi="宋体" w:eastAsia="宋体" w:cs="宋体"/>
                <w:color w:val="auto"/>
                <w:spacing w:val="-3"/>
                <w:kern w:val="2"/>
                <w:sz w:val="22"/>
                <w:szCs w:val="22"/>
                <w:highlight w:val="none"/>
              </w:rPr>
              <w:t>验证情况</w:t>
            </w:r>
          </w:p>
        </w:tc>
        <w:tc>
          <w:tcPr>
            <w:tcW w:w="111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F86D339">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11</w:t>
            </w:r>
            <w:r>
              <w:rPr>
                <w:rFonts w:hint="eastAsia" w:ascii="宋体" w:hAnsi="宋体" w:eastAsia="宋体" w:cs="宋体"/>
                <w:color w:val="auto"/>
                <w:kern w:val="2"/>
                <w:sz w:val="22"/>
                <w:szCs w:val="22"/>
                <w:highlight w:val="none"/>
                <w:lang w:eastAsia="zh-CN"/>
              </w:rPr>
              <w:t>分</w:t>
            </w:r>
          </w:p>
        </w:tc>
        <w:tc>
          <w:tcPr>
            <w:tcW w:w="7168" w:type="dxa"/>
            <w:tcBorders>
              <w:top w:val="single" w:color="auto" w:sz="4" w:space="0"/>
              <w:left w:val="single" w:color="auto" w:sz="4" w:space="0"/>
              <w:bottom w:val="single" w:color="auto" w:sz="4" w:space="0"/>
              <w:right w:val="single" w:color="auto" w:sz="4" w:space="0"/>
            </w:tcBorders>
            <w:noWrap/>
            <w:vAlign w:val="top"/>
          </w:tcPr>
          <w:p w14:paraId="7F934827">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1）国家部委认定的食品复检工作机构，复检项目需涵盖农药残留、兽药残留、元素、食品添加剂、生物毒素、质量指标、非法添加剂7大类并提供每类相关复检报告1份，得4分。（投标人须提供属于复检机构的相关证明复印件加盖公章，未提供或缺少项目、报告的则该项不得分。）</w:t>
            </w:r>
          </w:p>
          <w:p w14:paraId="25ED442A">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（2）投标人的实验室通过CNAS认证或CATL认证，投标人须提供有效证书复印件加盖公章的得3分，未提供该项不得分。</w:t>
            </w:r>
          </w:p>
          <w:p w14:paraId="3E3C180D">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3）近二年（2024年1月1日至2025年12月31）本单位参与国内外相关组织的实验室能力验证情况（项目应属于重金属、微生物/毒素、农兽药、食品添加剂、非法添加物（或非食用物质）5个领域，其他领域不得分）（满分4分）：</w:t>
            </w:r>
          </w:p>
          <w:p w14:paraId="0D80B792">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获得不少于40项次（含）满意结果的得1分；</w:t>
            </w:r>
          </w:p>
          <w:p w14:paraId="37AA7F2B">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获得不少于50项次（含）满意结果的得2分；</w:t>
            </w:r>
          </w:p>
          <w:p w14:paraId="4D6381B0">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获得不少于60项次（含）满意结果的得3分；</w:t>
            </w:r>
          </w:p>
          <w:p w14:paraId="678F03D8">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获得不少于70项次（含）满意结果的得4分。</w:t>
            </w:r>
          </w:p>
          <w:p w14:paraId="40ACAAFD">
            <w:pPr>
              <w:pStyle w:val="25"/>
              <w:spacing w:line="240" w:lineRule="auto"/>
              <w:rPr>
                <w:rFonts w:hAnsi="宋体" w:eastAsia="宋体" w:cs="宋体"/>
                <w:bCs/>
                <w:color w:val="auto"/>
                <w:kern w:val="2"/>
                <w:sz w:val="22"/>
                <w:szCs w:val="22"/>
                <w:highlight w:val="none"/>
                <w:lang w:eastAsia="zh-CN"/>
              </w:rPr>
            </w:pPr>
            <w:r>
              <w:rPr>
                <w:rFonts w:hint="eastAsia" w:hAnsi="宋体" w:eastAsia="宋体" w:cs="宋体"/>
                <w:b/>
                <w:color w:val="auto"/>
                <w:kern w:val="2"/>
                <w:sz w:val="22"/>
                <w:szCs w:val="22"/>
                <w:highlight w:val="none"/>
                <w:lang w:eastAsia="zh-CN"/>
              </w:rPr>
              <w:t>（提供证明材料复印件并加盖投标人单位公章，否则不予计分）。</w:t>
            </w:r>
          </w:p>
        </w:tc>
      </w:tr>
      <w:tr w14:paraId="63AD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2B22F830">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9</w:t>
            </w:r>
          </w:p>
        </w:tc>
        <w:tc>
          <w:tcPr>
            <w:tcW w:w="1160" w:type="dxa"/>
            <w:tcBorders>
              <w:top w:val="single" w:color="auto" w:sz="4" w:space="0"/>
              <w:left w:val="single" w:color="auto" w:sz="4" w:space="0"/>
              <w:bottom w:val="single" w:color="auto" w:sz="4" w:space="0"/>
              <w:right w:val="single" w:color="auto" w:sz="4" w:space="0"/>
            </w:tcBorders>
            <w:noWrap/>
            <w:vAlign w:val="center"/>
          </w:tcPr>
          <w:p w14:paraId="307A43F0">
            <w:pPr>
              <w:spacing w:line="240" w:lineRule="auto"/>
              <w:jc w:val="center"/>
              <w:rPr>
                <w:rFonts w:ascii="宋体" w:hAnsi="宋体" w:eastAsia="宋体" w:cs="宋体"/>
                <w:color w:val="auto"/>
                <w:spacing w:val="-4"/>
                <w:kern w:val="2"/>
                <w:sz w:val="22"/>
                <w:szCs w:val="22"/>
                <w:highlight w:val="none"/>
              </w:rPr>
            </w:pPr>
            <w:r>
              <w:rPr>
                <w:rFonts w:hint="eastAsia" w:ascii="宋体" w:hAnsi="宋体" w:eastAsia="宋体" w:cs="宋体"/>
                <w:color w:val="auto"/>
                <w:spacing w:val="-4"/>
                <w:kern w:val="2"/>
                <w:sz w:val="22"/>
                <w:szCs w:val="22"/>
                <w:highlight w:val="none"/>
                <w:lang w:eastAsia="zh-CN"/>
              </w:rPr>
              <w:t>承检机构考核情况</w:t>
            </w:r>
          </w:p>
        </w:tc>
        <w:tc>
          <w:tcPr>
            <w:tcW w:w="111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C1DC995">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10</w:t>
            </w:r>
            <w:r>
              <w:rPr>
                <w:rFonts w:hint="eastAsia" w:ascii="宋体" w:hAnsi="宋体" w:eastAsia="宋体" w:cs="宋体"/>
                <w:color w:val="auto"/>
                <w:kern w:val="2"/>
                <w:sz w:val="22"/>
                <w:szCs w:val="22"/>
                <w:highlight w:val="none"/>
                <w:lang w:eastAsia="zh-CN"/>
              </w:rPr>
              <w:t>分</w:t>
            </w:r>
          </w:p>
        </w:tc>
        <w:tc>
          <w:tcPr>
            <w:tcW w:w="7168" w:type="dxa"/>
            <w:tcBorders>
              <w:top w:val="single" w:color="auto" w:sz="4" w:space="0"/>
              <w:left w:val="single" w:color="auto" w:sz="4" w:space="0"/>
              <w:bottom w:val="single" w:color="auto" w:sz="4" w:space="0"/>
              <w:right w:val="single" w:color="auto" w:sz="4" w:space="0"/>
            </w:tcBorders>
            <w:noWrap/>
            <w:vAlign w:val="top"/>
          </w:tcPr>
          <w:p w14:paraId="0686265F">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投标人2025年参加国家或省级市场监管部门组织的承检机构综合考核情况：</w:t>
            </w:r>
          </w:p>
          <w:p w14:paraId="0B9F8156">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综合考核评价得分：90分以上（含），得10分；</w:t>
            </w:r>
          </w:p>
          <w:p w14:paraId="09BC4146">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综合考核评价得分：80分（含）-90分（不含），得5分；</w:t>
            </w:r>
          </w:p>
          <w:p w14:paraId="0F123C4D">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综合考核评价得分：80分（不含）以下，不得分；</w:t>
            </w:r>
          </w:p>
          <w:p w14:paraId="6A5BC2F5">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在盲样考核中有可疑、不满意或不合格结果的，不论排名高低均不得分。</w:t>
            </w:r>
          </w:p>
          <w:p w14:paraId="0A824FDD">
            <w:pPr>
              <w:pStyle w:val="25"/>
              <w:spacing w:line="240" w:lineRule="auto"/>
              <w:rPr>
                <w:rFonts w:hAnsi="宋体" w:eastAsia="宋体" w:cs="宋体"/>
                <w:color w:val="auto"/>
                <w:spacing w:val="-2"/>
                <w:kern w:val="2"/>
                <w:sz w:val="22"/>
                <w:szCs w:val="22"/>
                <w:highlight w:val="none"/>
                <w:lang w:eastAsia="zh-CN"/>
              </w:rPr>
            </w:pPr>
            <w:r>
              <w:rPr>
                <w:rFonts w:hint="eastAsia" w:hAnsi="宋体" w:eastAsia="宋体" w:cs="宋体"/>
                <w:color w:val="auto"/>
                <w:spacing w:val="-5"/>
                <w:kern w:val="2"/>
                <w:sz w:val="22"/>
                <w:szCs w:val="22"/>
                <w:highlight w:val="none"/>
                <w:lang w:eastAsia="zh-CN"/>
              </w:rPr>
              <w:t>（提供相关证明文件复印件并加盖投标人单位公章，否则不计分）。</w:t>
            </w:r>
          </w:p>
        </w:tc>
      </w:tr>
      <w:tr w14:paraId="1B5F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jc w:val="center"/>
        </w:trPr>
        <w:tc>
          <w:tcPr>
            <w:tcW w:w="659" w:type="dxa"/>
            <w:tcBorders>
              <w:top w:val="single" w:color="auto" w:sz="4" w:space="0"/>
              <w:left w:val="single" w:color="auto" w:sz="4" w:space="0"/>
              <w:bottom w:val="single" w:color="auto" w:sz="4" w:space="0"/>
              <w:right w:val="single" w:color="auto" w:sz="4" w:space="0"/>
            </w:tcBorders>
            <w:noWrap/>
            <w:vAlign w:val="center"/>
          </w:tcPr>
          <w:p w14:paraId="382EB631">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10</w:t>
            </w:r>
          </w:p>
        </w:tc>
        <w:tc>
          <w:tcPr>
            <w:tcW w:w="1160" w:type="dxa"/>
            <w:tcBorders>
              <w:top w:val="single" w:color="auto" w:sz="4" w:space="0"/>
              <w:left w:val="single" w:color="auto" w:sz="4" w:space="0"/>
              <w:bottom w:val="single" w:color="auto" w:sz="4" w:space="0"/>
              <w:right w:val="single" w:color="auto" w:sz="4" w:space="0"/>
            </w:tcBorders>
            <w:noWrap/>
            <w:vAlign w:val="center"/>
          </w:tcPr>
          <w:p w14:paraId="0E8BEF25">
            <w:pPr>
              <w:spacing w:line="240" w:lineRule="auto"/>
              <w:jc w:val="center"/>
              <w:rPr>
                <w:rFonts w:ascii="宋体" w:hAnsi="宋体" w:eastAsia="宋体" w:cs="宋体"/>
                <w:color w:val="auto"/>
                <w:spacing w:val="-4"/>
                <w:kern w:val="2"/>
                <w:sz w:val="22"/>
                <w:szCs w:val="22"/>
                <w:highlight w:val="none"/>
                <w:lang w:eastAsia="zh-CN"/>
              </w:rPr>
            </w:pPr>
            <w:r>
              <w:rPr>
                <w:rFonts w:hint="eastAsia" w:ascii="宋体" w:hAnsi="宋体" w:eastAsia="宋体" w:cs="宋体"/>
                <w:color w:val="auto"/>
                <w:spacing w:val="-4"/>
                <w:kern w:val="2"/>
                <w:sz w:val="22"/>
                <w:szCs w:val="22"/>
                <w:highlight w:val="none"/>
              </w:rPr>
              <w:t>工作方案</w:t>
            </w:r>
          </w:p>
        </w:tc>
        <w:tc>
          <w:tcPr>
            <w:tcW w:w="111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978BFF6">
            <w:pPr>
              <w:spacing w:line="240" w:lineRule="auto"/>
              <w:jc w:val="center"/>
              <w:rPr>
                <w:rFonts w:ascii="宋体" w:hAnsi="宋体" w:eastAsia="宋体" w:cs="宋体"/>
                <w:color w:val="auto"/>
                <w:kern w:val="2"/>
                <w:sz w:val="22"/>
                <w:szCs w:val="22"/>
                <w:highlight w:val="none"/>
                <w:lang w:eastAsia="zh-CN"/>
              </w:rPr>
            </w:pPr>
            <w:r>
              <w:rPr>
                <w:rFonts w:hAnsi="宋体" w:cs="宋体"/>
                <w:color w:val="auto"/>
                <w:kern w:val="2"/>
                <w:sz w:val="22"/>
                <w:szCs w:val="22"/>
                <w:highlight w:val="none"/>
                <w:lang w:eastAsia="zh-CN"/>
              </w:rPr>
              <w:t>24</w:t>
            </w:r>
            <w:r>
              <w:rPr>
                <w:rFonts w:hint="eastAsia" w:ascii="宋体" w:hAnsi="宋体" w:eastAsia="宋体" w:cs="宋体"/>
                <w:color w:val="auto"/>
                <w:kern w:val="2"/>
                <w:sz w:val="22"/>
                <w:szCs w:val="22"/>
                <w:highlight w:val="none"/>
                <w:lang w:eastAsia="zh-CN"/>
              </w:rPr>
              <w:t>分</w:t>
            </w:r>
          </w:p>
        </w:tc>
        <w:tc>
          <w:tcPr>
            <w:tcW w:w="7168" w:type="dxa"/>
            <w:tcBorders>
              <w:top w:val="single" w:color="auto" w:sz="4" w:space="0"/>
              <w:left w:val="single" w:color="auto" w:sz="4" w:space="0"/>
              <w:bottom w:val="single" w:color="auto" w:sz="4" w:space="0"/>
              <w:right w:val="single" w:color="auto" w:sz="4" w:space="0"/>
            </w:tcBorders>
            <w:noWrap/>
            <w:vAlign w:val="top"/>
          </w:tcPr>
          <w:p w14:paraId="42BCC5D2">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须包含近1年（自2025年1月1日起）承担监督抽检任务批次数、不合格检出率等内容；承担本次抽检任务具体工作方案：</w:t>
            </w:r>
          </w:p>
          <w:p w14:paraId="6CDE8FD9">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方案内容详尽，有创新性和针对性，且可操作性强，得24分；</w:t>
            </w:r>
          </w:p>
          <w:p w14:paraId="1A4A64A8">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方案内容结构完整，有一定的针对性和可操作性，但难以应对复杂和突发情况，得12分；</w:t>
            </w:r>
          </w:p>
          <w:p w14:paraId="6C59A0EA">
            <w:pPr>
              <w:pStyle w:val="132"/>
              <w:spacing w:before="35" w:line="240" w:lineRule="auto"/>
              <w:ind w:left="113"/>
              <w:rPr>
                <w:bCs/>
                <w:color w:val="auto"/>
                <w:kern w:val="2"/>
                <w:sz w:val="22"/>
                <w:szCs w:val="22"/>
                <w:highlight w:val="none"/>
                <w:lang w:eastAsia="zh-CN"/>
              </w:rPr>
            </w:pPr>
            <w:r>
              <w:rPr>
                <w:rFonts w:hint="eastAsia"/>
                <w:bCs/>
                <w:color w:val="auto"/>
                <w:kern w:val="2"/>
                <w:sz w:val="22"/>
                <w:szCs w:val="22"/>
                <w:highlight w:val="none"/>
                <w:lang w:eastAsia="zh-CN"/>
              </w:rPr>
              <w:t>方案结构基本完整，有一定的可操性，但方案针对性不强，未充分考虑常见情况，得6分；</w:t>
            </w:r>
          </w:p>
          <w:p w14:paraId="7BE114CC">
            <w:pPr>
              <w:pStyle w:val="132"/>
              <w:spacing w:before="35" w:line="240" w:lineRule="auto"/>
              <w:ind w:left="113"/>
              <w:rPr>
                <w:color w:val="auto"/>
                <w:spacing w:val="-5"/>
                <w:kern w:val="2"/>
                <w:sz w:val="22"/>
                <w:szCs w:val="22"/>
                <w:highlight w:val="none"/>
                <w:lang w:eastAsia="zh-CN"/>
              </w:rPr>
            </w:pPr>
            <w:r>
              <w:rPr>
                <w:rFonts w:hint="eastAsia"/>
                <w:bCs/>
                <w:color w:val="auto"/>
                <w:kern w:val="2"/>
                <w:sz w:val="22"/>
                <w:szCs w:val="22"/>
                <w:highlight w:val="none"/>
                <w:lang w:eastAsia="zh-CN"/>
              </w:rPr>
              <w:t>方案内容有严重缺失，依此方案实施本项目将无法操作，或可能带来严重后果和未提供工作方案的，得0分。</w:t>
            </w:r>
          </w:p>
        </w:tc>
      </w:tr>
      <w:tr w14:paraId="695D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100" w:type="dxa"/>
            <w:gridSpan w:val="4"/>
            <w:tcBorders>
              <w:top w:val="single" w:color="auto" w:sz="4" w:space="0"/>
              <w:left w:val="single" w:color="auto" w:sz="4" w:space="0"/>
              <w:bottom w:val="single" w:color="auto" w:sz="4" w:space="0"/>
              <w:right w:val="single" w:color="auto" w:sz="4" w:space="0"/>
            </w:tcBorders>
            <w:noWrap/>
            <w:vAlign w:val="center"/>
          </w:tcPr>
          <w:p w14:paraId="2EFC4AB4">
            <w:pPr>
              <w:pStyle w:val="25"/>
              <w:spacing w:line="240" w:lineRule="auto"/>
              <w:ind w:firstLine="420"/>
              <w:jc w:val="center"/>
              <w:rPr>
                <w:rFonts w:hAnsi="宋体"/>
                <w:bCs/>
                <w:color w:val="auto"/>
                <w:kern w:val="2"/>
                <w:sz w:val="18"/>
                <w:szCs w:val="20"/>
                <w:highlight w:val="none"/>
              </w:rPr>
            </w:pPr>
            <w:r>
              <w:rPr>
                <w:rFonts w:hint="eastAsia" w:hAnsi="宋体" w:eastAsia="宋体" w:cs="宋体"/>
                <w:color w:val="auto"/>
                <w:kern w:val="2"/>
                <w:sz w:val="24"/>
                <w:szCs w:val="24"/>
                <w:highlight w:val="none"/>
              </w:rPr>
              <w:t>总得分</w:t>
            </w:r>
            <w:r>
              <w:rPr>
                <w:rFonts w:hint="eastAsia" w:hAnsi="宋体"/>
                <w:color w:val="auto"/>
                <w:kern w:val="2"/>
                <w:sz w:val="24"/>
                <w:szCs w:val="24"/>
                <w:highlight w:val="none"/>
              </w:rPr>
              <w:t>=</w:t>
            </w:r>
            <w:r>
              <w:rPr>
                <w:rFonts w:hint="eastAsia" w:hAnsi="宋体"/>
                <w:color w:val="auto"/>
                <w:kern w:val="2"/>
                <w:sz w:val="24"/>
                <w:szCs w:val="24"/>
                <w:highlight w:val="none"/>
                <w:lang w:eastAsia="zh-CN"/>
              </w:rPr>
              <w:t>100</w:t>
            </w:r>
            <w:r>
              <w:rPr>
                <w:rFonts w:hint="eastAsia" w:hAnsi="宋体" w:eastAsia="宋体" w:cs="宋体"/>
                <w:color w:val="auto"/>
                <w:kern w:val="2"/>
                <w:sz w:val="24"/>
                <w:szCs w:val="24"/>
                <w:highlight w:val="none"/>
                <w:lang w:eastAsia="zh-CN"/>
              </w:rPr>
              <w:t>分</w:t>
            </w:r>
          </w:p>
        </w:tc>
      </w:tr>
    </w:tbl>
    <w:p w14:paraId="153E1F12">
      <w:pPr>
        <w:pStyle w:val="25"/>
        <w:spacing w:line="360" w:lineRule="auto"/>
        <w:ind w:firstLine="420"/>
        <w:rPr>
          <w:rFonts w:hint="eastAsia" w:hAnsi="宋体"/>
          <w:b/>
          <w:color w:val="auto"/>
          <w:sz w:val="21"/>
          <w:highlight w:val="none"/>
        </w:rPr>
      </w:pPr>
      <w:r>
        <w:rPr>
          <w:rFonts w:hint="eastAsia" w:hAnsi="宋体"/>
          <w:b/>
          <w:color w:val="auto"/>
          <w:sz w:val="21"/>
          <w:highlight w:val="none"/>
        </w:rPr>
        <w:t>四、中标候选人推荐原则</w:t>
      </w:r>
    </w:p>
    <w:p w14:paraId="0EF05FCC">
      <w:pPr>
        <w:pStyle w:val="42"/>
        <w:shd w:val="clear" w:color="auto" w:fill="auto"/>
        <w:spacing w:before="0" w:beforeAutospacing="0" w:after="0" w:afterAutospacing="0" w:line="360" w:lineRule="auto"/>
        <w:jc w:val="both"/>
        <w:rPr>
          <w:rFonts w:hint="eastAsia" w:hAnsi="宋体" w:eastAsia="宋体"/>
          <w:bCs/>
          <w:color w:val="auto"/>
          <w:sz w:val="21"/>
          <w:highlight w:val="none"/>
          <w:lang w:eastAsia="zh-CN"/>
        </w:rPr>
      </w:pPr>
      <w:r>
        <w:rPr>
          <w:rFonts w:hint="eastAsia" w:hAnsi="宋体"/>
          <w:bCs/>
          <w:color w:val="auto"/>
          <w:sz w:val="21"/>
          <w:highlight w:val="none"/>
        </w:rPr>
        <w:t>评标委员会将根据综合得分由高到低排列次序（得分相同时，以投标价格由低到高顺序排列；得分相同且投标报价相同的，按技术指标优劣顺序排列）并推荐综合得分第一名为中标候选供应商。招标采购单位应当确定评审委员会推荐排名第一的中标候选人为中标人</w:t>
      </w:r>
      <w:r>
        <w:rPr>
          <w:rFonts w:hint="eastAsia" w:hAnsi="宋体" w:cs="宋体"/>
          <w:color w:val="auto"/>
          <w:sz w:val="21"/>
          <w:highlight w:val="none"/>
        </w:rPr>
        <w:t>。</w:t>
      </w:r>
      <w:r>
        <w:rPr>
          <w:rFonts w:hint="eastAsia" w:hAnsi="宋体"/>
          <w:bCs/>
          <w:color w:val="auto"/>
          <w:sz w:val="21"/>
          <w:highlight w:val="none"/>
        </w:rPr>
        <w:t>当排名第一中标候选人中标、因不可抗力提出不能履行合同，或者招标文件规定应当提交履约保证金而在规定的期限内未能提交的，招标采购单位可以确定排名第二的中标候选人为该</w:t>
      </w:r>
      <w:r>
        <w:rPr>
          <w:rFonts w:hint="eastAsia"/>
          <w:bCs/>
          <w:color w:val="auto"/>
          <w:sz w:val="21"/>
          <w:highlight w:val="none"/>
          <w:lang w:val="en-US" w:eastAsia="zh-CN"/>
        </w:rPr>
        <w:t>项目</w:t>
      </w:r>
      <w:r>
        <w:rPr>
          <w:rFonts w:hint="eastAsia" w:hAnsi="宋体"/>
          <w:bCs/>
          <w:color w:val="auto"/>
          <w:sz w:val="21"/>
          <w:highlight w:val="none"/>
        </w:rPr>
        <w:t>中标人，其余以此类推。</w:t>
      </w:r>
      <w:r>
        <w:rPr>
          <w:rFonts w:hint="eastAsia" w:hAnsi="宋体"/>
          <w:b/>
          <w:bCs w:val="0"/>
          <w:color w:val="auto"/>
          <w:sz w:val="21"/>
          <w:highlight w:val="none"/>
          <w:lang w:eastAsia="zh-CN"/>
        </w:rPr>
        <w:t>（</w:t>
      </w:r>
      <w:r>
        <w:rPr>
          <w:rFonts w:hint="eastAsia" w:hAnsi="宋体"/>
          <w:b/>
          <w:bCs w:val="0"/>
          <w:color w:val="auto"/>
          <w:sz w:val="21"/>
          <w:highlight w:val="none"/>
        </w:rPr>
        <w:t>本项目是</w:t>
      </w:r>
      <w:r>
        <w:rPr>
          <w:rFonts w:hint="eastAsia" w:hAnsi="宋体"/>
          <w:b/>
          <w:bCs w:val="0"/>
          <w:color w:val="auto"/>
          <w:sz w:val="21"/>
          <w:highlight w:val="none"/>
          <w:lang w:eastAsia="zh-CN"/>
        </w:rPr>
        <w:t>2026年柳州市市场监督管理局自治区转移食品抽样检测服务项目</w:t>
      </w:r>
      <w:r>
        <w:rPr>
          <w:rFonts w:hint="eastAsia" w:hAnsi="宋体"/>
          <w:b/>
          <w:bCs w:val="0"/>
          <w:color w:val="auto"/>
          <w:sz w:val="21"/>
          <w:highlight w:val="none"/>
          <w:lang w:val="en-US" w:eastAsia="zh-CN"/>
        </w:rPr>
        <w:t>分标10</w:t>
      </w:r>
      <w:r>
        <w:rPr>
          <w:rFonts w:hint="eastAsia" w:hAnsi="宋体"/>
          <w:b/>
          <w:bCs w:val="0"/>
          <w:color w:val="auto"/>
          <w:sz w:val="21"/>
          <w:highlight w:val="none"/>
        </w:rPr>
        <w:t>，属于重新招标</w:t>
      </w:r>
      <w:r>
        <w:rPr>
          <w:rFonts w:hint="eastAsia"/>
          <w:b/>
          <w:bCs w:val="0"/>
          <w:color w:val="auto"/>
          <w:sz w:val="21"/>
          <w:highlight w:val="none"/>
          <w:lang w:eastAsia="zh-CN"/>
        </w:rPr>
        <w:t>。</w:t>
      </w:r>
      <w:r>
        <w:rPr>
          <w:rFonts w:hint="eastAsia" w:hAnsi="宋体"/>
          <w:b/>
          <w:bCs w:val="0"/>
          <w:color w:val="auto"/>
          <w:sz w:val="21"/>
          <w:highlight w:val="none"/>
          <w:lang w:eastAsia="zh-CN"/>
        </w:rPr>
        <w:t>2026年柳州市市场监督管理局自治区转移食品抽样检测服务项目</w:t>
      </w:r>
      <w:r>
        <w:rPr>
          <w:rFonts w:hint="eastAsia" w:hAnsi="宋体"/>
          <w:b/>
          <w:bCs w:val="0"/>
          <w:color w:val="auto"/>
          <w:sz w:val="21"/>
          <w:highlight w:val="none"/>
          <w:lang w:val="en-US" w:eastAsia="zh-CN"/>
        </w:rPr>
        <w:t>1-9标段的中标单位不推荐</w:t>
      </w:r>
      <w:r>
        <w:rPr>
          <w:rFonts w:hint="eastAsia"/>
          <w:b/>
          <w:bCs w:val="0"/>
          <w:color w:val="auto"/>
          <w:sz w:val="21"/>
          <w:highlight w:val="none"/>
          <w:lang w:val="en-US" w:eastAsia="zh-CN"/>
        </w:rPr>
        <w:t>为</w:t>
      </w:r>
      <w:r>
        <w:rPr>
          <w:rFonts w:hint="eastAsia" w:hAnsi="宋体"/>
          <w:b/>
          <w:bCs w:val="0"/>
          <w:color w:val="auto"/>
          <w:sz w:val="21"/>
          <w:highlight w:val="none"/>
          <w:lang w:val="en-US" w:eastAsia="zh-CN"/>
        </w:rPr>
        <w:t>本项目中标候选人</w:t>
      </w:r>
      <w:r>
        <w:rPr>
          <w:rFonts w:hint="eastAsia" w:hAnsi="宋体"/>
          <w:b/>
          <w:bCs w:val="0"/>
          <w:color w:val="auto"/>
          <w:sz w:val="21"/>
          <w:highlight w:val="none"/>
        </w:rPr>
        <w:t>。</w:t>
      </w:r>
      <w:r>
        <w:rPr>
          <w:rFonts w:hint="eastAsia" w:hAnsi="宋体"/>
          <w:b/>
          <w:bCs w:val="0"/>
          <w:color w:val="auto"/>
          <w:sz w:val="21"/>
          <w:highlight w:val="none"/>
          <w:lang w:val="en-US" w:eastAsia="zh-CN"/>
        </w:rPr>
        <w:t>2026年柳州市市场监督管理局自治区转移食品抽样检测服务项目中标公告见P167附件</w:t>
      </w:r>
      <w:r>
        <w:rPr>
          <w:rFonts w:hint="eastAsia" w:hAnsi="宋体"/>
          <w:b/>
          <w:bCs w:val="0"/>
          <w:color w:val="auto"/>
          <w:sz w:val="21"/>
          <w:highlight w:val="none"/>
          <w:lang w:eastAsia="zh-CN"/>
        </w:rPr>
        <w:t>）</w:t>
      </w:r>
    </w:p>
    <w:p w14:paraId="261F4BFD">
      <w:pPr>
        <w:pStyle w:val="3"/>
        <w:jc w:val="center"/>
        <w:rPr>
          <w:rFonts w:hint="eastAsia" w:ascii="宋体" w:hAnsi="宋体" w:cs="宋体"/>
          <w:color w:val="auto"/>
          <w:highlight w:val="none"/>
        </w:rPr>
      </w:pPr>
      <w:r>
        <w:rPr>
          <w:rFonts w:hint="eastAsia" w:ascii="宋体" w:hAnsi="宋体" w:cs="宋体"/>
          <w:color w:val="auto"/>
          <w:highlight w:val="none"/>
        </w:rPr>
        <w:br w:type="page"/>
      </w:r>
      <w:bookmarkStart w:id="102" w:name="_Toc858"/>
      <w:r>
        <w:rPr>
          <w:rFonts w:hint="eastAsia" w:ascii="宋体" w:hAnsi="宋体" w:cs="宋体"/>
          <w:color w:val="auto"/>
          <w:highlight w:val="none"/>
        </w:rPr>
        <w:t>第五章  拟签订的合同文本</w:t>
      </w:r>
      <w:bookmarkEnd w:id="102"/>
    </w:p>
    <w:p w14:paraId="61D49D24">
      <w:pPr>
        <w:snapToGrid w:val="0"/>
        <w:jc w:val="center"/>
        <w:rPr>
          <w:rFonts w:hint="eastAsia" w:ascii="宋体" w:hAnsi="宋体" w:cs="宋体"/>
          <w:bCs/>
          <w:color w:val="auto"/>
          <w:sz w:val="32"/>
          <w:szCs w:val="32"/>
          <w:highlight w:val="none"/>
        </w:rPr>
      </w:pPr>
    </w:p>
    <w:p w14:paraId="06C5E21E">
      <w:pPr>
        <w:snapToGrid w:val="0"/>
        <w:jc w:val="center"/>
        <w:rPr>
          <w:rFonts w:hint="eastAsia" w:ascii="宋体" w:hAnsi="宋体" w:cs="宋体"/>
          <w:bCs/>
          <w:color w:val="auto"/>
          <w:sz w:val="32"/>
          <w:szCs w:val="32"/>
          <w:highlight w:val="none"/>
        </w:rPr>
      </w:pPr>
    </w:p>
    <w:p w14:paraId="10F4D9D2">
      <w:pPr>
        <w:snapToGrid w:val="0"/>
        <w:jc w:val="center"/>
        <w:rPr>
          <w:rFonts w:hint="eastAsia" w:ascii="宋体" w:hAnsi="宋体" w:cs="宋体"/>
          <w:bCs/>
          <w:color w:val="auto"/>
          <w:sz w:val="32"/>
          <w:szCs w:val="32"/>
          <w:highlight w:val="none"/>
        </w:rPr>
      </w:pPr>
    </w:p>
    <w:p w14:paraId="02E28EBB">
      <w:pPr>
        <w:snapToGrid w:val="0"/>
        <w:jc w:val="center"/>
        <w:rPr>
          <w:rFonts w:hint="eastAsia" w:ascii="宋体" w:hAnsi="宋体" w:cs="宋体"/>
          <w:bCs/>
          <w:color w:val="auto"/>
          <w:sz w:val="32"/>
          <w:szCs w:val="32"/>
          <w:highlight w:val="none"/>
        </w:rPr>
      </w:pPr>
    </w:p>
    <w:p w14:paraId="6CF05C4D">
      <w:pPr>
        <w:snapToGrid w:val="0"/>
        <w:jc w:val="center"/>
        <w:rPr>
          <w:rFonts w:hint="eastAsia" w:ascii="宋体" w:hAnsi="宋体" w:cs="宋体"/>
          <w:bCs/>
          <w:color w:val="auto"/>
          <w:sz w:val="32"/>
          <w:szCs w:val="32"/>
          <w:highlight w:val="none"/>
        </w:rPr>
      </w:pPr>
    </w:p>
    <w:p w14:paraId="06CE4ED8">
      <w:pPr>
        <w:snapToGrid w:val="0"/>
        <w:jc w:val="center"/>
        <w:rPr>
          <w:rFonts w:hint="eastAsia" w:ascii="宋体" w:hAnsi="宋体" w:cs="宋体"/>
          <w:bCs/>
          <w:color w:val="auto"/>
          <w:sz w:val="32"/>
          <w:szCs w:val="32"/>
          <w:highlight w:val="none"/>
        </w:rPr>
      </w:pPr>
    </w:p>
    <w:p w14:paraId="37966721">
      <w:pPr>
        <w:snapToGrid w:val="0"/>
        <w:jc w:val="center"/>
        <w:rPr>
          <w:rFonts w:hint="eastAsia" w:ascii="宋体" w:hAnsi="宋体" w:cs="宋体"/>
          <w:bCs/>
          <w:color w:val="auto"/>
          <w:sz w:val="32"/>
          <w:szCs w:val="32"/>
          <w:highlight w:val="none"/>
        </w:rPr>
      </w:pPr>
    </w:p>
    <w:p w14:paraId="3F37ABF8">
      <w:pPr>
        <w:snapToGrid w:val="0"/>
        <w:jc w:val="center"/>
        <w:rPr>
          <w:rFonts w:hint="eastAsia" w:ascii="宋体" w:hAnsi="宋体" w:cs="宋体"/>
          <w:bCs/>
          <w:color w:val="auto"/>
          <w:sz w:val="32"/>
          <w:szCs w:val="32"/>
          <w:highlight w:val="none"/>
        </w:rPr>
      </w:pPr>
    </w:p>
    <w:p w14:paraId="30243F53">
      <w:pPr>
        <w:snapToGrid w:val="0"/>
        <w:jc w:val="center"/>
        <w:rPr>
          <w:rFonts w:hint="eastAsia" w:ascii="宋体" w:hAnsi="宋体" w:cs="宋体"/>
          <w:bCs/>
          <w:color w:val="auto"/>
          <w:sz w:val="32"/>
          <w:szCs w:val="32"/>
          <w:highlight w:val="none"/>
        </w:rPr>
      </w:pPr>
    </w:p>
    <w:p w14:paraId="1F2307C3">
      <w:pPr>
        <w:snapToGrid w:val="0"/>
        <w:jc w:val="center"/>
        <w:rPr>
          <w:rFonts w:hint="eastAsia" w:ascii="宋体" w:hAnsi="宋体" w:cs="宋体"/>
          <w:bCs/>
          <w:color w:val="auto"/>
          <w:sz w:val="32"/>
          <w:szCs w:val="32"/>
          <w:highlight w:val="none"/>
        </w:rPr>
      </w:pPr>
    </w:p>
    <w:p w14:paraId="77154BB0">
      <w:pPr>
        <w:snapToGrid w:val="0"/>
        <w:jc w:val="center"/>
        <w:rPr>
          <w:rFonts w:hint="eastAsia" w:ascii="宋体" w:hAnsi="宋体" w:cs="宋体"/>
          <w:bCs/>
          <w:color w:val="auto"/>
          <w:sz w:val="32"/>
          <w:szCs w:val="32"/>
          <w:highlight w:val="none"/>
        </w:rPr>
      </w:pPr>
    </w:p>
    <w:p w14:paraId="200DEBEB">
      <w:pPr>
        <w:jc w:val="center"/>
        <w:rPr>
          <w:rFonts w:hint="eastAsia" w:ascii="宋体" w:hAnsi="宋体" w:cs="宋体"/>
          <w:color w:val="auto"/>
          <w:sz w:val="28"/>
          <w:szCs w:val="28"/>
          <w:highlight w:val="none"/>
        </w:rPr>
      </w:pPr>
      <w:r>
        <w:rPr>
          <w:rFonts w:hint="eastAsia" w:ascii="宋体" w:hAnsi="宋体" w:cs="宋体"/>
          <w:bCs/>
          <w:color w:val="auto"/>
          <w:highlight w:val="none"/>
        </w:rPr>
        <w:br w:type="page"/>
      </w:r>
      <w:r>
        <w:rPr>
          <w:rFonts w:hint="eastAsia" w:ascii="宋体" w:hAnsi="宋体" w:cs="宋体"/>
          <w:b/>
          <w:bCs/>
          <w:color w:val="auto"/>
          <w:kern w:val="44"/>
          <w:sz w:val="28"/>
          <w:szCs w:val="28"/>
          <w:highlight w:val="none"/>
        </w:rPr>
        <w:t>《采购合同书》</w:t>
      </w:r>
    </w:p>
    <w:p w14:paraId="74902669">
      <w:pPr>
        <w:spacing w:line="520" w:lineRule="exact"/>
        <w:rPr>
          <w:rFonts w:hint="eastAsia" w:ascii="宋体" w:hAnsi="宋体" w:cs="宋体"/>
          <w:b/>
          <w:color w:val="auto"/>
          <w:sz w:val="32"/>
          <w:szCs w:val="32"/>
          <w:highlight w:val="none"/>
        </w:rPr>
      </w:pPr>
    </w:p>
    <w:p w14:paraId="26D1DCEF">
      <w:pPr>
        <w:spacing w:line="360" w:lineRule="auto"/>
        <w:ind w:right="800"/>
        <w:rPr>
          <w:rFonts w:hint="eastAsia" w:ascii="宋体" w:hAnsi="宋体" w:cs="宋体"/>
          <w:bCs/>
          <w:color w:val="auto"/>
          <w:szCs w:val="21"/>
          <w:highlight w:val="none"/>
          <w:u w:val="single"/>
        </w:rPr>
      </w:pPr>
      <w:r>
        <w:rPr>
          <w:rFonts w:hint="eastAsia" w:ascii="宋体" w:hAnsi="宋体" w:cs="宋体"/>
          <w:color w:val="auto"/>
          <w:szCs w:val="21"/>
          <w:highlight w:val="none"/>
        </w:rPr>
        <w:t>采购计划号：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u w:val="single"/>
        </w:rPr>
        <w:t xml:space="preserve">                  </w:t>
      </w:r>
    </w:p>
    <w:p w14:paraId="0CC90187">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采购人（甲方）：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DF25F17">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p>
    <w:p w14:paraId="575CC2C6">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签订时间：</w:t>
      </w:r>
      <w:r>
        <w:rPr>
          <w:rFonts w:hint="eastAsia" w:ascii="宋体" w:hAnsi="宋体" w:cs="宋体"/>
          <w:color w:val="auto"/>
          <w:szCs w:val="21"/>
          <w:highlight w:val="none"/>
          <w:u w:val="single"/>
        </w:rPr>
        <w:t xml:space="preserve">                        </w:t>
      </w:r>
    </w:p>
    <w:p w14:paraId="530D450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本合同为中小企业预留合同：</w:t>
      </w:r>
      <w:r>
        <w:rPr>
          <w:rFonts w:hint="eastAsia" w:ascii="宋体" w:hAnsi="宋体" w:cs="宋体"/>
          <w:color w:val="auto"/>
          <w:szCs w:val="21"/>
          <w:highlight w:val="none"/>
          <w:u w:val="single"/>
        </w:rPr>
        <w:t>（是/否）</w:t>
      </w:r>
      <w:r>
        <w:rPr>
          <w:rFonts w:hint="eastAsia" w:ascii="宋体" w:hAnsi="宋体" w:cs="宋体"/>
          <w:color w:val="auto"/>
          <w:szCs w:val="21"/>
          <w:highlight w:val="none"/>
        </w:rPr>
        <w:t>。</w:t>
      </w:r>
    </w:p>
    <w:p w14:paraId="48BE6690">
      <w:pPr>
        <w:spacing w:line="360" w:lineRule="auto"/>
        <w:ind w:firstLine="420" w:firstLineChars="200"/>
        <w:rPr>
          <w:rFonts w:hint="eastAsia" w:ascii="宋体" w:hAnsi="宋体" w:cs="宋体"/>
          <w:color w:val="auto"/>
          <w:szCs w:val="21"/>
          <w:highlight w:val="none"/>
        </w:rPr>
      </w:pPr>
    </w:p>
    <w:p w14:paraId="30F32F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根据《中华人民共和国政府采购法》、《中华人民共和国民法典》等法律、法规规定，按照招标文件规定条款和乙方投标文件及其承诺，甲乙双方签订本合同。</w:t>
      </w:r>
    </w:p>
    <w:p w14:paraId="0451889F">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第一条　合同标的</w:t>
      </w:r>
    </w:p>
    <w:p w14:paraId="7670EE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1.服务项目</w:t>
      </w:r>
    </w:p>
    <w:p w14:paraId="411DC8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乙方接受甲方委托，承担《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》服务项目实施工作，合同金额（人民币）： </w:t>
      </w:r>
      <w:r>
        <w:rPr>
          <w:rFonts w:hint="eastAsia" w:ascii="宋体" w:hAnsi="宋体" w:cs="宋体"/>
          <w:color w:val="auto"/>
          <w:szCs w:val="21"/>
          <w:highlight w:val="none"/>
          <w:u w:val="single"/>
        </w:rPr>
        <w:t xml:space="preserve"> 万 仟 佰                            </w:t>
      </w:r>
      <w:r>
        <w:rPr>
          <w:rFonts w:hint="eastAsia" w:ascii="宋体" w:hAnsi="宋体" w:cs="宋体"/>
          <w:color w:val="auto"/>
          <w:szCs w:val="21"/>
          <w:highlight w:val="none"/>
        </w:rPr>
        <w:t>元整。</w:t>
      </w:r>
    </w:p>
    <w:p w14:paraId="20D66C4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合计金额包含乙方完成本项目所有工作任务（出具成果文件）所需的一切费用（含完成项目过程中所需的劳务、技术服务费、交通差旅费、资料印刷费、调研、材料、设备、仪器、运输、检测与试验、安全警戒、评审、咨询、会务、管理、保险、税费、利润等费用，以及合同明示或暗示的所有责任、义务和一般风险等的一切费用等各种费用在内）。合同价不因任何因素而调整。</w:t>
      </w:r>
    </w:p>
    <w:p w14:paraId="15BEC9C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3.本次项目采用抽样人员随机、抽样对象随机、双随机开展抽样工作。</w:t>
      </w:r>
    </w:p>
    <w:p w14:paraId="15C04E3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4.乙方在开展服务工作前，须根据本项目合同检测任务所需的检测能力扩增检测项目。</w:t>
      </w:r>
    </w:p>
    <w:p w14:paraId="5C5562EA">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第二条　质量保证</w:t>
      </w:r>
    </w:p>
    <w:p w14:paraId="2384D4A7">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乙方所提供的服务及服务内容必须与投标文件承诺相一致，有国家强制性标准的，还必须符合国家强制性标准的规定，没有国家强制性标准但有其他强制性标准的，必须符合其他强制性标准的规定。</w:t>
      </w:r>
    </w:p>
    <w:p w14:paraId="7DE483EB">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第三条　权利保证</w:t>
      </w:r>
    </w:p>
    <w:p w14:paraId="009E2A2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1.甲方根据工作需要，可为乙方提供相关资料等。</w:t>
      </w:r>
    </w:p>
    <w:p w14:paraId="391912C7">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2.乙方应按规定时间节点内完成项目工作。</w:t>
      </w:r>
    </w:p>
    <w:p w14:paraId="56E0F7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3.乙方应保证所提供的服务不会侵犯任何第三方的专利权、著作权或其他权利。</w:t>
      </w:r>
    </w:p>
    <w:p w14:paraId="288B896D">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4.乙方应按招标文件规定的时间向甲方提供项目实施工作有关技术资料。</w:t>
      </w:r>
    </w:p>
    <w:p w14:paraId="1582E36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E4909C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6.乙方所交付的技术成果知识产权归甲方所有。</w:t>
      </w:r>
    </w:p>
    <w:p w14:paraId="7B876EB1">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第四条　交付和验收</w:t>
      </w:r>
    </w:p>
    <w:p w14:paraId="46AEC51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1.服务期限：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，服务地点</w:t>
      </w:r>
      <w:r>
        <w:rPr>
          <w:rFonts w:hint="eastAsia" w:ascii="宋体" w:hAnsi="宋体" w:cs="宋体"/>
          <w:color w:val="auto"/>
          <w:szCs w:val="21"/>
          <w:highlight w:val="none"/>
          <w:u w:val="single"/>
        </w:rPr>
        <w:t>：</w:t>
      </w:r>
      <w:r>
        <w:rPr>
          <w:rFonts w:hint="eastAsia" w:ascii="宋体" w:hAnsi="宋体" w:cs="宋体"/>
          <w:color w:val="auto"/>
          <w:kern w:val="0"/>
          <w:highlight w:val="none"/>
          <w:u w:val="single"/>
        </w:rPr>
        <w:t>柳州市范围内，柳州市市场监督管理局</w:t>
      </w:r>
      <w:r>
        <w:rPr>
          <w:rFonts w:hint="eastAsia" w:ascii="宋体" w:hAnsi="宋体" w:cs="宋体"/>
          <w:color w:val="auto"/>
          <w:highlight w:val="none"/>
          <w:u w:val="single"/>
        </w:rPr>
        <w:t>指定地点。</w:t>
      </w:r>
    </w:p>
    <w:p w14:paraId="4F02E8FE">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2.乙方应按投标文件的承诺向甲方提供相应的服务，并提供所服务内容的相关技术资料。</w:t>
      </w:r>
    </w:p>
    <w:p w14:paraId="18108D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3.乙方提供不符合投标文件和本合同规定的服务成果，甲方有权拒绝接受。</w:t>
      </w:r>
    </w:p>
    <w:p w14:paraId="727013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完成服务后应及时书面通知甲方进行验收，甲方应在收到通知后七个工作日内进行验收，逾期不开始验收的，乙方可视同验收合格。验收合格后由甲乙双方签署验收单并加盖采购人公章，甲乙双方各执一份。</w:t>
      </w:r>
    </w:p>
    <w:p w14:paraId="099D9B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5.甲乙双方应按照《广西壮族自治区政府采购项目履约验收管理办法》、双方合同、投标文件验收。</w:t>
      </w:r>
    </w:p>
    <w:p w14:paraId="410144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6.甲方在初步验收或者最终验收过程中如发现乙方提供的服务成果不满足投标文件及本合同规定的，可暂缓向乙方付款，直到乙方及时完善并提交相应的服务成果且经甲方验收合格后，方可办理付款。</w:t>
      </w:r>
    </w:p>
    <w:p w14:paraId="34E15A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7.甲方验收时以书面形式提出异议的，乙方应自收到甲方书面异议后五个工作日内及时予以解决，否则甲方有权不出具服务验收合格单。</w:t>
      </w:r>
    </w:p>
    <w:p w14:paraId="07255E9D">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第五条  服务、质量保证期</w:t>
      </w:r>
    </w:p>
    <w:p w14:paraId="050E8E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乙方应按照国家有关法律法规以及招标文件和本合同所附的《服务实施方案》，为甲方提供技术服务。</w:t>
      </w:r>
    </w:p>
    <w:p w14:paraId="167CA2AD">
      <w:pPr>
        <w:snapToGrid w:val="0"/>
        <w:spacing w:line="360" w:lineRule="auto"/>
        <w:ind w:firstLine="422" w:firstLineChars="200"/>
        <w:rPr>
          <w:rFonts w:hint="eastAsia" w:ascii="宋体" w:hAnsi="宋体" w:cs="宋体"/>
          <w:color w:val="auto"/>
          <w:szCs w:val="21"/>
          <w:highlight w:val="none"/>
          <w:u w:val="single"/>
        </w:rPr>
      </w:pPr>
      <w:r>
        <w:rPr>
          <w:rFonts w:hint="eastAsia" w:ascii="宋体" w:hAnsi="宋体" w:cs="宋体"/>
          <w:b/>
          <w:color w:val="auto"/>
          <w:szCs w:val="21"/>
          <w:highlight w:val="none"/>
        </w:rPr>
        <w:t>第六条　付款方式</w:t>
      </w:r>
    </w:p>
    <w:p w14:paraId="268BEE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1.在合同履行期间，甲方要求终止或解除合同，乙方已开始实施工作的，甲方应根据乙方已进行的实际工作量给予适当的补偿。</w:t>
      </w:r>
    </w:p>
    <w:p w14:paraId="0F6EF1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2.付款方式：</w:t>
      </w:r>
    </w:p>
    <w:p w14:paraId="2AA588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2.1财政性资金按财政国库集中支付规定程序办理，合同签订后10个工作日内，采购人向中标人支付合同金额的50%，待全部检测项目完成后，中标人开具全额发票给采购人, 采购人收到发票后10个工作日内向中标人支付剩余合同金额的50%。</w:t>
      </w:r>
    </w:p>
    <w:p w14:paraId="52C6B972">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履约保证金</w:t>
      </w:r>
    </w:p>
    <w:p w14:paraId="1B7B0F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本项目无履约保证金。</w:t>
      </w:r>
    </w:p>
    <w:p w14:paraId="23C34D25">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第八条  税费</w:t>
      </w:r>
    </w:p>
    <w:p w14:paraId="477741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本合同执行中相关的一切税费均由乙方负担，合同另有约定的除外。</w:t>
      </w:r>
    </w:p>
    <w:p w14:paraId="2E8BCE50">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第九条　违约责任</w:t>
      </w:r>
    </w:p>
    <w:p w14:paraId="29EC7B51">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1.除不可抗力原因外，乙方没有按照合同规定的时间提供服务的，甲方可要求乙方支付违约金。每推迟一天按合同金额的3‰支付违约金，该违约金累计不超过合同金额的10%。                                  </w:t>
      </w:r>
    </w:p>
    <w:p w14:paraId="5C27730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2.乙方提供的服务如侵犯了第三方合法权益而引发的任何纠纷或者诉讼，均由乙方负责交涉并承担全部责任。</w:t>
      </w:r>
    </w:p>
    <w:p w14:paraId="2B4B1DD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3.甲方延期付款的，每天向乙方偿付延期款额3‰滞纳金，但滞纳金累计不得超过延期款额5%。</w:t>
      </w:r>
    </w:p>
    <w:p w14:paraId="6FAA07A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4.由于甲方的原因造成合同不能如期履行的，双方可根据具体情况顺延合同的履行期，对乙方因此遭受的损失，甲方应予以补偿。</w:t>
      </w:r>
    </w:p>
    <w:p w14:paraId="5CA74DA4">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第十条  不可抗力事件处理</w:t>
      </w:r>
    </w:p>
    <w:p w14:paraId="19D3E58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14:paraId="4DFE07C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7CBD2C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354BF326">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第十一条  合同争议解决</w:t>
      </w:r>
    </w:p>
    <w:p w14:paraId="1D3263AD">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1.因履行本合同引起的或者与本合同有关的争议，甲乙双方应首先通过友好协商解决，如果协商不能解决，可向甲方所在地人民法院提起诉讼。</w:t>
      </w:r>
    </w:p>
    <w:p w14:paraId="6F9DA2A7">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1.诉讼期间，本合同继续履行。</w:t>
      </w:r>
    </w:p>
    <w:p w14:paraId="2674AFCD">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第十二条  合同生效及其它</w:t>
      </w:r>
    </w:p>
    <w:p w14:paraId="24C250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1.合同经双方法定代表人或者授权代表签字并加盖单位公章后生效（委托代理人签字的需后附授权委托书，格式自拟）。</w:t>
      </w:r>
    </w:p>
    <w:p w14:paraId="35C443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2.合同执行中涉及采购资金和采购内容修改或者补充的，须经财政部门审批，并签书面补充协议报财政部门备案，方可作为主合同不可分割的一部分。</w:t>
      </w:r>
    </w:p>
    <w:p w14:paraId="4CC644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3.本合同未尽事宜，遵照《中华人民共和国民法典》有关条文执行。</w:t>
      </w:r>
    </w:p>
    <w:p w14:paraId="388F0B7C">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第十三条　合同的变更、终止与转让</w:t>
      </w:r>
    </w:p>
    <w:p w14:paraId="2A285B9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1.除《中华人民共和国政府采购法》第五十条规定的情形外，本合同一经签订，甲乙双方不得擅自变更、中止或者终止。</w:t>
      </w:r>
    </w:p>
    <w:p w14:paraId="084C4F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66C2CD6E">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第十四条　合同组成及解释</w:t>
      </w:r>
    </w:p>
    <w:p w14:paraId="1566EC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项目的采购文件（含采购答疑）、符合采购要求的投标文件、甲方确认采购要求、本合同履行过程中双方签章确认的协议或其他文件均为本合同的组成部分，若合同组成文件之间发生矛盾的，以下排列顺序为合同组成文件之间的优先解释顺序：</w:t>
      </w:r>
    </w:p>
    <w:p w14:paraId="1B63AF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（1）合同履行过程中双方签章确认的协议或其他文件；</w:t>
      </w:r>
    </w:p>
    <w:p w14:paraId="6395AC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（2）甲方确认的采购要求；</w:t>
      </w:r>
    </w:p>
    <w:p w14:paraId="40D2CA7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（3）合同附件；</w:t>
      </w:r>
    </w:p>
    <w:p w14:paraId="3E2C8A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（4）中标或成交通知书；</w:t>
      </w:r>
    </w:p>
    <w:p w14:paraId="6B0C89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（5）采购文件(含答疑)；</w:t>
      </w:r>
    </w:p>
    <w:p w14:paraId="256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（6）符合采购要求的投标文件；</w:t>
      </w:r>
    </w:p>
    <w:p w14:paraId="3ED3C8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（7）标准、规范及有关技术文件；</w:t>
      </w:r>
    </w:p>
    <w:p w14:paraId="41C0E61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（8）其他合同文件。</w:t>
      </w:r>
    </w:p>
    <w:p w14:paraId="67B852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2.前述文件应认为是互为补充和解释的，但如有互相矛盾之处，以前述文件所列顺序作为其优先解释的顺序，但如果某一文件对甲方权利维护更有利或对设计工作有更高、更严格要求的以该文件内容为准。</w:t>
      </w:r>
    </w:p>
    <w:p w14:paraId="2A9511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3.前述各项文件包括双方就该合同组成文件所作出的补充和修改，属于同一项文件的，应以最新签署的为准。</w:t>
      </w:r>
    </w:p>
    <w:p w14:paraId="51A1AAB5">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第十五条　通知与送达</w:t>
      </w:r>
    </w:p>
    <w:p w14:paraId="13B592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协议项下对合同一方对另外一方的任何通知或请求，应当发送至接收方在合同中约定的地址、联系人和通信终端。一方当事人变更名称、地址、联系人或通信终端等信息的，应当在变更后3日内及时书面通知对方当事人，对方当事人实际收到变更通知前的送达仍为有效送达，电子送达与书面送达具有同等法律效力。</w:t>
      </w:r>
    </w:p>
    <w:p w14:paraId="528B39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2.任何一方当事人向对/他方所发出的通知或请求送达时间：</w:t>
      </w:r>
    </w:p>
    <w:p w14:paraId="7FD4DB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（1）如果是传真，则在发送当日视为送达；</w:t>
      </w:r>
    </w:p>
    <w:p w14:paraId="51A6F5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（2）如果是短信/微信/电子邮件，自电子文件内容在发送方正确填写地址且未被系统退回的情况下，进入对方数据电文接收系统当日视为送达。</w:t>
      </w:r>
    </w:p>
    <w:p w14:paraId="59B4D2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（3）如果是信函，在挂号信交邮后第三日视为送达；</w:t>
      </w:r>
    </w:p>
    <w:p w14:paraId="0131C60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（4）如果是派人专程送达，则在收件人签收之日视为收到；</w:t>
      </w:r>
    </w:p>
    <w:p w14:paraId="2BFC99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（5）如果同时使用几种通知方式的，以其中较快到达接收方者为准。</w:t>
      </w:r>
    </w:p>
    <w:p w14:paraId="719511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（6）若送达日为非工作日,则视为在下一工作日送达。</w:t>
      </w:r>
    </w:p>
    <w:p w14:paraId="43B561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约定的地址、联系人及电子通信终端等信息亦为双方工作联系往来、法律文书及争议解决时人民法院和/或仲裁机构的法律文书送达地址。人民法院和/或仲裁机构的诉讼文书（含裁判文书）向任何合同任何一方当事人的上述地址和/或工商登记公示地址（居民身份证登记地址）送达的，视为有效送达。当事人对电子通信终端的联系送达适用于争议解决时的送达。</w:t>
      </w:r>
    </w:p>
    <w:p w14:paraId="258431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合同送达条款与争议解决条款均为独立条款，不受合同整体或其他条款的效力的影响。</w:t>
      </w:r>
    </w:p>
    <w:p w14:paraId="640814E2">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第十六条　</w:t>
      </w:r>
      <w:r>
        <w:rPr>
          <w:rFonts w:hint="eastAsia" w:ascii="宋体" w:hAnsi="宋体" w:cs="宋体"/>
          <w:color w:val="auto"/>
          <w:szCs w:val="21"/>
          <w:highlight w:val="none"/>
        </w:rPr>
        <w:t>本合同一式五份，具有同等法律效力，采购代理机构一份，甲方执三份，乙方执一份（可根据需要另增加）。</w:t>
      </w:r>
    </w:p>
    <w:p w14:paraId="2AFB20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本合同自签订之日起2个工作日内，应当将采购合同在广西壮族自治区财政厅指定的媒体上公告。</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2128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896FB0C">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 xml:space="preserve">甲方（章）           </w:t>
            </w:r>
          </w:p>
          <w:p w14:paraId="0FA7AD92">
            <w:pPr>
              <w:snapToGrid w:val="0"/>
              <w:spacing w:line="360" w:lineRule="atLeast"/>
              <w:rPr>
                <w:rFonts w:hint="eastAsia" w:ascii="宋体" w:hAnsi="宋体" w:cs="宋体"/>
                <w:color w:val="auto"/>
                <w:szCs w:val="21"/>
                <w:highlight w:val="none"/>
              </w:rPr>
            </w:pPr>
          </w:p>
          <w:p w14:paraId="2328421F">
            <w:pPr>
              <w:snapToGrid w:val="0"/>
              <w:spacing w:line="360" w:lineRule="atLeast"/>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BEEAECD">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7C8805EC">
            <w:pPr>
              <w:snapToGrid w:val="0"/>
              <w:spacing w:line="360" w:lineRule="atLeast"/>
              <w:rPr>
                <w:rFonts w:hint="eastAsia" w:ascii="宋体" w:hAnsi="宋体" w:cs="宋体"/>
                <w:color w:val="auto"/>
                <w:szCs w:val="21"/>
                <w:highlight w:val="none"/>
              </w:rPr>
            </w:pPr>
          </w:p>
          <w:p w14:paraId="31A2AC90">
            <w:pPr>
              <w:snapToGrid w:val="0"/>
              <w:spacing w:line="360" w:lineRule="atLeast"/>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2661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37B46A9C">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79C123D1">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6A5C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90AB552">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7F06FA89">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14:paraId="189D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6D8EB45">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8BF696A">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2691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1E2F921">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475B5F1">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电话：</w:t>
            </w:r>
          </w:p>
        </w:tc>
      </w:tr>
      <w:tr w14:paraId="46F9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CEFEFD2">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电子邮箱：</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630E43C">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电子邮箱：</w:t>
            </w:r>
          </w:p>
        </w:tc>
      </w:tr>
      <w:tr w14:paraId="7630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3991787B">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开户银行：</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7C0BFF6">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开户银行：</w:t>
            </w:r>
          </w:p>
        </w:tc>
      </w:tr>
      <w:tr w14:paraId="5353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0A13408B">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账号：</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69973AF4">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14E5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0FD7823">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纳税人识别号或统一社会信用代码：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690CF75">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纳税人识别号或统一社会信用代码：</w:t>
            </w:r>
          </w:p>
        </w:tc>
      </w:tr>
      <w:tr w14:paraId="3FE9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5BB71148">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7A5D740">
            <w:pPr>
              <w:snapToGrid w:val="0"/>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邮政编码：</w:t>
            </w:r>
          </w:p>
        </w:tc>
      </w:tr>
    </w:tbl>
    <w:p w14:paraId="1815BF90">
      <w:pPr>
        <w:snapToGrid w:val="0"/>
        <w:spacing w:line="360" w:lineRule="exact"/>
        <w:jc w:val="center"/>
        <w:rPr>
          <w:rFonts w:hint="eastAsia" w:ascii="宋体" w:hAnsi="宋体" w:cs="宋体"/>
          <w:b/>
          <w:bCs/>
          <w:color w:val="auto"/>
          <w:szCs w:val="21"/>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Cs w:val="21"/>
          <w:highlight w:val="none"/>
        </w:rPr>
        <w:t>广西壮族自治区政府采购项目合同验收书</w:t>
      </w:r>
    </w:p>
    <w:p w14:paraId="3A398551">
      <w:pPr>
        <w:widowControl/>
        <w:snapToGrid w:val="0"/>
        <w:spacing w:before="100" w:beforeAutospacing="1" w:after="100" w:afterAutospacing="1" w:line="320" w:lineRule="exact"/>
        <w:ind w:left="-359" w:leftChars="-171"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采购合同编号：XXXXX</w:t>
      </w:r>
      <w:r>
        <w:rPr>
          <w:rFonts w:hint="eastAsia" w:ascii="宋体" w:hAnsi="宋体" w:cs="宋体"/>
          <w:color w:val="auto"/>
          <w:szCs w:val="21"/>
          <w:highlight w:val="none"/>
          <w:u w:val="single"/>
        </w:rPr>
        <w:t>XX-XX-XXXXX-XXXXX</w:t>
      </w:r>
      <w:r>
        <w:rPr>
          <w:rFonts w:hint="eastAsia" w:ascii="宋体" w:hAnsi="宋体" w:cs="宋体"/>
          <w:color w:val="auto"/>
          <w:kern w:val="0"/>
          <w:szCs w:val="21"/>
          <w:highlight w:val="none"/>
        </w:rPr>
        <w:t>）的约定，我单位对（</w:t>
      </w:r>
      <w:r>
        <w:rPr>
          <w:rFonts w:hint="eastAsia" w:ascii="宋体" w:hAnsi="宋体" w:cs="宋体"/>
          <w:color w:val="auto"/>
          <w:szCs w:val="21"/>
          <w:highlight w:val="none"/>
          <w:u w:val="single"/>
        </w:rPr>
        <w:t>XXXX采购项目</w:t>
      </w:r>
      <w:r>
        <w:rPr>
          <w:rFonts w:hint="eastAsia" w:ascii="宋体" w:hAnsi="宋体" w:cs="宋体"/>
          <w:color w:val="auto"/>
          <w:kern w:val="0"/>
          <w:szCs w:val="21"/>
          <w:highlight w:val="none"/>
        </w:rPr>
        <w:t>）政府采购项目中标（或成交）供应商</w:t>
      </w:r>
      <w:r>
        <w:rPr>
          <w:rFonts w:hint="eastAsia" w:ascii="宋体" w:hAnsi="宋体" w:cs="宋体"/>
          <w:color w:val="auto"/>
          <w:kern w:val="0"/>
          <w:szCs w:val="21"/>
          <w:highlight w:val="none"/>
          <w:u w:val="single"/>
        </w:rPr>
        <w:t>XX公司（填写供应商名称）</w:t>
      </w:r>
      <w:r>
        <w:rPr>
          <w:rFonts w:hint="eastAsia" w:ascii="宋体" w:hAnsi="宋体" w:cs="宋体"/>
          <w:color w:val="auto"/>
          <w:kern w:val="0"/>
          <w:szCs w:val="21"/>
          <w:highlight w:val="none"/>
        </w:rPr>
        <w:t>提供的货物（或工程、服务）进行了验收，验收情况如下：</w:t>
      </w:r>
    </w:p>
    <w:tbl>
      <w:tblPr>
        <w:tblStyle w:val="48"/>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770595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noWrap w:val="0"/>
            <w:vAlign w:val="center"/>
          </w:tcPr>
          <w:p w14:paraId="60BD2509">
            <w:pPr>
              <w:widowControl/>
              <w:snapToGrid w:val="0"/>
              <w:spacing w:before="100" w:beforeAutospacing="1" w:after="100" w:afterAutospacing="1" w:line="320" w:lineRule="exact"/>
              <w:ind w:left="-3" w:firstLine="4" w:firstLineChars="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noWrap w:val="0"/>
            <w:vAlign w:val="center"/>
          </w:tcPr>
          <w:p w14:paraId="1563A782">
            <w:pPr>
              <w:widowControl/>
              <w:snapToGrid w:val="0"/>
              <w:spacing w:before="100" w:beforeAutospacing="1" w:after="100" w:afterAutospacing="1" w:line="320" w:lineRule="exact"/>
              <w:ind w:left="-3" w:firstLine="420" w:firstLineChars="200"/>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自行验收        </w:t>
            </w:r>
            <w:r>
              <w:rPr>
                <w:rFonts w:hint="eastAsia" w:ascii="宋体" w:hAnsi="宋体" w:cs="宋体"/>
                <w:color w:val="auto"/>
                <w:szCs w:val="21"/>
                <w:highlight w:val="none"/>
              </w:rPr>
              <w:sym w:font="Wingdings 2" w:char="00A3"/>
            </w:r>
            <w:r>
              <w:rPr>
                <w:rFonts w:hint="eastAsia" w:ascii="宋体" w:hAnsi="宋体" w:cs="宋体"/>
                <w:color w:val="auto"/>
                <w:kern w:val="0"/>
                <w:szCs w:val="21"/>
                <w:highlight w:val="none"/>
              </w:rPr>
              <w:t>委托验收</w:t>
            </w:r>
          </w:p>
        </w:tc>
      </w:tr>
      <w:tr w14:paraId="57C9F0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19838FA2">
            <w:pPr>
              <w:widowControl/>
              <w:snapToGrid w:val="0"/>
              <w:spacing w:before="100" w:beforeAutospacing="1" w:after="100" w:afterAutospacing="1" w:line="320" w:lineRule="exact"/>
              <w:ind w:firstLine="2" w:firstLineChars="1"/>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30AEF303">
            <w:pPr>
              <w:widowControl/>
              <w:snapToGrid w:val="0"/>
              <w:spacing w:before="100" w:beforeAutospacing="1" w:after="100" w:afterAutospacing="1" w:line="320" w:lineRule="exact"/>
              <w:ind w:left="-3" w:firstLine="2" w:firstLineChars="1"/>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00BB300C">
            <w:pPr>
              <w:widowControl/>
              <w:snapToGrid w:val="0"/>
              <w:spacing w:before="100" w:beforeAutospacing="1" w:after="100" w:afterAutospacing="1" w:line="320" w:lineRule="exact"/>
              <w:ind w:left="-3" w:firstLine="2" w:firstLineChars="1"/>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货物型号规格、标准及配置等（或服务内容、标准）</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337B5176">
            <w:pPr>
              <w:widowControl/>
              <w:snapToGrid w:val="0"/>
              <w:spacing w:before="100" w:beforeAutospacing="1" w:after="100" w:afterAutospacing="1" w:line="32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0ECEE96E">
            <w:pPr>
              <w:widowControl/>
              <w:snapToGrid w:val="0"/>
              <w:spacing w:before="100" w:beforeAutospacing="1" w:after="100" w:afterAutospacing="1" w:line="320" w:lineRule="exact"/>
              <w:ind w:left="-3" w:firstLine="2" w:firstLineChars="1"/>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金  额</w:t>
            </w:r>
          </w:p>
        </w:tc>
      </w:tr>
      <w:tr w14:paraId="160F8F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23C12713">
            <w:pPr>
              <w:widowControl/>
              <w:snapToGrid w:val="0"/>
              <w:spacing w:before="100" w:beforeAutospacing="1" w:after="100" w:afterAutospacing="1" w:line="320" w:lineRule="exact"/>
              <w:ind w:left="-3" w:firstLine="4" w:firstLineChars="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0EA32BE1">
            <w:pPr>
              <w:widowControl/>
              <w:snapToGrid w:val="0"/>
              <w:spacing w:before="100" w:beforeAutospacing="1" w:after="100" w:afterAutospacing="1" w:line="320" w:lineRule="exact"/>
              <w:ind w:left="-3" w:firstLine="420" w:firstLineChars="200"/>
              <w:jc w:val="left"/>
              <w:rPr>
                <w:rFonts w:hint="eastAsia" w:ascii="宋体" w:hAnsi="宋体" w:cs="宋体"/>
                <w:color w:val="auto"/>
                <w:kern w:val="0"/>
                <w:szCs w:val="21"/>
                <w:highlight w:val="none"/>
              </w:rPr>
            </w:pP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71CB55C2">
            <w:pPr>
              <w:pStyle w:val="124"/>
              <w:ind w:firstLine="0" w:firstLineChars="0"/>
              <w:rPr>
                <w:rFonts w:hint="eastAsia" w:ascii="宋体" w:hAnsi="宋体" w:eastAsia="宋体" w:cs="宋体"/>
                <w:color w:val="auto"/>
                <w:kern w:val="0"/>
                <w:szCs w:val="21"/>
                <w:highlight w:val="none"/>
              </w:rPr>
            </w:pPr>
          </w:p>
        </w:tc>
        <w:tc>
          <w:tcPr>
            <w:tcW w:w="850" w:type="dxa"/>
            <w:tcBorders>
              <w:top w:val="single" w:color="auto" w:sz="8" w:space="0"/>
              <w:left w:val="single" w:color="auto" w:sz="8" w:space="0"/>
              <w:bottom w:val="single" w:color="auto" w:sz="8" w:space="0"/>
              <w:right w:val="single" w:color="auto" w:sz="8" w:space="0"/>
            </w:tcBorders>
            <w:noWrap w:val="0"/>
            <w:vAlign w:val="center"/>
          </w:tcPr>
          <w:p w14:paraId="638A3C49">
            <w:pPr>
              <w:widowControl/>
              <w:snapToGrid w:val="0"/>
              <w:spacing w:before="100" w:beforeAutospacing="1" w:after="100" w:afterAutospacing="1" w:line="320" w:lineRule="exact"/>
              <w:jc w:val="center"/>
              <w:rPr>
                <w:rFonts w:hint="eastAsia" w:ascii="宋体" w:hAnsi="宋体" w:cs="宋体"/>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3039C8F8">
            <w:pPr>
              <w:pStyle w:val="124"/>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¥0.00元</w:t>
            </w:r>
          </w:p>
        </w:tc>
      </w:tr>
      <w:tr w14:paraId="13B162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noWrap w:val="0"/>
            <w:vAlign w:val="center"/>
          </w:tcPr>
          <w:p w14:paraId="793B70CB">
            <w:pPr>
              <w:pStyle w:val="124"/>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0FD6062">
            <w:pPr>
              <w:widowControl/>
              <w:snapToGrid w:val="0"/>
              <w:spacing w:before="100" w:beforeAutospacing="1" w:after="100" w:afterAutospacing="1" w:line="320" w:lineRule="exact"/>
              <w:jc w:val="center"/>
              <w:rPr>
                <w:rFonts w:hint="eastAsia" w:ascii="宋体" w:hAnsi="宋体" w:cs="宋体"/>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4227D7E5">
            <w:pPr>
              <w:pStyle w:val="124"/>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¥0.00元</w:t>
            </w:r>
          </w:p>
        </w:tc>
      </w:tr>
      <w:tr w14:paraId="41BF47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vAlign w:val="center"/>
          </w:tcPr>
          <w:p w14:paraId="47376649">
            <w:pPr>
              <w:widowControl/>
              <w:snapToGrid w:val="0"/>
              <w:spacing w:before="100" w:beforeAutospacing="1" w:after="100" w:afterAutospacing="1" w:line="320" w:lineRule="exact"/>
              <w:ind w:firstLine="2" w:firstLineChars="1"/>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合计大写金额：人民币元整</w:t>
            </w:r>
          </w:p>
        </w:tc>
      </w:tr>
      <w:tr w14:paraId="4C0211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vAlign w:val="center"/>
          </w:tcPr>
          <w:p w14:paraId="0610B544">
            <w:pPr>
              <w:widowControl/>
              <w:snapToGrid w:val="0"/>
              <w:spacing w:before="100" w:beforeAutospacing="1" w:after="100" w:afterAutospacing="1" w:line="320" w:lineRule="exact"/>
              <w:ind w:firstLine="2" w:firstLineChars="1"/>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756B6FAF">
            <w:pPr>
              <w:snapToGrid w:val="0"/>
              <w:spacing w:before="100" w:beforeAutospacing="1" w:after="100" w:afterAutospacing="1"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noWrap w:val="0"/>
            <w:vAlign w:val="center"/>
          </w:tcPr>
          <w:p w14:paraId="752CC24C">
            <w:pPr>
              <w:snapToGrid w:val="0"/>
              <w:spacing w:before="100" w:beforeAutospacing="1" w:after="100" w:afterAutospacing="1" w:line="320" w:lineRule="exact"/>
              <w:ind w:firstLine="39" w:firstLineChars="19"/>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167ADA18">
            <w:pPr>
              <w:snapToGrid w:val="0"/>
              <w:spacing w:before="100" w:beforeAutospacing="1" w:after="100" w:afterAutospacing="1"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  年  月  日</w:t>
            </w:r>
          </w:p>
        </w:tc>
      </w:tr>
      <w:tr w14:paraId="68C7F2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D24B6BD">
            <w:pPr>
              <w:widowControl/>
              <w:snapToGrid w:val="0"/>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0E32A24">
            <w:pPr>
              <w:pStyle w:val="124"/>
              <w:ind w:firstLine="0" w:firstLineChars="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1.成交供应商所提供服务的技术性能能满足采购合同约定的技术标准。</w:t>
            </w:r>
          </w:p>
          <w:p w14:paraId="4B15E698">
            <w:pPr>
              <w:pStyle w:val="124"/>
              <w:ind w:firstLine="0" w:firstLineChars="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2.成交供应商对服务运行符合合同约定或服务规范的要求。</w:t>
            </w:r>
          </w:p>
          <w:p w14:paraId="6C4D2CF9">
            <w:pPr>
              <w:pStyle w:val="124"/>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3.成交供应商提供的质量保证证明材料齐全。</w:t>
            </w:r>
          </w:p>
          <w:p w14:paraId="25804D32">
            <w:pPr>
              <w:pStyle w:val="124"/>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验收过程材料详见验收书附件《验收书附表——商务（服务）验收》以及《验收书附表——技术验收、安全验收》。</w:t>
            </w:r>
          </w:p>
        </w:tc>
      </w:tr>
      <w:tr w14:paraId="53235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1432852">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02DD151A">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验收结论性意见：同意（不同意）通过项目验收</w:t>
            </w:r>
          </w:p>
        </w:tc>
      </w:tr>
      <w:tr w14:paraId="671EC2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noWrap w:val="0"/>
            <w:vAlign w:val="center"/>
          </w:tcPr>
          <w:p w14:paraId="7F82AD78">
            <w:pPr>
              <w:widowControl/>
              <w:spacing w:line="320" w:lineRule="exact"/>
              <w:jc w:val="left"/>
              <w:rPr>
                <w:rFonts w:hint="eastAsia" w:ascii="宋体" w:hAnsi="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58DCDB86">
            <w:pPr>
              <w:pStyle w:val="124"/>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有异议的意见和说明理由：</w:t>
            </w:r>
          </w:p>
          <w:p w14:paraId="399D66A3">
            <w:pPr>
              <w:pStyle w:val="124"/>
              <w:ind w:firstLine="5880" w:firstLineChars="28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签字：</w:t>
            </w:r>
          </w:p>
        </w:tc>
      </w:tr>
      <w:tr w14:paraId="53493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5A4ABF8">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验收小组成员签字：</w:t>
            </w:r>
          </w:p>
          <w:p w14:paraId="3BFD3EB5">
            <w:pPr>
              <w:widowControl/>
              <w:spacing w:before="100" w:beforeAutospacing="1" w:after="100" w:afterAutospacing="1" w:line="320" w:lineRule="exact"/>
              <w:jc w:val="left"/>
              <w:rPr>
                <w:rFonts w:hint="eastAsia" w:ascii="宋体" w:hAnsi="宋体" w:cs="宋体"/>
                <w:color w:val="auto"/>
                <w:kern w:val="0"/>
                <w:szCs w:val="21"/>
                <w:highlight w:val="none"/>
              </w:rPr>
            </w:pPr>
          </w:p>
        </w:tc>
      </w:tr>
      <w:tr w14:paraId="32A4ED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4EA472F">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监督人员或其他相关人员签字：</w:t>
            </w:r>
          </w:p>
          <w:p w14:paraId="1B8B6742">
            <w:pPr>
              <w:widowControl/>
              <w:spacing w:before="100" w:beforeAutospacing="1" w:after="100" w:afterAutospacing="1" w:line="320" w:lineRule="exact"/>
              <w:ind w:firstLine="65" w:firstLineChars="31"/>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或受邀机构的意见（盖章）：</w:t>
            </w:r>
          </w:p>
        </w:tc>
      </w:tr>
      <w:tr w14:paraId="3CC7BF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0D0E8240">
            <w:pPr>
              <w:widowControl/>
              <w:spacing w:before="100" w:beforeAutospacing="1" w:after="100" w:afterAutospacing="1" w:line="320" w:lineRule="exact"/>
              <w:ind w:firstLine="65" w:firstLineChars="31"/>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中标或者成交供应商负责人签字或盖章：</w:t>
            </w:r>
          </w:p>
          <w:p w14:paraId="54A7B09D">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联系电话：          年   月   日</w:t>
            </w:r>
          </w:p>
          <w:p w14:paraId="6B0C167D">
            <w:pPr>
              <w:widowControl/>
              <w:spacing w:before="100" w:beforeAutospacing="1" w:after="100" w:afterAutospacing="1" w:line="320" w:lineRule="exact"/>
              <w:jc w:val="left"/>
              <w:rPr>
                <w:rFonts w:hint="eastAsia" w:ascii="宋体" w:hAnsi="宋体" w:cs="宋体"/>
                <w:color w:val="auto"/>
                <w:kern w:val="0"/>
                <w:szCs w:val="21"/>
                <w:highlight w:val="none"/>
              </w:rPr>
            </w:pPr>
          </w:p>
          <w:p w14:paraId="46AC496A">
            <w:pPr>
              <w:widowControl/>
              <w:spacing w:before="100" w:beforeAutospacing="1" w:after="100" w:afterAutospacing="1" w:line="320" w:lineRule="exact"/>
              <w:ind w:firstLine="65" w:firstLineChars="31"/>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采购人签字或盖章：</w:t>
            </w:r>
          </w:p>
          <w:p w14:paraId="15A19783">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860" w:type="dxa"/>
            <w:gridSpan w:val="4"/>
            <w:tcBorders>
              <w:top w:val="single" w:color="auto" w:sz="8" w:space="0"/>
              <w:left w:val="nil"/>
              <w:bottom w:val="single" w:color="auto" w:sz="8" w:space="0"/>
              <w:right w:val="single" w:color="auto" w:sz="8" w:space="0"/>
            </w:tcBorders>
            <w:noWrap w:val="0"/>
            <w:vAlign w:val="center"/>
          </w:tcPr>
          <w:p w14:paraId="1306FEBF">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受托机构的意见（盖章）：</w:t>
            </w:r>
          </w:p>
          <w:p w14:paraId="4F2E1C01">
            <w:pPr>
              <w:widowControl/>
              <w:spacing w:before="100" w:beforeAutospacing="1" w:after="100" w:afterAutospacing="1"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联系电话：                     年   月   日</w:t>
            </w:r>
          </w:p>
          <w:p w14:paraId="6FAAD6ED">
            <w:pPr>
              <w:widowControl/>
              <w:spacing w:before="100" w:beforeAutospacing="1" w:after="100" w:afterAutospacing="1" w:line="320" w:lineRule="exact"/>
              <w:jc w:val="left"/>
              <w:rPr>
                <w:rFonts w:hint="eastAsia" w:ascii="宋体" w:hAnsi="宋体" w:cs="宋体"/>
                <w:color w:val="auto"/>
                <w:kern w:val="0"/>
                <w:szCs w:val="21"/>
                <w:highlight w:val="none"/>
              </w:rPr>
            </w:pPr>
          </w:p>
          <w:p w14:paraId="6F2EBBFE">
            <w:pPr>
              <w:widowControl/>
              <w:spacing w:before="100" w:beforeAutospacing="1" w:after="100" w:afterAutospacing="1" w:line="320" w:lineRule="exact"/>
              <w:jc w:val="left"/>
              <w:rPr>
                <w:rFonts w:hint="eastAsia" w:ascii="宋体" w:hAnsi="宋体" w:cs="宋体"/>
                <w:color w:val="auto"/>
                <w:kern w:val="0"/>
                <w:szCs w:val="21"/>
                <w:highlight w:val="none"/>
              </w:rPr>
            </w:pPr>
          </w:p>
          <w:p w14:paraId="6B836818">
            <w:pPr>
              <w:widowControl/>
              <w:spacing w:before="100" w:beforeAutospacing="1" w:after="100" w:afterAutospacing="1" w:line="320" w:lineRule="exact"/>
              <w:jc w:val="left"/>
              <w:rPr>
                <w:rFonts w:hint="eastAsia" w:ascii="宋体" w:hAnsi="宋体" w:cs="宋体"/>
                <w:color w:val="auto"/>
                <w:kern w:val="0"/>
                <w:szCs w:val="21"/>
                <w:highlight w:val="none"/>
              </w:rPr>
            </w:pPr>
          </w:p>
        </w:tc>
      </w:tr>
    </w:tbl>
    <w:p w14:paraId="7B4D28F0">
      <w:pPr>
        <w:widowControl/>
        <w:jc w:val="left"/>
        <w:rPr>
          <w:rFonts w:hint="eastAsia" w:ascii="宋体" w:hAnsi="宋体" w:cs="宋体"/>
          <w:color w:val="auto"/>
          <w:szCs w:val="21"/>
          <w:highlight w:val="none"/>
          <w:u w:val="single"/>
        </w:rPr>
      </w:pPr>
      <w:r>
        <w:rPr>
          <w:rFonts w:hint="eastAsia" w:ascii="宋体" w:hAnsi="宋体" w:cs="宋体"/>
          <w:color w:val="auto"/>
          <w:spacing w:val="-10"/>
          <w:kern w:val="0"/>
          <w:szCs w:val="21"/>
          <w:highlight w:val="none"/>
        </w:rPr>
        <w:t>备注：本报告单一式4份（采购单位1份、供应商1份、采购监督部门备案1份、采购代理机构1份）</w:t>
      </w:r>
      <w:r>
        <w:rPr>
          <w:rFonts w:hint="eastAsia" w:ascii="宋体" w:hAnsi="宋体" w:cs="宋体"/>
          <w:color w:val="auto"/>
          <w:szCs w:val="21"/>
          <w:highlight w:val="none"/>
        </w:rPr>
        <w:t xml:space="preserve"> </w:t>
      </w:r>
    </w:p>
    <w:p w14:paraId="14F17DA1">
      <w:pPr>
        <w:snapToGrid w:val="0"/>
        <w:spacing w:line="360" w:lineRule="auto"/>
        <w:jc w:val="center"/>
        <w:rPr>
          <w:rFonts w:hint="eastAsia" w:ascii="宋体" w:hAnsi="宋体" w:cs="宋体"/>
          <w:bCs/>
          <w:color w:val="auto"/>
          <w:sz w:val="32"/>
          <w:szCs w:val="32"/>
          <w:highlight w:val="none"/>
        </w:rPr>
      </w:pPr>
      <w:r>
        <w:rPr>
          <w:rFonts w:hint="eastAsia" w:ascii="宋体" w:hAnsi="宋体" w:cs="宋体"/>
          <w:b/>
          <w:color w:val="auto"/>
          <w:sz w:val="32"/>
          <w:szCs w:val="32"/>
          <w:highlight w:val="none"/>
        </w:rPr>
        <w:br w:type="page"/>
      </w:r>
    </w:p>
    <w:p w14:paraId="0AB42B4B">
      <w:pPr>
        <w:snapToGrid w:val="0"/>
        <w:spacing w:line="480" w:lineRule="auto"/>
        <w:rPr>
          <w:rFonts w:hint="eastAsia" w:ascii="宋体" w:hAnsi="宋体" w:cs="宋体"/>
          <w:bCs/>
          <w:color w:val="auto"/>
          <w:sz w:val="32"/>
          <w:szCs w:val="32"/>
          <w:highlight w:val="none"/>
        </w:rPr>
      </w:pPr>
    </w:p>
    <w:p w14:paraId="2EEB5A6A">
      <w:pPr>
        <w:snapToGrid w:val="0"/>
        <w:jc w:val="center"/>
        <w:rPr>
          <w:rFonts w:hint="eastAsia" w:ascii="宋体" w:hAnsi="宋体" w:cs="宋体"/>
          <w:bCs/>
          <w:color w:val="auto"/>
          <w:sz w:val="32"/>
          <w:szCs w:val="32"/>
          <w:highlight w:val="none"/>
        </w:rPr>
      </w:pPr>
    </w:p>
    <w:p w14:paraId="6B7D4A0B">
      <w:pPr>
        <w:snapToGrid w:val="0"/>
        <w:jc w:val="center"/>
        <w:rPr>
          <w:rFonts w:hint="eastAsia" w:ascii="宋体" w:hAnsi="宋体" w:cs="宋体"/>
          <w:bCs/>
          <w:color w:val="auto"/>
          <w:sz w:val="32"/>
          <w:szCs w:val="32"/>
          <w:highlight w:val="none"/>
        </w:rPr>
      </w:pPr>
    </w:p>
    <w:p w14:paraId="03B6EB4B">
      <w:pPr>
        <w:snapToGrid w:val="0"/>
        <w:jc w:val="center"/>
        <w:rPr>
          <w:rFonts w:hint="eastAsia" w:ascii="宋体" w:hAnsi="宋体" w:cs="宋体"/>
          <w:bCs/>
          <w:color w:val="auto"/>
          <w:sz w:val="32"/>
          <w:szCs w:val="32"/>
          <w:highlight w:val="none"/>
        </w:rPr>
      </w:pPr>
    </w:p>
    <w:p w14:paraId="33E71771">
      <w:pPr>
        <w:snapToGrid w:val="0"/>
        <w:jc w:val="center"/>
        <w:rPr>
          <w:rFonts w:hint="eastAsia" w:ascii="宋体" w:hAnsi="宋体" w:cs="宋体"/>
          <w:bCs/>
          <w:color w:val="auto"/>
          <w:sz w:val="32"/>
          <w:szCs w:val="32"/>
          <w:highlight w:val="none"/>
        </w:rPr>
      </w:pPr>
    </w:p>
    <w:p w14:paraId="26899C70">
      <w:pPr>
        <w:snapToGrid w:val="0"/>
        <w:jc w:val="center"/>
        <w:rPr>
          <w:rFonts w:hint="eastAsia" w:ascii="宋体" w:hAnsi="宋体" w:cs="宋体"/>
          <w:bCs/>
          <w:color w:val="auto"/>
          <w:sz w:val="32"/>
          <w:szCs w:val="32"/>
          <w:highlight w:val="none"/>
        </w:rPr>
      </w:pPr>
    </w:p>
    <w:p w14:paraId="2D56C577">
      <w:pPr>
        <w:snapToGrid w:val="0"/>
        <w:jc w:val="center"/>
        <w:rPr>
          <w:rFonts w:hint="eastAsia" w:ascii="宋体" w:hAnsi="宋体" w:cs="宋体"/>
          <w:bCs/>
          <w:color w:val="auto"/>
          <w:sz w:val="32"/>
          <w:szCs w:val="32"/>
          <w:highlight w:val="none"/>
        </w:rPr>
      </w:pPr>
    </w:p>
    <w:p w14:paraId="5E6ADDAB">
      <w:pPr>
        <w:snapToGrid w:val="0"/>
        <w:jc w:val="center"/>
        <w:rPr>
          <w:rFonts w:hint="eastAsia" w:ascii="宋体" w:hAnsi="宋体" w:cs="宋体"/>
          <w:bCs/>
          <w:color w:val="auto"/>
          <w:sz w:val="32"/>
          <w:szCs w:val="32"/>
          <w:highlight w:val="none"/>
        </w:rPr>
      </w:pPr>
    </w:p>
    <w:p w14:paraId="69A48EFB">
      <w:pPr>
        <w:snapToGrid w:val="0"/>
        <w:jc w:val="center"/>
        <w:rPr>
          <w:rFonts w:hint="eastAsia" w:ascii="宋体" w:hAnsi="宋体" w:cs="宋体"/>
          <w:bCs/>
          <w:color w:val="auto"/>
          <w:sz w:val="32"/>
          <w:szCs w:val="32"/>
          <w:highlight w:val="none"/>
        </w:rPr>
      </w:pPr>
    </w:p>
    <w:p w14:paraId="3EF7FD10">
      <w:pPr>
        <w:snapToGrid w:val="0"/>
        <w:jc w:val="center"/>
        <w:rPr>
          <w:rFonts w:hint="eastAsia" w:ascii="宋体" w:hAnsi="宋体" w:cs="宋体"/>
          <w:bCs/>
          <w:color w:val="auto"/>
          <w:sz w:val="32"/>
          <w:szCs w:val="32"/>
          <w:highlight w:val="none"/>
        </w:rPr>
      </w:pPr>
    </w:p>
    <w:p w14:paraId="6D2529F6">
      <w:pPr>
        <w:snapToGrid w:val="0"/>
        <w:jc w:val="center"/>
        <w:rPr>
          <w:rFonts w:hint="eastAsia" w:ascii="宋体" w:hAnsi="宋体" w:cs="宋体"/>
          <w:bCs/>
          <w:color w:val="auto"/>
          <w:sz w:val="32"/>
          <w:szCs w:val="32"/>
          <w:highlight w:val="none"/>
        </w:rPr>
      </w:pPr>
    </w:p>
    <w:p w14:paraId="1F547332">
      <w:pPr>
        <w:pStyle w:val="3"/>
        <w:jc w:val="center"/>
        <w:rPr>
          <w:rFonts w:hint="eastAsia" w:ascii="宋体" w:hAnsi="宋体" w:cs="宋体"/>
          <w:color w:val="auto"/>
          <w:highlight w:val="none"/>
        </w:rPr>
      </w:pPr>
      <w:bookmarkStart w:id="103" w:name="_Toc13395"/>
      <w:r>
        <w:rPr>
          <w:rFonts w:hint="eastAsia" w:ascii="宋体" w:hAnsi="宋体" w:cs="宋体"/>
          <w:color w:val="auto"/>
          <w:highlight w:val="none"/>
        </w:rPr>
        <w:t>第六章　投标文件格式</w:t>
      </w:r>
      <w:bookmarkEnd w:id="103"/>
    </w:p>
    <w:p w14:paraId="1261AF47">
      <w:pPr>
        <w:rPr>
          <w:rFonts w:hint="eastAsia" w:ascii="宋体" w:hAnsi="宋体" w:cs="宋体"/>
          <w:b/>
          <w:color w:val="auto"/>
          <w:sz w:val="28"/>
          <w:szCs w:val="28"/>
          <w:highlight w:val="none"/>
        </w:rPr>
      </w:pPr>
      <w:r>
        <w:rPr>
          <w:rFonts w:hint="eastAsia" w:ascii="宋体" w:hAnsi="宋体" w:cs="宋体"/>
          <w:color w:val="auto"/>
          <w:sz w:val="32"/>
          <w:szCs w:val="20"/>
          <w:highlight w:val="none"/>
        </w:rPr>
        <w:br w:type="page"/>
      </w:r>
      <w:bookmarkStart w:id="104" w:name="_Toc19686836"/>
      <w:bookmarkStart w:id="105" w:name="_Toc254970557"/>
      <w:bookmarkStart w:id="106" w:name="_Toc254970698"/>
      <w:r>
        <w:rPr>
          <w:rFonts w:hint="eastAsia" w:ascii="宋体" w:hAnsi="宋体" w:cs="宋体"/>
          <w:b/>
          <w:color w:val="auto"/>
          <w:sz w:val="28"/>
          <w:szCs w:val="28"/>
          <w:highlight w:val="none"/>
        </w:rPr>
        <w:t>一、报价文件格式</w:t>
      </w:r>
      <w:bookmarkEnd w:id="104"/>
    </w:p>
    <w:p w14:paraId="5E2FC178">
      <w:pPr>
        <w:snapToGrid w:val="0"/>
        <w:spacing w:before="120" w:beforeLines="50" w:after="50" w:line="360" w:lineRule="auto"/>
        <w:ind w:left="142"/>
        <w:jc w:val="left"/>
        <w:rPr>
          <w:rFonts w:hint="eastAsia" w:ascii="宋体" w:hAnsi="宋体" w:cs="宋体"/>
          <w:color w:val="auto"/>
          <w:sz w:val="24"/>
          <w:szCs w:val="20"/>
          <w:highlight w:val="none"/>
        </w:rPr>
      </w:pPr>
      <w:r>
        <w:rPr>
          <w:rFonts w:hint="eastAsia" w:ascii="宋体" w:hAnsi="宋体" w:cs="宋体"/>
          <w:b/>
          <w:color w:val="auto"/>
          <w:sz w:val="24"/>
          <w:highlight w:val="none"/>
        </w:rPr>
        <w:t xml:space="preserve">1. 报价文件封面格式： </w:t>
      </w:r>
    </w:p>
    <w:p w14:paraId="5EE90276">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3C3F15DD">
      <w:pPr>
        <w:snapToGrid w:val="0"/>
        <w:spacing w:before="120" w:beforeLines="50" w:after="50" w:line="400" w:lineRule="exact"/>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285BD995">
      <w:pPr>
        <w:snapToGrid w:val="0"/>
        <w:spacing w:before="120" w:beforeLines="50" w:after="50" w:line="400" w:lineRule="exact"/>
        <w:jc w:val="center"/>
        <w:rPr>
          <w:rFonts w:hint="eastAsia" w:ascii="宋体" w:hAnsi="宋体" w:cs="宋体"/>
          <w:bCs/>
          <w:color w:val="auto"/>
          <w:sz w:val="24"/>
          <w:szCs w:val="20"/>
          <w:highlight w:val="none"/>
        </w:rPr>
      </w:pPr>
    </w:p>
    <w:p w14:paraId="02B17ED8">
      <w:pPr>
        <w:snapToGrid w:val="0"/>
        <w:spacing w:before="120" w:beforeLines="50" w:after="50" w:line="4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报价文件</w:t>
      </w:r>
    </w:p>
    <w:p w14:paraId="7E18158A">
      <w:pPr>
        <w:snapToGrid w:val="0"/>
        <w:spacing w:before="120" w:beforeLines="50" w:after="50" w:line="400" w:lineRule="exact"/>
        <w:rPr>
          <w:rFonts w:hint="eastAsia" w:ascii="宋体" w:hAnsi="宋体" w:cs="宋体"/>
          <w:bCs/>
          <w:color w:val="auto"/>
          <w:sz w:val="24"/>
          <w:szCs w:val="20"/>
          <w:highlight w:val="none"/>
        </w:rPr>
      </w:pPr>
    </w:p>
    <w:p w14:paraId="15EE663C">
      <w:pPr>
        <w:snapToGrid w:val="0"/>
        <w:spacing w:before="120" w:beforeLines="50" w:after="50" w:line="400" w:lineRule="exact"/>
        <w:rPr>
          <w:rFonts w:hint="eastAsia" w:ascii="宋体" w:hAnsi="宋体" w:cs="宋体"/>
          <w:bCs/>
          <w:color w:val="auto"/>
          <w:sz w:val="24"/>
          <w:szCs w:val="20"/>
          <w:highlight w:val="none"/>
        </w:rPr>
      </w:pPr>
    </w:p>
    <w:p w14:paraId="78D0857A">
      <w:pPr>
        <w:snapToGrid w:val="0"/>
        <w:spacing w:before="120" w:beforeLines="50" w:after="50" w:line="400" w:lineRule="exact"/>
        <w:rPr>
          <w:rFonts w:hint="eastAsia" w:ascii="宋体" w:hAnsi="宋体" w:cs="宋体"/>
          <w:bCs/>
          <w:color w:val="auto"/>
          <w:sz w:val="24"/>
          <w:szCs w:val="20"/>
          <w:highlight w:val="none"/>
        </w:rPr>
      </w:pPr>
    </w:p>
    <w:p w14:paraId="15D81415">
      <w:pPr>
        <w:snapToGrid w:val="0"/>
        <w:spacing w:before="120" w:beforeLines="50" w:after="50" w:line="400" w:lineRule="exact"/>
        <w:rPr>
          <w:rFonts w:hint="eastAsia" w:ascii="宋体" w:hAnsi="宋体" w:cs="宋体"/>
          <w:bCs/>
          <w:color w:val="auto"/>
          <w:sz w:val="24"/>
          <w:szCs w:val="20"/>
          <w:highlight w:val="none"/>
        </w:rPr>
      </w:pPr>
    </w:p>
    <w:p w14:paraId="36268520">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14:paraId="7371E1D3">
      <w:pPr>
        <w:snapToGrid w:val="0"/>
        <w:spacing w:before="120" w:beforeLines="50" w:after="50" w:line="400" w:lineRule="exact"/>
        <w:ind w:firstLine="360" w:firstLineChars="150"/>
        <w:rPr>
          <w:rFonts w:hint="eastAsia" w:ascii="宋体" w:hAnsi="宋体" w:cs="宋体"/>
          <w:bCs/>
          <w:color w:val="auto"/>
          <w:sz w:val="24"/>
          <w:highlight w:val="none"/>
        </w:rPr>
      </w:pPr>
    </w:p>
    <w:p w14:paraId="6F85F3D8">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5885549A">
      <w:pPr>
        <w:snapToGrid w:val="0"/>
        <w:spacing w:before="120" w:beforeLines="50" w:after="50" w:line="400" w:lineRule="exact"/>
        <w:ind w:firstLine="360" w:firstLineChars="150"/>
        <w:rPr>
          <w:rFonts w:hint="eastAsia" w:ascii="宋体" w:hAnsi="宋体" w:cs="宋体"/>
          <w:bCs/>
          <w:color w:val="auto"/>
          <w:sz w:val="24"/>
          <w:highlight w:val="none"/>
        </w:rPr>
      </w:pPr>
    </w:p>
    <w:p w14:paraId="0712098E">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0864B4E2">
      <w:pPr>
        <w:snapToGrid w:val="0"/>
        <w:spacing w:before="120" w:beforeLines="50" w:after="50" w:line="400" w:lineRule="exact"/>
        <w:ind w:firstLine="360" w:firstLineChars="150"/>
        <w:rPr>
          <w:rFonts w:hint="eastAsia" w:ascii="宋体" w:hAnsi="宋体" w:cs="宋体"/>
          <w:bCs/>
          <w:color w:val="auto"/>
          <w:sz w:val="24"/>
          <w:highlight w:val="none"/>
        </w:rPr>
      </w:pPr>
    </w:p>
    <w:p w14:paraId="51BE0641">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3A3BEFCA">
      <w:pPr>
        <w:snapToGrid w:val="0"/>
        <w:spacing w:before="120" w:beforeLines="50" w:after="50" w:line="400" w:lineRule="exact"/>
        <w:ind w:firstLine="360" w:firstLineChars="150"/>
        <w:rPr>
          <w:rFonts w:hint="eastAsia" w:ascii="宋体" w:hAnsi="宋体" w:cs="宋体"/>
          <w:bCs/>
          <w:color w:val="auto"/>
          <w:sz w:val="24"/>
          <w:highlight w:val="none"/>
        </w:rPr>
      </w:pPr>
    </w:p>
    <w:p w14:paraId="2CE2AD22">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3E146B44">
      <w:pPr>
        <w:pStyle w:val="2"/>
        <w:snapToGrid w:val="0"/>
        <w:spacing w:before="50" w:after="50" w:line="400" w:lineRule="exact"/>
        <w:ind w:firstLine="960" w:firstLineChars="400"/>
        <w:rPr>
          <w:rFonts w:hint="eastAsia" w:ascii="宋体" w:hAnsi="宋体" w:cs="宋体"/>
          <w:bCs/>
          <w:color w:val="auto"/>
          <w:sz w:val="24"/>
          <w:szCs w:val="24"/>
          <w:highlight w:val="none"/>
        </w:rPr>
      </w:pPr>
    </w:p>
    <w:p w14:paraId="6DC2C05E">
      <w:pPr>
        <w:snapToGrid w:val="0"/>
        <w:spacing w:before="120" w:beforeLines="50" w:after="50" w:line="400" w:lineRule="exact"/>
        <w:rPr>
          <w:rFonts w:hint="eastAsia" w:ascii="宋体" w:hAnsi="宋体" w:cs="宋体"/>
          <w:color w:val="auto"/>
          <w:sz w:val="30"/>
          <w:szCs w:val="20"/>
          <w:highlight w:val="none"/>
        </w:rPr>
      </w:pPr>
      <w:r>
        <w:rPr>
          <w:rFonts w:hint="eastAsia" w:ascii="宋体" w:hAnsi="宋体" w:cs="宋体"/>
          <w:color w:val="auto"/>
          <w:sz w:val="24"/>
          <w:highlight w:val="none"/>
        </w:rPr>
        <w:t xml:space="preserve">                                   年  月  日</w:t>
      </w:r>
    </w:p>
    <w:p w14:paraId="6D2D8BD2">
      <w:pPr>
        <w:snapToGrid w:val="0"/>
        <w:spacing w:before="120" w:beforeLines="50" w:after="50" w:line="360" w:lineRule="auto"/>
        <w:jc w:val="left"/>
        <w:rPr>
          <w:rFonts w:hint="eastAsia"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hint="eastAsia" w:ascii="宋体" w:hAnsi="宋体" w:cs="宋体"/>
          <w:b/>
          <w:bCs/>
          <w:color w:val="auto"/>
          <w:sz w:val="24"/>
          <w:highlight w:val="none"/>
        </w:rPr>
        <w:t>报价文件目录</w:t>
      </w:r>
    </w:p>
    <w:p w14:paraId="03734D5D">
      <w:pPr>
        <w:snapToGrid w:val="0"/>
        <w:spacing w:before="50" w:after="120" w:afterLines="50" w:line="360" w:lineRule="auto"/>
        <w:ind w:firstLine="1680" w:firstLineChars="800"/>
        <w:jc w:val="left"/>
        <w:rPr>
          <w:rFonts w:hint="eastAsia"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657F86D4">
      <w:pPr>
        <w:snapToGrid w:val="0"/>
        <w:spacing w:before="120" w:beforeLines="50" w:after="50"/>
        <w:rPr>
          <w:rFonts w:hint="eastAsia" w:ascii="宋体" w:hAnsi="宋体" w:cs="宋体"/>
          <w:b/>
          <w:color w:val="auto"/>
          <w:sz w:val="24"/>
          <w:highlight w:val="none"/>
        </w:rPr>
      </w:pPr>
    </w:p>
    <w:p w14:paraId="2A673743">
      <w:pPr>
        <w:snapToGrid w:val="0"/>
        <w:spacing w:before="120" w:beforeLines="50" w:after="50"/>
        <w:rPr>
          <w:rFonts w:hint="eastAsia" w:ascii="宋体" w:hAnsi="宋体" w:cs="宋体"/>
          <w:b/>
          <w:color w:val="auto"/>
          <w:sz w:val="24"/>
          <w:highlight w:val="none"/>
        </w:rPr>
      </w:pPr>
    </w:p>
    <w:p w14:paraId="4ADE2535">
      <w:pPr>
        <w:snapToGrid w:val="0"/>
        <w:spacing w:before="120" w:beforeLines="50" w:after="50"/>
        <w:rPr>
          <w:rFonts w:hint="eastAsia" w:ascii="宋体" w:hAnsi="宋体" w:cs="宋体"/>
          <w:b/>
          <w:color w:val="auto"/>
          <w:sz w:val="24"/>
          <w:highlight w:val="none"/>
        </w:rPr>
      </w:pPr>
    </w:p>
    <w:p w14:paraId="1127D0D3">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投标函格式：</w:t>
      </w:r>
    </w:p>
    <w:p w14:paraId="161B543F">
      <w:pPr>
        <w:snapToGrid w:val="0"/>
        <w:spacing w:before="120" w:beforeLines="50" w:after="50" w:line="3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 标 函</w:t>
      </w:r>
    </w:p>
    <w:p w14:paraId="00185228">
      <w:pPr>
        <w:snapToGrid w:val="0"/>
        <w:spacing w:before="120" w:beforeLines="50" w:after="50" w:line="320" w:lineRule="exact"/>
        <w:jc w:val="center"/>
        <w:rPr>
          <w:rFonts w:hint="eastAsia" w:ascii="宋体" w:hAnsi="宋体" w:cs="宋体"/>
          <w:b/>
          <w:color w:val="auto"/>
          <w:sz w:val="24"/>
          <w:szCs w:val="20"/>
          <w:highlight w:val="none"/>
        </w:rPr>
      </w:pPr>
    </w:p>
    <w:p w14:paraId="0A257C76">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425ABCCE">
      <w:pPr>
        <w:snapToGrid w:val="0"/>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根据贵方</w:t>
      </w:r>
      <w:r>
        <w:rPr>
          <w:rFonts w:hint="eastAsia" w:ascii="宋体" w:hAnsi="宋体" w:cs="宋体"/>
          <w:color w:val="auto"/>
          <w:sz w:val="24"/>
          <w:highlight w:val="none"/>
          <w:u w:val="single"/>
        </w:rPr>
        <w:t xml:space="preserve"> 项目名称</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）的招标公告，签字代表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（姓名）经正式授权并代表投标人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（投标人名称）提交投标文件。</w:t>
      </w:r>
    </w:p>
    <w:p w14:paraId="026AF78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据此函，我方宣布同意如下：</w:t>
      </w:r>
    </w:p>
    <w:p w14:paraId="5FD4617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0EADB8E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2.我方在投标之前已经完全理解并接受招标文件的各项规定和要求，对招标文件的合理性、合法性不再有异议。</w:t>
      </w:r>
    </w:p>
    <w:p w14:paraId="2FEE104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3.本投标有效期自投标截止之日起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571858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4.如中标，本投标文件至本项目合同履行完毕止均保持有效，我方将按“招标文件”及政府采购法律、法规的规定履行合同责任和义务。</w:t>
      </w:r>
    </w:p>
    <w:p w14:paraId="71AF5F7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5.我方同意按照贵方要求提供与投标有关的一切数据或者资料。</w:t>
      </w:r>
    </w:p>
    <w:p w14:paraId="2F8AECC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6.我方向贵方提交的所有投标文件、资料都是准确的和真实的。</w:t>
      </w:r>
    </w:p>
    <w:p w14:paraId="30FDDA8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7.以上事项如有虚假或者隐瞒，我方愿意承担一切后果，并不再寻求任何旨在减轻或者免除法律责任的辩解。</w:t>
      </w:r>
    </w:p>
    <w:p w14:paraId="548E6F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69278E8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□我方本次投标文件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240C14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□我方本次投标文件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51204D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9.与本投标有关的一切正式往来信函请寄：</w:t>
      </w:r>
    </w:p>
    <w:p w14:paraId="4CAD1770">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single"/>
        </w:rPr>
        <w:t xml:space="preserve">            </w:t>
      </w:r>
    </w:p>
    <w:p w14:paraId="648572B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电子邮箱：</w:t>
      </w:r>
      <w:r>
        <w:rPr>
          <w:rFonts w:hint="eastAsia" w:ascii="宋体" w:hAnsi="宋体" w:cs="宋体"/>
          <w:color w:val="auto"/>
          <w:sz w:val="24"/>
          <w:highlight w:val="none"/>
          <w:u w:val="single"/>
        </w:rPr>
        <w:t xml:space="preserve">         </w:t>
      </w:r>
    </w:p>
    <w:p w14:paraId="01926EE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p>
    <w:p w14:paraId="3473CEFC">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银行帐号：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66294E8">
      <w:pPr>
        <w:snapToGrid w:val="0"/>
        <w:spacing w:line="360" w:lineRule="auto"/>
        <w:ind w:firstLine="480" w:firstLineChars="200"/>
        <w:jc w:val="left"/>
        <w:rPr>
          <w:rFonts w:hint="eastAsia" w:ascii="宋体" w:hAnsi="宋体" w:cs="宋体"/>
          <w:color w:val="auto"/>
          <w:sz w:val="24"/>
          <w:highlight w:val="none"/>
        </w:rPr>
      </w:pPr>
    </w:p>
    <w:p w14:paraId="6CBB728A">
      <w:pPr>
        <w:pStyle w:val="2"/>
        <w:rPr>
          <w:rFonts w:hint="eastAsia" w:ascii="宋体" w:hAnsi="宋体" w:cs="宋体"/>
          <w:color w:val="auto"/>
          <w:sz w:val="24"/>
          <w:highlight w:val="none"/>
        </w:rPr>
      </w:pPr>
    </w:p>
    <w:p w14:paraId="61C6833E">
      <w:pPr>
        <w:pStyle w:val="2"/>
        <w:rPr>
          <w:rFonts w:hint="eastAsia" w:ascii="宋体" w:hAnsi="宋体" w:cs="宋体"/>
          <w:color w:val="auto"/>
          <w:sz w:val="24"/>
          <w:highlight w:val="none"/>
        </w:rPr>
      </w:pPr>
    </w:p>
    <w:p w14:paraId="313B5155">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 法定代表人（负责人、自然人）或者委托代理人（签字或者电子签名）:_______ </w:t>
      </w:r>
    </w:p>
    <w:p w14:paraId="4356EC10">
      <w:pPr>
        <w:pStyle w:val="25"/>
        <w:snapToGrid w:val="0"/>
        <w:spacing w:before="295" w:after="295" w:line="360" w:lineRule="auto"/>
        <w:jc w:val="center"/>
        <w:rPr>
          <w:rFonts w:hint="eastAsia" w:hAnsi="宋体" w:cs="宋体"/>
          <w:color w:val="auto"/>
          <w:sz w:val="24"/>
          <w:szCs w:val="24"/>
          <w:highlight w:val="none"/>
          <w:u w:val="single"/>
        </w:rPr>
      </w:pPr>
      <w:r>
        <w:rPr>
          <w:rFonts w:hint="eastAsia" w:hAnsi="宋体" w:cs="宋体"/>
          <w:color w:val="auto"/>
          <w:sz w:val="24"/>
          <w:highlight w:val="none"/>
        </w:rPr>
        <w:t xml:space="preserve">                      投标人名称（电子签章）:_______ </w:t>
      </w:r>
    </w:p>
    <w:p w14:paraId="4E19577B">
      <w:pPr>
        <w:pStyle w:val="25"/>
        <w:snapToGrid w:val="0"/>
        <w:spacing w:before="295" w:after="295" w:line="360" w:lineRule="auto"/>
        <w:rPr>
          <w:rFonts w:hint="eastAsia" w:hAnsi="宋体" w:cs="宋体"/>
          <w:color w:val="auto"/>
          <w:sz w:val="24"/>
          <w:highlight w:val="none"/>
        </w:rPr>
      </w:pPr>
      <w:r>
        <w:rPr>
          <w:rFonts w:hint="eastAsia" w:hAnsi="宋体" w:cs="宋体"/>
          <w:color w:val="auto"/>
          <w:sz w:val="24"/>
          <w:szCs w:val="24"/>
          <w:highlight w:val="none"/>
        </w:rPr>
        <w:t xml:space="preserve">                                               日期： </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p>
    <w:p w14:paraId="7A47319E">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24"/>
          <w:highlight w:val="none"/>
        </w:rPr>
        <w:t>4. 报价明细表（服务类格式）</w:t>
      </w:r>
    </w:p>
    <w:p w14:paraId="27903A1D">
      <w:pPr>
        <w:snapToGrid w:val="0"/>
        <w:spacing w:before="50" w:after="50"/>
        <w:jc w:val="center"/>
        <w:rPr>
          <w:rFonts w:hint="eastAsia" w:ascii="宋体" w:hAnsi="宋体" w:cs="宋体"/>
          <w:b/>
          <w:color w:val="auto"/>
          <w:sz w:val="30"/>
          <w:szCs w:val="20"/>
          <w:highlight w:val="none"/>
        </w:rPr>
      </w:pPr>
      <w:r>
        <w:rPr>
          <w:rFonts w:hint="eastAsia" w:ascii="宋体" w:hAnsi="宋体" w:cs="宋体"/>
          <w:b/>
          <w:color w:val="auto"/>
          <w:sz w:val="30"/>
          <w:highlight w:val="none"/>
        </w:rPr>
        <w:t>报价明细表</w:t>
      </w:r>
    </w:p>
    <w:p w14:paraId="02140790">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7136C0D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4BB7A9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分标号：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tbl>
      <w:tblPr>
        <w:tblStyle w:val="4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122"/>
        <w:gridCol w:w="1484"/>
        <w:gridCol w:w="1996"/>
        <w:gridCol w:w="2125"/>
        <w:gridCol w:w="992"/>
      </w:tblGrid>
      <w:tr w14:paraId="43B1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038" w:type="dxa"/>
            <w:noWrap w:val="0"/>
            <w:vAlign w:val="center"/>
          </w:tcPr>
          <w:p w14:paraId="7256B1EA">
            <w:pPr>
              <w:pStyle w:val="25"/>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序号</w:t>
            </w:r>
          </w:p>
        </w:tc>
        <w:tc>
          <w:tcPr>
            <w:tcW w:w="2122" w:type="dxa"/>
            <w:noWrap w:val="0"/>
            <w:vAlign w:val="center"/>
          </w:tcPr>
          <w:p w14:paraId="291DF450">
            <w:pPr>
              <w:pStyle w:val="25"/>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服务名称</w:t>
            </w:r>
          </w:p>
        </w:tc>
        <w:tc>
          <w:tcPr>
            <w:tcW w:w="1484" w:type="dxa"/>
            <w:noWrap w:val="0"/>
            <w:vAlign w:val="center"/>
          </w:tcPr>
          <w:p w14:paraId="32230A53">
            <w:pPr>
              <w:pStyle w:val="25"/>
              <w:spacing w:line="260" w:lineRule="exact"/>
              <w:jc w:val="center"/>
              <w:rPr>
                <w:rFonts w:hint="default" w:hAnsi="宋体" w:cs="宋体"/>
                <w:color w:val="auto"/>
                <w:sz w:val="24"/>
                <w:szCs w:val="24"/>
                <w:highlight w:val="none"/>
                <w:lang w:val="en-US" w:eastAsia="zh-CN"/>
              </w:rPr>
            </w:pPr>
            <w:r>
              <w:rPr>
                <w:rFonts w:hint="eastAsia" w:hAnsi="宋体" w:cs="宋体"/>
                <w:color w:val="auto"/>
                <w:sz w:val="24"/>
                <w:szCs w:val="24"/>
                <w:highlight w:val="none"/>
                <w:lang w:val="en-US" w:eastAsia="zh-CN"/>
              </w:rPr>
              <w:t>批次数量</w:t>
            </w:r>
          </w:p>
        </w:tc>
        <w:tc>
          <w:tcPr>
            <w:tcW w:w="1996" w:type="dxa"/>
            <w:noWrap w:val="0"/>
            <w:vAlign w:val="center"/>
          </w:tcPr>
          <w:p w14:paraId="3CA4B9C1">
            <w:pPr>
              <w:pStyle w:val="25"/>
              <w:spacing w:line="260" w:lineRule="exact"/>
              <w:jc w:val="center"/>
              <w:rPr>
                <w:rFonts w:hint="default" w:hAnsi="宋体" w:cs="宋体"/>
                <w:color w:val="auto"/>
                <w:sz w:val="24"/>
                <w:szCs w:val="24"/>
                <w:highlight w:val="none"/>
                <w:lang w:val="en-US" w:eastAsia="zh-CN"/>
              </w:rPr>
            </w:pPr>
            <w:r>
              <w:rPr>
                <w:rFonts w:hint="eastAsia" w:hAnsi="宋体" w:cs="宋体"/>
                <w:color w:val="auto"/>
                <w:sz w:val="24"/>
                <w:szCs w:val="24"/>
                <w:highlight w:val="none"/>
                <w:lang w:val="en-US" w:eastAsia="zh-CN"/>
              </w:rPr>
              <w:t>投标单价（元）</w:t>
            </w:r>
          </w:p>
        </w:tc>
        <w:tc>
          <w:tcPr>
            <w:tcW w:w="2125" w:type="dxa"/>
            <w:noWrap w:val="0"/>
            <w:vAlign w:val="center"/>
          </w:tcPr>
          <w:p w14:paraId="47CF217E">
            <w:pPr>
              <w:pStyle w:val="25"/>
              <w:spacing w:line="260" w:lineRule="exact"/>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投标总价（元）</w:t>
            </w:r>
          </w:p>
        </w:tc>
        <w:tc>
          <w:tcPr>
            <w:tcW w:w="992" w:type="dxa"/>
            <w:noWrap w:val="0"/>
            <w:vAlign w:val="center"/>
          </w:tcPr>
          <w:p w14:paraId="3CB7080B">
            <w:pPr>
              <w:pStyle w:val="25"/>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备注</w:t>
            </w:r>
          </w:p>
        </w:tc>
      </w:tr>
      <w:tr w14:paraId="1681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1038" w:type="dxa"/>
            <w:noWrap w:val="0"/>
            <w:vAlign w:val="center"/>
          </w:tcPr>
          <w:p w14:paraId="7E1B3503">
            <w:pPr>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2122" w:type="dxa"/>
            <w:noWrap w:val="0"/>
            <w:vAlign w:val="center"/>
          </w:tcPr>
          <w:p w14:paraId="00EEEEB2">
            <w:pPr>
              <w:jc w:val="center"/>
              <w:rPr>
                <w:rFonts w:hint="eastAsia" w:ascii="宋体" w:hAnsi="宋体" w:cs="宋体"/>
                <w:color w:val="auto"/>
                <w:sz w:val="24"/>
                <w:highlight w:val="none"/>
              </w:rPr>
            </w:pPr>
          </w:p>
        </w:tc>
        <w:tc>
          <w:tcPr>
            <w:tcW w:w="1484" w:type="dxa"/>
            <w:noWrap w:val="0"/>
            <w:vAlign w:val="center"/>
          </w:tcPr>
          <w:p w14:paraId="044B2B5F">
            <w:pPr>
              <w:pStyle w:val="25"/>
              <w:jc w:val="center"/>
              <w:rPr>
                <w:rFonts w:hint="eastAsia" w:hAnsi="宋体" w:cs="宋体"/>
                <w:color w:val="auto"/>
                <w:sz w:val="24"/>
                <w:szCs w:val="24"/>
                <w:highlight w:val="none"/>
                <w:u w:val="single"/>
                <w:lang w:val="en-US" w:eastAsia="zh-CN"/>
              </w:rPr>
            </w:pPr>
          </w:p>
        </w:tc>
        <w:tc>
          <w:tcPr>
            <w:tcW w:w="1996" w:type="dxa"/>
            <w:noWrap w:val="0"/>
            <w:vAlign w:val="center"/>
          </w:tcPr>
          <w:p w14:paraId="72230D4B">
            <w:pPr>
              <w:pStyle w:val="25"/>
              <w:jc w:val="center"/>
              <w:rPr>
                <w:rFonts w:hint="eastAsia" w:hAnsi="宋体" w:cs="宋体"/>
                <w:color w:val="auto"/>
                <w:sz w:val="24"/>
                <w:szCs w:val="24"/>
                <w:highlight w:val="none"/>
                <w:lang w:val="en-US" w:eastAsia="zh-CN"/>
              </w:rPr>
            </w:pPr>
          </w:p>
        </w:tc>
        <w:tc>
          <w:tcPr>
            <w:tcW w:w="2125" w:type="dxa"/>
            <w:noWrap w:val="0"/>
            <w:vAlign w:val="center"/>
          </w:tcPr>
          <w:p w14:paraId="48356468">
            <w:pPr>
              <w:pStyle w:val="25"/>
              <w:jc w:val="center"/>
              <w:rPr>
                <w:rFonts w:hint="eastAsia" w:hAnsi="宋体" w:cs="宋体"/>
                <w:color w:val="auto"/>
                <w:sz w:val="24"/>
                <w:szCs w:val="24"/>
                <w:highlight w:val="none"/>
                <w:u w:val="single"/>
                <w:lang w:val="en-US" w:eastAsia="zh-CN"/>
              </w:rPr>
            </w:pPr>
            <w:r>
              <w:rPr>
                <w:rFonts w:hint="eastAsia" w:hAnsi="宋体" w:cs="宋体"/>
                <w:color w:val="auto"/>
                <w:sz w:val="24"/>
                <w:szCs w:val="24"/>
                <w:highlight w:val="none"/>
                <w:u w:val="none"/>
                <w:lang w:val="en-US" w:eastAsia="zh-CN"/>
              </w:rPr>
              <w:t>352400.00</w:t>
            </w:r>
          </w:p>
        </w:tc>
        <w:tc>
          <w:tcPr>
            <w:tcW w:w="992" w:type="dxa"/>
            <w:noWrap w:val="0"/>
            <w:vAlign w:val="center"/>
          </w:tcPr>
          <w:p w14:paraId="69A248E1">
            <w:pPr>
              <w:pStyle w:val="25"/>
              <w:jc w:val="center"/>
              <w:rPr>
                <w:rFonts w:hint="eastAsia" w:hAnsi="宋体" w:cs="宋体"/>
                <w:color w:val="auto"/>
                <w:sz w:val="24"/>
                <w:szCs w:val="24"/>
                <w:highlight w:val="none"/>
                <w:lang w:val="en-US" w:eastAsia="zh-CN"/>
              </w:rPr>
            </w:pPr>
          </w:p>
        </w:tc>
      </w:tr>
      <w:tr w14:paraId="4C65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9757" w:type="dxa"/>
            <w:gridSpan w:val="6"/>
            <w:noWrap w:val="0"/>
            <w:vAlign w:val="center"/>
          </w:tcPr>
          <w:p w14:paraId="0779314D">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服务期限：2026年7月至2026年11月30日。</w:t>
            </w:r>
          </w:p>
        </w:tc>
      </w:tr>
    </w:tbl>
    <w:p w14:paraId="2B425953">
      <w:pPr>
        <w:pStyle w:val="25"/>
        <w:spacing w:line="360" w:lineRule="auto"/>
        <w:rPr>
          <w:rFonts w:hint="eastAsia" w:hAnsi="宋体" w:cs="宋体"/>
          <w:color w:val="auto"/>
          <w:sz w:val="24"/>
          <w:szCs w:val="24"/>
          <w:highlight w:val="none"/>
        </w:rPr>
      </w:pPr>
    </w:p>
    <w:p w14:paraId="3FFFD4AD">
      <w:pPr>
        <w:pStyle w:val="14"/>
        <w:rPr>
          <w:rFonts w:hint="eastAsia"/>
          <w:color w:val="auto"/>
          <w:highlight w:val="none"/>
        </w:rPr>
      </w:pPr>
    </w:p>
    <w:p w14:paraId="35ACA874">
      <w:pPr>
        <w:pStyle w:val="2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注: </w:t>
      </w:r>
    </w:p>
    <w:p w14:paraId="1DCBF33C">
      <w:pPr>
        <w:pStyle w:val="2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1.报价方式：</w:t>
      </w:r>
      <w:r>
        <w:rPr>
          <w:rFonts w:hint="eastAsia" w:hAnsi="宋体" w:cs="宋体"/>
          <w:b/>
          <w:bCs/>
          <w:color w:val="auto"/>
          <w:sz w:val="24"/>
          <w:szCs w:val="24"/>
          <w:highlight w:val="none"/>
          <w:lang w:val="en-US" w:eastAsia="zh-CN"/>
        </w:rPr>
        <w:t>投标总价为标段固定总价不变</w:t>
      </w:r>
      <w:r>
        <w:rPr>
          <w:rFonts w:hint="eastAsia" w:hAnsi="宋体" w:cs="宋体"/>
          <w:color w:val="auto"/>
          <w:sz w:val="24"/>
          <w:szCs w:val="24"/>
          <w:highlight w:val="none"/>
          <w:lang w:val="en-US" w:eastAsia="zh-CN"/>
        </w:rPr>
        <w:t>，</w:t>
      </w:r>
      <w:r>
        <w:rPr>
          <w:rFonts w:hint="eastAsia" w:hAnsi="宋体" w:cs="宋体"/>
          <w:b/>
          <w:bCs/>
          <w:color w:val="auto"/>
          <w:sz w:val="24"/>
          <w:szCs w:val="24"/>
          <w:highlight w:val="none"/>
          <w:lang w:val="en-US" w:eastAsia="zh-CN"/>
        </w:rPr>
        <w:t>投标人根据填写的投标单价计算对应批次数量。</w:t>
      </w:r>
      <w:r>
        <w:rPr>
          <w:rFonts w:hint="eastAsia" w:hAnsi="宋体" w:cs="宋体"/>
          <w:color w:val="auto"/>
          <w:sz w:val="24"/>
          <w:szCs w:val="24"/>
          <w:highlight w:val="none"/>
        </w:rPr>
        <w:t>相关费用（包括样品购置费、差旅费、邮寄费）报价须承诺按照招标文件的规定执行。</w:t>
      </w:r>
    </w:p>
    <w:p w14:paraId="5C55DC79">
      <w:pPr>
        <w:pStyle w:val="2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2.报价一经涂改，应在涂改处加盖单位CA证书签章或者由法定代表人或授权委托人签字或个人CA证书签章，否则其投标作无效标处理。</w:t>
      </w:r>
    </w:p>
    <w:p w14:paraId="5DE35943">
      <w:pPr>
        <w:pStyle w:val="2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485D1AB9">
      <w:pPr>
        <w:keepNext w:val="0"/>
        <w:keepLines w:val="0"/>
        <w:pageBreakBefore w:val="0"/>
        <w:widowControl w:val="0"/>
        <w:kinsoku/>
        <w:wordWrap/>
        <w:overflowPunct/>
        <w:topLinePunct w:val="0"/>
        <w:autoSpaceDE/>
        <w:autoSpaceDN/>
        <w:bidi w:val="0"/>
        <w:adjustRightInd/>
        <w:snapToGrid w:val="0"/>
        <w:spacing w:line="360" w:lineRule="auto"/>
        <w:ind w:right="482" w:firstLine="480" w:firstLineChars="200"/>
        <w:jc w:val="left"/>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4.投标总价为投标标段的固定总价。</w:t>
      </w:r>
    </w:p>
    <w:p w14:paraId="7C99D83B">
      <w:pPr>
        <w:rPr>
          <w:rFonts w:hint="eastAsia" w:ascii="宋体" w:hAnsi="宋体" w:cs="宋体"/>
          <w:color w:val="auto"/>
          <w:sz w:val="24"/>
          <w:highlight w:val="none"/>
        </w:rPr>
      </w:pPr>
    </w:p>
    <w:p w14:paraId="67D26FDB">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法定代表人（负责人、自然人）或者委托代理人（签字或者电子签名）:_______ </w:t>
      </w:r>
    </w:p>
    <w:p w14:paraId="38ED0D8C">
      <w:pPr>
        <w:pStyle w:val="25"/>
        <w:snapToGrid w:val="0"/>
        <w:spacing w:before="295" w:after="295" w:line="360" w:lineRule="auto"/>
        <w:jc w:val="center"/>
        <w:rPr>
          <w:rFonts w:hint="eastAsia" w:hAnsi="宋体" w:cs="宋体"/>
          <w:color w:val="auto"/>
          <w:sz w:val="24"/>
          <w:szCs w:val="24"/>
          <w:highlight w:val="none"/>
          <w:u w:val="single"/>
        </w:rPr>
      </w:pPr>
      <w:r>
        <w:rPr>
          <w:rFonts w:hint="eastAsia" w:hAnsi="宋体" w:cs="宋体"/>
          <w:color w:val="auto"/>
          <w:sz w:val="24"/>
          <w:highlight w:val="none"/>
        </w:rPr>
        <w:t xml:space="preserve">                      投标人名称（电子签章）:_______ </w:t>
      </w:r>
    </w:p>
    <w:p w14:paraId="54978A14">
      <w:pPr>
        <w:pStyle w:val="25"/>
        <w:snapToGrid w:val="0"/>
        <w:spacing w:before="295" w:after="295" w:line="360" w:lineRule="auto"/>
        <w:rPr>
          <w:rFonts w:hint="eastAsia" w:hAnsi="宋体" w:cs="宋体"/>
          <w:color w:val="auto"/>
          <w:sz w:val="24"/>
          <w:highlight w:val="none"/>
        </w:rPr>
      </w:pPr>
      <w:r>
        <w:rPr>
          <w:rFonts w:hint="eastAsia" w:hAnsi="宋体" w:cs="宋体"/>
          <w:color w:val="auto"/>
          <w:sz w:val="24"/>
          <w:szCs w:val="24"/>
          <w:highlight w:val="none"/>
        </w:rPr>
        <w:t xml:space="preserve">                                               日期： </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p>
    <w:p w14:paraId="66F238CF">
      <w:pPr>
        <w:pStyle w:val="25"/>
        <w:snapToGrid w:val="0"/>
        <w:spacing w:before="295" w:after="295"/>
        <w:rPr>
          <w:rFonts w:hint="eastAsia" w:hAnsi="宋体" w:cs="宋体"/>
          <w:color w:val="auto"/>
          <w:sz w:val="30"/>
          <w:highlight w:val="none"/>
        </w:rPr>
      </w:pPr>
    </w:p>
    <w:p w14:paraId="5E441188">
      <w:pPr>
        <w:pStyle w:val="14"/>
        <w:rPr>
          <w:rFonts w:hint="eastAsia" w:ascii="宋体" w:hAnsi="宋体" w:cs="宋体"/>
          <w:color w:val="auto"/>
          <w:highlight w:val="none"/>
        </w:rPr>
      </w:pPr>
    </w:p>
    <w:p w14:paraId="571E1194">
      <w:pPr>
        <w:pStyle w:val="14"/>
        <w:rPr>
          <w:rFonts w:hint="eastAsia" w:ascii="宋体" w:hAnsi="宋体" w:cs="宋体"/>
          <w:color w:val="auto"/>
          <w:sz w:val="30"/>
          <w:highlight w:val="none"/>
        </w:rPr>
      </w:pPr>
    </w:p>
    <w:p w14:paraId="44845CFE">
      <w:pPr>
        <w:rPr>
          <w:rFonts w:hint="eastAsia" w:ascii="宋体" w:hAnsi="宋体" w:cs="宋体"/>
          <w:color w:val="auto"/>
          <w:highlight w:val="none"/>
        </w:rPr>
      </w:pPr>
    </w:p>
    <w:p w14:paraId="03818E66">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t>5.投标人可以承检的食品监督抽检品种及项目表（格式）</w:t>
      </w:r>
    </w:p>
    <w:p w14:paraId="68F55D9A">
      <w:pPr>
        <w:snapToGrid w:val="0"/>
        <w:spacing w:before="295" w:after="295"/>
        <w:ind w:firstLine="1205" w:firstLineChars="400"/>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rPr>
        <w:t>投标人可以承检的食品监督抽检品种及项目表</w:t>
      </w:r>
    </w:p>
    <w:tbl>
      <w:tblPr>
        <w:tblStyle w:val="48"/>
        <w:tblW w:w="5000" w:type="pct"/>
        <w:tblInd w:w="0" w:type="dxa"/>
        <w:tblLayout w:type="autofit"/>
        <w:tblCellMar>
          <w:top w:w="0" w:type="dxa"/>
          <w:left w:w="0" w:type="dxa"/>
          <w:bottom w:w="0" w:type="dxa"/>
          <w:right w:w="0" w:type="dxa"/>
        </w:tblCellMar>
      </w:tblPr>
      <w:tblGrid>
        <w:gridCol w:w="1068"/>
        <w:gridCol w:w="893"/>
        <w:gridCol w:w="4"/>
        <w:gridCol w:w="899"/>
        <w:gridCol w:w="1118"/>
        <w:gridCol w:w="1209"/>
        <w:gridCol w:w="888"/>
        <w:gridCol w:w="2431"/>
        <w:gridCol w:w="1158"/>
      </w:tblGrid>
      <w:tr w14:paraId="2948CFDF">
        <w:tblPrEx>
          <w:tblCellMar>
            <w:top w:w="0" w:type="dxa"/>
            <w:left w:w="0" w:type="dxa"/>
            <w:bottom w:w="0" w:type="dxa"/>
            <w:right w:w="0" w:type="dxa"/>
          </w:tblCellMar>
        </w:tblPrEx>
        <w:trPr>
          <w:trHeight w:val="701" w:hRule="atLeast"/>
        </w:trPr>
        <w:tc>
          <w:tcPr>
            <w:tcW w:w="553"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662BB39D">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461" w:type="pct"/>
            <w:tcBorders>
              <w:top w:val="single" w:color="000000" w:sz="8" w:space="0"/>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14:paraId="61E3C1D8">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食品大类（一级）</w:t>
            </w:r>
          </w:p>
        </w:tc>
        <w:tc>
          <w:tcPr>
            <w:tcW w:w="467" w:type="pct"/>
            <w:gridSpan w:val="2"/>
            <w:tcBorders>
              <w:top w:val="single" w:color="000000" w:sz="8" w:space="0"/>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14:paraId="297A67BE">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食品亚类（二级）</w:t>
            </w:r>
          </w:p>
        </w:tc>
        <w:tc>
          <w:tcPr>
            <w:tcW w:w="578" w:type="pct"/>
            <w:tcBorders>
              <w:top w:val="single" w:color="000000" w:sz="8" w:space="0"/>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3453432D">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食品品种（三级）</w:t>
            </w:r>
          </w:p>
        </w:tc>
        <w:tc>
          <w:tcPr>
            <w:tcW w:w="625" w:type="pct"/>
            <w:tcBorders>
              <w:top w:val="single" w:color="000000" w:sz="8" w:space="0"/>
              <w:left w:val="nil"/>
              <w:bottom w:val="single" w:color="000000" w:sz="8" w:space="0"/>
              <w:right w:val="single" w:color="000000" w:sz="8" w:space="0"/>
            </w:tcBorders>
            <w:noWrap w:val="0"/>
            <w:tcMar>
              <w:top w:w="15" w:type="dxa"/>
              <w:left w:w="15" w:type="dxa"/>
              <w:bottom w:w="0" w:type="dxa"/>
              <w:right w:w="15" w:type="dxa"/>
            </w:tcMar>
            <w:vAlign w:val="center"/>
          </w:tcPr>
          <w:p w14:paraId="7A3CA5BA">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食品细类</w:t>
            </w:r>
          </w:p>
          <w:p w14:paraId="49BBC1F2">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（四级）</w:t>
            </w:r>
          </w:p>
        </w:tc>
        <w:tc>
          <w:tcPr>
            <w:tcW w:w="459" w:type="pct"/>
            <w:tcBorders>
              <w:top w:val="single" w:color="000000" w:sz="8" w:space="0"/>
              <w:left w:val="nil"/>
              <w:bottom w:val="single" w:color="000000" w:sz="8" w:space="0"/>
              <w:right w:val="single" w:color="000000" w:sz="8" w:space="0"/>
            </w:tcBorders>
            <w:noWrap w:val="0"/>
            <w:tcMar>
              <w:top w:w="15" w:type="dxa"/>
              <w:left w:w="15" w:type="dxa"/>
              <w:bottom w:w="0" w:type="dxa"/>
              <w:right w:w="15" w:type="dxa"/>
            </w:tcMar>
            <w:vAlign w:val="center"/>
          </w:tcPr>
          <w:p w14:paraId="1C2AA7AC">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检验项目</w:t>
            </w:r>
          </w:p>
        </w:tc>
        <w:tc>
          <w:tcPr>
            <w:tcW w:w="1257" w:type="pct"/>
            <w:tcBorders>
              <w:top w:val="single" w:color="000000" w:sz="8" w:space="0"/>
              <w:left w:val="nil"/>
              <w:bottom w:val="single" w:color="000000" w:sz="8" w:space="0"/>
              <w:right w:val="single" w:color="000000" w:sz="8" w:space="0"/>
            </w:tcBorders>
            <w:noWrap w:val="0"/>
            <w:tcMar>
              <w:top w:w="15" w:type="dxa"/>
              <w:left w:w="15" w:type="dxa"/>
              <w:bottom w:w="0" w:type="dxa"/>
              <w:right w:w="15" w:type="dxa"/>
            </w:tcMar>
            <w:vAlign w:val="center"/>
          </w:tcPr>
          <w:p w14:paraId="52B61123">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是否具备检验资质</w:t>
            </w:r>
          </w:p>
          <w:p w14:paraId="30C241CB">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(□涂黑或打勾：■，</w:t>
            </w:r>
            <w:r>
              <w:rPr>
                <w:rFonts w:ascii="Segoe UI Symbol" w:hAnsi="Segoe UI Symbol" w:cs="Segoe UI Symbol"/>
                <w:b/>
                <w:color w:val="auto"/>
                <w:szCs w:val="21"/>
                <w:highlight w:val="none"/>
              </w:rPr>
              <w:t>☑</w:t>
            </w:r>
            <w:r>
              <w:rPr>
                <w:rFonts w:hint="eastAsia" w:ascii="宋体" w:hAnsi="宋体" w:cs="宋体"/>
                <w:b/>
                <w:color w:val="auto"/>
                <w:szCs w:val="21"/>
                <w:highlight w:val="none"/>
              </w:rPr>
              <w:t>)</w:t>
            </w:r>
          </w:p>
        </w:tc>
        <w:tc>
          <w:tcPr>
            <w:tcW w:w="597" w:type="pct"/>
            <w:tcBorders>
              <w:top w:val="single" w:color="000000" w:sz="8" w:space="0"/>
              <w:left w:val="nil"/>
              <w:bottom w:val="single" w:color="000000" w:sz="8" w:space="0"/>
              <w:right w:val="single" w:color="000000" w:sz="8" w:space="0"/>
            </w:tcBorders>
            <w:noWrap w:val="0"/>
            <w:tcMar>
              <w:top w:w="15" w:type="dxa"/>
              <w:left w:w="15" w:type="dxa"/>
              <w:bottom w:w="0" w:type="dxa"/>
              <w:right w:w="15" w:type="dxa"/>
            </w:tcMar>
            <w:vAlign w:val="center"/>
          </w:tcPr>
          <w:p w14:paraId="2965DDB3">
            <w:pPr>
              <w:spacing w:line="360" w:lineRule="atLeast"/>
              <w:jc w:val="center"/>
              <w:rPr>
                <w:rFonts w:hint="eastAsia" w:ascii="宋体" w:hAnsi="宋体" w:cs="宋体"/>
                <w:b/>
                <w:color w:val="auto"/>
                <w:szCs w:val="21"/>
                <w:highlight w:val="none"/>
              </w:rPr>
            </w:pPr>
            <w:r>
              <w:rPr>
                <w:rFonts w:hint="eastAsia" w:ascii="宋体" w:hAnsi="宋体" w:cs="宋体"/>
                <w:b/>
                <w:color w:val="auto"/>
                <w:szCs w:val="21"/>
                <w:highlight w:val="none"/>
              </w:rPr>
              <w:t>备注</w:t>
            </w:r>
          </w:p>
        </w:tc>
      </w:tr>
      <w:tr w14:paraId="376291BC">
        <w:tblPrEx>
          <w:tblCellMar>
            <w:top w:w="0" w:type="dxa"/>
            <w:left w:w="0" w:type="dxa"/>
            <w:bottom w:w="0" w:type="dxa"/>
            <w:right w:w="0" w:type="dxa"/>
          </w:tblCellMar>
        </w:tblPrEx>
        <w:trPr>
          <w:trHeight w:val="767" w:hRule="atLeast"/>
        </w:trPr>
        <w:tc>
          <w:tcPr>
            <w:tcW w:w="553" w:type="pct"/>
            <w:tcBorders>
              <w:top w:val="nil"/>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665CDD3E">
            <w:pPr>
              <w:spacing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61" w:type="pct"/>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288E8E93">
            <w:pPr>
              <w:widowControl/>
              <w:spacing w:line="360" w:lineRule="atLeast"/>
              <w:jc w:val="center"/>
              <w:rPr>
                <w:rFonts w:hint="eastAsia" w:ascii="宋体" w:hAnsi="宋体" w:cs="宋体"/>
                <w:color w:val="auto"/>
                <w:kern w:val="0"/>
                <w:szCs w:val="21"/>
                <w:highlight w:val="none"/>
              </w:rPr>
            </w:pPr>
          </w:p>
        </w:tc>
        <w:tc>
          <w:tcPr>
            <w:tcW w:w="467" w:type="pct"/>
            <w:gridSpan w:val="2"/>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46C7755D">
            <w:pPr>
              <w:widowControl/>
              <w:spacing w:line="360" w:lineRule="atLeast"/>
              <w:jc w:val="center"/>
              <w:rPr>
                <w:rFonts w:hint="eastAsia" w:ascii="宋体" w:hAnsi="宋体" w:cs="宋体"/>
                <w:color w:val="auto"/>
                <w:kern w:val="0"/>
                <w:szCs w:val="21"/>
                <w:highlight w:val="none"/>
              </w:rPr>
            </w:pPr>
          </w:p>
        </w:tc>
        <w:tc>
          <w:tcPr>
            <w:tcW w:w="578" w:type="pct"/>
            <w:tcBorders>
              <w:top w:val="nil"/>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1DF7BE61">
            <w:pPr>
              <w:widowControl/>
              <w:spacing w:line="360" w:lineRule="atLeast"/>
              <w:jc w:val="center"/>
              <w:rPr>
                <w:rFonts w:hint="eastAsia" w:ascii="宋体" w:hAnsi="宋体" w:cs="宋体"/>
                <w:color w:val="auto"/>
                <w:kern w:val="0"/>
                <w:szCs w:val="21"/>
                <w:highlight w:val="none"/>
              </w:rPr>
            </w:pPr>
          </w:p>
        </w:tc>
        <w:tc>
          <w:tcPr>
            <w:tcW w:w="625"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5E0CDCEF">
            <w:pPr>
              <w:widowControl/>
              <w:spacing w:line="360" w:lineRule="atLeast"/>
              <w:jc w:val="center"/>
              <w:rPr>
                <w:rFonts w:hint="eastAsia" w:ascii="宋体" w:hAnsi="宋体" w:cs="宋体"/>
                <w:color w:val="auto"/>
                <w:kern w:val="0"/>
                <w:szCs w:val="21"/>
                <w:highlight w:val="none"/>
              </w:rPr>
            </w:pPr>
          </w:p>
        </w:tc>
        <w:tc>
          <w:tcPr>
            <w:tcW w:w="459"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4B873113">
            <w:pPr>
              <w:widowControl/>
              <w:spacing w:line="360" w:lineRule="atLeast"/>
              <w:jc w:val="center"/>
              <w:rPr>
                <w:rFonts w:hint="eastAsia" w:ascii="宋体" w:hAnsi="宋体" w:cs="宋体"/>
                <w:color w:val="auto"/>
                <w:kern w:val="0"/>
                <w:szCs w:val="21"/>
                <w:highlight w:val="none"/>
              </w:rPr>
            </w:pPr>
          </w:p>
        </w:tc>
        <w:tc>
          <w:tcPr>
            <w:tcW w:w="125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1810F8A1">
            <w:pPr>
              <w:widowControl/>
              <w:spacing w:line="360" w:lineRule="atLeast"/>
              <w:jc w:val="center"/>
              <w:rPr>
                <w:rFonts w:hint="eastAsia" w:ascii="宋体" w:hAnsi="宋体" w:cs="宋体"/>
                <w:color w:val="auto"/>
                <w:kern w:val="0"/>
                <w:szCs w:val="21"/>
                <w:highlight w:val="none"/>
              </w:rPr>
            </w:pPr>
          </w:p>
        </w:tc>
        <w:tc>
          <w:tcPr>
            <w:tcW w:w="59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4B4DC420">
            <w:pPr>
              <w:widowControl/>
              <w:spacing w:line="360" w:lineRule="atLeast"/>
              <w:jc w:val="left"/>
              <w:rPr>
                <w:rFonts w:hint="eastAsia" w:ascii="宋体" w:hAnsi="宋体" w:cs="宋体"/>
                <w:color w:val="auto"/>
                <w:kern w:val="0"/>
                <w:szCs w:val="21"/>
                <w:highlight w:val="none"/>
              </w:rPr>
            </w:pPr>
          </w:p>
        </w:tc>
      </w:tr>
      <w:tr w14:paraId="54581C86">
        <w:tblPrEx>
          <w:tblCellMar>
            <w:top w:w="0" w:type="dxa"/>
            <w:left w:w="0" w:type="dxa"/>
            <w:bottom w:w="0" w:type="dxa"/>
            <w:right w:w="0" w:type="dxa"/>
          </w:tblCellMar>
        </w:tblPrEx>
        <w:trPr>
          <w:trHeight w:val="767" w:hRule="atLeast"/>
        </w:trPr>
        <w:tc>
          <w:tcPr>
            <w:tcW w:w="553" w:type="pct"/>
            <w:tcBorders>
              <w:top w:val="nil"/>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3DD60706">
            <w:pPr>
              <w:spacing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461" w:type="pct"/>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2326A9BF">
            <w:pPr>
              <w:widowControl/>
              <w:spacing w:line="360" w:lineRule="atLeast"/>
              <w:jc w:val="center"/>
              <w:rPr>
                <w:rFonts w:hint="eastAsia" w:ascii="宋体" w:hAnsi="宋体" w:cs="宋体"/>
                <w:color w:val="auto"/>
                <w:kern w:val="0"/>
                <w:szCs w:val="21"/>
                <w:highlight w:val="none"/>
              </w:rPr>
            </w:pPr>
          </w:p>
        </w:tc>
        <w:tc>
          <w:tcPr>
            <w:tcW w:w="467" w:type="pct"/>
            <w:gridSpan w:val="2"/>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299DABDB">
            <w:pPr>
              <w:widowControl/>
              <w:spacing w:line="360" w:lineRule="atLeast"/>
              <w:jc w:val="center"/>
              <w:rPr>
                <w:rFonts w:hint="eastAsia" w:ascii="宋体" w:hAnsi="宋体" w:cs="宋体"/>
                <w:color w:val="auto"/>
                <w:kern w:val="0"/>
                <w:szCs w:val="21"/>
                <w:highlight w:val="none"/>
              </w:rPr>
            </w:pPr>
          </w:p>
        </w:tc>
        <w:tc>
          <w:tcPr>
            <w:tcW w:w="578" w:type="pct"/>
            <w:tcBorders>
              <w:top w:val="nil"/>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081A3956">
            <w:pPr>
              <w:widowControl/>
              <w:spacing w:line="360" w:lineRule="atLeast"/>
              <w:jc w:val="center"/>
              <w:rPr>
                <w:rFonts w:hint="eastAsia" w:ascii="宋体" w:hAnsi="宋体" w:cs="宋体"/>
                <w:color w:val="auto"/>
                <w:kern w:val="0"/>
                <w:szCs w:val="21"/>
                <w:highlight w:val="none"/>
              </w:rPr>
            </w:pPr>
          </w:p>
        </w:tc>
        <w:tc>
          <w:tcPr>
            <w:tcW w:w="625"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542E0745">
            <w:pPr>
              <w:widowControl/>
              <w:spacing w:line="360" w:lineRule="atLeast"/>
              <w:jc w:val="center"/>
              <w:rPr>
                <w:rFonts w:hint="eastAsia" w:ascii="宋体" w:hAnsi="宋体" w:cs="宋体"/>
                <w:color w:val="auto"/>
                <w:kern w:val="0"/>
                <w:szCs w:val="21"/>
                <w:highlight w:val="none"/>
              </w:rPr>
            </w:pPr>
          </w:p>
        </w:tc>
        <w:tc>
          <w:tcPr>
            <w:tcW w:w="459"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1F647886">
            <w:pPr>
              <w:widowControl/>
              <w:spacing w:line="360" w:lineRule="atLeast"/>
              <w:jc w:val="center"/>
              <w:rPr>
                <w:rFonts w:hint="eastAsia" w:ascii="宋体" w:hAnsi="宋体" w:cs="宋体"/>
                <w:color w:val="auto"/>
                <w:kern w:val="0"/>
                <w:szCs w:val="21"/>
                <w:highlight w:val="none"/>
              </w:rPr>
            </w:pPr>
          </w:p>
        </w:tc>
        <w:tc>
          <w:tcPr>
            <w:tcW w:w="125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569E2B6E">
            <w:pPr>
              <w:widowControl/>
              <w:spacing w:line="360" w:lineRule="atLeast"/>
              <w:jc w:val="center"/>
              <w:rPr>
                <w:rFonts w:hint="eastAsia" w:ascii="宋体" w:hAnsi="宋体" w:cs="宋体"/>
                <w:color w:val="auto"/>
                <w:kern w:val="0"/>
                <w:szCs w:val="21"/>
                <w:highlight w:val="none"/>
              </w:rPr>
            </w:pPr>
          </w:p>
        </w:tc>
        <w:tc>
          <w:tcPr>
            <w:tcW w:w="59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0D42C27C">
            <w:pPr>
              <w:widowControl/>
              <w:spacing w:line="360" w:lineRule="atLeast"/>
              <w:jc w:val="left"/>
              <w:rPr>
                <w:rFonts w:hint="eastAsia" w:ascii="宋体" w:hAnsi="宋体" w:cs="宋体"/>
                <w:color w:val="auto"/>
                <w:kern w:val="0"/>
                <w:szCs w:val="21"/>
                <w:highlight w:val="none"/>
              </w:rPr>
            </w:pPr>
          </w:p>
        </w:tc>
      </w:tr>
      <w:tr w14:paraId="1E4C9340">
        <w:tblPrEx>
          <w:tblCellMar>
            <w:top w:w="0" w:type="dxa"/>
            <w:left w:w="0" w:type="dxa"/>
            <w:bottom w:w="0" w:type="dxa"/>
            <w:right w:w="0" w:type="dxa"/>
          </w:tblCellMar>
        </w:tblPrEx>
        <w:trPr>
          <w:trHeight w:val="767" w:hRule="atLeast"/>
        </w:trPr>
        <w:tc>
          <w:tcPr>
            <w:tcW w:w="553" w:type="pct"/>
            <w:tcBorders>
              <w:top w:val="nil"/>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17906F93">
            <w:pPr>
              <w:spacing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62" w:type="pct"/>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72369443">
            <w:pPr>
              <w:widowControl/>
              <w:spacing w:line="360" w:lineRule="atLeast"/>
              <w:jc w:val="center"/>
              <w:rPr>
                <w:rFonts w:hint="eastAsia" w:ascii="宋体" w:hAnsi="宋体" w:cs="宋体"/>
                <w:color w:val="auto"/>
                <w:kern w:val="0"/>
                <w:szCs w:val="21"/>
                <w:highlight w:val="none"/>
              </w:rPr>
            </w:pPr>
          </w:p>
        </w:tc>
        <w:tc>
          <w:tcPr>
            <w:tcW w:w="465" w:type="pct"/>
            <w:gridSpan w:val="2"/>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4CE26AE5">
            <w:pPr>
              <w:widowControl/>
              <w:spacing w:line="360" w:lineRule="atLeast"/>
              <w:jc w:val="center"/>
              <w:rPr>
                <w:rFonts w:hint="eastAsia" w:ascii="宋体" w:hAnsi="宋体" w:cs="宋体"/>
                <w:color w:val="auto"/>
                <w:kern w:val="0"/>
                <w:szCs w:val="21"/>
                <w:highlight w:val="none"/>
              </w:rPr>
            </w:pPr>
          </w:p>
        </w:tc>
        <w:tc>
          <w:tcPr>
            <w:tcW w:w="578" w:type="pct"/>
            <w:tcBorders>
              <w:top w:val="nil"/>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34581518">
            <w:pPr>
              <w:widowControl/>
              <w:spacing w:line="360" w:lineRule="atLeast"/>
              <w:jc w:val="center"/>
              <w:rPr>
                <w:rFonts w:hint="eastAsia" w:ascii="宋体" w:hAnsi="宋体" w:cs="宋体"/>
                <w:color w:val="auto"/>
                <w:kern w:val="0"/>
                <w:szCs w:val="21"/>
                <w:highlight w:val="none"/>
              </w:rPr>
            </w:pPr>
          </w:p>
        </w:tc>
        <w:tc>
          <w:tcPr>
            <w:tcW w:w="625"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7387D614">
            <w:pPr>
              <w:widowControl/>
              <w:spacing w:line="360" w:lineRule="atLeast"/>
              <w:jc w:val="center"/>
              <w:rPr>
                <w:rFonts w:hint="eastAsia" w:ascii="宋体" w:hAnsi="宋体" w:cs="宋体"/>
                <w:color w:val="auto"/>
                <w:kern w:val="0"/>
                <w:szCs w:val="21"/>
                <w:highlight w:val="none"/>
              </w:rPr>
            </w:pPr>
          </w:p>
        </w:tc>
        <w:tc>
          <w:tcPr>
            <w:tcW w:w="459"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6501F2D7">
            <w:pPr>
              <w:widowControl/>
              <w:spacing w:line="360" w:lineRule="atLeast"/>
              <w:jc w:val="center"/>
              <w:rPr>
                <w:rFonts w:hint="eastAsia" w:ascii="宋体" w:hAnsi="宋体" w:cs="宋体"/>
                <w:color w:val="auto"/>
                <w:kern w:val="0"/>
                <w:szCs w:val="21"/>
                <w:highlight w:val="none"/>
              </w:rPr>
            </w:pPr>
          </w:p>
        </w:tc>
        <w:tc>
          <w:tcPr>
            <w:tcW w:w="125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40B82C76">
            <w:pPr>
              <w:widowControl/>
              <w:spacing w:line="360" w:lineRule="atLeast"/>
              <w:jc w:val="center"/>
              <w:rPr>
                <w:rFonts w:hint="eastAsia" w:ascii="宋体" w:hAnsi="宋体" w:cs="宋体"/>
                <w:color w:val="auto"/>
                <w:kern w:val="0"/>
                <w:szCs w:val="21"/>
                <w:highlight w:val="none"/>
              </w:rPr>
            </w:pPr>
          </w:p>
        </w:tc>
        <w:tc>
          <w:tcPr>
            <w:tcW w:w="59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3F483894">
            <w:pPr>
              <w:widowControl/>
              <w:spacing w:line="360" w:lineRule="atLeast"/>
              <w:jc w:val="left"/>
              <w:rPr>
                <w:rFonts w:hint="eastAsia" w:ascii="宋体" w:hAnsi="宋体" w:cs="宋体"/>
                <w:color w:val="auto"/>
                <w:kern w:val="0"/>
                <w:szCs w:val="21"/>
                <w:highlight w:val="none"/>
              </w:rPr>
            </w:pPr>
          </w:p>
        </w:tc>
      </w:tr>
      <w:tr w14:paraId="5C8E2141">
        <w:tblPrEx>
          <w:tblCellMar>
            <w:top w:w="0" w:type="dxa"/>
            <w:left w:w="0" w:type="dxa"/>
            <w:bottom w:w="0" w:type="dxa"/>
            <w:right w:w="0" w:type="dxa"/>
          </w:tblCellMar>
        </w:tblPrEx>
        <w:trPr>
          <w:trHeight w:val="767" w:hRule="atLeast"/>
        </w:trPr>
        <w:tc>
          <w:tcPr>
            <w:tcW w:w="553" w:type="pct"/>
            <w:tcBorders>
              <w:top w:val="nil"/>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21518A1E">
            <w:pPr>
              <w:spacing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462" w:type="pct"/>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3C7DDCCB">
            <w:pPr>
              <w:widowControl/>
              <w:spacing w:line="360" w:lineRule="atLeast"/>
              <w:jc w:val="center"/>
              <w:rPr>
                <w:rFonts w:hint="eastAsia" w:ascii="宋体" w:hAnsi="宋体" w:cs="宋体"/>
                <w:color w:val="auto"/>
                <w:kern w:val="0"/>
                <w:szCs w:val="21"/>
                <w:highlight w:val="none"/>
              </w:rPr>
            </w:pPr>
          </w:p>
        </w:tc>
        <w:tc>
          <w:tcPr>
            <w:tcW w:w="465" w:type="pct"/>
            <w:gridSpan w:val="2"/>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65862419">
            <w:pPr>
              <w:widowControl/>
              <w:spacing w:line="360" w:lineRule="atLeast"/>
              <w:jc w:val="center"/>
              <w:rPr>
                <w:rFonts w:hint="eastAsia" w:ascii="宋体" w:hAnsi="宋体" w:cs="宋体"/>
                <w:color w:val="auto"/>
                <w:kern w:val="0"/>
                <w:szCs w:val="21"/>
                <w:highlight w:val="none"/>
              </w:rPr>
            </w:pPr>
          </w:p>
        </w:tc>
        <w:tc>
          <w:tcPr>
            <w:tcW w:w="578" w:type="pct"/>
            <w:tcBorders>
              <w:top w:val="nil"/>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77EF8531">
            <w:pPr>
              <w:widowControl/>
              <w:spacing w:line="360" w:lineRule="atLeast"/>
              <w:jc w:val="center"/>
              <w:rPr>
                <w:rFonts w:hint="eastAsia" w:ascii="宋体" w:hAnsi="宋体" w:cs="宋体"/>
                <w:color w:val="auto"/>
                <w:kern w:val="0"/>
                <w:szCs w:val="21"/>
                <w:highlight w:val="none"/>
              </w:rPr>
            </w:pPr>
          </w:p>
        </w:tc>
        <w:tc>
          <w:tcPr>
            <w:tcW w:w="625"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7414A9CB">
            <w:pPr>
              <w:widowControl/>
              <w:spacing w:line="360" w:lineRule="atLeast"/>
              <w:jc w:val="center"/>
              <w:rPr>
                <w:rFonts w:hint="eastAsia" w:ascii="宋体" w:hAnsi="宋体" w:cs="宋体"/>
                <w:color w:val="auto"/>
                <w:kern w:val="0"/>
                <w:szCs w:val="21"/>
                <w:highlight w:val="none"/>
              </w:rPr>
            </w:pPr>
          </w:p>
        </w:tc>
        <w:tc>
          <w:tcPr>
            <w:tcW w:w="459"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49E3C584">
            <w:pPr>
              <w:widowControl/>
              <w:spacing w:line="360" w:lineRule="atLeast"/>
              <w:jc w:val="center"/>
              <w:rPr>
                <w:rFonts w:hint="eastAsia" w:ascii="宋体" w:hAnsi="宋体" w:cs="宋体"/>
                <w:color w:val="auto"/>
                <w:kern w:val="0"/>
                <w:szCs w:val="21"/>
                <w:highlight w:val="none"/>
              </w:rPr>
            </w:pPr>
          </w:p>
        </w:tc>
        <w:tc>
          <w:tcPr>
            <w:tcW w:w="125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039D251E">
            <w:pPr>
              <w:widowControl/>
              <w:spacing w:line="360" w:lineRule="atLeast"/>
              <w:jc w:val="center"/>
              <w:rPr>
                <w:rFonts w:hint="eastAsia" w:ascii="宋体" w:hAnsi="宋体" w:cs="宋体"/>
                <w:color w:val="auto"/>
                <w:kern w:val="0"/>
                <w:szCs w:val="21"/>
                <w:highlight w:val="none"/>
              </w:rPr>
            </w:pPr>
          </w:p>
        </w:tc>
        <w:tc>
          <w:tcPr>
            <w:tcW w:w="59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5ABDAFCA">
            <w:pPr>
              <w:widowControl/>
              <w:spacing w:line="360" w:lineRule="atLeast"/>
              <w:jc w:val="left"/>
              <w:rPr>
                <w:rFonts w:hint="eastAsia" w:ascii="宋体" w:hAnsi="宋体" w:cs="宋体"/>
                <w:color w:val="auto"/>
                <w:kern w:val="0"/>
                <w:szCs w:val="21"/>
                <w:highlight w:val="none"/>
              </w:rPr>
            </w:pPr>
          </w:p>
        </w:tc>
      </w:tr>
      <w:tr w14:paraId="333315E9">
        <w:tblPrEx>
          <w:tblCellMar>
            <w:top w:w="0" w:type="dxa"/>
            <w:left w:w="0" w:type="dxa"/>
            <w:bottom w:w="0" w:type="dxa"/>
            <w:right w:w="0" w:type="dxa"/>
          </w:tblCellMar>
        </w:tblPrEx>
        <w:trPr>
          <w:trHeight w:val="767" w:hRule="atLeast"/>
        </w:trPr>
        <w:tc>
          <w:tcPr>
            <w:tcW w:w="553" w:type="pct"/>
            <w:tcBorders>
              <w:top w:val="nil"/>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45330D77">
            <w:pPr>
              <w:spacing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463" w:type="pct"/>
            <w:gridSpan w:val="2"/>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6BF82204">
            <w:pPr>
              <w:widowControl/>
              <w:spacing w:line="360" w:lineRule="atLeast"/>
              <w:jc w:val="center"/>
              <w:rPr>
                <w:rFonts w:hint="eastAsia" w:ascii="宋体" w:hAnsi="宋体" w:cs="宋体"/>
                <w:color w:val="auto"/>
                <w:kern w:val="0"/>
                <w:szCs w:val="21"/>
                <w:highlight w:val="none"/>
              </w:rPr>
            </w:pPr>
          </w:p>
        </w:tc>
        <w:tc>
          <w:tcPr>
            <w:tcW w:w="464" w:type="pct"/>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797F7D98">
            <w:pPr>
              <w:widowControl/>
              <w:spacing w:line="360" w:lineRule="atLeast"/>
              <w:jc w:val="center"/>
              <w:rPr>
                <w:rFonts w:hint="eastAsia" w:ascii="宋体" w:hAnsi="宋体" w:cs="宋体"/>
                <w:color w:val="auto"/>
                <w:kern w:val="0"/>
                <w:szCs w:val="21"/>
                <w:highlight w:val="none"/>
              </w:rPr>
            </w:pPr>
          </w:p>
        </w:tc>
        <w:tc>
          <w:tcPr>
            <w:tcW w:w="578" w:type="pct"/>
            <w:tcBorders>
              <w:top w:val="nil"/>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7B504CB2">
            <w:pPr>
              <w:widowControl/>
              <w:spacing w:line="360" w:lineRule="atLeast"/>
              <w:jc w:val="center"/>
              <w:rPr>
                <w:rFonts w:hint="eastAsia" w:ascii="宋体" w:hAnsi="宋体" w:cs="宋体"/>
                <w:color w:val="auto"/>
                <w:kern w:val="0"/>
                <w:szCs w:val="21"/>
                <w:highlight w:val="none"/>
              </w:rPr>
            </w:pPr>
          </w:p>
        </w:tc>
        <w:tc>
          <w:tcPr>
            <w:tcW w:w="625"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07612467">
            <w:pPr>
              <w:widowControl/>
              <w:spacing w:line="360" w:lineRule="atLeast"/>
              <w:jc w:val="center"/>
              <w:rPr>
                <w:rFonts w:hint="eastAsia" w:ascii="宋体" w:hAnsi="宋体" w:cs="宋体"/>
                <w:color w:val="auto"/>
                <w:kern w:val="0"/>
                <w:szCs w:val="21"/>
                <w:highlight w:val="none"/>
              </w:rPr>
            </w:pPr>
          </w:p>
        </w:tc>
        <w:tc>
          <w:tcPr>
            <w:tcW w:w="459"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08CD1CC9">
            <w:pPr>
              <w:widowControl/>
              <w:spacing w:line="360" w:lineRule="atLeast"/>
              <w:jc w:val="center"/>
              <w:rPr>
                <w:rFonts w:hint="eastAsia" w:ascii="宋体" w:hAnsi="宋体" w:cs="宋体"/>
                <w:color w:val="auto"/>
                <w:kern w:val="0"/>
                <w:szCs w:val="21"/>
                <w:highlight w:val="none"/>
              </w:rPr>
            </w:pPr>
          </w:p>
        </w:tc>
        <w:tc>
          <w:tcPr>
            <w:tcW w:w="125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6D1271FF">
            <w:pPr>
              <w:widowControl/>
              <w:spacing w:line="360" w:lineRule="atLeast"/>
              <w:jc w:val="center"/>
              <w:rPr>
                <w:rFonts w:hint="eastAsia" w:ascii="宋体" w:hAnsi="宋体" w:cs="宋体"/>
                <w:color w:val="auto"/>
                <w:kern w:val="0"/>
                <w:szCs w:val="21"/>
                <w:highlight w:val="none"/>
              </w:rPr>
            </w:pPr>
          </w:p>
        </w:tc>
        <w:tc>
          <w:tcPr>
            <w:tcW w:w="59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5FBC8E7A">
            <w:pPr>
              <w:widowControl/>
              <w:spacing w:line="360" w:lineRule="atLeast"/>
              <w:jc w:val="left"/>
              <w:rPr>
                <w:rFonts w:hint="eastAsia" w:ascii="宋体" w:hAnsi="宋体" w:cs="宋体"/>
                <w:color w:val="auto"/>
                <w:kern w:val="0"/>
                <w:szCs w:val="21"/>
                <w:highlight w:val="none"/>
              </w:rPr>
            </w:pPr>
          </w:p>
        </w:tc>
      </w:tr>
      <w:tr w14:paraId="4E382F1A">
        <w:tblPrEx>
          <w:tblCellMar>
            <w:top w:w="0" w:type="dxa"/>
            <w:left w:w="0" w:type="dxa"/>
            <w:bottom w:w="0" w:type="dxa"/>
            <w:right w:w="0" w:type="dxa"/>
          </w:tblCellMar>
        </w:tblPrEx>
        <w:trPr>
          <w:trHeight w:val="767" w:hRule="atLeast"/>
        </w:trPr>
        <w:tc>
          <w:tcPr>
            <w:tcW w:w="553" w:type="pct"/>
            <w:tcBorders>
              <w:top w:val="nil"/>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7DE1A98B">
            <w:pPr>
              <w:spacing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464" w:type="pct"/>
            <w:gridSpan w:val="2"/>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4FF0FBC6">
            <w:pPr>
              <w:widowControl/>
              <w:spacing w:line="36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464" w:type="pct"/>
            <w:tcBorders>
              <w:top w:val="nil"/>
              <w:left w:val="nil"/>
              <w:bottom w:val="single" w:color="000000" w:sz="8" w:space="0"/>
              <w:right w:val="single" w:color="auto" w:sz="4" w:space="0"/>
            </w:tcBorders>
            <w:noWrap w:val="0"/>
            <w:tcMar>
              <w:top w:w="15" w:type="dxa"/>
              <w:left w:w="15" w:type="dxa"/>
              <w:bottom w:w="0" w:type="dxa"/>
              <w:right w:w="15" w:type="dxa"/>
            </w:tcMar>
            <w:vAlign w:val="center"/>
          </w:tcPr>
          <w:p w14:paraId="2E8F6BD8">
            <w:pPr>
              <w:widowControl/>
              <w:spacing w:line="360" w:lineRule="atLeast"/>
              <w:jc w:val="center"/>
              <w:rPr>
                <w:rFonts w:hint="eastAsia" w:ascii="宋体" w:hAnsi="宋体" w:cs="宋体"/>
                <w:color w:val="auto"/>
                <w:kern w:val="0"/>
                <w:szCs w:val="21"/>
                <w:highlight w:val="none"/>
              </w:rPr>
            </w:pPr>
          </w:p>
        </w:tc>
        <w:tc>
          <w:tcPr>
            <w:tcW w:w="578" w:type="pct"/>
            <w:tcBorders>
              <w:top w:val="nil"/>
              <w:left w:val="single" w:color="auto" w:sz="4" w:space="0"/>
              <w:bottom w:val="single" w:color="000000" w:sz="8" w:space="0"/>
              <w:right w:val="single" w:color="000000" w:sz="8" w:space="0"/>
            </w:tcBorders>
            <w:noWrap w:val="0"/>
            <w:tcMar>
              <w:top w:w="15" w:type="dxa"/>
              <w:left w:w="15" w:type="dxa"/>
              <w:bottom w:w="0" w:type="dxa"/>
              <w:right w:w="15" w:type="dxa"/>
            </w:tcMar>
            <w:vAlign w:val="center"/>
          </w:tcPr>
          <w:p w14:paraId="6FA6948F">
            <w:pPr>
              <w:widowControl/>
              <w:spacing w:line="36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25"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52C5D5EA">
            <w:pPr>
              <w:widowControl/>
              <w:spacing w:line="36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459"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706CC501">
            <w:pPr>
              <w:widowControl/>
              <w:spacing w:line="36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25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73EC5685">
            <w:pPr>
              <w:widowControl/>
              <w:spacing w:line="36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597" w:type="pct"/>
            <w:tcBorders>
              <w:top w:val="nil"/>
              <w:left w:val="nil"/>
              <w:bottom w:val="single" w:color="000000" w:sz="8" w:space="0"/>
              <w:right w:val="single" w:color="000000" w:sz="8" w:space="0"/>
            </w:tcBorders>
            <w:noWrap w:val="0"/>
            <w:tcMar>
              <w:top w:w="15" w:type="dxa"/>
              <w:left w:w="15" w:type="dxa"/>
              <w:bottom w:w="0" w:type="dxa"/>
              <w:right w:w="15" w:type="dxa"/>
            </w:tcMar>
            <w:vAlign w:val="center"/>
          </w:tcPr>
          <w:p w14:paraId="19F33DA7">
            <w:pPr>
              <w:widowControl/>
              <w:spacing w:line="36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r w14:paraId="3183966C">
        <w:tblPrEx>
          <w:tblCellMar>
            <w:top w:w="0" w:type="dxa"/>
            <w:left w:w="0" w:type="dxa"/>
            <w:bottom w:w="0" w:type="dxa"/>
            <w:right w:w="0" w:type="dxa"/>
          </w:tblCellMar>
        </w:tblPrEx>
        <w:trPr>
          <w:trHeight w:val="818" w:hRule="atLeast"/>
        </w:trPr>
        <w:tc>
          <w:tcPr>
            <w:tcW w:w="5000" w:type="pct"/>
            <w:gridSpan w:val="9"/>
            <w:tcBorders>
              <w:top w:val="nil"/>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14:paraId="4116668E">
            <w:pPr>
              <w:spacing w:after="120" w:line="360" w:lineRule="atLeast"/>
              <w:rPr>
                <w:rFonts w:hint="eastAsia" w:ascii="宋体" w:hAnsi="宋体" w:cs="宋体"/>
                <w:color w:val="auto"/>
                <w:szCs w:val="20"/>
                <w:highlight w:val="none"/>
              </w:rPr>
            </w:pPr>
            <w:r>
              <w:rPr>
                <w:rFonts w:hint="eastAsia" w:ascii="宋体" w:hAnsi="宋体" w:cs="宋体"/>
                <w:color w:val="auto"/>
                <w:szCs w:val="20"/>
                <w:highlight w:val="none"/>
              </w:rPr>
              <w:t xml:space="preserve"> 投标人具备资质的检验项目占全部食品细类检验项目中的比例为</w:t>
            </w:r>
            <w:r>
              <w:rPr>
                <w:rFonts w:hint="eastAsia" w:ascii="宋体" w:hAnsi="宋体" w:cs="宋体"/>
                <w:color w:val="auto"/>
                <w:szCs w:val="20"/>
                <w:highlight w:val="none"/>
                <w:u w:val="single"/>
              </w:rPr>
              <w:t xml:space="preserve">     </w:t>
            </w:r>
            <w:r>
              <w:rPr>
                <w:rFonts w:hint="eastAsia" w:ascii="宋体" w:hAnsi="宋体" w:cs="宋体"/>
                <w:color w:val="auto"/>
                <w:szCs w:val="20"/>
                <w:highlight w:val="none"/>
              </w:rPr>
              <w:t xml:space="preserve">%。（全部食品大类检验项目共 </w:t>
            </w:r>
            <w:r>
              <w:rPr>
                <w:rFonts w:hint="eastAsia" w:ascii="宋体" w:hAnsi="宋体" w:cs="宋体"/>
                <w:color w:val="auto"/>
                <w:szCs w:val="20"/>
                <w:highlight w:val="none"/>
                <w:u w:val="single"/>
              </w:rPr>
              <w:t xml:space="preserve">   </w:t>
            </w:r>
            <w:r>
              <w:rPr>
                <w:rFonts w:hint="eastAsia" w:ascii="宋体" w:hAnsi="宋体" w:cs="宋体"/>
                <w:color w:val="auto"/>
                <w:szCs w:val="20"/>
                <w:highlight w:val="none"/>
              </w:rPr>
              <w:t>个，投标人具有</w:t>
            </w:r>
            <w:r>
              <w:rPr>
                <w:rFonts w:hint="eastAsia" w:ascii="宋体" w:hAnsi="宋体" w:cs="宋体"/>
                <w:color w:val="auto"/>
                <w:szCs w:val="20"/>
                <w:highlight w:val="none"/>
                <w:u w:val="single"/>
              </w:rPr>
              <w:t xml:space="preserve">    </w:t>
            </w:r>
            <w:r>
              <w:rPr>
                <w:rFonts w:hint="eastAsia" w:ascii="宋体" w:hAnsi="宋体" w:cs="宋体"/>
                <w:color w:val="auto"/>
                <w:szCs w:val="20"/>
                <w:highlight w:val="none"/>
              </w:rPr>
              <w:t>个检验项目资质中</w:t>
            </w:r>
            <w:r>
              <w:rPr>
                <w:rFonts w:hint="eastAsia" w:ascii="宋体" w:hAnsi="宋体" w:cs="宋体"/>
                <w:color w:val="auto"/>
                <w:szCs w:val="20"/>
                <w:highlight w:val="none"/>
                <w:u w:val="single"/>
              </w:rPr>
              <w:t xml:space="preserve">    </w:t>
            </w:r>
            <w:r>
              <w:rPr>
                <w:rFonts w:hint="eastAsia" w:ascii="宋体" w:hAnsi="宋体" w:cs="宋体"/>
                <w:color w:val="auto"/>
                <w:szCs w:val="20"/>
                <w:highlight w:val="none"/>
              </w:rPr>
              <w:t>个）</w:t>
            </w:r>
          </w:p>
        </w:tc>
      </w:tr>
    </w:tbl>
    <w:p w14:paraId="283398B0">
      <w:pPr>
        <w:snapToGrid w:val="0"/>
        <w:spacing w:before="295" w:after="295"/>
        <w:jc w:val="center"/>
        <w:rPr>
          <w:rFonts w:hint="eastAsia" w:ascii="宋体" w:hAnsi="宋体" w:cs="宋体"/>
          <w:color w:val="auto"/>
          <w:kern w:val="0"/>
          <w:sz w:val="24"/>
          <w:szCs w:val="21"/>
          <w:highlight w:val="none"/>
        </w:rPr>
      </w:pPr>
    </w:p>
    <w:p w14:paraId="6D5304D5">
      <w:pPr>
        <w:snapToGrid w:val="0"/>
        <w:spacing w:line="360" w:lineRule="auto"/>
        <w:ind w:left="-2" w:leftChars="-1" w:right="-817" w:rightChars="-389" w:firstLine="1920" w:firstLineChars="800"/>
        <w:rPr>
          <w:rFonts w:hint="eastAsia" w:ascii="宋体" w:hAnsi="宋体" w:cs="宋体"/>
          <w:color w:val="auto"/>
          <w:sz w:val="24"/>
          <w:highlight w:val="none"/>
        </w:rPr>
      </w:pPr>
      <w:r>
        <w:rPr>
          <w:rFonts w:hint="eastAsia" w:ascii="宋体" w:hAnsi="宋体" w:cs="宋体"/>
          <w:color w:val="auto"/>
          <w:sz w:val="24"/>
          <w:highlight w:val="none"/>
        </w:rPr>
        <w:t xml:space="preserve">法定代表人或者委托代理人（签字或者电子签名）： </w:t>
      </w:r>
    </w:p>
    <w:p w14:paraId="100AC063">
      <w:pPr>
        <w:snapToGrid w:val="0"/>
        <w:spacing w:line="360" w:lineRule="auto"/>
        <w:ind w:left="-3" w:leftChars="-15" w:right="-817" w:rightChars="-389" w:hanging="28" w:hangingChars="12"/>
        <w:rPr>
          <w:rFonts w:hint="eastAsia"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68029411">
      <w:pPr>
        <w:snapToGrid w:val="0"/>
        <w:spacing w:line="360" w:lineRule="auto"/>
        <w:ind w:left="-3" w:leftChars="-15" w:right="-817" w:rightChars="-389" w:hanging="28" w:hangingChars="12"/>
        <w:rPr>
          <w:rFonts w:hint="eastAsia" w:ascii="宋体" w:hAnsi="宋体" w:cs="宋体"/>
          <w:color w:val="auto"/>
          <w:szCs w:val="21"/>
          <w:highlight w:val="none"/>
        </w:rPr>
      </w:pPr>
      <w:r>
        <w:rPr>
          <w:rFonts w:hint="eastAsia" w:ascii="宋体" w:hAnsi="宋体" w:cs="宋体"/>
          <w:color w:val="auto"/>
          <w:sz w:val="24"/>
          <w:highlight w:val="none"/>
        </w:rPr>
        <w:t xml:space="preserve">                                    日期：    年   月   日</w:t>
      </w:r>
    </w:p>
    <w:p w14:paraId="5FC7C1CD">
      <w:pPr>
        <w:spacing w:line="360" w:lineRule="auto"/>
        <w:ind w:firstLine="482" w:firstLineChars="200"/>
        <w:rPr>
          <w:rFonts w:hint="eastAsia" w:ascii="宋体" w:hAnsi="宋体" w:eastAsia="宋体" w:cs="宋体"/>
          <w:b/>
          <w:color w:val="auto"/>
          <w:kern w:val="0"/>
          <w:sz w:val="24"/>
          <w:highlight w:val="none"/>
          <w:lang w:eastAsia="zh-CN"/>
        </w:rPr>
      </w:pPr>
      <w:r>
        <w:rPr>
          <w:rFonts w:hint="eastAsia" w:ascii="宋体" w:hAnsi="宋体" w:cs="宋体"/>
          <w:b/>
          <w:bCs/>
          <w:color w:val="auto"/>
          <w:sz w:val="24"/>
          <w:highlight w:val="none"/>
        </w:rPr>
        <w:br w:type="page"/>
      </w:r>
      <w:bookmarkStart w:id="107" w:name="_Toc11770"/>
      <w:bookmarkStart w:id="108" w:name="_Toc19686837"/>
      <w:r>
        <w:rPr>
          <w:rFonts w:hint="eastAsia" w:ascii="宋体" w:hAnsi="宋体" w:cs="宋体"/>
          <w:b/>
          <w:color w:val="auto"/>
          <w:kern w:val="0"/>
          <w:sz w:val="24"/>
          <w:highlight w:val="none"/>
        </w:rPr>
        <w:t>6.中小企业声明函（如有，按第六章要求格式填写）；</w:t>
      </w:r>
      <w:bookmarkEnd w:id="107"/>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lang w:val="en-US" w:eastAsia="zh-CN"/>
        </w:rPr>
        <w:t>资格文件部分格式同此格式</w:t>
      </w:r>
      <w:r>
        <w:rPr>
          <w:rFonts w:hint="eastAsia" w:ascii="宋体" w:hAnsi="宋体" w:cs="宋体"/>
          <w:b/>
          <w:color w:val="auto"/>
          <w:kern w:val="0"/>
          <w:sz w:val="24"/>
          <w:highlight w:val="none"/>
          <w:lang w:eastAsia="zh-CN"/>
        </w:rPr>
        <w:t>）</w:t>
      </w:r>
    </w:p>
    <w:p w14:paraId="67D3B967">
      <w:pPr>
        <w:snapToGrid w:val="0"/>
        <w:spacing w:line="360" w:lineRule="auto"/>
        <w:ind w:firstLine="482" w:firstLineChars="200"/>
        <w:jc w:val="center"/>
        <w:rPr>
          <w:rFonts w:hint="eastAsia" w:ascii="宋体" w:hAnsi="宋体" w:cs="宋体"/>
          <w:b/>
          <w:bCs/>
          <w:color w:val="auto"/>
          <w:sz w:val="24"/>
          <w:highlight w:val="none"/>
        </w:rPr>
      </w:pPr>
      <w:r>
        <w:rPr>
          <w:rFonts w:hint="eastAsia" w:ascii="宋体" w:hAnsi="宋体" w:cs="宋体"/>
          <w:b/>
          <w:bCs/>
          <w:color w:val="auto"/>
          <w:sz w:val="24"/>
          <w:highlight w:val="none"/>
        </w:rPr>
        <w:t>中小企业声明函（工程、服务）</w:t>
      </w:r>
    </w:p>
    <w:p w14:paraId="569D5460">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（单位名称）的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名称）采购活动，工程的施工单位全部为符合政策要求的中小企业（或者：服务全部由符合政策要求的中小企业承接）。相关企业（含联合体中的中小企业、签订分包意向协议的中小企业）的具体情况如下：</w:t>
      </w:r>
    </w:p>
    <w:p w14:paraId="06C15534">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（标的名称），属于（采购文件中明确的所属行业）</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承建（承接）企业为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（企业名称），从业人员</w:t>
      </w:r>
      <w:r>
        <w:rPr>
          <w:rFonts w:hint="eastAsia" w:ascii="宋体" w:hAnsi="宋体" w:cs="宋体"/>
          <w:color w:val="auto"/>
          <w:sz w:val="24"/>
          <w:highlight w:val="none"/>
          <w:u w:val="single"/>
        </w:rPr>
        <w:tab/>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ab/>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（中型企业、小型企业、微型企业）；</w:t>
      </w:r>
    </w:p>
    <w:p w14:paraId="4A2BD898">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（标的名称），属于（采购文件中明确的所属行业）</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承建（承接）企业为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（企业名称），从业人员</w:t>
      </w:r>
      <w:r>
        <w:rPr>
          <w:rFonts w:hint="eastAsia" w:ascii="宋体" w:hAnsi="宋体" w:cs="宋体"/>
          <w:color w:val="auto"/>
          <w:sz w:val="24"/>
          <w:highlight w:val="none"/>
          <w:u w:val="single"/>
        </w:rPr>
        <w:tab/>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ab/>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（中型企业、小型企业、微型企业）；</w:t>
      </w:r>
    </w:p>
    <w:p w14:paraId="3F71271B">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以上企业，不属于大企业的分支机构，不存在控股股东</w:t>
      </w:r>
    </w:p>
    <w:p w14:paraId="5FB9157D">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为大企业的情形，也不存在与大企业的负责人为同一人的情形。</w:t>
      </w:r>
    </w:p>
    <w:p w14:paraId="54AE3334">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7FC3758B">
      <w:pPr>
        <w:snapToGrid w:val="0"/>
        <w:spacing w:line="360" w:lineRule="auto"/>
        <w:ind w:firstLine="480" w:firstLineChars="200"/>
        <w:jc w:val="left"/>
        <w:rPr>
          <w:rFonts w:hint="eastAsia" w:ascii="宋体" w:hAnsi="宋体" w:cs="宋体"/>
          <w:color w:val="auto"/>
          <w:sz w:val="24"/>
          <w:highlight w:val="none"/>
        </w:rPr>
      </w:pPr>
    </w:p>
    <w:p w14:paraId="68B4808A">
      <w:pPr>
        <w:snapToGrid w:val="0"/>
        <w:spacing w:line="360" w:lineRule="auto"/>
        <w:jc w:val="left"/>
        <w:rPr>
          <w:rFonts w:hint="eastAsia" w:ascii="宋体" w:hAnsi="宋体" w:cs="宋体"/>
          <w:color w:val="auto"/>
          <w:sz w:val="24"/>
          <w:highlight w:val="none"/>
        </w:rPr>
      </w:pPr>
    </w:p>
    <w:p w14:paraId="2B4C855F">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企业名称（CA证书签章）：</w:t>
      </w:r>
    </w:p>
    <w:p w14:paraId="099279C6">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日 期：</w:t>
      </w:r>
    </w:p>
    <w:p w14:paraId="4DBC5333">
      <w:pPr>
        <w:snapToGrid w:val="0"/>
        <w:spacing w:line="360" w:lineRule="auto"/>
        <w:ind w:firstLine="482" w:firstLineChars="200"/>
        <w:jc w:val="left"/>
        <w:rPr>
          <w:rFonts w:hint="eastAsia" w:ascii="宋体" w:hAnsi="宋体" w:cs="宋体"/>
          <w:b/>
          <w:bCs/>
          <w:color w:val="auto"/>
          <w:sz w:val="24"/>
          <w:highlight w:val="none"/>
        </w:rPr>
      </w:pPr>
    </w:p>
    <w:p w14:paraId="09E125C0">
      <w:pPr>
        <w:pStyle w:val="46"/>
        <w:spacing w:line="360" w:lineRule="auto"/>
        <w:ind w:left="0" w:firstLine="480" w:firstLineChars="200"/>
        <w:rPr>
          <w:rFonts w:hint="eastAsia" w:ascii="宋体" w:hAnsi="宋体" w:cs="宋体"/>
          <w:color w:val="auto"/>
          <w:highlight w:val="none"/>
        </w:rPr>
      </w:pPr>
      <w:r>
        <w:rPr>
          <w:rFonts w:hint="eastAsia" w:ascii="宋体" w:hAnsi="宋体" w:cs="宋体"/>
          <w:color w:val="auto"/>
          <w:highlight w:val="none"/>
        </w:rPr>
        <w:t>说明：1、从业人员、营业收入、资产总额填报上一年度数据，无上一年度数据的新成立企业可不填报。</w:t>
      </w:r>
    </w:p>
    <w:p w14:paraId="6E0F16DF">
      <w:pPr>
        <w:pStyle w:val="46"/>
        <w:spacing w:line="360" w:lineRule="auto"/>
        <w:ind w:left="0" w:firstLine="480" w:firstLineChars="200"/>
        <w:rPr>
          <w:rFonts w:hint="eastAsia" w:ascii="宋体" w:hAnsi="宋体" w:cs="宋体"/>
          <w:color w:val="auto"/>
          <w:highlight w:val="none"/>
        </w:rPr>
      </w:pPr>
      <w:r>
        <w:rPr>
          <w:rFonts w:hint="eastAsia" w:ascii="宋体" w:hAnsi="宋体" w:cs="宋体"/>
          <w:color w:val="auto"/>
          <w:highlight w:val="none"/>
        </w:rPr>
        <w:t>2、参加政府采购活动的小型、微型企业应当提供《中小企业声明函》。中标供应商的《中小企业声明函》随成交结果一并公告。</w:t>
      </w:r>
    </w:p>
    <w:p w14:paraId="5E020703">
      <w:pPr>
        <w:pStyle w:val="2"/>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br w:type="page"/>
      </w:r>
    </w:p>
    <w:p w14:paraId="3B8DFCD8">
      <w:pPr>
        <w:spacing w:line="360" w:lineRule="auto"/>
        <w:ind w:firstLine="482" w:firstLineChars="200"/>
        <w:rPr>
          <w:rFonts w:hint="eastAsia" w:ascii="宋体" w:hAnsi="宋体" w:cs="宋体"/>
          <w:b/>
          <w:color w:val="auto"/>
          <w:kern w:val="0"/>
          <w:sz w:val="24"/>
          <w:highlight w:val="none"/>
        </w:rPr>
      </w:pPr>
      <w:bookmarkStart w:id="109" w:name="_Toc11492"/>
      <w:r>
        <w:rPr>
          <w:rFonts w:hint="eastAsia" w:ascii="宋体" w:hAnsi="宋体" w:cs="宋体"/>
          <w:b/>
          <w:color w:val="auto"/>
          <w:kern w:val="0"/>
          <w:sz w:val="24"/>
          <w:highlight w:val="none"/>
        </w:rPr>
        <w:t>7.监狱企业参加政府采购活动时，应当提供由省级以上监狱管理局、戒毒管理局(含新疆生产建设兵团)出具的属于监狱企业的证明文件（如有，按第六章要求格式填写）；</w:t>
      </w:r>
      <w:bookmarkEnd w:id="109"/>
    </w:p>
    <w:p w14:paraId="66E57AE9">
      <w:pPr>
        <w:pStyle w:val="19"/>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6A9F8BC4">
      <w:pPr>
        <w:pStyle w:val="19"/>
        <w:spacing w:line="360" w:lineRule="auto"/>
        <w:ind w:firstLine="482" w:firstLineChars="200"/>
        <w:rPr>
          <w:rFonts w:hint="eastAsia" w:ascii="宋体" w:hAnsi="宋体" w:eastAsia="宋体" w:cs="宋体"/>
          <w:b/>
          <w:color w:val="auto"/>
          <w:sz w:val="24"/>
          <w:szCs w:val="24"/>
          <w:highlight w:val="none"/>
        </w:rPr>
      </w:pPr>
    </w:p>
    <w:p w14:paraId="4322CFB5">
      <w:pPr>
        <w:pStyle w:val="19"/>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说明：中标供应商的监狱企业证明文件随成交结果一并公告。</w:t>
      </w:r>
    </w:p>
    <w:p w14:paraId="69D678C2">
      <w:pPr>
        <w:pStyle w:val="2"/>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br w:type="page"/>
      </w:r>
    </w:p>
    <w:p w14:paraId="4D1CC6A3">
      <w:pPr>
        <w:pStyle w:val="2"/>
        <w:rPr>
          <w:rFonts w:hint="eastAsia" w:ascii="宋体" w:hAnsi="宋体" w:cs="宋体"/>
          <w:b/>
          <w:color w:val="auto"/>
          <w:kern w:val="0"/>
          <w:sz w:val="24"/>
          <w:szCs w:val="24"/>
          <w:highlight w:val="none"/>
        </w:rPr>
      </w:pPr>
    </w:p>
    <w:p w14:paraId="03FCC6CA">
      <w:pPr>
        <w:spacing w:line="360" w:lineRule="auto"/>
        <w:ind w:firstLine="482" w:firstLineChars="200"/>
        <w:rPr>
          <w:rFonts w:hint="eastAsia" w:ascii="宋体" w:hAnsi="宋体" w:cs="宋体"/>
          <w:b/>
          <w:color w:val="auto"/>
          <w:kern w:val="0"/>
          <w:sz w:val="24"/>
          <w:highlight w:val="none"/>
        </w:rPr>
      </w:pPr>
      <w:bookmarkStart w:id="110" w:name="_Toc21269"/>
      <w:r>
        <w:rPr>
          <w:rFonts w:hint="eastAsia" w:ascii="宋体" w:hAnsi="宋体" w:cs="宋体"/>
          <w:b/>
          <w:color w:val="auto"/>
          <w:kern w:val="0"/>
          <w:sz w:val="24"/>
          <w:highlight w:val="none"/>
        </w:rPr>
        <w:t>8.残疾人福利性单位声明函（如有，按第六章要求格式填写）。</w:t>
      </w:r>
      <w:bookmarkEnd w:id="110"/>
    </w:p>
    <w:p w14:paraId="2A309C75">
      <w:pPr>
        <w:spacing w:line="360" w:lineRule="auto"/>
        <w:jc w:val="left"/>
        <w:rPr>
          <w:rFonts w:hint="eastAsia" w:ascii="宋体" w:hAnsi="宋体" w:cs="宋体"/>
          <w:b/>
          <w:color w:val="auto"/>
          <w:spacing w:val="6"/>
          <w:sz w:val="24"/>
          <w:highlight w:val="none"/>
        </w:rPr>
      </w:pPr>
    </w:p>
    <w:p w14:paraId="36CFD66E">
      <w:pPr>
        <w:spacing w:line="360" w:lineRule="auto"/>
        <w:jc w:val="center"/>
        <w:rPr>
          <w:rFonts w:hint="eastAsia" w:ascii="宋体" w:hAnsi="宋体" w:cs="宋体"/>
          <w:b/>
          <w:color w:val="auto"/>
          <w:spacing w:val="6"/>
          <w:sz w:val="24"/>
          <w:highlight w:val="none"/>
        </w:rPr>
      </w:pPr>
      <w:r>
        <w:rPr>
          <w:rFonts w:hint="eastAsia" w:ascii="宋体" w:hAnsi="宋体" w:cs="宋体"/>
          <w:b/>
          <w:color w:val="auto"/>
          <w:spacing w:val="6"/>
          <w:sz w:val="24"/>
          <w:highlight w:val="none"/>
        </w:rPr>
        <w:t>残疾人福利性单位声明函</w:t>
      </w:r>
    </w:p>
    <w:p w14:paraId="00F3738B">
      <w:pPr>
        <w:spacing w:line="360" w:lineRule="auto"/>
        <w:rPr>
          <w:rFonts w:hint="eastAsia" w:ascii="宋体" w:hAnsi="宋体" w:cs="宋体"/>
          <w:b/>
          <w:color w:val="auto"/>
          <w:spacing w:val="6"/>
          <w:sz w:val="24"/>
          <w:highlight w:val="none"/>
        </w:rPr>
      </w:pPr>
    </w:p>
    <w:p w14:paraId="3188FC1F">
      <w:pPr>
        <w:spacing w:line="360" w:lineRule="auto"/>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w:t>
      </w:r>
      <w:r>
        <w:rPr>
          <w:rFonts w:hint="eastAsia" w:ascii="宋体" w:hAnsi="宋体" w:cs="宋体"/>
          <w:color w:val="auto"/>
          <w:kern w:val="0"/>
          <w:sz w:val="24"/>
          <w:highlight w:val="none"/>
          <w:u w:val="single"/>
        </w:rPr>
        <w:t xml:space="preserve">     </w:t>
      </w:r>
      <w:r>
        <w:rPr>
          <w:rFonts w:hint="eastAsia" w:ascii="宋体" w:hAnsi="宋体" w:cs="宋体"/>
          <w:color w:val="auto"/>
          <w:spacing w:val="6"/>
          <w:sz w:val="24"/>
          <w:highlight w:val="none"/>
        </w:rPr>
        <w:t>单位的</w:t>
      </w:r>
      <w:r>
        <w:rPr>
          <w:rFonts w:hint="eastAsia" w:ascii="宋体" w:hAnsi="宋体" w:cs="宋体"/>
          <w:color w:val="auto"/>
          <w:kern w:val="0"/>
          <w:sz w:val="24"/>
          <w:highlight w:val="none"/>
          <w:u w:val="single"/>
        </w:rPr>
        <w:t xml:space="preserve">     </w:t>
      </w:r>
      <w:r>
        <w:rPr>
          <w:rFonts w:hint="eastAsia" w:ascii="宋体" w:hAnsi="宋体" w:cs="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14:paraId="205EB25F">
      <w:pPr>
        <w:spacing w:line="360" w:lineRule="auto"/>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5FA127AB">
      <w:pPr>
        <w:spacing w:line="360" w:lineRule="auto"/>
        <w:ind w:firstLine="504" w:firstLineChars="200"/>
        <w:rPr>
          <w:rFonts w:hint="eastAsia" w:ascii="宋体" w:hAnsi="宋体" w:cs="宋体"/>
          <w:color w:val="auto"/>
          <w:spacing w:val="6"/>
          <w:sz w:val="24"/>
          <w:highlight w:val="none"/>
        </w:rPr>
      </w:pPr>
    </w:p>
    <w:p w14:paraId="547CE796">
      <w:pPr>
        <w:spacing w:line="360" w:lineRule="auto"/>
        <w:ind w:firstLine="504" w:firstLineChars="200"/>
        <w:rPr>
          <w:rFonts w:hint="eastAsia" w:ascii="宋体" w:hAnsi="宋体" w:cs="宋体"/>
          <w:color w:val="auto"/>
          <w:spacing w:val="6"/>
          <w:sz w:val="24"/>
          <w:highlight w:val="none"/>
        </w:rPr>
      </w:pPr>
    </w:p>
    <w:p w14:paraId="32045971">
      <w:pPr>
        <w:tabs>
          <w:tab w:val="left" w:pos="4860"/>
        </w:tabs>
        <w:spacing w:line="360" w:lineRule="auto"/>
        <w:ind w:right="1560" w:firstLine="504" w:firstLineChars="200"/>
        <w:jc w:val="center"/>
        <w:rPr>
          <w:rFonts w:hint="eastAsia" w:ascii="宋体" w:hAnsi="宋体" w:cs="宋体"/>
          <w:color w:val="auto"/>
          <w:spacing w:val="6"/>
          <w:sz w:val="24"/>
          <w:highlight w:val="none"/>
        </w:rPr>
      </w:pPr>
      <w:r>
        <w:rPr>
          <w:rFonts w:hint="eastAsia" w:ascii="宋体" w:hAnsi="宋体" w:cs="宋体"/>
          <w:color w:val="auto"/>
          <w:spacing w:val="6"/>
          <w:sz w:val="24"/>
          <w:highlight w:val="none"/>
        </w:rPr>
        <w:t xml:space="preserve">                             单位名称（盖章）：</w:t>
      </w:r>
    </w:p>
    <w:p w14:paraId="486854EE">
      <w:pPr>
        <w:snapToGrid w:val="0"/>
        <w:spacing w:line="360" w:lineRule="auto"/>
        <w:jc w:val="center"/>
        <w:rPr>
          <w:rFonts w:hint="eastAsia" w:ascii="宋体" w:hAnsi="宋体" w:cs="宋体"/>
          <w:color w:val="auto"/>
          <w:spacing w:val="6"/>
          <w:sz w:val="24"/>
          <w:highlight w:val="none"/>
        </w:rPr>
      </w:pPr>
      <w:r>
        <w:rPr>
          <w:rFonts w:hint="eastAsia" w:ascii="宋体" w:hAnsi="宋体" w:cs="宋体"/>
          <w:color w:val="auto"/>
          <w:spacing w:val="6"/>
          <w:sz w:val="24"/>
          <w:highlight w:val="none"/>
        </w:rPr>
        <w:t xml:space="preserve">           日  期：</w:t>
      </w:r>
    </w:p>
    <w:p w14:paraId="2DE55105">
      <w:pPr>
        <w:pStyle w:val="181"/>
        <w:jc w:val="center"/>
        <w:rPr>
          <w:rFonts w:hint="eastAsia" w:ascii="宋体" w:hAnsi="宋体" w:eastAsia="宋体" w:cs="宋体"/>
          <w:color w:val="auto"/>
          <w:highlight w:val="none"/>
        </w:rPr>
      </w:pPr>
      <w:r>
        <w:rPr>
          <w:rFonts w:hint="eastAsia" w:ascii="宋体" w:hAnsi="宋体" w:cs="宋体"/>
          <w:color w:val="auto"/>
          <w:spacing w:val="6"/>
          <w:sz w:val="24"/>
          <w:highlight w:val="none"/>
        </w:rPr>
        <w:br w:type="page"/>
      </w:r>
      <w:r>
        <w:rPr>
          <w:rFonts w:hint="eastAsia" w:ascii="宋体" w:hAnsi="宋体" w:eastAsia="宋体" w:cs="宋体"/>
          <w:b/>
          <w:bCs/>
          <w:color w:val="auto"/>
          <w:sz w:val="33"/>
          <w:szCs w:val="33"/>
          <w:highlight w:val="none"/>
        </w:rPr>
        <w:t>中小微企业划型标准</w:t>
      </w:r>
    </w:p>
    <w:tbl>
      <w:tblPr>
        <w:tblStyle w:val="48"/>
        <w:tblW w:w="924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605"/>
        <w:gridCol w:w="1845"/>
        <w:gridCol w:w="1155"/>
        <w:gridCol w:w="1890"/>
        <w:gridCol w:w="1590"/>
        <w:gridCol w:w="1155"/>
      </w:tblGrid>
      <w:tr w14:paraId="727471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186925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行业名称</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AB853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指标名称</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00F33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计量单位</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FDCF7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中型</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9470F4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小型</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FAF1F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微型</w:t>
            </w:r>
          </w:p>
        </w:tc>
      </w:tr>
      <w:tr w14:paraId="6C5549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1BAED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农、林、牧、渔</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C5304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70DF0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77E44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500≤Y&lt;20000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A4A31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50≤Y&lt;500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B48CE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Y&lt;50</w:t>
            </w:r>
          </w:p>
        </w:tc>
      </w:tr>
      <w:tr w14:paraId="5BEAD4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AFDB9E">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工业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7B606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2D943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228A8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300≤X&lt;1000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8A9D5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20≤X&lt;300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6D263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X&lt;20</w:t>
            </w:r>
          </w:p>
        </w:tc>
      </w:tr>
      <w:tr w14:paraId="44632B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6AA105F6">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44EBD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040B4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96074C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2000≤Y&lt;40000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B3425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300≤Y&lt;2000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3A07ED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Y&lt;300</w:t>
            </w:r>
          </w:p>
        </w:tc>
      </w:tr>
      <w:tr w14:paraId="56E0B0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EC03D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建筑业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27A400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1C25F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3F5CA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6000≤Y&lt;80000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9EFFC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300≤Y&lt;6000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33AF9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Y&lt;300</w:t>
            </w:r>
          </w:p>
        </w:tc>
      </w:tr>
      <w:tr w14:paraId="34144E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320D18DD">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E39CD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资产总额(Z)</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D6500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EBF86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5000≤Z&lt;80000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2E771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300≤Z&lt;5000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0A12C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Z&lt;300</w:t>
            </w:r>
          </w:p>
        </w:tc>
      </w:tr>
      <w:tr w14:paraId="00F40B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AE010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批发业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F0B1C3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D0E1E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863DE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20≤X&lt;200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BE579E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5≤X&lt;20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20750D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X&lt;5</w:t>
            </w:r>
          </w:p>
        </w:tc>
      </w:tr>
      <w:tr w14:paraId="28B204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54B669B3">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99DC1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E2D3C4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A819E1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5000≤Y&lt;40000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BF6858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1000≤Y&lt;5000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785FC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Y&lt;1000</w:t>
            </w:r>
          </w:p>
        </w:tc>
      </w:tr>
      <w:tr w14:paraId="35876D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C7C97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零售业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24BE1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5A84A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9E907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50≤X&lt;300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D9706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10≤X&lt;50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07AD4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r w14:paraId="1F9E49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129C6BD9">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D67E0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60E65D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AD779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500≤Y&lt;20000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9DE097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100≤Y&lt;500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1D5EB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1E388B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70C02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交通运输业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599DBB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945B1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7AD66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300≤X&lt;1000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8FA96C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20≤X&lt;300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5E92D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X&lt;20</w:t>
            </w:r>
          </w:p>
        </w:tc>
      </w:tr>
      <w:tr w14:paraId="2739D5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218C8560">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D62C3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391EB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6E685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3000≤Y&lt;30000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B3E5A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200≤Y&lt;3000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067D3A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Y&lt;200</w:t>
            </w:r>
          </w:p>
        </w:tc>
      </w:tr>
      <w:tr w14:paraId="55A933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8C546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仓储业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EE5C7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CFEB2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A7B59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100≤X&lt;200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946C74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EECC6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X&lt;20</w:t>
            </w:r>
          </w:p>
        </w:tc>
      </w:tr>
      <w:tr w14:paraId="00480F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1227D19A">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8C1D7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2E85B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6E78BC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1000≤Y&lt;30000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9E0F2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100≤Y&lt;1000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279D6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0A3E1D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E5802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邮政业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BCB893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2737A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40A04E">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300≤X&lt;1000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21BC8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20≤X&lt;300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94778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X&lt;20</w:t>
            </w:r>
          </w:p>
        </w:tc>
      </w:tr>
      <w:tr w14:paraId="6F4422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095E2096">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B314C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F0A77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5B42A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2000≤Y&lt;30000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D7310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100≤Y&lt;2000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62D43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400975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FB0A5CE">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住宿业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EB029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6D4F8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1A777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100≤X&lt;300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6C10F2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0EB1A3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r w14:paraId="685315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21E850E8">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FB13C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5DF09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B22EB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2000≤Y&lt;10000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584139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100≤Y&lt;2000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9B1E1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206271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6F305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餐饮业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EC293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ED52C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F3E17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100≤X&lt;300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17B03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F5002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r w14:paraId="06E985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44051194">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796E4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8695B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8DDA0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2000≤Y&lt;10000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99692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100≤Y&lt;2000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14DDC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3E570B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E156A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信息传输业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D5002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10C0FE">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89049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100≤X&lt;2000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346B9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BECD3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r w14:paraId="54EEE5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301EA3E2">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39033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25ED8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89F76A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1000≤Y&lt;100000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007C3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100≤Y&lt;1000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B37FB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27DA41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F60A6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软件和信息</w:t>
            </w:r>
            <w:r>
              <w:rPr>
                <w:rFonts w:hint="eastAsia" w:ascii="宋体" w:hAnsi="宋体" w:eastAsia="宋体" w:cs="宋体"/>
                <w:color w:val="auto"/>
                <w:highlight w:val="none"/>
              </w:rPr>
              <w:t xml:space="preserve"> </w:t>
            </w:r>
            <w:r>
              <w:rPr>
                <w:rFonts w:hint="eastAsia" w:ascii="宋体" w:hAnsi="宋体" w:eastAsia="宋体" w:cs="宋体"/>
                <w:b/>
                <w:bCs/>
                <w:color w:val="auto"/>
                <w:highlight w:val="none"/>
              </w:rPr>
              <w:t>技术服务业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2517E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F28C6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08B5C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100≤X&lt;300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9D6EF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BA66B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r w14:paraId="5CD434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6113618E">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ECCEB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C89F1E">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8FC64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1000≤Y&lt;10000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16A6E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50≤Y&lt;1000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F0DDF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Y&lt;50</w:t>
            </w:r>
          </w:p>
        </w:tc>
      </w:tr>
      <w:tr w14:paraId="19E9BD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37938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房地产</w:t>
            </w:r>
            <w:r>
              <w:rPr>
                <w:rFonts w:hint="eastAsia" w:ascii="宋体" w:hAnsi="宋体" w:eastAsia="宋体" w:cs="宋体"/>
                <w:color w:val="auto"/>
                <w:highlight w:val="none"/>
              </w:rPr>
              <w:t xml:space="preserve"> </w:t>
            </w:r>
            <w:r>
              <w:rPr>
                <w:rFonts w:hint="eastAsia" w:ascii="宋体" w:hAnsi="宋体" w:eastAsia="宋体" w:cs="宋体"/>
                <w:b/>
                <w:bCs/>
                <w:color w:val="auto"/>
                <w:highlight w:val="none"/>
              </w:rPr>
              <w:t>开发经营</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D6055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CD958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30608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1000≤Y&lt;200000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07B8E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100≤X&lt;1000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D1384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X&lt;100</w:t>
            </w:r>
          </w:p>
        </w:tc>
      </w:tr>
      <w:tr w14:paraId="703F18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0B30473A">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9D24E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资产总额(Z)</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57FCD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8A03F7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5000≤Z&lt;10000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9D5FF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2000≤Y&lt;5000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9F49A1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Y&lt;2000</w:t>
            </w:r>
          </w:p>
        </w:tc>
      </w:tr>
      <w:tr w14:paraId="3CBCE2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0D3B5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物业管理</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9A4F4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4E01F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FF2AAD">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300≤X&lt;1000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2AF60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100≤X&lt;300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F0D95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X&lt;100</w:t>
            </w:r>
          </w:p>
        </w:tc>
      </w:tr>
      <w:tr w14:paraId="21726F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5EA4C84D">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B482B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营业收入(Y)</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EADB7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2AEDD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1000≤Y&lt;5000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8A749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500≤Y&lt;1000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FD14A0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Y&lt;500</w:t>
            </w:r>
          </w:p>
        </w:tc>
      </w:tr>
      <w:tr w14:paraId="7D5BDE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021C9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9FF252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6009A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3E38F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100≤X&lt;300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D840C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E052B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r w14:paraId="581E35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noWrap w:val="0"/>
            <w:vAlign w:val="center"/>
          </w:tcPr>
          <w:p w14:paraId="18D1D51C">
            <w:pPr>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FC6B6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资产总额(Z)</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EC01F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B9D6B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8000≤Z&lt;120000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2BAF41">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100≤Z&lt;8000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D2CFDE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Y&lt;100</w:t>
            </w:r>
          </w:p>
        </w:tc>
      </w:tr>
      <w:tr w14:paraId="20F758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92694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
                <w:bCs/>
                <w:color w:val="auto"/>
                <w:highlight w:val="none"/>
              </w:rPr>
              <w:t>其他未列明</w:t>
            </w:r>
            <w:r>
              <w:rPr>
                <w:rFonts w:hint="eastAsia" w:ascii="宋体" w:hAnsi="宋体" w:eastAsia="宋体" w:cs="宋体"/>
                <w:color w:val="auto"/>
                <w:highlight w:val="none"/>
              </w:rPr>
              <w:t xml:space="preserve"> </w:t>
            </w:r>
            <w:r>
              <w:rPr>
                <w:rFonts w:hint="eastAsia" w:ascii="宋体" w:hAnsi="宋体" w:eastAsia="宋体" w:cs="宋体"/>
                <w:b/>
                <w:bCs/>
                <w:color w:val="auto"/>
                <w:highlight w:val="none"/>
              </w:rPr>
              <w:t>行业</w:t>
            </w:r>
          </w:p>
        </w:tc>
        <w:tc>
          <w:tcPr>
            <w:tcW w:w="184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97F40F">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从业人员(X)</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22505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8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D0D14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100≤X&lt;300</w:t>
            </w:r>
          </w:p>
        </w:tc>
        <w:tc>
          <w:tcPr>
            <w:tcW w:w="15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EBD1C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10≤X&lt;100</w:t>
            </w:r>
          </w:p>
        </w:tc>
        <w:tc>
          <w:tcPr>
            <w:tcW w:w="115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DCA63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X&lt;10</w:t>
            </w:r>
          </w:p>
        </w:tc>
      </w:tr>
    </w:tbl>
    <w:p w14:paraId="3282E8D3">
      <w:pPr>
        <w:pStyle w:val="181"/>
        <w:spacing w:line="405" w:lineRule="atLeast"/>
        <w:rPr>
          <w:rFonts w:hint="eastAsia" w:ascii="仿宋_GB2312" w:eastAsia="仿宋_GB2312"/>
          <w:color w:val="auto"/>
          <w:highlight w:val="none"/>
        </w:rPr>
      </w:pPr>
      <w:r>
        <w:rPr>
          <w:rFonts w:hint="eastAsia" w:ascii="宋体" w:hAnsi="宋体" w:eastAsia="宋体" w:cs="宋体"/>
          <w:b/>
          <w:bCs/>
          <w:color w:val="auto"/>
          <w:highlight w:val="none"/>
        </w:rPr>
        <w:t>  说明:上述标准参照《关于印发中小企业划型标准规定的通知》(工信部联企业〔2011〕300号)，大型、中型和小型企业须同时满足所列指标的下限，否则下划一档;微型企业只须满足所列指标中的一项即可。</w:t>
      </w:r>
    </w:p>
    <w:p w14:paraId="6E8BCE74">
      <w:pPr>
        <w:snapToGrid w:val="0"/>
        <w:spacing w:line="360" w:lineRule="auto"/>
        <w:jc w:val="center"/>
        <w:rPr>
          <w:rFonts w:hint="eastAsia" w:ascii="宋体" w:hAnsi="宋体" w:cs="宋体"/>
          <w:color w:val="auto"/>
          <w:sz w:val="24"/>
          <w:highlight w:val="none"/>
        </w:rPr>
      </w:pPr>
      <w:r>
        <w:rPr>
          <w:rFonts w:hint="eastAsia" w:ascii="宋体" w:hAnsi="宋体" w:cs="宋体"/>
          <w:color w:val="auto"/>
          <w:spacing w:val="6"/>
          <w:sz w:val="24"/>
          <w:highlight w:val="none"/>
        </w:rPr>
        <w:br w:type="page"/>
      </w:r>
    </w:p>
    <w:p w14:paraId="103CF4E1">
      <w:pPr>
        <w:rPr>
          <w:rFonts w:hint="eastAsia" w:ascii="宋体" w:hAnsi="宋体" w:cs="宋体"/>
          <w:b/>
          <w:color w:val="auto"/>
          <w:sz w:val="28"/>
          <w:szCs w:val="28"/>
          <w:highlight w:val="none"/>
        </w:rPr>
      </w:pPr>
      <w:r>
        <w:rPr>
          <w:rFonts w:hint="eastAsia" w:ascii="宋体" w:hAnsi="宋体" w:cs="宋体"/>
          <w:b/>
          <w:color w:val="auto"/>
          <w:sz w:val="28"/>
          <w:szCs w:val="28"/>
          <w:highlight w:val="none"/>
        </w:rPr>
        <w:t>二、资格证明文件格式</w:t>
      </w:r>
      <w:bookmarkEnd w:id="105"/>
      <w:bookmarkEnd w:id="106"/>
      <w:bookmarkEnd w:id="108"/>
    </w:p>
    <w:p w14:paraId="726EA3FE">
      <w:pPr>
        <w:numPr>
          <w:ilvl w:val="2"/>
          <w:numId w:val="5"/>
        </w:numPr>
        <w:snapToGrid w:val="0"/>
        <w:spacing w:before="120" w:beforeLines="50" w:after="50" w:line="360" w:lineRule="auto"/>
        <w:ind w:left="0" w:firstLine="0"/>
        <w:jc w:val="left"/>
        <w:rPr>
          <w:rFonts w:hint="eastAsia" w:ascii="宋体" w:hAnsi="宋体" w:cs="宋体"/>
          <w:b/>
          <w:color w:val="auto"/>
          <w:sz w:val="24"/>
          <w:highlight w:val="none"/>
        </w:rPr>
      </w:pPr>
      <w:r>
        <w:rPr>
          <w:rFonts w:hint="eastAsia" w:ascii="宋体" w:hAnsi="宋体" w:cs="宋体"/>
          <w:b/>
          <w:color w:val="auto"/>
          <w:sz w:val="24"/>
          <w:highlight w:val="none"/>
        </w:rPr>
        <w:t xml:space="preserve">资格证明文件封面格式： </w:t>
      </w:r>
    </w:p>
    <w:p w14:paraId="6173BE08">
      <w:pPr>
        <w:snapToGrid w:val="0"/>
        <w:spacing w:before="120" w:beforeLines="50" w:after="50"/>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375FB644">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19946AFA">
      <w:pPr>
        <w:snapToGrid w:val="0"/>
        <w:spacing w:before="120"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资格证明文件</w:t>
      </w:r>
    </w:p>
    <w:p w14:paraId="3D5FC3FC">
      <w:pPr>
        <w:snapToGrid w:val="0"/>
        <w:spacing w:before="120" w:beforeLines="50" w:after="50"/>
        <w:rPr>
          <w:rFonts w:hint="eastAsia" w:ascii="宋体" w:hAnsi="宋体" w:cs="宋体"/>
          <w:bCs/>
          <w:color w:val="auto"/>
          <w:sz w:val="24"/>
          <w:szCs w:val="20"/>
          <w:highlight w:val="none"/>
        </w:rPr>
      </w:pPr>
    </w:p>
    <w:p w14:paraId="6CD7EB43">
      <w:pPr>
        <w:snapToGrid w:val="0"/>
        <w:spacing w:before="120" w:beforeLines="50" w:after="50"/>
        <w:rPr>
          <w:rFonts w:hint="eastAsia" w:ascii="宋体" w:hAnsi="宋体" w:cs="宋体"/>
          <w:bCs/>
          <w:color w:val="auto"/>
          <w:sz w:val="24"/>
          <w:szCs w:val="20"/>
          <w:highlight w:val="none"/>
        </w:rPr>
      </w:pPr>
    </w:p>
    <w:p w14:paraId="769E76B6">
      <w:pPr>
        <w:snapToGrid w:val="0"/>
        <w:spacing w:before="120" w:beforeLines="50" w:after="50"/>
        <w:rPr>
          <w:rFonts w:hint="eastAsia" w:ascii="宋体" w:hAnsi="宋体" w:cs="宋体"/>
          <w:bCs/>
          <w:color w:val="auto"/>
          <w:sz w:val="24"/>
          <w:szCs w:val="20"/>
          <w:highlight w:val="none"/>
        </w:rPr>
      </w:pPr>
    </w:p>
    <w:p w14:paraId="5EB9156D">
      <w:pPr>
        <w:snapToGrid w:val="0"/>
        <w:spacing w:before="120" w:beforeLines="50" w:after="50"/>
        <w:rPr>
          <w:rFonts w:hint="eastAsia" w:ascii="宋体" w:hAnsi="宋体" w:cs="宋体"/>
          <w:bCs/>
          <w:color w:val="auto"/>
          <w:sz w:val="24"/>
          <w:szCs w:val="20"/>
          <w:highlight w:val="none"/>
        </w:rPr>
      </w:pPr>
    </w:p>
    <w:p w14:paraId="44954D73">
      <w:pPr>
        <w:snapToGrid w:val="0"/>
        <w:spacing w:before="120" w:beforeLines="50" w:after="50"/>
        <w:rPr>
          <w:rFonts w:hint="eastAsia" w:ascii="宋体" w:hAnsi="宋体" w:cs="宋体"/>
          <w:bCs/>
          <w:color w:val="auto"/>
          <w:sz w:val="24"/>
          <w:szCs w:val="20"/>
          <w:highlight w:val="none"/>
        </w:rPr>
      </w:pPr>
    </w:p>
    <w:p w14:paraId="04FE0CC5">
      <w:pPr>
        <w:snapToGrid w:val="0"/>
        <w:spacing w:before="120" w:beforeLines="50" w:after="50"/>
        <w:rPr>
          <w:rFonts w:hint="eastAsia" w:ascii="宋体" w:hAnsi="宋体" w:cs="宋体"/>
          <w:bCs/>
          <w:color w:val="auto"/>
          <w:sz w:val="24"/>
          <w:szCs w:val="20"/>
          <w:highlight w:val="none"/>
        </w:rPr>
      </w:pPr>
    </w:p>
    <w:p w14:paraId="21A9F1A5">
      <w:pPr>
        <w:snapToGrid w:val="0"/>
        <w:spacing w:before="120" w:beforeLines="50" w:after="50"/>
        <w:rPr>
          <w:rFonts w:hint="eastAsia" w:ascii="宋体" w:hAnsi="宋体" w:cs="宋体"/>
          <w:bCs/>
          <w:color w:val="auto"/>
          <w:sz w:val="24"/>
          <w:szCs w:val="20"/>
          <w:highlight w:val="none"/>
        </w:rPr>
      </w:pPr>
    </w:p>
    <w:p w14:paraId="0FF3BC3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04A165D6">
      <w:pPr>
        <w:snapToGrid w:val="0"/>
        <w:spacing w:before="120" w:beforeLines="50" w:after="50"/>
        <w:ind w:firstLine="540" w:firstLineChars="225"/>
        <w:rPr>
          <w:rFonts w:hint="eastAsia" w:ascii="宋体" w:hAnsi="宋体" w:cs="宋体"/>
          <w:bCs/>
          <w:color w:val="auto"/>
          <w:sz w:val="24"/>
          <w:szCs w:val="20"/>
          <w:highlight w:val="none"/>
        </w:rPr>
      </w:pPr>
    </w:p>
    <w:p w14:paraId="699B9F21">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75167EA6">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48D91087">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37921DDB">
      <w:pPr>
        <w:pStyle w:val="2"/>
        <w:snapToGrid w:val="0"/>
        <w:spacing w:before="50" w:after="50"/>
        <w:ind w:firstLine="540" w:firstLineChars="225"/>
        <w:rPr>
          <w:rFonts w:hint="eastAsia" w:ascii="宋体" w:hAnsi="宋体" w:cs="宋体"/>
          <w:bCs/>
          <w:color w:val="auto"/>
          <w:sz w:val="24"/>
          <w:szCs w:val="24"/>
          <w:highlight w:val="none"/>
        </w:rPr>
      </w:pPr>
    </w:p>
    <w:p w14:paraId="1BC3BC70">
      <w:pPr>
        <w:pStyle w:val="2"/>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7C844F60">
      <w:pPr>
        <w:pStyle w:val="2"/>
        <w:snapToGrid w:val="0"/>
        <w:spacing w:before="50" w:after="50"/>
        <w:ind w:firstLine="540" w:firstLineChars="225"/>
        <w:rPr>
          <w:rFonts w:hint="eastAsia" w:ascii="宋体" w:hAnsi="宋体" w:cs="宋体"/>
          <w:bCs/>
          <w:color w:val="auto"/>
          <w:sz w:val="24"/>
          <w:szCs w:val="24"/>
          <w:highlight w:val="none"/>
        </w:rPr>
      </w:pPr>
    </w:p>
    <w:p w14:paraId="12884D55">
      <w:pPr>
        <w:pStyle w:val="2"/>
        <w:snapToGrid w:val="0"/>
        <w:spacing w:before="50" w:after="50"/>
        <w:ind w:firstLine="960" w:firstLineChars="400"/>
        <w:rPr>
          <w:rFonts w:hint="eastAsia" w:ascii="宋体" w:hAnsi="宋体" w:cs="宋体"/>
          <w:bCs/>
          <w:color w:val="auto"/>
          <w:sz w:val="24"/>
          <w:szCs w:val="24"/>
          <w:highlight w:val="none"/>
        </w:rPr>
      </w:pPr>
    </w:p>
    <w:p w14:paraId="738D6D52">
      <w:pPr>
        <w:snapToGrid w:val="0"/>
        <w:spacing w:before="120"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年  月  日</w:t>
      </w:r>
    </w:p>
    <w:p w14:paraId="68C2CBBA">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534B3615">
      <w:pPr>
        <w:snapToGrid w:val="0"/>
        <w:spacing w:before="120" w:beforeLines="50" w:after="50"/>
        <w:rPr>
          <w:rFonts w:hint="eastAsia" w:ascii="宋体" w:hAnsi="宋体" w:cs="宋体"/>
          <w:color w:val="auto"/>
          <w:sz w:val="24"/>
          <w:szCs w:val="20"/>
          <w:highlight w:val="none"/>
        </w:rPr>
      </w:pPr>
    </w:p>
    <w:p w14:paraId="7A4263B5">
      <w:pPr>
        <w:numPr>
          <w:ilvl w:val="2"/>
          <w:numId w:val="5"/>
        </w:numPr>
        <w:snapToGrid w:val="0"/>
        <w:spacing w:before="120" w:beforeLines="50" w:after="50" w:line="360" w:lineRule="auto"/>
        <w:ind w:left="0" w:firstLine="0"/>
        <w:jc w:val="left"/>
        <w:rPr>
          <w:rStyle w:val="51"/>
          <w:rFonts w:hint="eastAsia" w:ascii="宋体" w:hAnsi="宋体"/>
          <w:color w:val="auto"/>
          <w:highlight w:val="none"/>
        </w:rPr>
      </w:pPr>
      <w:r>
        <w:rPr>
          <w:rFonts w:hint="eastAsia" w:ascii="宋体" w:hAnsi="宋体" w:cs="宋体"/>
          <w:b/>
          <w:bCs/>
          <w:color w:val="auto"/>
          <w:sz w:val="24"/>
          <w:highlight w:val="none"/>
        </w:rPr>
        <w:br w:type="page"/>
      </w:r>
      <w:r>
        <w:rPr>
          <w:rStyle w:val="51"/>
          <w:rFonts w:hint="eastAsia" w:ascii="宋体" w:hAnsi="宋体"/>
          <w:color w:val="auto"/>
          <w:highlight w:val="none"/>
        </w:rPr>
        <w:t>资格证明文件目录</w:t>
      </w:r>
    </w:p>
    <w:p w14:paraId="5637710A">
      <w:pPr>
        <w:snapToGrid w:val="0"/>
        <w:spacing w:line="360" w:lineRule="auto"/>
        <w:ind w:firstLine="480" w:firstLineChars="200"/>
        <w:jc w:val="left"/>
        <w:rPr>
          <w:rFonts w:hint="eastAsia" w:ascii="宋体" w:hAnsi="宋体" w:cs="宋体"/>
          <w:color w:val="auto"/>
          <w:sz w:val="24"/>
          <w:highlight w:val="none"/>
        </w:rPr>
      </w:pPr>
    </w:p>
    <w:p w14:paraId="6540527D">
      <w:pPr>
        <w:snapToGrid w:val="0"/>
        <w:spacing w:line="360" w:lineRule="auto"/>
        <w:ind w:firstLine="1680" w:firstLineChars="700"/>
        <w:jc w:val="left"/>
        <w:rPr>
          <w:rFonts w:hint="eastAsia" w:ascii="宋体" w:hAnsi="宋体" w:cs="宋体"/>
          <w:color w:val="auto"/>
          <w:sz w:val="24"/>
          <w:highlight w:val="none"/>
        </w:rPr>
      </w:pPr>
      <w:r>
        <w:rPr>
          <w:rFonts w:hint="eastAsia" w:ascii="宋体" w:hAnsi="宋体" w:cs="宋体"/>
          <w:color w:val="auto"/>
          <w:sz w:val="24"/>
          <w:highlight w:val="none"/>
        </w:rPr>
        <w:t>根据招标文件规定及投标人提供的材料自行编写目录。</w:t>
      </w:r>
    </w:p>
    <w:p w14:paraId="3BB9E540">
      <w:pPr>
        <w:snapToGrid w:val="0"/>
        <w:spacing w:before="50" w:after="120" w:afterLines="50"/>
        <w:jc w:val="left"/>
        <w:rPr>
          <w:rFonts w:hint="eastAsia" w:ascii="宋体" w:hAnsi="宋体" w:cs="宋体"/>
          <w:color w:val="auto"/>
          <w:sz w:val="24"/>
          <w:highlight w:val="none"/>
        </w:rPr>
      </w:pPr>
    </w:p>
    <w:p w14:paraId="265F039F">
      <w:pPr>
        <w:snapToGrid w:val="0"/>
        <w:spacing w:before="50" w:after="120" w:afterLines="50"/>
        <w:jc w:val="left"/>
        <w:rPr>
          <w:rFonts w:hint="eastAsia" w:ascii="宋体" w:hAnsi="宋体" w:cs="宋体"/>
          <w:color w:val="auto"/>
          <w:sz w:val="24"/>
          <w:highlight w:val="none"/>
        </w:rPr>
      </w:pPr>
    </w:p>
    <w:p w14:paraId="37D8620C">
      <w:pPr>
        <w:numPr>
          <w:ilvl w:val="2"/>
          <w:numId w:val="5"/>
        </w:numPr>
        <w:snapToGrid w:val="0"/>
        <w:spacing w:before="120" w:beforeLines="50" w:after="50"/>
        <w:ind w:left="0" w:firstLine="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8"/>
          <w:szCs w:val="28"/>
          <w:highlight w:val="none"/>
        </w:rPr>
        <w:t>投标人直接控股、管理关系信息表</w:t>
      </w:r>
    </w:p>
    <w:p w14:paraId="0824932E">
      <w:pPr>
        <w:snapToGrid w:val="0"/>
        <w:spacing w:before="50" w:after="120" w:afterLines="50"/>
        <w:jc w:val="center"/>
        <w:rPr>
          <w:rFonts w:hint="eastAsia" w:ascii="宋体" w:hAnsi="宋体" w:cs="宋体"/>
          <w:b/>
          <w:color w:val="auto"/>
          <w:sz w:val="28"/>
          <w:szCs w:val="28"/>
          <w:highlight w:val="none"/>
        </w:rPr>
      </w:pPr>
    </w:p>
    <w:p w14:paraId="5ED4C4B1">
      <w:pPr>
        <w:snapToGrid w:val="0"/>
        <w:spacing w:before="50" w:after="120" w:afterLines="50"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投标人直接控股股东信息表</w:t>
      </w:r>
    </w:p>
    <w:tbl>
      <w:tblPr>
        <w:tblStyle w:val="48"/>
        <w:tblW w:w="5000" w:type="pct"/>
        <w:tblInd w:w="0" w:type="dxa"/>
        <w:tblLayout w:type="autofit"/>
        <w:tblCellMar>
          <w:top w:w="0" w:type="dxa"/>
          <w:left w:w="0" w:type="dxa"/>
          <w:bottom w:w="0" w:type="dxa"/>
          <w:right w:w="0" w:type="dxa"/>
        </w:tblCellMar>
      </w:tblPr>
      <w:tblGrid>
        <w:gridCol w:w="864"/>
        <w:gridCol w:w="2634"/>
        <w:gridCol w:w="1442"/>
        <w:gridCol w:w="3460"/>
        <w:gridCol w:w="1478"/>
      </w:tblGrid>
      <w:tr w14:paraId="456D0259">
        <w:tblPrEx>
          <w:tblCellMar>
            <w:top w:w="0" w:type="dxa"/>
            <w:left w:w="0" w:type="dxa"/>
            <w:bottom w:w="0" w:type="dxa"/>
            <w:right w:w="0" w:type="dxa"/>
          </w:tblCellMar>
        </w:tblPrEx>
        <w:trPr>
          <w:tblHeader/>
        </w:trPr>
        <w:tc>
          <w:tcPr>
            <w:tcW w:w="43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2334989">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B0EE20B">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730"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15A66D5">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175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8428D04">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748"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C38A642">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BD3E85B">
        <w:tblPrEx>
          <w:tblCellMar>
            <w:top w:w="0" w:type="dxa"/>
            <w:left w:w="0" w:type="dxa"/>
            <w:bottom w:w="0" w:type="dxa"/>
            <w:right w:w="0" w:type="dxa"/>
          </w:tblCellMar>
        </w:tblPrEx>
        <w:tc>
          <w:tcPr>
            <w:tcW w:w="43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BDCF4AD">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13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250E534">
            <w:pPr>
              <w:spacing w:line="360" w:lineRule="auto"/>
              <w:jc w:val="center"/>
              <w:rPr>
                <w:rFonts w:hint="eastAsia" w:ascii="宋体" w:hAnsi="宋体" w:cs="宋体"/>
                <w:color w:val="auto"/>
                <w:kern w:val="0"/>
                <w:sz w:val="24"/>
                <w:highlight w:val="none"/>
              </w:rPr>
            </w:pPr>
          </w:p>
        </w:tc>
        <w:tc>
          <w:tcPr>
            <w:tcW w:w="730"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F3812D4">
            <w:pPr>
              <w:spacing w:line="360" w:lineRule="auto"/>
              <w:jc w:val="center"/>
              <w:rPr>
                <w:rFonts w:hint="eastAsia" w:ascii="宋体" w:hAnsi="宋体" w:cs="宋体"/>
                <w:color w:val="auto"/>
                <w:kern w:val="0"/>
                <w:sz w:val="24"/>
                <w:highlight w:val="none"/>
              </w:rPr>
            </w:pPr>
          </w:p>
        </w:tc>
        <w:tc>
          <w:tcPr>
            <w:tcW w:w="175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52C7BD4">
            <w:pPr>
              <w:spacing w:line="360" w:lineRule="auto"/>
              <w:jc w:val="center"/>
              <w:rPr>
                <w:rFonts w:hint="eastAsia" w:ascii="宋体" w:hAnsi="宋体" w:cs="宋体"/>
                <w:color w:val="auto"/>
                <w:kern w:val="0"/>
                <w:sz w:val="24"/>
                <w:highlight w:val="none"/>
              </w:rPr>
            </w:pPr>
          </w:p>
        </w:tc>
        <w:tc>
          <w:tcPr>
            <w:tcW w:w="748"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DB4523C">
            <w:pPr>
              <w:spacing w:line="360" w:lineRule="auto"/>
              <w:jc w:val="center"/>
              <w:rPr>
                <w:rFonts w:hint="eastAsia" w:ascii="宋体" w:hAnsi="宋体" w:cs="宋体"/>
                <w:color w:val="auto"/>
                <w:kern w:val="0"/>
                <w:sz w:val="24"/>
                <w:highlight w:val="none"/>
              </w:rPr>
            </w:pPr>
          </w:p>
        </w:tc>
      </w:tr>
      <w:tr w14:paraId="4534528F">
        <w:tblPrEx>
          <w:tblCellMar>
            <w:top w:w="0" w:type="dxa"/>
            <w:left w:w="0" w:type="dxa"/>
            <w:bottom w:w="0" w:type="dxa"/>
            <w:right w:w="0" w:type="dxa"/>
          </w:tblCellMar>
        </w:tblPrEx>
        <w:tc>
          <w:tcPr>
            <w:tcW w:w="43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9B51572">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13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9297414">
            <w:pPr>
              <w:spacing w:line="360" w:lineRule="auto"/>
              <w:jc w:val="center"/>
              <w:rPr>
                <w:rFonts w:hint="eastAsia" w:ascii="宋体" w:hAnsi="宋体" w:cs="宋体"/>
                <w:color w:val="auto"/>
                <w:kern w:val="0"/>
                <w:sz w:val="24"/>
                <w:highlight w:val="none"/>
              </w:rPr>
            </w:pPr>
          </w:p>
        </w:tc>
        <w:tc>
          <w:tcPr>
            <w:tcW w:w="730"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7741C64">
            <w:pPr>
              <w:spacing w:line="360" w:lineRule="auto"/>
              <w:jc w:val="center"/>
              <w:rPr>
                <w:rFonts w:hint="eastAsia" w:ascii="宋体" w:hAnsi="宋体" w:cs="宋体"/>
                <w:color w:val="auto"/>
                <w:kern w:val="0"/>
                <w:sz w:val="24"/>
                <w:highlight w:val="none"/>
              </w:rPr>
            </w:pPr>
          </w:p>
        </w:tc>
        <w:tc>
          <w:tcPr>
            <w:tcW w:w="175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06279D3">
            <w:pPr>
              <w:spacing w:line="360" w:lineRule="auto"/>
              <w:jc w:val="center"/>
              <w:rPr>
                <w:rFonts w:hint="eastAsia" w:ascii="宋体" w:hAnsi="宋体" w:cs="宋体"/>
                <w:color w:val="auto"/>
                <w:kern w:val="0"/>
                <w:sz w:val="24"/>
                <w:highlight w:val="none"/>
              </w:rPr>
            </w:pPr>
          </w:p>
        </w:tc>
        <w:tc>
          <w:tcPr>
            <w:tcW w:w="748"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3FDD604">
            <w:pPr>
              <w:spacing w:line="360" w:lineRule="auto"/>
              <w:jc w:val="center"/>
              <w:rPr>
                <w:rFonts w:hint="eastAsia" w:ascii="宋体" w:hAnsi="宋体" w:cs="宋体"/>
                <w:color w:val="auto"/>
                <w:kern w:val="0"/>
                <w:sz w:val="24"/>
                <w:highlight w:val="none"/>
              </w:rPr>
            </w:pPr>
          </w:p>
        </w:tc>
      </w:tr>
      <w:tr w14:paraId="7D5C29FD">
        <w:tblPrEx>
          <w:tblCellMar>
            <w:top w:w="0" w:type="dxa"/>
            <w:left w:w="0" w:type="dxa"/>
            <w:bottom w:w="0" w:type="dxa"/>
            <w:right w:w="0" w:type="dxa"/>
          </w:tblCellMar>
        </w:tblPrEx>
        <w:tc>
          <w:tcPr>
            <w:tcW w:w="43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5480A41">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13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31C5D42">
            <w:pPr>
              <w:spacing w:line="360" w:lineRule="auto"/>
              <w:jc w:val="center"/>
              <w:rPr>
                <w:rFonts w:hint="eastAsia" w:ascii="宋体" w:hAnsi="宋体" w:cs="宋体"/>
                <w:color w:val="auto"/>
                <w:kern w:val="0"/>
                <w:sz w:val="24"/>
                <w:highlight w:val="none"/>
              </w:rPr>
            </w:pPr>
          </w:p>
        </w:tc>
        <w:tc>
          <w:tcPr>
            <w:tcW w:w="730"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076DD2D">
            <w:pPr>
              <w:spacing w:line="360" w:lineRule="auto"/>
              <w:jc w:val="center"/>
              <w:rPr>
                <w:rFonts w:hint="eastAsia" w:ascii="宋体" w:hAnsi="宋体" w:cs="宋体"/>
                <w:color w:val="auto"/>
                <w:kern w:val="0"/>
                <w:sz w:val="24"/>
                <w:highlight w:val="none"/>
              </w:rPr>
            </w:pPr>
          </w:p>
        </w:tc>
        <w:tc>
          <w:tcPr>
            <w:tcW w:w="175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93DD7CB">
            <w:pPr>
              <w:spacing w:line="360" w:lineRule="auto"/>
              <w:jc w:val="center"/>
              <w:rPr>
                <w:rFonts w:hint="eastAsia" w:ascii="宋体" w:hAnsi="宋体" w:cs="宋体"/>
                <w:color w:val="auto"/>
                <w:kern w:val="0"/>
                <w:sz w:val="24"/>
                <w:highlight w:val="none"/>
              </w:rPr>
            </w:pPr>
          </w:p>
        </w:tc>
        <w:tc>
          <w:tcPr>
            <w:tcW w:w="748"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AE7DD23">
            <w:pPr>
              <w:spacing w:line="360" w:lineRule="auto"/>
              <w:jc w:val="center"/>
              <w:rPr>
                <w:rFonts w:hint="eastAsia" w:ascii="宋体" w:hAnsi="宋体" w:cs="宋体"/>
                <w:color w:val="auto"/>
                <w:kern w:val="0"/>
                <w:sz w:val="24"/>
                <w:highlight w:val="none"/>
              </w:rPr>
            </w:pPr>
          </w:p>
        </w:tc>
      </w:tr>
      <w:tr w14:paraId="5F0DD6BA">
        <w:tblPrEx>
          <w:tblCellMar>
            <w:top w:w="0" w:type="dxa"/>
            <w:left w:w="0" w:type="dxa"/>
            <w:bottom w:w="0" w:type="dxa"/>
            <w:right w:w="0" w:type="dxa"/>
          </w:tblCellMar>
        </w:tblPrEx>
        <w:tc>
          <w:tcPr>
            <w:tcW w:w="43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A7109A5">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13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9906AA8">
            <w:pPr>
              <w:spacing w:line="360" w:lineRule="auto"/>
              <w:jc w:val="center"/>
              <w:rPr>
                <w:rFonts w:hint="eastAsia" w:ascii="宋体" w:hAnsi="宋体" w:cs="宋体"/>
                <w:color w:val="auto"/>
                <w:kern w:val="0"/>
                <w:sz w:val="24"/>
                <w:highlight w:val="none"/>
              </w:rPr>
            </w:pPr>
          </w:p>
        </w:tc>
        <w:tc>
          <w:tcPr>
            <w:tcW w:w="730"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197FF72">
            <w:pPr>
              <w:spacing w:line="360" w:lineRule="auto"/>
              <w:jc w:val="center"/>
              <w:rPr>
                <w:rFonts w:hint="eastAsia" w:ascii="宋体" w:hAnsi="宋体" w:cs="宋体"/>
                <w:color w:val="auto"/>
                <w:kern w:val="0"/>
                <w:sz w:val="24"/>
                <w:highlight w:val="none"/>
              </w:rPr>
            </w:pPr>
          </w:p>
        </w:tc>
        <w:tc>
          <w:tcPr>
            <w:tcW w:w="175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360F925">
            <w:pPr>
              <w:spacing w:line="360" w:lineRule="auto"/>
              <w:jc w:val="center"/>
              <w:rPr>
                <w:rFonts w:hint="eastAsia" w:ascii="宋体" w:hAnsi="宋体" w:cs="宋体"/>
                <w:color w:val="auto"/>
                <w:kern w:val="0"/>
                <w:sz w:val="24"/>
                <w:highlight w:val="none"/>
              </w:rPr>
            </w:pPr>
          </w:p>
        </w:tc>
        <w:tc>
          <w:tcPr>
            <w:tcW w:w="748"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7B90C78">
            <w:pPr>
              <w:spacing w:line="360" w:lineRule="auto"/>
              <w:jc w:val="center"/>
              <w:rPr>
                <w:rFonts w:hint="eastAsia" w:ascii="宋体" w:hAnsi="宋体" w:cs="宋体"/>
                <w:color w:val="auto"/>
                <w:kern w:val="0"/>
                <w:sz w:val="24"/>
                <w:highlight w:val="none"/>
              </w:rPr>
            </w:pPr>
          </w:p>
        </w:tc>
      </w:tr>
    </w:tbl>
    <w:p w14:paraId="58F8D516">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注：</w:t>
      </w:r>
    </w:p>
    <w:p w14:paraId="5A858F6A">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03A8925">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09AE6641">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s="宋体"/>
          <w:color w:val="auto"/>
          <w:sz w:val="24"/>
          <w:highlight w:val="none"/>
        </w:rPr>
        <w:t>”中填“无”。</w:t>
      </w:r>
    </w:p>
    <w:p w14:paraId="6B845B45">
      <w:pPr>
        <w:snapToGrid w:val="0"/>
        <w:spacing w:line="360" w:lineRule="auto"/>
        <w:jc w:val="left"/>
        <w:rPr>
          <w:rFonts w:hint="eastAsia" w:ascii="宋体" w:hAnsi="宋体" w:cs="宋体"/>
          <w:color w:val="auto"/>
          <w:sz w:val="24"/>
          <w:highlight w:val="none"/>
        </w:rPr>
      </w:pPr>
    </w:p>
    <w:p w14:paraId="35C14C2B">
      <w:pPr>
        <w:snapToGrid w:val="0"/>
        <w:spacing w:line="360" w:lineRule="auto"/>
        <w:jc w:val="left"/>
        <w:rPr>
          <w:rFonts w:hint="eastAsia" w:ascii="宋体" w:hAnsi="宋体" w:cs="宋体"/>
          <w:color w:val="auto"/>
          <w:sz w:val="24"/>
          <w:highlight w:val="none"/>
        </w:rPr>
      </w:pPr>
    </w:p>
    <w:p w14:paraId="177BE796">
      <w:pPr>
        <w:snapToGrid w:val="0"/>
        <w:spacing w:line="360" w:lineRule="auto"/>
        <w:jc w:val="left"/>
        <w:rPr>
          <w:rFonts w:hint="eastAsia" w:ascii="宋体" w:hAnsi="宋体" w:cs="宋体"/>
          <w:color w:val="auto"/>
          <w:sz w:val="24"/>
          <w:highlight w:val="none"/>
        </w:rPr>
      </w:pPr>
    </w:p>
    <w:p w14:paraId="03C08472">
      <w:pPr>
        <w:snapToGrid w:val="0"/>
        <w:spacing w:line="360" w:lineRule="auto"/>
        <w:jc w:val="left"/>
        <w:rPr>
          <w:rFonts w:hint="eastAsia" w:ascii="宋体" w:hAnsi="宋体" w:cs="宋体"/>
          <w:color w:val="auto"/>
          <w:sz w:val="24"/>
          <w:highlight w:val="none"/>
        </w:rPr>
      </w:pPr>
    </w:p>
    <w:p w14:paraId="4BF7468A">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法定代表人（负责人、自然人）或者委托代理人（签字或者电子签名）: </w:t>
      </w:r>
      <w:r>
        <w:rPr>
          <w:rFonts w:hint="eastAsia" w:ascii="宋体" w:hAnsi="宋体" w:cs="宋体"/>
          <w:color w:val="auto"/>
          <w:sz w:val="24"/>
          <w:highlight w:val="none"/>
          <w:u w:val="single"/>
        </w:rPr>
        <w:t xml:space="preserve">      </w:t>
      </w:r>
    </w:p>
    <w:p w14:paraId="7BB00F20">
      <w:pPr>
        <w:pStyle w:val="25"/>
        <w:snapToGrid w:val="0"/>
        <w:spacing w:before="295" w:after="295" w:line="360" w:lineRule="auto"/>
        <w:jc w:val="center"/>
        <w:rPr>
          <w:rFonts w:hint="eastAsia" w:hAnsi="宋体" w:cs="宋体"/>
          <w:color w:val="auto"/>
          <w:sz w:val="24"/>
          <w:szCs w:val="24"/>
          <w:highlight w:val="none"/>
          <w:u w:val="single"/>
        </w:rPr>
      </w:pPr>
      <w:r>
        <w:rPr>
          <w:rFonts w:hint="eastAsia" w:hAnsi="宋体" w:cs="宋体"/>
          <w:color w:val="auto"/>
          <w:sz w:val="24"/>
          <w:highlight w:val="none"/>
        </w:rPr>
        <w:t xml:space="preserve">                      投标人名称（电子签章）:</w:t>
      </w:r>
      <w:r>
        <w:rPr>
          <w:rFonts w:hint="eastAsia" w:hAnsi="宋体" w:cs="宋体"/>
          <w:color w:val="auto"/>
          <w:sz w:val="24"/>
          <w:szCs w:val="24"/>
          <w:highlight w:val="none"/>
        </w:rPr>
        <w:t xml:space="preserve"> </w:t>
      </w:r>
      <w:r>
        <w:rPr>
          <w:rFonts w:hint="eastAsia" w:hAnsi="宋体" w:cs="宋体"/>
          <w:color w:val="auto"/>
          <w:sz w:val="24"/>
          <w:szCs w:val="24"/>
          <w:highlight w:val="none"/>
          <w:u w:val="single"/>
        </w:rPr>
        <w:t xml:space="preserve">      </w:t>
      </w:r>
    </w:p>
    <w:p w14:paraId="61ABA9EF">
      <w:pPr>
        <w:pStyle w:val="25"/>
        <w:snapToGrid w:val="0"/>
        <w:spacing w:before="295" w:after="295" w:line="360" w:lineRule="auto"/>
        <w:rPr>
          <w:rFonts w:hint="eastAsia" w:hAnsi="宋体" w:cs="宋体"/>
          <w:color w:val="auto"/>
          <w:sz w:val="24"/>
          <w:highlight w:val="none"/>
        </w:rPr>
      </w:pPr>
      <w:r>
        <w:rPr>
          <w:rFonts w:hint="eastAsia" w:hAnsi="宋体" w:cs="宋体"/>
          <w:color w:val="auto"/>
          <w:sz w:val="24"/>
          <w:szCs w:val="24"/>
          <w:highlight w:val="none"/>
        </w:rPr>
        <w:t xml:space="preserve">                                               日期： </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p>
    <w:p w14:paraId="6671E68E">
      <w:pPr>
        <w:snapToGrid w:val="0"/>
        <w:spacing w:line="360" w:lineRule="auto"/>
        <w:jc w:val="left"/>
        <w:rPr>
          <w:rFonts w:hint="eastAsia" w:ascii="宋体" w:hAnsi="宋体" w:cs="宋体"/>
          <w:b/>
          <w:color w:val="auto"/>
          <w:sz w:val="28"/>
          <w:szCs w:val="28"/>
          <w:highlight w:val="none"/>
        </w:rPr>
      </w:pPr>
      <w:r>
        <w:rPr>
          <w:rFonts w:hint="eastAsia" w:ascii="宋体" w:hAnsi="宋体" w:cs="宋体"/>
          <w:color w:val="auto"/>
          <w:highlight w:val="none"/>
          <w:u w:val="single"/>
        </w:rPr>
        <w:br w:type="page"/>
      </w:r>
    </w:p>
    <w:p w14:paraId="5655BEE0">
      <w:pPr>
        <w:snapToGrid w:val="0"/>
        <w:spacing w:line="360" w:lineRule="auto"/>
        <w:jc w:val="center"/>
        <w:rPr>
          <w:rFonts w:hint="eastAsia" w:ascii="宋体" w:hAnsi="宋体" w:cs="宋体"/>
          <w:color w:val="auto"/>
          <w:sz w:val="32"/>
          <w:szCs w:val="32"/>
          <w:highlight w:val="none"/>
        </w:rPr>
      </w:pPr>
      <w:r>
        <w:rPr>
          <w:rFonts w:hint="eastAsia" w:ascii="宋体" w:hAnsi="宋体" w:cs="宋体"/>
          <w:b/>
          <w:color w:val="auto"/>
          <w:sz w:val="32"/>
          <w:szCs w:val="32"/>
          <w:highlight w:val="none"/>
        </w:rPr>
        <w:t>投标人直接管理关系信息表</w:t>
      </w:r>
    </w:p>
    <w:tbl>
      <w:tblPr>
        <w:tblStyle w:val="48"/>
        <w:tblW w:w="5000" w:type="pct"/>
        <w:tblInd w:w="0" w:type="dxa"/>
        <w:tblLayout w:type="autofit"/>
        <w:tblCellMar>
          <w:top w:w="0" w:type="dxa"/>
          <w:left w:w="0" w:type="dxa"/>
          <w:bottom w:w="0" w:type="dxa"/>
          <w:right w:w="0" w:type="dxa"/>
        </w:tblCellMar>
      </w:tblPr>
      <w:tblGrid>
        <w:gridCol w:w="1029"/>
        <w:gridCol w:w="2720"/>
        <w:gridCol w:w="4016"/>
        <w:gridCol w:w="2113"/>
      </w:tblGrid>
      <w:tr w14:paraId="660221A9">
        <w:tblPrEx>
          <w:tblCellMar>
            <w:top w:w="0" w:type="dxa"/>
            <w:left w:w="0" w:type="dxa"/>
            <w:bottom w:w="0" w:type="dxa"/>
            <w:right w:w="0" w:type="dxa"/>
          </w:tblCellMar>
        </w:tblPrEx>
        <w:trPr>
          <w:tblHeader/>
        </w:trPr>
        <w:tc>
          <w:tcPr>
            <w:tcW w:w="52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A03724">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7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3A9943A">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20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5218C4F">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069"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F0A179B">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7BBBE4E">
        <w:tblPrEx>
          <w:tblCellMar>
            <w:top w:w="0" w:type="dxa"/>
            <w:left w:w="0" w:type="dxa"/>
            <w:bottom w:w="0" w:type="dxa"/>
            <w:right w:w="0" w:type="dxa"/>
          </w:tblCellMar>
        </w:tblPrEx>
        <w:tc>
          <w:tcPr>
            <w:tcW w:w="52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B4E84B">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137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2D827CA">
            <w:pPr>
              <w:spacing w:line="360" w:lineRule="auto"/>
              <w:jc w:val="center"/>
              <w:rPr>
                <w:rFonts w:hint="eastAsia" w:ascii="宋体" w:hAnsi="宋体" w:cs="宋体"/>
                <w:color w:val="auto"/>
                <w:kern w:val="0"/>
                <w:sz w:val="24"/>
                <w:highlight w:val="none"/>
              </w:rPr>
            </w:pPr>
          </w:p>
        </w:tc>
        <w:tc>
          <w:tcPr>
            <w:tcW w:w="20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F683E8F">
            <w:pPr>
              <w:spacing w:line="360" w:lineRule="auto"/>
              <w:jc w:val="center"/>
              <w:rPr>
                <w:rFonts w:hint="eastAsia" w:ascii="宋体" w:hAnsi="宋体" w:cs="宋体"/>
                <w:color w:val="auto"/>
                <w:kern w:val="0"/>
                <w:sz w:val="24"/>
                <w:highlight w:val="none"/>
              </w:rPr>
            </w:pPr>
          </w:p>
        </w:tc>
        <w:tc>
          <w:tcPr>
            <w:tcW w:w="1069"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7924733">
            <w:pPr>
              <w:spacing w:line="360" w:lineRule="auto"/>
              <w:jc w:val="center"/>
              <w:rPr>
                <w:rFonts w:hint="eastAsia" w:ascii="宋体" w:hAnsi="宋体" w:cs="宋体"/>
                <w:color w:val="auto"/>
                <w:kern w:val="0"/>
                <w:sz w:val="24"/>
                <w:highlight w:val="none"/>
              </w:rPr>
            </w:pPr>
          </w:p>
        </w:tc>
      </w:tr>
      <w:tr w14:paraId="1FCC5BA1">
        <w:tblPrEx>
          <w:tblCellMar>
            <w:top w:w="0" w:type="dxa"/>
            <w:left w:w="0" w:type="dxa"/>
            <w:bottom w:w="0" w:type="dxa"/>
            <w:right w:w="0" w:type="dxa"/>
          </w:tblCellMar>
        </w:tblPrEx>
        <w:tc>
          <w:tcPr>
            <w:tcW w:w="52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A87C36F">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137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1C9AB71">
            <w:pPr>
              <w:spacing w:line="360" w:lineRule="auto"/>
              <w:jc w:val="center"/>
              <w:rPr>
                <w:rFonts w:hint="eastAsia" w:ascii="宋体" w:hAnsi="宋体" w:cs="宋体"/>
                <w:color w:val="auto"/>
                <w:kern w:val="0"/>
                <w:sz w:val="24"/>
                <w:highlight w:val="none"/>
              </w:rPr>
            </w:pPr>
          </w:p>
        </w:tc>
        <w:tc>
          <w:tcPr>
            <w:tcW w:w="20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7EDB251">
            <w:pPr>
              <w:spacing w:line="360" w:lineRule="auto"/>
              <w:jc w:val="center"/>
              <w:rPr>
                <w:rFonts w:hint="eastAsia" w:ascii="宋体" w:hAnsi="宋体" w:cs="宋体"/>
                <w:color w:val="auto"/>
                <w:kern w:val="0"/>
                <w:sz w:val="24"/>
                <w:highlight w:val="none"/>
              </w:rPr>
            </w:pPr>
          </w:p>
        </w:tc>
        <w:tc>
          <w:tcPr>
            <w:tcW w:w="1069"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40B1296">
            <w:pPr>
              <w:spacing w:line="360" w:lineRule="auto"/>
              <w:jc w:val="center"/>
              <w:rPr>
                <w:rFonts w:hint="eastAsia" w:ascii="宋体" w:hAnsi="宋体" w:cs="宋体"/>
                <w:color w:val="auto"/>
                <w:kern w:val="0"/>
                <w:sz w:val="24"/>
                <w:highlight w:val="none"/>
              </w:rPr>
            </w:pPr>
          </w:p>
        </w:tc>
      </w:tr>
      <w:tr w14:paraId="5C350356">
        <w:tblPrEx>
          <w:tblCellMar>
            <w:top w:w="0" w:type="dxa"/>
            <w:left w:w="0" w:type="dxa"/>
            <w:bottom w:w="0" w:type="dxa"/>
            <w:right w:w="0" w:type="dxa"/>
          </w:tblCellMar>
        </w:tblPrEx>
        <w:tc>
          <w:tcPr>
            <w:tcW w:w="52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F0193FD">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137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82D2029">
            <w:pPr>
              <w:spacing w:line="360" w:lineRule="auto"/>
              <w:jc w:val="center"/>
              <w:rPr>
                <w:rFonts w:hint="eastAsia" w:ascii="宋体" w:hAnsi="宋体" w:cs="宋体"/>
                <w:color w:val="auto"/>
                <w:kern w:val="0"/>
                <w:sz w:val="24"/>
                <w:highlight w:val="none"/>
              </w:rPr>
            </w:pPr>
          </w:p>
        </w:tc>
        <w:tc>
          <w:tcPr>
            <w:tcW w:w="20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DAAAD1B">
            <w:pPr>
              <w:spacing w:line="360" w:lineRule="auto"/>
              <w:jc w:val="center"/>
              <w:rPr>
                <w:rFonts w:hint="eastAsia" w:ascii="宋体" w:hAnsi="宋体" w:cs="宋体"/>
                <w:color w:val="auto"/>
                <w:kern w:val="0"/>
                <w:sz w:val="24"/>
                <w:highlight w:val="none"/>
              </w:rPr>
            </w:pPr>
          </w:p>
        </w:tc>
        <w:tc>
          <w:tcPr>
            <w:tcW w:w="1069"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EAACDB4">
            <w:pPr>
              <w:spacing w:line="360" w:lineRule="auto"/>
              <w:jc w:val="center"/>
              <w:rPr>
                <w:rFonts w:hint="eastAsia" w:ascii="宋体" w:hAnsi="宋体" w:cs="宋体"/>
                <w:color w:val="auto"/>
                <w:kern w:val="0"/>
                <w:sz w:val="24"/>
                <w:highlight w:val="none"/>
              </w:rPr>
            </w:pPr>
          </w:p>
        </w:tc>
      </w:tr>
      <w:tr w14:paraId="0ADB1214">
        <w:tblPrEx>
          <w:tblCellMar>
            <w:top w:w="0" w:type="dxa"/>
            <w:left w:w="0" w:type="dxa"/>
            <w:bottom w:w="0" w:type="dxa"/>
            <w:right w:w="0" w:type="dxa"/>
          </w:tblCellMar>
        </w:tblPrEx>
        <w:tc>
          <w:tcPr>
            <w:tcW w:w="521"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6AF2EB">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1377"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1D21417">
            <w:pPr>
              <w:spacing w:line="360" w:lineRule="auto"/>
              <w:jc w:val="center"/>
              <w:rPr>
                <w:rFonts w:hint="eastAsia" w:ascii="宋体" w:hAnsi="宋体" w:cs="宋体"/>
                <w:color w:val="auto"/>
                <w:kern w:val="0"/>
                <w:sz w:val="24"/>
                <w:highlight w:val="none"/>
              </w:rPr>
            </w:pPr>
          </w:p>
        </w:tc>
        <w:tc>
          <w:tcPr>
            <w:tcW w:w="2033"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F36F69E">
            <w:pPr>
              <w:spacing w:line="360" w:lineRule="auto"/>
              <w:jc w:val="center"/>
              <w:rPr>
                <w:rFonts w:hint="eastAsia" w:ascii="宋体" w:hAnsi="宋体" w:cs="宋体"/>
                <w:color w:val="auto"/>
                <w:kern w:val="0"/>
                <w:sz w:val="24"/>
                <w:highlight w:val="none"/>
              </w:rPr>
            </w:pPr>
          </w:p>
        </w:tc>
        <w:tc>
          <w:tcPr>
            <w:tcW w:w="1069" w:type="pct"/>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AD89369">
            <w:pPr>
              <w:spacing w:line="360" w:lineRule="auto"/>
              <w:jc w:val="center"/>
              <w:rPr>
                <w:rFonts w:hint="eastAsia" w:ascii="宋体" w:hAnsi="宋体" w:cs="宋体"/>
                <w:color w:val="auto"/>
                <w:kern w:val="0"/>
                <w:sz w:val="24"/>
                <w:highlight w:val="none"/>
              </w:rPr>
            </w:pPr>
          </w:p>
        </w:tc>
      </w:tr>
    </w:tbl>
    <w:p w14:paraId="584220DF">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注：</w:t>
      </w:r>
    </w:p>
    <w:p w14:paraId="0E292210">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32EEACE8">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pacing w:val="-6"/>
          <w:sz w:val="24"/>
          <w:highlight w:val="none"/>
        </w:rPr>
        <w:t>本表所指的管理关系仅限于直接管理关系，不包括间接的管理关系。</w:t>
      </w:r>
    </w:p>
    <w:p w14:paraId="032069AD">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s="宋体"/>
          <w:color w:val="auto"/>
          <w:sz w:val="24"/>
          <w:highlight w:val="none"/>
        </w:rPr>
        <w:t>”中填“无”。</w:t>
      </w:r>
    </w:p>
    <w:p w14:paraId="10C75336">
      <w:pPr>
        <w:snapToGrid w:val="0"/>
        <w:spacing w:line="360" w:lineRule="auto"/>
        <w:ind w:firstLine="480" w:firstLineChars="200"/>
        <w:jc w:val="left"/>
        <w:rPr>
          <w:rFonts w:hint="eastAsia" w:ascii="宋体" w:hAnsi="宋体" w:cs="宋体"/>
          <w:color w:val="auto"/>
          <w:sz w:val="24"/>
          <w:highlight w:val="none"/>
        </w:rPr>
      </w:pPr>
    </w:p>
    <w:p w14:paraId="7903ADD5">
      <w:pPr>
        <w:snapToGrid w:val="0"/>
        <w:spacing w:line="360" w:lineRule="auto"/>
        <w:jc w:val="left"/>
        <w:rPr>
          <w:rFonts w:hint="eastAsia" w:ascii="宋体" w:hAnsi="宋体" w:cs="宋体"/>
          <w:color w:val="auto"/>
          <w:sz w:val="24"/>
          <w:highlight w:val="none"/>
        </w:rPr>
      </w:pPr>
    </w:p>
    <w:p w14:paraId="3312D7D0">
      <w:pPr>
        <w:snapToGrid w:val="0"/>
        <w:spacing w:line="360" w:lineRule="auto"/>
        <w:jc w:val="left"/>
        <w:rPr>
          <w:rFonts w:hint="eastAsia" w:ascii="宋体" w:hAnsi="宋体" w:cs="宋体"/>
          <w:color w:val="auto"/>
          <w:sz w:val="24"/>
          <w:highlight w:val="none"/>
        </w:rPr>
      </w:pPr>
    </w:p>
    <w:p w14:paraId="0868904B">
      <w:pPr>
        <w:snapToGrid w:val="0"/>
        <w:spacing w:line="360" w:lineRule="auto"/>
        <w:jc w:val="left"/>
        <w:rPr>
          <w:rFonts w:hint="eastAsia" w:ascii="宋体" w:hAnsi="宋体" w:cs="宋体"/>
          <w:color w:val="auto"/>
          <w:sz w:val="24"/>
          <w:highlight w:val="none"/>
        </w:rPr>
      </w:pPr>
    </w:p>
    <w:p w14:paraId="15CEAA67">
      <w:pPr>
        <w:snapToGrid w:val="0"/>
        <w:spacing w:line="360" w:lineRule="auto"/>
        <w:jc w:val="left"/>
        <w:rPr>
          <w:rFonts w:hint="eastAsia" w:ascii="宋体" w:hAnsi="宋体" w:cs="宋体"/>
          <w:color w:val="auto"/>
          <w:sz w:val="24"/>
          <w:highlight w:val="none"/>
        </w:rPr>
      </w:pPr>
    </w:p>
    <w:p w14:paraId="10B7F34D">
      <w:pPr>
        <w:snapToGri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法定代表人（负责人、自然人）或者委托代理人（签字或者电子签名）: </w:t>
      </w:r>
      <w:r>
        <w:rPr>
          <w:rFonts w:hint="eastAsia" w:ascii="宋体" w:hAnsi="宋体" w:cs="宋体"/>
          <w:color w:val="auto"/>
          <w:sz w:val="24"/>
          <w:highlight w:val="none"/>
          <w:u w:val="single"/>
        </w:rPr>
        <w:t xml:space="preserve">      </w:t>
      </w:r>
    </w:p>
    <w:p w14:paraId="6D1A2D68">
      <w:pPr>
        <w:pStyle w:val="25"/>
        <w:snapToGrid w:val="0"/>
        <w:spacing w:before="295" w:after="295" w:line="360" w:lineRule="auto"/>
        <w:jc w:val="center"/>
        <w:rPr>
          <w:rFonts w:hint="eastAsia" w:hAnsi="宋体" w:cs="宋体"/>
          <w:color w:val="auto"/>
          <w:sz w:val="24"/>
          <w:szCs w:val="24"/>
          <w:highlight w:val="none"/>
          <w:u w:val="single"/>
        </w:rPr>
      </w:pPr>
      <w:r>
        <w:rPr>
          <w:rFonts w:hint="eastAsia" w:hAnsi="宋体" w:cs="宋体"/>
          <w:color w:val="auto"/>
          <w:sz w:val="24"/>
          <w:highlight w:val="none"/>
        </w:rPr>
        <w:t xml:space="preserve">                      投标人名称（电子签章）:</w:t>
      </w:r>
      <w:r>
        <w:rPr>
          <w:rFonts w:hint="eastAsia" w:hAnsi="宋体" w:cs="宋体"/>
          <w:color w:val="auto"/>
          <w:sz w:val="24"/>
          <w:szCs w:val="24"/>
          <w:highlight w:val="none"/>
          <w:u w:val="single"/>
        </w:rPr>
        <w:t xml:space="preserve">      </w:t>
      </w:r>
    </w:p>
    <w:p w14:paraId="25E2DB76">
      <w:pPr>
        <w:pStyle w:val="25"/>
        <w:snapToGrid w:val="0"/>
        <w:spacing w:before="295" w:after="295" w:line="360" w:lineRule="auto"/>
        <w:rPr>
          <w:rFonts w:hint="eastAsia" w:hAnsi="宋体" w:cs="宋体"/>
          <w:color w:val="auto"/>
          <w:sz w:val="24"/>
          <w:highlight w:val="none"/>
        </w:rPr>
      </w:pPr>
      <w:r>
        <w:rPr>
          <w:rFonts w:hint="eastAsia" w:hAnsi="宋体" w:cs="宋体"/>
          <w:color w:val="auto"/>
          <w:sz w:val="24"/>
          <w:szCs w:val="24"/>
          <w:highlight w:val="none"/>
        </w:rPr>
        <w:t xml:space="preserve">                                               日期： </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p>
    <w:p w14:paraId="0129FE90">
      <w:pPr>
        <w:snapToGrid w:val="0"/>
        <w:spacing w:before="120" w:beforeLines="50" w:after="50" w:line="360" w:lineRule="auto"/>
        <w:ind w:right="480" w:firstLine="210" w:firstLineChars="100"/>
        <w:jc w:val="center"/>
        <w:rPr>
          <w:rFonts w:hint="eastAsia" w:ascii="宋体" w:hAnsi="宋体" w:cs="宋体"/>
          <w:b/>
          <w:color w:val="auto"/>
          <w:sz w:val="24"/>
          <w:szCs w:val="20"/>
          <w:highlight w:val="none"/>
        </w:rPr>
      </w:pPr>
      <w:r>
        <w:rPr>
          <w:rFonts w:hint="eastAsia" w:ascii="宋体" w:hAnsi="宋体" w:cs="宋体"/>
          <w:color w:val="auto"/>
          <w:highlight w:val="none"/>
          <w:u w:val="single"/>
        </w:rPr>
        <w:br w:type="page"/>
      </w:r>
    </w:p>
    <w:p w14:paraId="4C471AC2">
      <w:pPr>
        <w:numPr>
          <w:ilvl w:val="2"/>
          <w:numId w:val="5"/>
        </w:numPr>
        <w:snapToGrid w:val="0"/>
        <w:spacing w:before="120" w:beforeLines="50" w:after="50"/>
        <w:ind w:left="0" w:firstLine="0"/>
        <w:jc w:val="left"/>
        <w:rPr>
          <w:rFonts w:hint="eastAsia" w:ascii="宋体" w:hAnsi="宋体" w:cs="宋体"/>
          <w:b/>
          <w:color w:val="auto"/>
          <w:sz w:val="24"/>
          <w:szCs w:val="20"/>
          <w:highlight w:val="none"/>
        </w:rPr>
      </w:pPr>
      <w:r>
        <w:rPr>
          <w:rFonts w:hint="eastAsia" w:ascii="宋体" w:hAnsi="宋体" w:cs="宋体"/>
          <w:b/>
          <w:color w:val="auto"/>
          <w:sz w:val="24"/>
          <w:highlight w:val="none"/>
        </w:rPr>
        <w:t>投标声明</w:t>
      </w:r>
      <w:r>
        <w:rPr>
          <w:rFonts w:hint="eastAsia" w:ascii="宋体" w:hAnsi="宋体" w:cs="宋体"/>
          <w:b/>
          <w:color w:val="auto"/>
          <w:sz w:val="24"/>
          <w:highlight w:val="none"/>
          <w:lang w:val="en-US" w:eastAsia="zh-CN"/>
        </w:rPr>
        <w:t>政府采购供应商</w:t>
      </w:r>
      <w:r>
        <w:rPr>
          <w:rFonts w:hint="eastAsia" w:ascii="宋体" w:hAnsi="宋体" w:cs="宋体"/>
          <w:b/>
          <w:color w:val="auto"/>
          <w:sz w:val="24"/>
          <w:highlight w:val="none"/>
          <w:lang w:eastAsia="zh-CN"/>
        </w:rPr>
        <w:t>资格信用承诺函</w:t>
      </w:r>
    </w:p>
    <w:p w14:paraId="07AC5083">
      <w:pPr>
        <w:snapToGrid w:val="0"/>
        <w:spacing w:before="50" w:after="120" w:afterLines="50"/>
        <w:jc w:val="left"/>
        <w:rPr>
          <w:rFonts w:hint="eastAsia" w:ascii="宋体" w:hAnsi="宋体" w:cs="宋体"/>
          <w:color w:val="auto"/>
          <w:highlight w:val="none"/>
        </w:rPr>
      </w:pPr>
    </w:p>
    <w:p w14:paraId="64D311E5">
      <w:pPr>
        <w:widowControl w:val="0"/>
        <w:autoSpaceDE w:val="0"/>
        <w:autoSpaceDN w:val="0"/>
        <w:adjustRightInd w:val="0"/>
        <w:spacing w:line="240" w:lineRule="auto"/>
        <w:ind w:firstLine="0"/>
        <w:jc w:val="cente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pacing w:val="0"/>
          <w:sz w:val="28"/>
          <w:szCs w:val="28"/>
          <w:highlight w:val="none"/>
          <w:lang w:val="en-US" w:eastAsia="zh-CN"/>
        </w:rPr>
        <w:t>政府采购供应商</w:t>
      </w:r>
      <w:r>
        <w:rPr>
          <w:rFonts w:hint="eastAsia" w:ascii="宋体" w:hAnsi="宋体" w:eastAsia="宋体" w:cs="宋体"/>
          <w:b/>
          <w:bCs/>
          <w:color w:val="auto"/>
          <w:sz w:val="28"/>
          <w:szCs w:val="28"/>
          <w:highlight w:val="none"/>
          <w:lang w:eastAsia="zh-CN"/>
        </w:rPr>
        <w:t>资格信用承诺函</w:t>
      </w:r>
    </w:p>
    <w:p w14:paraId="1ED84F4F">
      <w:pPr>
        <w:pStyle w:val="38"/>
        <w:rPr>
          <w:rFonts w:hint="eastAsia" w:ascii="宋体" w:hAnsi="宋体" w:eastAsia="宋体" w:cs="宋体"/>
          <w:color w:val="auto"/>
          <w:sz w:val="28"/>
          <w:szCs w:val="28"/>
          <w:highlight w:val="none"/>
          <w:lang w:eastAsia="zh-CN"/>
        </w:rPr>
      </w:pPr>
    </w:p>
    <w:p w14:paraId="0953157B">
      <w:pPr>
        <w:widowControl w:val="0"/>
        <w:autoSpaceDE w:val="0"/>
        <w:autoSpaceDN w:val="0"/>
        <w:adjustRightInd w:val="0"/>
        <w:spacing w:line="400" w:lineRule="exact"/>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eastAsia="zh-CN"/>
        </w:rPr>
        <w:t>致：</w:t>
      </w:r>
      <w:r>
        <w:rPr>
          <w:rFonts w:hint="eastAsia" w:ascii="宋体" w:hAnsi="宋体" w:eastAsia="宋体" w:cs="宋体"/>
          <w:color w:val="auto"/>
          <w:spacing w:val="6"/>
          <w:sz w:val="28"/>
          <w:szCs w:val="28"/>
          <w:highlight w:val="none"/>
          <w:u w:val="single"/>
          <w:lang w:eastAsia="zh-CN"/>
        </w:rPr>
        <w:t>（采购人名称）、（代理机构名称）</w:t>
      </w:r>
      <w:r>
        <w:rPr>
          <w:rFonts w:hint="eastAsia" w:ascii="宋体" w:hAnsi="宋体" w:eastAsia="宋体" w:cs="宋体"/>
          <w:color w:val="auto"/>
          <w:spacing w:val="6"/>
          <w:sz w:val="28"/>
          <w:szCs w:val="28"/>
          <w:highlight w:val="none"/>
          <w:lang w:eastAsia="zh-CN"/>
        </w:rPr>
        <w:t>：</w:t>
      </w:r>
    </w:p>
    <w:p w14:paraId="212DFF45">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eastAsia="zh-CN"/>
        </w:rPr>
        <w:t>我方自愿参加</w:t>
      </w:r>
      <w:r>
        <w:rPr>
          <w:rFonts w:hint="eastAsia" w:ascii="宋体" w:hAnsi="宋体" w:eastAsia="宋体" w:cs="宋体"/>
          <w:color w:val="auto"/>
          <w:spacing w:val="6"/>
          <w:sz w:val="28"/>
          <w:szCs w:val="28"/>
          <w:highlight w:val="none"/>
          <w:u w:val="single"/>
        </w:rPr>
        <w:t xml:space="preserve">                       </w:t>
      </w:r>
      <w:r>
        <w:rPr>
          <w:rFonts w:hint="eastAsia" w:ascii="宋体" w:hAnsi="宋体" w:eastAsia="宋体" w:cs="宋体"/>
          <w:color w:val="auto"/>
          <w:spacing w:val="6"/>
          <w:sz w:val="28"/>
          <w:szCs w:val="28"/>
          <w:highlight w:val="none"/>
        </w:rPr>
        <w:t>项目（项目编号：</w:t>
      </w:r>
      <w:r>
        <w:rPr>
          <w:rFonts w:hint="eastAsia" w:ascii="宋体" w:hAnsi="宋体" w:eastAsia="宋体" w:cs="宋体"/>
          <w:color w:val="auto"/>
          <w:spacing w:val="6"/>
          <w:sz w:val="28"/>
          <w:szCs w:val="28"/>
          <w:highlight w:val="none"/>
          <w:u w:val="single"/>
        </w:rPr>
        <w:t xml:space="preserve">       </w:t>
      </w:r>
      <w:r>
        <w:rPr>
          <w:rFonts w:hint="eastAsia" w:ascii="宋体" w:hAnsi="宋体" w:eastAsia="宋体" w:cs="宋体"/>
          <w:color w:val="auto"/>
          <w:spacing w:val="6"/>
          <w:sz w:val="28"/>
          <w:szCs w:val="28"/>
          <w:highlight w:val="none"/>
          <w:u w:val="single"/>
          <w:lang w:val="en-US" w:eastAsia="zh-CN"/>
        </w:rPr>
        <w:t xml:space="preserve">           </w:t>
      </w:r>
      <w:r>
        <w:rPr>
          <w:rFonts w:hint="eastAsia" w:ascii="宋体" w:hAnsi="宋体" w:eastAsia="宋体" w:cs="宋体"/>
          <w:color w:val="auto"/>
          <w:spacing w:val="6"/>
          <w:sz w:val="28"/>
          <w:szCs w:val="28"/>
          <w:highlight w:val="none"/>
          <w:u w:val="single"/>
        </w:rPr>
        <w:t xml:space="preserve">    </w:t>
      </w:r>
      <w:r>
        <w:rPr>
          <w:rFonts w:hint="eastAsia" w:ascii="宋体" w:hAnsi="宋体" w:eastAsia="宋体" w:cs="宋体"/>
          <w:color w:val="auto"/>
          <w:spacing w:val="6"/>
          <w:sz w:val="28"/>
          <w:szCs w:val="28"/>
          <w:highlight w:val="none"/>
        </w:rPr>
        <w:t>）</w:t>
      </w:r>
      <w:r>
        <w:rPr>
          <w:rFonts w:hint="eastAsia" w:ascii="宋体" w:hAnsi="宋体" w:eastAsia="宋体" w:cs="宋体"/>
          <w:color w:val="auto"/>
          <w:spacing w:val="6"/>
          <w:sz w:val="28"/>
          <w:szCs w:val="28"/>
          <w:highlight w:val="none"/>
          <w:lang w:eastAsia="zh-CN"/>
        </w:rPr>
        <w:t>的政府采购活动，并郑重承诺我方符合《中华人民共和国政府采购法》第二十二条规定的条件：</w:t>
      </w:r>
      <w:r>
        <w:rPr>
          <w:rFonts w:hint="eastAsia" w:ascii="宋体" w:hAnsi="宋体" w:eastAsia="宋体" w:cs="宋体"/>
          <w:color w:val="auto"/>
          <w:spacing w:val="6"/>
          <w:sz w:val="28"/>
          <w:szCs w:val="28"/>
          <w:highlight w:val="none"/>
          <w:lang w:val="en-US" w:eastAsia="zh-CN"/>
        </w:rPr>
        <w:t xml:space="preserve"> </w:t>
      </w:r>
    </w:p>
    <w:p w14:paraId="369B2F40">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val="en-US" w:eastAsia="zh-CN"/>
        </w:rPr>
        <w:t xml:space="preserve">（一）具有独立承担民事责任的能力； </w:t>
      </w:r>
    </w:p>
    <w:p w14:paraId="4B3B4BB9">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val="en-US" w:eastAsia="zh-CN"/>
        </w:rPr>
        <w:t xml:space="preserve">（二）具有良好的商业信誉和健全的财务会计制度； </w:t>
      </w:r>
    </w:p>
    <w:p w14:paraId="57A23D54">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val="en-US" w:eastAsia="zh-CN"/>
        </w:rPr>
        <w:t xml:space="preserve">（三）具有履行合同所必需的设备和专业技术能力； </w:t>
      </w:r>
    </w:p>
    <w:p w14:paraId="2A0158BF">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val="en-US" w:eastAsia="zh-CN"/>
        </w:rPr>
        <w:t xml:space="preserve">（四）有依法缴纳税收和社会保障资金的良好记录； </w:t>
      </w:r>
    </w:p>
    <w:p w14:paraId="6BFBDD97">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val="en-US" w:eastAsia="zh-CN"/>
        </w:rPr>
        <w:t xml:space="preserve">（五）参加政府采购活动前三年内，在经营活动中没有重大违法记录； </w:t>
      </w:r>
    </w:p>
    <w:p w14:paraId="42212BC9">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val="en-US" w:eastAsia="zh-CN"/>
        </w:rPr>
        <w:t xml:space="preserve">（六）法律、行政法规规定的其他条件。 </w:t>
      </w:r>
    </w:p>
    <w:p w14:paraId="13F2BD4D">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lang w:eastAsia="zh-CN"/>
        </w:rPr>
        <w:t>我方保证上述承诺事项的真实性，如有弄虚作假或其他违法违规行为，愿意承担一切法律责任，并承担因此所造成的一切损失。</w:t>
      </w:r>
      <w:r>
        <w:rPr>
          <w:rFonts w:hint="eastAsia" w:ascii="宋体" w:hAnsi="宋体" w:eastAsia="宋体" w:cs="宋体"/>
          <w:color w:val="auto"/>
          <w:spacing w:val="6"/>
          <w:sz w:val="28"/>
          <w:szCs w:val="28"/>
          <w:highlight w:val="none"/>
          <w:lang w:val="en-US" w:eastAsia="zh-CN"/>
        </w:rPr>
        <w:t xml:space="preserve"> </w:t>
      </w:r>
    </w:p>
    <w:p w14:paraId="4B14F5F8">
      <w:pPr>
        <w:widowControl w:val="0"/>
        <w:autoSpaceDE w:val="0"/>
        <w:autoSpaceDN w:val="0"/>
        <w:adjustRightInd w:val="0"/>
        <w:spacing w:line="400" w:lineRule="exact"/>
        <w:ind w:firstLine="640"/>
        <w:jc w:val="both"/>
        <w:rPr>
          <w:rFonts w:hint="eastAsia" w:ascii="宋体" w:hAnsi="宋体" w:eastAsia="宋体" w:cs="宋体"/>
          <w:color w:val="auto"/>
          <w:spacing w:val="6"/>
          <w:sz w:val="28"/>
          <w:szCs w:val="28"/>
          <w:highlight w:val="none"/>
          <w:lang w:val="en-US" w:eastAsia="zh-CN"/>
        </w:rPr>
      </w:pPr>
      <w:r>
        <w:rPr>
          <w:rFonts w:hint="eastAsia" w:ascii="宋体" w:hAnsi="宋体" w:eastAsia="宋体" w:cs="宋体"/>
          <w:b/>
          <w:bCs/>
          <w:color w:val="auto"/>
          <w:spacing w:val="6"/>
          <w:sz w:val="28"/>
          <w:szCs w:val="28"/>
          <w:highlight w:val="none"/>
          <w:lang w:val="en-US" w:eastAsia="zh-CN"/>
        </w:rPr>
        <w:t>特此声明！</w:t>
      </w:r>
      <w:r>
        <w:rPr>
          <w:rFonts w:hint="eastAsia" w:ascii="宋体" w:hAnsi="宋体" w:eastAsia="宋体" w:cs="宋体"/>
          <w:color w:val="auto"/>
          <w:spacing w:val="6"/>
          <w:sz w:val="28"/>
          <w:szCs w:val="28"/>
          <w:highlight w:val="none"/>
          <w:lang w:val="en-US" w:eastAsia="zh-CN"/>
        </w:rPr>
        <w:t xml:space="preserve"> </w:t>
      </w:r>
    </w:p>
    <w:p w14:paraId="03C32594">
      <w:pPr>
        <w:pStyle w:val="47"/>
        <w:spacing w:line="400" w:lineRule="exact"/>
        <w:rPr>
          <w:rFonts w:hint="eastAsia" w:ascii="宋体" w:hAnsi="宋体" w:eastAsia="宋体" w:cs="宋体"/>
          <w:color w:val="auto"/>
          <w:spacing w:val="6"/>
          <w:sz w:val="28"/>
          <w:szCs w:val="28"/>
          <w:highlight w:val="none"/>
          <w:lang w:val="en-US" w:eastAsia="zh-CN"/>
        </w:rPr>
      </w:pPr>
    </w:p>
    <w:p w14:paraId="0ADB9E80">
      <w:pPr>
        <w:spacing w:line="400" w:lineRule="exact"/>
        <w:rPr>
          <w:rFonts w:hint="eastAsia" w:ascii="宋体" w:hAnsi="宋体" w:eastAsia="宋体" w:cs="宋体"/>
          <w:color w:val="auto"/>
          <w:sz w:val="28"/>
          <w:szCs w:val="28"/>
          <w:highlight w:val="none"/>
          <w:lang w:val="en-US" w:eastAsia="zh-CN"/>
        </w:rPr>
      </w:pPr>
    </w:p>
    <w:p w14:paraId="56C882EE">
      <w:pPr>
        <w:spacing w:line="400" w:lineRule="exact"/>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法定代表人或委托代理人</w:t>
      </w:r>
      <w:r>
        <w:rPr>
          <w:rFonts w:hint="eastAsia" w:ascii="宋体" w:hAnsi="宋体" w:eastAsia="宋体" w:cs="宋体"/>
          <w:b/>
          <w:bCs/>
          <w:color w:val="auto"/>
          <w:sz w:val="28"/>
          <w:szCs w:val="28"/>
          <w:highlight w:val="none"/>
        </w:rPr>
        <w:t>（签字）：</w:t>
      </w:r>
      <w:r>
        <w:rPr>
          <w:rFonts w:hint="eastAsia" w:ascii="宋体" w:hAnsi="宋体" w:eastAsia="宋体" w:cs="宋体"/>
          <w:color w:val="auto"/>
          <w:sz w:val="28"/>
          <w:szCs w:val="28"/>
          <w:highlight w:val="none"/>
          <w:u w:val="single"/>
        </w:rPr>
        <w:t xml:space="preserve">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color w:val="auto"/>
          <w:sz w:val="28"/>
          <w:szCs w:val="28"/>
          <w:highlight w:val="none"/>
          <w:u w:val="single"/>
        </w:rPr>
        <w:t xml:space="preserve">         </w:t>
      </w:r>
    </w:p>
    <w:p w14:paraId="50B7D0D1">
      <w:pPr>
        <w:spacing w:line="400" w:lineRule="exact"/>
        <w:jc w:val="center"/>
        <w:rPr>
          <w:rFonts w:hint="eastAsia" w:ascii="宋体" w:hAnsi="宋体" w:eastAsia="宋体" w:cs="宋体"/>
          <w:color w:val="auto"/>
          <w:sz w:val="28"/>
          <w:szCs w:val="28"/>
          <w:highlight w:val="none"/>
          <w:u w:val="single"/>
        </w:rPr>
      </w:pPr>
    </w:p>
    <w:p w14:paraId="5993BFD7">
      <w:pPr>
        <w:pStyle w:val="25"/>
        <w:spacing w:line="400" w:lineRule="exact"/>
        <w:ind w:firstLine="2520" w:firstLineChars="900"/>
        <w:rPr>
          <w:rFonts w:hint="eastAsia" w:ascii="宋体" w:hAnsi="宋体" w:eastAsia="宋体" w:cs="宋体"/>
          <w:color w:val="auto"/>
          <w:sz w:val="28"/>
          <w:szCs w:val="28"/>
          <w:highlight w:val="none"/>
        </w:rPr>
      </w:pPr>
      <w:r>
        <w:rPr>
          <w:rFonts w:hint="eastAsia" w:ascii="宋体" w:hAnsi="宋体" w:eastAsia="宋体" w:cs="宋体"/>
          <w:b w:val="0"/>
          <w:bCs w:val="0"/>
          <w:color w:val="auto"/>
          <w:spacing w:val="0"/>
          <w:sz w:val="28"/>
          <w:szCs w:val="28"/>
          <w:highlight w:val="none"/>
          <w:lang w:val="en-US" w:eastAsia="zh-CN"/>
        </w:rPr>
        <w:t>政府采购供应商</w:t>
      </w:r>
      <w:r>
        <w:rPr>
          <w:rFonts w:hint="eastAsia" w:ascii="宋体" w:hAnsi="宋体" w:eastAsia="宋体" w:cs="宋体"/>
          <w:b/>
          <w:bCs/>
          <w:color w:val="auto"/>
          <w:sz w:val="28"/>
          <w:szCs w:val="28"/>
          <w:highlight w:val="none"/>
        </w:rPr>
        <w:t>（CA电子签章）</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p>
    <w:p w14:paraId="09CC50E6">
      <w:pPr>
        <w:pStyle w:val="25"/>
        <w:spacing w:line="400" w:lineRule="exact"/>
        <w:rPr>
          <w:rFonts w:hint="eastAsia" w:ascii="宋体" w:hAnsi="宋体" w:eastAsia="宋体" w:cs="宋体"/>
          <w:color w:val="auto"/>
          <w:sz w:val="28"/>
          <w:szCs w:val="28"/>
          <w:highlight w:val="none"/>
        </w:rPr>
      </w:pPr>
    </w:p>
    <w:p w14:paraId="550AEFE8">
      <w:pPr>
        <w:pStyle w:val="25"/>
        <w:spacing w:line="400" w:lineRule="exact"/>
        <w:jc w:val="righ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日期：       年   月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日</w:t>
      </w:r>
    </w:p>
    <w:p w14:paraId="3979F81A">
      <w:pPr>
        <w:spacing w:line="400" w:lineRule="exact"/>
        <w:contextualSpacing/>
        <w:jc w:val="left"/>
        <w:rPr>
          <w:rFonts w:hint="eastAsia" w:ascii="宋体" w:hAnsi="宋体" w:cs="宋体"/>
          <w:color w:val="auto"/>
          <w:highlight w:val="none"/>
        </w:rPr>
      </w:pPr>
    </w:p>
    <w:p w14:paraId="018DDB51">
      <w:pPr>
        <w:spacing w:line="400" w:lineRule="exact"/>
        <w:contextualSpacing/>
        <w:jc w:val="left"/>
        <w:rPr>
          <w:rFonts w:hint="eastAsia" w:ascii="宋体" w:hAnsi="宋体" w:cs="宋体"/>
          <w:color w:val="auto"/>
          <w:sz w:val="24"/>
          <w:highlight w:val="none"/>
        </w:rPr>
      </w:pPr>
    </w:p>
    <w:p w14:paraId="59122198">
      <w:pPr>
        <w:spacing w:line="400" w:lineRule="exact"/>
        <w:contextualSpacing/>
        <w:jc w:val="left"/>
        <w:rPr>
          <w:rFonts w:hint="eastAsia" w:ascii="宋体" w:hAnsi="宋体" w:cs="宋体"/>
          <w:color w:val="auto"/>
          <w:sz w:val="24"/>
          <w:highlight w:val="none"/>
        </w:rPr>
      </w:pPr>
    </w:p>
    <w:p w14:paraId="401640DE">
      <w:pPr>
        <w:rPr>
          <w:rFonts w:hint="eastAsia" w:ascii="宋体" w:hAnsi="宋体" w:cs="宋体"/>
          <w:b/>
          <w:color w:val="auto"/>
          <w:sz w:val="28"/>
          <w:szCs w:val="28"/>
          <w:highlight w:val="none"/>
        </w:rPr>
      </w:pPr>
      <w:bookmarkStart w:id="111" w:name="_Toc19686838"/>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三、商务技术文件格式</w:t>
      </w:r>
      <w:bookmarkEnd w:id="111"/>
    </w:p>
    <w:p w14:paraId="578874FD">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1.商务技术文件封面格式： </w:t>
      </w:r>
    </w:p>
    <w:p w14:paraId="563442A4">
      <w:pPr>
        <w:snapToGrid w:val="0"/>
        <w:spacing w:before="120"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76CD3E45">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268017A7">
      <w:pPr>
        <w:snapToGrid w:val="0"/>
        <w:spacing w:before="120"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商务技术</w:t>
      </w:r>
    </w:p>
    <w:p w14:paraId="6EC3ADAC">
      <w:pPr>
        <w:snapToGrid w:val="0"/>
        <w:spacing w:before="120" w:beforeLines="50" w:after="50"/>
        <w:rPr>
          <w:rFonts w:hint="eastAsia" w:ascii="宋体" w:hAnsi="宋体" w:cs="宋体"/>
          <w:bCs/>
          <w:color w:val="auto"/>
          <w:sz w:val="24"/>
          <w:szCs w:val="20"/>
          <w:highlight w:val="none"/>
        </w:rPr>
      </w:pPr>
    </w:p>
    <w:p w14:paraId="75758403">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6F1754F">
      <w:pPr>
        <w:snapToGrid w:val="0"/>
        <w:spacing w:before="120" w:beforeLines="50" w:after="50"/>
        <w:ind w:firstLine="540" w:firstLineChars="225"/>
        <w:rPr>
          <w:rFonts w:hint="eastAsia" w:ascii="宋体" w:hAnsi="宋体" w:cs="宋体"/>
          <w:bCs/>
          <w:color w:val="auto"/>
          <w:sz w:val="24"/>
          <w:szCs w:val="20"/>
          <w:highlight w:val="none"/>
        </w:rPr>
      </w:pPr>
    </w:p>
    <w:p w14:paraId="616AFCE1">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0F69E846">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09FD2874">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1BF2AC6B">
      <w:pPr>
        <w:snapToGrid w:val="0"/>
        <w:spacing w:before="120" w:beforeLines="50" w:after="50"/>
        <w:ind w:firstLine="540" w:firstLineChars="225"/>
        <w:rPr>
          <w:rFonts w:hint="eastAsia" w:ascii="宋体" w:hAnsi="宋体" w:cs="宋体"/>
          <w:bCs/>
          <w:color w:val="auto"/>
          <w:sz w:val="24"/>
          <w:szCs w:val="20"/>
          <w:highlight w:val="none"/>
        </w:rPr>
      </w:pPr>
    </w:p>
    <w:p w14:paraId="664060EE">
      <w:pPr>
        <w:pStyle w:val="2"/>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7F96554C">
      <w:pPr>
        <w:pStyle w:val="2"/>
        <w:snapToGrid w:val="0"/>
        <w:spacing w:before="50" w:after="50"/>
        <w:ind w:firstLine="540" w:firstLineChars="225"/>
        <w:rPr>
          <w:rFonts w:hint="eastAsia" w:ascii="宋体" w:hAnsi="宋体" w:cs="宋体"/>
          <w:bCs/>
          <w:color w:val="auto"/>
          <w:sz w:val="24"/>
          <w:szCs w:val="24"/>
          <w:highlight w:val="none"/>
        </w:rPr>
      </w:pPr>
    </w:p>
    <w:p w14:paraId="62C582EB">
      <w:pPr>
        <w:pStyle w:val="2"/>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79A32C06">
      <w:pPr>
        <w:pStyle w:val="2"/>
        <w:snapToGrid w:val="0"/>
        <w:spacing w:before="50" w:after="50"/>
        <w:ind w:firstLine="960" w:firstLineChars="400"/>
        <w:rPr>
          <w:rFonts w:hint="eastAsia" w:ascii="宋体" w:hAnsi="宋体" w:cs="宋体"/>
          <w:bCs/>
          <w:color w:val="auto"/>
          <w:sz w:val="24"/>
          <w:szCs w:val="24"/>
          <w:highlight w:val="none"/>
        </w:rPr>
      </w:pPr>
    </w:p>
    <w:p w14:paraId="44A4AC62">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342DCD8C">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63AA4AEB">
      <w:pPr>
        <w:snapToGrid w:val="0"/>
        <w:spacing w:line="360" w:lineRule="auto"/>
        <w:jc w:val="left"/>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2.商务技术文件目录</w:t>
      </w:r>
    </w:p>
    <w:p w14:paraId="58B45574">
      <w:pPr>
        <w:snapToGrid w:val="0"/>
        <w:spacing w:before="50" w:after="120" w:afterLines="50" w:line="360" w:lineRule="auto"/>
        <w:ind w:firstLine="1200" w:firstLineChars="500"/>
        <w:jc w:val="left"/>
        <w:rPr>
          <w:rFonts w:hint="eastAsia" w:ascii="宋体" w:hAnsi="宋体" w:cs="宋体"/>
          <w:color w:val="auto"/>
          <w:sz w:val="24"/>
          <w:highlight w:val="none"/>
        </w:rPr>
      </w:pPr>
    </w:p>
    <w:p w14:paraId="3D54860C">
      <w:pPr>
        <w:snapToGrid w:val="0"/>
        <w:spacing w:before="50" w:after="120" w:afterLines="50" w:line="360" w:lineRule="auto"/>
        <w:ind w:firstLine="1200" w:firstLineChars="500"/>
        <w:jc w:val="left"/>
        <w:rPr>
          <w:rFonts w:hint="eastAsia" w:ascii="宋体" w:hAnsi="宋体" w:cs="宋体"/>
          <w:b/>
          <w:bCs/>
          <w:color w:val="auto"/>
          <w:sz w:val="24"/>
          <w:highlight w:val="none"/>
        </w:rPr>
      </w:pPr>
      <w:r>
        <w:rPr>
          <w:rFonts w:hint="eastAsia" w:ascii="宋体" w:hAnsi="宋体" w:cs="宋体"/>
          <w:color w:val="auto"/>
          <w:sz w:val="24"/>
          <w:highlight w:val="none"/>
        </w:rPr>
        <w:t>根据招标文件规定及投标人提供的材料自行编写目录。</w:t>
      </w:r>
    </w:p>
    <w:p w14:paraId="46873A9C">
      <w:pPr>
        <w:snapToGrid w:val="0"/>
        <w:spacing w:before="50" w:after="120" w:afterLines="50"/>
        <w:jc w:val="left"/>
        <w:rPr>
          <w:rFonts w:hint="eastAsia" w:ascii="宋体" w:hAnsi="宋体" w:cs="宋体"/>
          <w:color w:val="auto"/>
          <w:highlight w:val="none"/>
        </w:rPr>
      </w:pPr>
    </w:p>
    <w:p w14:paraId="21E5E20A">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3.投标人参加本项目无围标串标行为的承诺</w:t>
      </w:r>
    </w:p>
    <w:p w14:paraId="7E2549D4">
      <w:pPr>
        <w:snapToGrid w:val="0"/>
        <w:spacing w:before="120" w:beforeLines="50" w:after="50"/>
        <w:jc w:val="left"/>
        <w:rPr>
          <w:rFonts w:hint="eastAsia" w:ascii="宋体" w:hAnsi="宋体" w:cs="宋体"/>
          <w:b/>
          <w:color w:val="auto"/>
          <w:sz w:val="24"/>
          <w:highlight w:val="none"/>
        </w:rPr>
      </w:pPr>
    </w:p>
    <w:p w14:paraId="66B6BEB3">
      <w:pPr>
        <w:snapToGrid w:val="0"/>
        <w:spacing w:before="120" w:beforeLines="50" w:after="50"/>
        <w:ind w:left="420"/>
        <w:jc w:val="center"/>
        <w:rPr>
          <w:rFonts w:hint="eastAsia" w:ascii="宋体" w:hAnsi="宋体" w:cs="宋体"/>
          <w:b/>
          <w:color w:val="auto"/>
          <w:spacing w:val="-17"/>
          <w:sz w:val="32"/>
          <w:szCs w:val="32"/>
          <w:highlight w:val="none"/>
        </w:rPr>
      </w:pPr>
      <w:r>
        <w:rPr>
          <w:rFonts w:hint="eastAsia" w:ascii="宋体" w:hAnsi="宋体" w:cs="宋体"/>
          <w:bCs/>
          <w:color w:val="auto"/>
          <w:spacing w:val="-17"/>
          <w:sz w:val="44"/>
          <w:szCs w:val="44"/>
          <w:highlight w:val="none"/>
        </w:rPr>
        <w:t>投标人参加本项目无围标串标行为的承诺函</w:t>
      </w:r>
    </w:p>
    <w:p w14:paraId="75B753F6">
      <w:pPr>
        <w:snapToGrid w:val="0"/>
        <w:spacing w:before="120" w:beforeLines="50" w:after="50"/>
        <w:rPr>
          <w:rFonts w:hint="eastAsia" w:ascii="宋体" w:hAnsi="宋体" w:cs="宋体"/>
          <w:b/>
          <w:color w:val="auto"/>
          <w:sz w:val="24"/>
          <w:highlight w:val="none"/>
        </w:rPr>
      </w:pPr>
    </w:p>
    <w:p w14:paraId="04780503">
      <w:pPr>
        <w:spacing w:line="400" w:lineRule="exact"/>
        <w:contextualSpacing/>
        <w:jc w:val="left"/>
        <w:rPr>
          <w:rFonts w:hint="eastAsia" w:ascii="宋体" w:hAnsi="宋体" w:cs="宋体"/>
          <w:b/>
          <w:color w:val="auto"/>
          <w:sz w:val="24"/>
          <w:highlight w:val="none"/>
        </w:rPr>
      </w:pPr>
      <w:r>
        <w:rPr>
          <w:rFonts w:hint="eastAsia" w:ascii="宋体" w:hAnsi="宋体" w:cs="宋体"/>
          <w:b/>
          <w:color w:val="auto"/>
          <w:sz w:val="24"/>
          <w:highlight w:val="none"/>
        </w:rPr>
        <w:t>一、我方承诺无下列相互串通投标的情形：</w:t>
      </w:r>
    </w:p>
    <w:p w14:paraId="706C1949">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 xml:space="preserve">1.不同投标人的投标文件由同一单位或者个人编制； </w:t>
      </w:r>
    </w:p>
    <w:p w14:paraId="6E6E6598">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14:paraId="71AD0FC5">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3.不同的投标人的投标文件载明的项目管理员为同一个人；</w:t>
      </w:r>
    </w:p>
    <w:p w14:paraId="468648D2">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14:paraId="4B4DA0D8">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5.不同投标人的投标文件相互混装；</w:t>
      </w:r>
    </w:p>
    <w:p w14:paraId="15A04384">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6.不同投标人的投标保证金从同一单位或者个人账户转出。</w:t>
      </w:r>
    </w:p>
    <w:p w14:paraId="0E8E4F83">
      <w:pPr>
        <w:spacing w:line="400" w:lineRule="exact"/>
        <w:contextualSpacing/>
        <w:jc w:val="left"/>
        <w:rPr>
          <w:rFonts w:hint="eastAsia" w:ascii="宋体" w:hAnsi="宋体" w:cs="宋体"/>
          <w:color w:val="auto"/>
          <w:sz w:val="24"/>
          <w:highlight w:val="none"/>
        </w:rPr>
      </w:pPr>
      <w:r>
        <w:rPr>
          <w:rFonts w:hint="eastAsia" w:ascii="宋体" w:hAnsi="宋体" w:cs="宋体"/>
          <w:b/>
          <w:color w:val="auto"/>
          <w:sz w:val="24"/>
          <w:highlight w:val="none"/>
        </w:rPr>
        <w:t>二、我方承诺无下列恶意串通的情形：</w:t>
      </w:r>
    </w:p>
    <w:p w14:paraId="5F7E79B9">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1.投标人直接或者间接从采购人或者采购代理机构处获得其他投标人的相关信息并修改其投标文件或者响应文件；</w:t>
      </w:r>
    </w:p>
    <w:p w14:paraId="300FBAA7">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2.投标人按照采购人或者采购代理机构的授意撤换、修改投标文件或者响应文件；</w:t>
      </w:r>
    </w:p>
    <w:p w14:paraId="4D3AC63D">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3.投标人之间协商报价、技术方案等投标文件或者响应文件的实质性内容；</w:t>
      </w:r>
    </w:p>
    <w:p w14:paraId="0BD7C876">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4.属于同一集团、协会、商会等组织成员的投标人按照该组织要求协同参加政府采购活动；</w:t>
      </w:r>
    </w:p>
    <w:p w14:paraId="538097D8">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372D247">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6.投标人之间商定部分投标人放弃参加政府采购活动或者放弃中标；</w:t>
      </w:r>
    </w:p>
    <w:p w14:paraId="596257AB">
      <w:pPr>
        <w:spacing w:line="400" w:lineRule="exact"/>
        <w:ind w:firstLine="470" w:firstLineChars="196"/>
        <w:contextualSpacing/>
        <w:jc w:val="left"/>
        <w:rPr>
          <w:rFonts w:hint="eastAsia" w:ascii="宋体" w:hAnsi="宋体" w:cs="宋体"/>
          <w:color w:val="auto"/>
          <w:sz w:val="24"/>
          <w:highlight w:val="none"/>
        </w:rPr>
      </w:pPr>
      <w:r>
        <w:rPr>
          <w:rFonts w:hint="eastAsia" w:ascii="宋体" w:hAnsi="宋体" w:cs="宋体"/>
          <w:color w:val="auto"/>
          <w:sz w:val="24"/>
          <w:highlight w:val="none"/>
        </w:rPr>
        <w:t>7.投标人与采购人或者采购代理机构之间、投标人相互之间，为谋求特定投标人中标或者排斥其他投标人的其他串通行为。</w:t>
      </w:r>
    </w:p>
    <w:p w14:paraId="48600BC2">
      <w:pPr>
        <w:spacing w:line="400" w:lineRule="exact"/>
        <w:ind w:firstLine="472" w:firstLineChars="196"/>
        <w:contextualSpacing/>
        <w:jc w:val="left"/>
        <w:rPr>
          <w:rFonts w:hint="eastAsia" w:ascii="宋体" w:hAnsi="宋体" w:cs="宋体"/>
          <w:b/>
          <w:color w:val="auto"/>
          <w:sz w:val="24"/>
          <w:highlight w:val="none"/>
        </w:rPr>
      </w:pPr>
      <w:r>
        <w:rPr>
          <w:rFonts w:hint="eastAsia" w:ascii="宋体" w:hAnsi="宋体" w:cs="宋体"/>
          <w:b/>
          <w:color w:val="auto"/>
          <w:sz w:val="24"/>
          <w:highlight w:val="none"/>
        </w:rPr>
        <w:t>以上情形一经核查属实，我方愿意承担一切后果，并不再寻求任何旨在减轻或者免除法律责任的辩解。</w:t>
      </w:r>
    </w:p>
    <w:p w14:paraId="4FD07399">
      <w:pPr>
        <w:pStyle w:val="25"/>
        <w:spacing w:line="400" w:lineRule="exact"/>
        <w:ind w:firstLine="6840" w:firstLineChars="2850"/>
        <w:contextualSpacing/>
        <w:rPr>
          <w:rFonts w:hint="eastAsia" w:hAnsi="宋体" w:cs="宋体"/>
          <w:color w:val="auto"/>
          <w:sz w:val="24"/>
          <w:szCs w:val="24"/>
          <w:highlight w:val="none"/>
        </w:rPr>
      </w:pPr>
    </w:p>
    <w:p w14:paraId="054229AE">
      <w:pPr>
        <w:pStyle w:val="25"/>
        <w:spacing w:line="400" w:lineRule="exact"/>
        <w:contextualSpacing/>
        <w:jc w:val="center"/>
        <w:rPr>
          <w:rFonts w:hint="eastAsia" w:hAnsi="宋体" w:cs="宋体"/>
          <w:color w:val="auto"/>
          <w:sz w:val="24"/>
          <w:szCs w:val="24"/>
          <w:highlight w:val="none"/>
        </w:rPr>
      </w:pPr>
      <w:r>
        <w:rPr>
          <w:rFonts w:hint="eastAsia" w:hAnsi="宋体" w:cs="宋体"/>
          <w:color w:val="auto"/>
          <w:sz w:val="24"/>
          <w:szCs w:val="24"/>
          <w:highlight w:val="none"/>
        </w:rPr>
        <w:t xml:space="preserve">                                    投标人名称（电子签章）</w:t>
      </w:r>
    </w:p>
    <w:p w14:paraId="26FB714A">
      <w:pPr>
        <w:pStyle w:val="25"/>
        <w:spacing w:line="400" w:lineRule="exact"/>
        <w:contextualSpacing/>
        <w:rPr>
          <w:rFonts w:hint="eastAsia" w:hAnsi="宋体" w:cs="宋体"/>
          <w:color w:val="auto"/>
          <w:sz w:val="24"/>
          <w:highlight w:val="none"/>
        </w:rPr>
      </w:pPr>
      <w:r>
        <w:rPr>
          <w:rFonts w:hint="eastAsia" w:hAnsi="宋体" w:cs="宋体"/>
          <w:color w:val="auto"/>
          <w:sz w:val="24"/>
          <w:highlight w:val="none"/>
        </w:rPr>
        <w:t xml:space="preserve">                                                </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2FAB0E0A">
      <w:pPr>
        <w:snapToGrid w:val="0"/>
        <w:spacing w:before="120" w:beforeLines="50" w:after="50"/>
        <w:ind w:firstLine="472" w:firstLineChars="196"/>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4.法定代表人（负责人或自然人）身份证明</w:t>
      </w:r>
    </w:p>
    <w:p w14:paraId="7F817FAB">
      <w:pPr>
        <w:spacing w:before="240" w:beforeLines="100" w:after="120" w:afterLines="50"/>
        <w:ind w:left="540"/>
        <w:jc w:val="center"/>
        <w:rPr>
          <w:rFonts w:hint="eastAsia" w:ascii="宋体" w:hAnsi="宋体" w:cs="宋体"/>
          <w:b/>
          <w:color w:val="auto"/>
          <w:sz w:val="32"/>
          <w:szCs w:val="32"/>
          <w:highlight w:val="none"/>
        </w:rPr>
      </w:pPr>
    </w:p>
    <w:p w14:paraId="1FEB6999">
      <w:pPr>
        <w:spacing w:before="240" w:beforeLines="100" w:after="120" w:afterLines="50"/>
        <w:ind w:left="540"/>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法定代表人（负责人或自然人）身份证明</w:t>
      </w:r>
    </w:p>
    <w:p w14:paraId="76C738D0">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14:paraId="02A4C6DB">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2DFCDEAC">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3AD311FA">
      <w:pPr>
        <w:spacing w:line="500" w:lineRule="exact"/>
        <w:ind w:left="540"/>
        <w:rPr>
          <w:rFonts w:hint="eastAsia"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6BB69FB7">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246C8C3A">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的法定代表人（负责人或自然人）</w:t>
      </w:r>
    </w:p>
    <w:p w14:paraId="2AF8600C">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特此证明。</w:t>
      </w:r>
    </w:p>
    <w:p w14:paraId="798D4EDD">
      <w:pPr>
        <w:spacing w:line="500" w:lineRule="exact"/>
        <w:ind w:left="540"/>
        <w:rPr>
          <w:rFonts w:hint="eastAsia" w:ascii="宋体" w:hAnsi="宋体" w:cs="宋体"/>
          <w:color w:val="auto"/>
          <w:sz w:val="24"/>
          <w:highlight w:val="none"/>
        </w:rPr>
      </w:pPr>
    </w:p>
    <w:p w14:paraId="719949CE">
      <w:pPr>
        <w:spacing w:line="500" w:lineRule="exact"/>
        <w:ind w:left="540"/>
        <w:rPr>
          <w:rFonts w:hint="eastAsia" w:ascii="宋体" w:hAnsi="宋体" w:cs="宋体"/>
          <w:color w:val="auto"/>
          <w:sz w:val="24"/>
          <w:highlight w:val="none"/>
        </w:rPr>
      </w:pPr>
    </w:p>
    <w:p w14:paraId="7E276931">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附件：法定代表人（负责人或自然人）有效身份证正反面复印件</w:t>
      </w:r>
    </w:p>
    <w:p w14:paraId="1100099A">
      <w:pPr>
        <w:spacing w:line="500" w:lineRule="exact"/>
        <w:ind w:left="540"/>
        <w:rPr>
          <w:rFonts w:hint="eastAsia" w:ascii="宋体" w:hAnsi="宋体" w:cs="宋体"/>
          <w:color w:val="auto"/>
          <w:sz w:val="24"/>
          <w:highlight w:val="none"/>
        </w:rPr>
      </w:pPr>
    </w:p>
    <w:p w14:paraId="6F8CCE56">
      <w:pPr>
        <w:spacing w:line="500" w:lineRule="exact"/>
        <w:ind w:left="540"/>
        <w:jc w:val="right"/>
        <w:rPr>
          <w:rFonts w:hint="eastAsia" w:ascii="宋体" w:hAnsi="宋体" w:cs="宋体"/>
          <w:color w:val="auto"/>
          <w:sz w:val="24"/>
          <w:highlight w:val="none"/>
        </w:rPr>
      </w:pPr>
      <w:r>
        <w:rPr>
          <w:rFonts w:hint="eastAsia" w:ascii="宋体" w:hAnsi="宋体" w:cs="宋体"/>
          <w:color w:val="auto"/>
          <w:sz w:val="24"/>
          <w:highlight w:val="none"/>
        </w:rPr>
        <w:t>投标人名称（电子签章）</w:t>
      </w:r>
    </w:p>
    <w:p w14:paraId="5FDC8105">
      <w:pPr>
        <w:snapToGrid w:val="0"/>
        <w:spacing w:before="120" w:beforeLines="50" w:after="50"/>
        <w:ind w:left="540"/>
        <w:jc w:val="right"/>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EFC7734">
      <w:pPr>
        <w:snapToGrid w:val="0"/>
        <w:spacing w:before="120" w:beforeLines="50" w:after="50"/>
        <w:jc w:val="center"/>
        <w:rPr>
          <w:rFonts w:hint="eastAsia" w:ascii="宋体" w:hAnsi="宋体" w:cs="宋体"/>
          <w:b/>
          <w:color w:val="auto"/>
          <w:sz w:val="24"/>
          <w:highlight w:val="none"/>
        </w:rPr>
      </w:pPr>
    </w:p>
    <w:p w14:paraId="499F163A">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5.授权委托书格式</w:t>
      </w:r>
    </w:p>
    <w:p w14:paraId="4ED9F639">
      <w:pPr>
        <w:snapToGrid w:val="0"/>
        <w:spacing w:before="120" w:beforeLines="50" w:after="50"/>
        <w:jc w:val="center"/>
        <w:rPr>
          <w:rFonts w:hint="eastAsia" w:ascii="宋体" w:hAnsi="宋体" w:cs="宋体"/>
          <w:b/>
          <w:color w:val="auto"/>
          <w:sz w:val="44"/>
          <w:szCs w:val="44"/>
          <w:highlight w:val="none"/>
        </w:rPr>
      </w:pPr>
    </w:p>
    <w:p w14:paraId="00A914DD">
      <w:pPr>
        <w:snapToGrid w:val="0"/>
        <w:spacing w:before="120" w:beforeLines="50" w:after="50"/>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授权委托书</w:t>
      </w:r>
    </w:p>
    <w:p w14:paraId="03DB2A25">
      <w:pPr>
        <w:snapToGrid w:val="0"/>
        <w:spacing w:before="120" w:beforeLines="50" w:after="50"/>
        <w:jc w:val="center"/>
        <w:rPr>
          <w:rFonts w:hint="eastAsia" w:ascii="宋体" w:hAnsi="宋体" w:cs="宋体"/>
          <w:b/>
          <w:color w:val="auto"/>
          <w:sz w:val="24"/>
          <w:highlight w:val="none"/>
        </w:rPr>
      </w:pPr>
      <w:r>
        <w:rPr>
          <w:rFonts w:hint="eastAsia" w:ascii="宋体" w:hAnsi="宋体" w:cs="宋体"/>
          <w:b/>
          <w:color w:val="auto"/>
          <w:sz w:val="32"/>
          <w:szCs w:val="32"/>
          <w:highlight w:val="none"/>
        </w:rPr>
        <w:t>（如有委托时）</w:t>
      </w:r>
    </w:p>
    <w:p w14:paraId="44204CDE">
      <w:pPr>
        <w:snapToGrid w:val="0"/>
        <w:spacing w:before="120" w:beforeLines="50" w:after="50"/>
        <w:jc w:val="center"/>
        <w:rPr>
          <w:rFonts w:hint="eastAsia" w:ascii="宋体" w:hAnsi="宋体" w:cs="宋体"/>
          <w:b/>
          <w:color w:val="auto"/>
          <w:sz w:val="24"/>
          <w:highlight w:val="none"/>
        </w:rPr>
      </w:pPr>
    </w:p>
    <w:p w14:paraId="2732DC03">
      <w:pPr>
        <w:spacing w:line="360" w:lineRule="auto"/>
        <w:contextualSpacing/>
        <w:rPr>
          <w:rFonts w:hint="eastAsia" w:ascii="宋体" w:hAnsi="宋体" w:cs="宋体"/>
          <w:b/>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11A45378">
      <w:pPr>
        <w:spacing w:line="360" w:lineRule="auto"/>
        <w:ind w:firstLine="566" w:firstLineChars="236"/>
        <w:contextualSpacing/>
        <w:rPr>
          <w:rFonts w:hint="eastAsia"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（投标人名称）的法定代表人（负责人或自然人），现授权委托</w:t>
      </w:r>
      <w:r>
        <w:rPr>
          <w:rFonts w:hint="eastAsia" w:ascii="宋体" w:hAnsi="宋体" w:cs="宋体"/>
          <w:color w:val="auto"/>
          <w:sz w:val="24"/>
          <w:highlight w:val="none"/>
          <w:u w:val="single"/>
        </w:rPr>
        <w:t xml:space="preserve">              （姓名）</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项目的投标活动，并代表我方全权办理针对上述项目的所有采购程序和环节的具体事务和签署相关文件。</w:t>
      </w:r>
    </w:p>
    <w:p w14:paraId="2FFA6E7B">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 xml:space="preserve">    我方对委托代理人的签字或者电子签名事项负全部责任。</w:t>
      </w:r>
    </w:p>
    <w:p w14:paraId="50FFA9F5">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57FAA7B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委托代理人无转委托权，特此委托。</w:t>
      </w:r>
    </w:p>
    <w:p w14:paraId="3B2C3AED">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附：法定代表人身份证明及委托代理人有效身份证正反面复印件</w:t>
      </w:r>
    </w:p>
    <w:p w14:paraId="4D7FC672">
      <w:pPr>
        <w:spacing w:line="360" w:lineRule="auto"/>
        <w:contextualSpacing/>
        <w:rPr>
          <w:rFonts w:hint="eastAsia" w:ascii="宋体" w:hAnsi="宋体" w:cs="宋体"/>
          <w:color w:val="auto"/>
          <w:sz w:val="24"/>
          <w:highlight w:val="none"/>
        </w:rPr>
      </w:pPr>
    </w:p>
    <w:p w14:paraId="75D44AE2">
      <w:pPr>
        <w:spacing w:line="440" w:lineRule="exact"/>
        <w:contextualSpacing/>
        <w:rPr>
          <w:rFonts w:hint="eastAsia" w:ascii="宋体" w:hAnsi="宋体" w:cs="宋体"/>
          <w:color w:val="auto"/>
          <w:sz w:val="24"/>
          <w:highlight w:val="none"/>
        </w:rPr>
      </w:pPr>
      <w:r>
        <w:rPr>
          <w:rFonts w:hint="eastAsia" w:ascii="宋体" w:hAnsi="宋体" w:cs="宋体"/>
          <w:color w:val="auto"/>
          <w:sz w:val="24"/>
          <w:highlight w:val="none"/>
        </w:rPr>
        <w:t>委托代理人（签字或者电子签名）：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76E069FC">
      <w:pPr>
        <w:spacing w:line="440" w:lineRule="exact"/>
        <w:contextualSpacing/>
        <w:rPr>
          <w:rFonts w:hint="eastAsia" w:ascii="宋体" w:hAnsi="宋体" w:cs="宋体"/>
          <w:color w:val="auto"/>
          <w:sz w:val="24"/>
          <w:highlight w:val="none"/>
          <w:u w:val="single"/>
        </w:rPr>
      </w:pPr>
      <w:r>
        <w:rPr>
          <w:rFonts w:hint="eastAsia" w:ascii="宋体" w:hAnsi="宋体" w:cs="宋体"/>
          <w:color w:val="auto"/>
          <w:sz w:val="24"/>
          <w:highlight w:val="none"/>
        </w:rPr>
        <w:t>委托代理人身份证号码：</w:t>
      </w:r>
      <w:r>
        <w:rPr>
          <w:rFonts w:hint="eastAsia" w:ascii="宋体" w:hAnsi="宋体" w:cs="宋体"/>
          <w:color w:val="auto"/>
          <w:sz w:val="24"/>
          <w:highlight w:val="none"/>
          <w:u w:val="single"/>
        </w:rPr>
        <w:t xml:space="preserve">                             </w:t>
      </w:r>
    </w:p>
    <w:p w14:paraId="7FE2509C">
      <w:pPr>
        <w:spacing w:line="440" w:lineRule="exact"/>
        <w:contextualSpacing/>
        <w:rPr>
          <w:rFonts w:hint="eastAsia" w:ascii="宋体" w:hAnsi="宋体" w:cs="宋体"/>
          <w:color w:val="auto"/>
          <w:sz w:val="24"/>
          <w:highlight w:val="none"/>
          <w:u w:val="single"/>
        </w:rPr>
      </w:pPr>
      <w:r>
        <w:rPr>
          <w:rFonts w:hint="eastAsia" w:ascii="宋体" w:hAnsi="宋体" w:cs="宋体"/>
          <w:color w:val="auto"/>
          <w:sz w:val="24"/>
          <w:highlight w:val="none"/>
        </w:rPr>
        <w:t>法定代表人（负责人或自然人）（签字或者盖章或者电子签名）：</w:t>
      </w:r>
      <w:r>
        <w:rPr>
          <w:rFonts w:hint="eastAsia" w:ascii="宋体" w:hAnsi="宋体" w:cs="宋体"/>
          <w:color w:val="auto"/>
          <w:sz w:val="24"/>
          <w:highlight w:val="none"/>
          <w:u w:val="single"/>
        </w:rPr>
        <w:t xml:space="preserve">              </w:t>
      </w:r>
    </w:p>
    <w:p w14:paraId="22977D71">
      <w:pPr>
        <w:spacing w:line="440" w:lineRule="exact"/>
        <w:contextualSpacing/>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6D426D6F">
      <w:pPr>
        <w:spacing w:line="440" w:lineRule="exact"/>
        <w:contextualSpacing/>
        <w:jc w:val="center"/>
        <w:rPr>
          <w:rFonts w:hint="eastAsia"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1540AA0B">
      <w:pPr>
        <w:spacing w:line="440" w:lineRule="exact"/>
        <w:contextualSpacing/>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36F5C189">
      <w:pPr>
        <w:spacing w:line="440" w:lineRule="exact"/>
        <w:contextualSpacing/>
        <w:rPr>
          <w:rFonts w:hint="eastAsia" w:ascii="宋体" w:hAnsi="宋体" w:cs="宋体"/>
          <w:color w:val="auto"/>
          <w:sz w:val="24"/>
          <w:highlight w:val="none"/>
        </w:rPr>
      </w:pPr>
      <w:r>
        <w:rPr>
          <w:rFonts w:hint="eastAsia" w:ascii="宋体" w:hAnsi="宋体" w:cs="宋体"/>
          <w:color w:val="auto"/>
          <w:sz w:val="24"/>
          <w:highlight w:val="none"/>
        </w:rPr>
        <w:t>注：1.</w:t>
      </w:r>
      <w:bookmarkStart w:id="112" w:name="_Hlk65851555"/>
      <w:bookmarkStart w:id="113" w:name="_Hlk65851620"/>
      <w:r>
        <w:rPr>
          <w:rFonts w:hint="eastAsia" w:ascii="宋体" w:hAnsi="宋体" w:cs="宋体"/>
          <w:color w:val="auto"/>
          <w:sz w:val="24"/>
          <w:highlight w:val="none"/>
        </w:rPr>
        <w:t>法定代表人必须在授权委托书上签字或者盖章或者电子签名，</w:t>
      </w:r>
      <w:bookmarkEnd w:id="112"/>
      <w:r>
        <w:rPr>
          <w:rFonts w:hint="eastAsia" w:ascii="宋体" w:hAnsi="宋体" w:cs="宋体"/>
          <w:color w:val="auto"/>
          <w:sz w:val="24"/>
          <w:highlight w:val="none"/>
        </w:rPr>
        <w:t>委托代理人必须在授权委托书上签字或者电子签名，</w:t>
      </w:r>
      <w:r>
        <w:rPr>
          <w:rFonts w:hint="eastAsia" w:ascii="宋体" w:hAnsi="宋体" w:cs="宋体"/>
          <w:b/>
          <w:bCs/>
          <w:color w:val="auto"/>
          <w:sz w:val="24"/>
          <w:highlight w:val="none"/>
        </w:rPr>
        <w:t>否则按无效投标处理</w:t>
      </w:r>
      <w:r>
        <w:rPr>
          <w:rFonts w:hint="eastAsia" w:ascii="宋体" w:hAnsi="宋体" w:cs="宋体"/>
          <w:color w:val="auto"/>
          <w:sz w:val="24"/>
          <w:highlight w:val="none"/>
        </w:rPr>
        <w:t>；</w:t>
      </w:r>
      <w:bookmarkEnd w:id="113"/>
    </w:p>
    <w:p w14:paraId="47EDC6E5">
      <w:pPr>
        <w:spacing w:line="44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2.法人、其他组织投标时“我方”是指“我单位”，自然人投标时“我方”是指“本人”。</w:t>
      </w:r>
    </w:p>
    <w:p w14:paraId="1422883E">
      <w:pPr>
        <w:snapToGrid w:val="0"/>
        <w:spacing w:before="120" w:beforeLines="50" w:after="50"/>
        <w:jc w:val="left"/>
        <w:rPr>
          <w:rFonts w:hint="eastAsia" w:ascii="宋体" w:hAnsi="宋体" w:cs="宋体"/>
          <w:color w:val="auto"/>
          <w:sz w:val="24"/>
          <w:highlight w:val="none"/>
        </w:rPr>
      </w:pPr>
      <w:r>
        <w:rPr>
          <w:rFonts w:hint="eastAsia" w:ascii="宋体" w:hAnsi="宋体" w:cs="宋体"/>
          <w:color w:val="auto"/>
          <w:sz w:val="24"/>
          <w:highlight w:val="none"/>
        </w:rPr>
        <w:br w:type="page"/>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.投标声明</w:t>
      </w:r>
    </w:p>
    <w:p w14:paraId="2571AE3A">
      <w:pPr>
        <w:pStyle w:val="38"/>
        <w:rPr>
          <w:rFonts w:hint="eastAsia"/>
          <w:color w:val="auto"/>
          <w:highlight w:val="none"/>
        </w:rPr>
      </w:pPr>
    </w:p>
    <w:p w14:paraId="4B1E856D">
      <w:pPr>
        <w:snapToGrid w:val="0"/>
        <w:spacing w:before="50" w:after="120" w:afterLines="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投标声明</w:t>
      </w:r>
    </w:p>
    <w:p w14:paraId="4BF6BF9B">
      <w:pPr>
        <w:spacing w:line="400" w:lineRule="exact"/>
        <w:contextualSpacing/>
        <w:jc w:val="left"/>
        <w:rPr>
          <w:rFonts w:hint="eastAsia" w:ascii="宋体" w:hAnsi="宋体" w:cs="宋体"/>
          <w:color w:val="auto"/>
          <w:sz w:val="24"/>
          <w:highlight w:val="none"/>
        </w:rPr>
      </w:pPr>
      <w:r>
        <w:rPr>
          <w:rFonts w:hint="eastAsia" w:ascii="宋体" w:hAnsi="宋体" w:cs="宋体"/>
          <w:color w:val="auto"/>
          <w:sz w:val="24"/>
          <w:highlight w:val="none"/>
        </w:rPr>
        <w:t>（采购人名称）：</w:t>
      </w:r>
    </w:p>
    <w:p w14:paraId="15207BD8">
      <w:pPr>
        <w:spacing w:line="400" w:lineRule="exact"/>
        <w:ind w:firstLine="523" w:firstLineChars="218"/>
        <w:contextualSpacing/>
        <w:jc w:val="left"/>
        <w:rPr>
          <w:rFonts w:hint="eastAsia" w:ascii="宋体" w:hAnsi="宋体" w:cs="宋体"/>
          <w:color w:val="auto"/>
          <w:sz w:val="24"/>
          <w:highlight w:val="none"/>
        </w:rPr>
      </w:pPr>
      <w:r>
        <w:rPr>
          <w:rFonts w:hint="eastAsia" w:ascii="宋体" w:hAnsi="宋体" w:cs="宋体"/>
          <w:color w:val="auto"/>
          <w:sz w:val="24"/>
          <w:highlight w:val="none"/>
        </w:rPr>
        <w:t>我方参加贵单位组织</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）的政府采购活动。我方在此郑重声明：</w:t>
      </w:r>
    </w:p>
    <w:p w14:paraId="33980201">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9D0E63C">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2.我方不是为本次采购项目提供整体设计、规范编制或者项目管理、监理、检测等服务的供应商。</w:t>
      </w:r>
    </w:p>
    <w:p w14:paraId="38DAF449">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 我方承诺符合《中华人民共和国政府采购法》第二十二条规定：</w:t>
      </w:r>
    </w:p>
    <w:p w14:paraId="1B72D1EF">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（一）具有独立承担民事责任的能力；</w:t>
      </w:r>
    </w:p>
    <w:p w14:paraId="3DA008A8">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14:paraId="3EFA1F3F">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14:paraId="33E4371A">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14:paraId="4BD0A5A1">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（五）参加政府采购活动前三年内，在经营活动中没有重大违法记录；</w:t>
      </w:r>
    </w:p>
    <w:p w14:paraId="239CEBB7">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（六）法律、行政法规规定的其他条件。</w:t>
      </w:r>
    </w:p>
    <w:p w14:paraId="2263D2DC">
      <w:pPr>
        <w:spacing w:line="400" w:lineRule="exact"/>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4.以上事项如有虚假或者隐瞒，我方愿意承担一切后果，并不再寻求任何旨在减轻或者免除法律责任的辩解。</w:t>
      </w:r>
    </w:p>
    <w:p w14:paraId="272CA92D">
      <w:pPr>
        <w:spacing w:line="400" w:lineRule="exact"/>
        <w:contextualSpacing/>
        <w:jc w:val="left"/>
        <w:rPr>
          <w:rFonts w:hint="eastAsia" w:ascii="宋体" w:hAnsi="宋体" w:cs="宋体"/>
          <w:color w:val="auto"/>
          <w:sz w:val="24"/>
          <w:highlight w:val="none"/>
        </w:rPr>
      </w:pPr>
      <w:r>
        <w:rPr>
          <w:rFonts w:hint="eastAsia" w:ascii="宋体" w:hAnsi="宋体" w:cs="宋体"/>
          <w:color w:val="auto"/>
          <w:sz w:val="24"/>
          <w:highlight w:val="none"/>
        </w:rPr>
        <w:t xml:space="preserve">    特此承诺。</w:t>
      </w:r>
    </w:p>
    <w:p w14:paraId="7A70037F">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                </w:t>
      </w:r>
    </w:p>
    <w:p w14:paraId="7934D62C">
      <w:pPr>
        <w:pStyle w:val="2"/>
        <w:rPr>
          <w:rFonts w:hint="eastAsia" w:ascii="宋体" w:hAnsi="宋体" w:cs="宋体"/>
          <w:color w:val="auto"/>
          <w:highlight w:val="none"/>
        </w:rPr>
      </w:pPr>
    </w:p>
    <w:p w14:paraId="4B01788C">
      <w:pPr>
        <w:snapToGrid w:val="0"/>
        <w:spacing w:line="360" w:lineRule="auto"/>
        <w:jc w:val="left"/>
        <w:rPr>
          <w:rFonts w:hint="eastAsia" w:ascii="宋体" w:hAnsi="宋体" w:cs="宋体"/>
          <w:color w:val="auto"/>
          <w:sz w:val="24"/>
          <w:highlight w:val="none"/>
        </w:rPr>
      </w:pPr>
      <w:r>
        <w:rPr>
          <w:rFonts w:hint="eastAsia" w:ascii="宋体" w:hAnsi="宋体" w:cs="宋体"/>
          <w:b/>
          <w:color w:val="auto"/>
          <w:sz w:val="24"/>
          <w:highlight w:val="none"/>
        </w:rPr>
        <w:t xml:space="preserve">  </w:t>
      </w:r>
      <w:r>
        <w:rPr>
          <w:rFonts w:hint="eastAsia" w:ascii="宋体" w:hAnsi="宋体" w:cs="宋体"/>
          <w:color w:val="auto"/>
          <w:sz w:val="24"/>
          <w:highlight w:val="none"/>
        </w:rPr>
        <w:t xml:space="preserve">法定代表人（负责人、自然人）或者委托代理人（签字或者电子签名）: </w:t>
      </w:r>
      <w:r>
        <w:rPr>
          <w:rFonts w:hint="eastAsia" w:ascii="宋体" w:hAnsi="宋体" w:cs="宋体"/>
          <w:color w:val="auto"/>
          <w:sz w:val="24"/>
          <w:highlight w:val="none"/>
          <w:u w:val="single"/>
        </w:rPr>
        <w:t xml:space="preserve">      </w:t>
      </w:r>
    </w:p>
    <w:p w14:paraId="15B7B807">
      <w:pPr>
        <w:pStyle w:val="25"/>
        <w:snapToGrid w:val="0"/>
        <w:spacing w:before="295" w:after="295" w:line="360" w:lineRule="auto"/>
        <w:jc w:val="center"/>
        <w:rPr>
          <w:rFonts w:hint="eastAsia" w:hAnsi="宋体" w:cs="宋体"/>
          <w:color w:val="auto"/>
          <w:sz w:val="24"/>
          <w:szCs w:val="24"/>
          <w:highlight w:val="none"/>
          <w:u w:val="single"/>
        </w:rPr>
      </w:pPr>
      <w:r>
        <w:rPr>
          <w:rFonts w:hint="eastAsia" w:hAnsi="宋体" w:cs="宋体"/>
          <w:color w:val="auto"/>
          <w:sz w:val="24"/>
          <w:highlight w:val="none"/>
        </w:rPr>
        <w:t xml:space="preserve">                      投标人名称（电子签章）:</w:t>
      </w:r>
      <w:r>
        <w:rPr>
          <w:rFonts w:hint="eastAsia" w:hAnsi="宋体" w:cs="宋体"/>
          <w:color w:val="auto"/>
          <w:sz w:val="24"/>
          <w:szCs w:val="24"/>
          <w:highlight w:val="none"/>
        </w:rPr>
        <w:t xml:space="preserve"> </w:t>
      </w:r>
      <w:r>
        <w:rPr>
          <w:rFonts w:hint="eastAsia" w:hAnsi="宋体" w:cs="宋体"/>
          <w:color w:val="auto"/>
          <w:sz w:val="24"/>
          <w:szCs w:val="24"/>
          <w:highlight w:val="none"/>
          <w:u w:val="single"/>
        </w:rPr>
        <w:t xml:space="preserve">      </w:t>
      </w:r>
    </w:p>
    <w:p w14:paraId="2C26D74A">
      <w:pPr>
        <w:rPr>
          <w:rFonts w:hint="eastAsia" w:ascii="宋体" w:hAnsi="宋体" w:cs="宋体"/>
          <w:b/>
          <w:color w:val="auto"/>
          <w:sz w:val="24"/>
          <w:szCs w:val="20"/>
          <w:highlight w:val="none"/>
        </w:rPr>
      </w:pPr>
      <w:r>
        <w:rPr>
          <w:rFonts w:hint="eastAsia" w:hAnsi="宋体" w:cs="宋体"/>
          <w:color w:val="auto"/>
          <w:sz w:val="24"/>
          <w:szCs w:val="24"/>
          <w:highlight w:val="none"/>
        </w:rPr>
        <w:t xml:space="preserve">                                               日期： </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ascii="宋体" w:hAnsi="宋体" w:cs="宋体"/>
          <w:b/>
          <w:color w:val="auto"/>
          <w:sz w:val="24"/>
          <w:highlight w:val="none"/>
        </w:rPr>
        <w:br w:type="page"/>
      </w:r>
      <w:r>
        <w:rPr>
          <w:rFonts w:hint="eastAsia" w:ascii="宋体" w:hAnsi="宋体" w:cs="宋体"/>
          <w:b/>
          <w:color w:val="auto"/>
          <w:sz w:val="24"/>
          <w:highlight w:val="none"/>
        </w:rPr>
        <w:t>6.商务要求偏离表格式</w:t>
      </w:r>
    </w:p>
    <w:p w14:paraId="7CAB3F48">
      <w:pPr>
        <w:snapToGrid w:val="0"/>
        <w:spacing w:before="50"/>
        <w:jc w:val="left"/>
        <w:rPr>
          <w:rFonts w:hint="eastAsia" w:ascii="宋体" w:hAnsi="宋体" w:cs="宋体"/>
          <w:color w:val="auto"/>
          <w:sz w:val="24"/>
          <w:highlight w:val="none"/>
        </w:rPr>
      </w:pPr>
    </w:p>
    <w:p w14:paraId="66514C1A">
      <w:pPr>
        <w:pStyle w:val="25"/>
        <w:rPr>
          <w:rFonts w:hint="eastAsia"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68307731">
      <w:pPr>
        <w:snapToGrid w:val="0"/>
        <w:spacing w:before="50"/>
        <w:jc w:val="left"/>
        <w:rPr>
          <w:rFonts w:hint="eastAsia" w:ascii="宋体" w:hAnsi="宋体" w:cs="宋体"/>
          <w:color w:val="auto"/>
          <w:sz w:val="24"/>
          <w:highlight w:val="none"/>
          <w:u w:val="single"/>
        </w:rPr>
      </w:pPr>
    </w:p>
    <w:tbl>
      <w:tblPr>
        <w:tblStyle w:val="48"/>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2686"/>
        <w:gridCol w:w="2410"/>
        <w:gridCol w:w="2035"/>
      </w:tblGrid>
      <w:tr w14:paraId="137903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36B2DA92">
            <w:pPr>
              <w:snapToGrid w:val="0"/>
              <w:spacing w:before="120" w:beforeLines="50"/>
              <w:jc w:val="center"/>
              <w:rPr>
                <w:rFonts w:hint="eastAsia" w:ascii="宋体" w:hAnsi="宋体" w:cs="宋体"/>
                <w:color w:val="auto"/>
                <w:sz w:val="24"/>
                <w:highlight w:val="none"/>
              </w:rPr>
            </w:pPr>
            <w:r>
              <w:rPr>
                <w:rFonts w:hint="eastAsia" w:ascii="宋体" w:hAnsi="宋体" w:cs="宋体"/>
                <w:color w:val="auto"/>
                <w:sz w:val="24"/>
                <w:highlight w:val="none"/>
              </w:rPr>
              <w:t>商务要求</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2A1A26B0">
            <w:pPr>
              <w:snapToGrid w:val="0"/>
              <w:spacing w:before="120" w:beforeLines="50"/>
              <w:jc w:val="center"/>
              <w:rPr>
                <w:rFonts w:hint="eastAsia" w:ascii="宋体" w:hAnsi="宋体" w:cs="宋体"/>
                <w:color w:val="auto"/>
                <w:sz w:val="24"/>
                <w:highlight w:val="none"/>
              </w:rPr>
            </w:pPr>
            <w:r>
              <w:rPr>
                <w:rFonts w:hint="eastAsia" w:ascii="宋体" w:hAnsi="宋体" w:cs="宋体"/>
                <w:color w:val="auto"/>
                <w:sz w:val="24"/>
                <w:highlight w:val="none"/>
              </w:rPr>
              <w:t>招标文件要求</w:t>
            </w: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342BA36">
            <w:pPr>
              <w:snapToGrid w:val="0"/>
              <w:spacing w:before="120" w:beforeLines="50"/>
              <w:jc w:val="center"/>
              <w:rPr>
                <w:rFonts w:hint="eastAsia" w:ascii="宋体" w:hAnsi="宋体" w:cs="宋体"/>
                <w:color w:val="auto"/>
                <w:sz w:val="24"/>
                <w:highlight w:val="none"/>
              </w:rPr>
            </w:pPr>
            <w:r>
              <w:rPr>
                <w:rFonts w:hint="eastAsia" w:ascii="宋体" w:hAnsi="宋体" w:cs="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center"/>
          </w:tcPr>
          <w:p w14:paraId="12DDF5CD">
            <w:pPr>
              <w:snapToGrid w:val="0"/>
              <w:spacing w:before="120" w:beforeLines="50"/>
              <w:jc w:val="center"/>
              <w:rPr>
                <w:rFonts w:hint="eastAsia" w:ascii="宋体" w:hAnsi="宋体" w:cs="宋体"/>
                <w:color w:val="auto"/>
                <w:sz w:val="24"/>
                <w:highlight w:val="none"/>
              </w:rPr>
            </w:pPr>
            <w:r>
              <w:rPr>
                <w:rFonts w:hint="eastAsia" w:ascii="宋体" w:hAnsi="宋体" w:cs="宋体"/>
                <w:color w:val="auto"/>
                <w:sz w:val="24"/>
                <w:highlight w:val="none"/>
              </w:rPr>
              <w:t>偏离说明</w:t>
            </w:r>
          </w:p>
        </w:tc>
      </w:tr>
      <w:tr w14:paraId="41190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3910EDEC">
            <w:pPr>
              <w:jc w:val="center"/>
              <w:rPr>
                <w:rFonts w:hint="eastAsia" w:ascii="宋体" w:hAnsi="宋体" w:cs="宋体"/>
                <w:color w:val="auto"/>
                <w:sz w:val="24"/>
                <w:highlight w:val="none"/>
              </w:rPr>
            </w:pPr>
          </w:p>
        </w:tc>
        <w:tc>
          <w:tcPr>
            <w:tcW w:w="2686" w:type="dxa"/>
            <w:tcBorders>
              <w:top w:val="single" w:color="auto" w:sz="4" w:space="0"/>
              <w:left w:val="single" w:color="auto" w:sz="4" w:space="0"/>
              <w:bottom w:val="single" w:color="auto" w:sz="4" w:space="0"/>
              <w:right w:val="single" w:color="auto" w:sz="4" w:space="0"/>
            </w:tcBorders>
            <w:noWrap w:val="0"/>
            <w:vAlign w:val="center"/>
          </w:tcPr>
          <w:p w14:paraId="06FBABD4">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1.……</w:t>
            </w:r>
          </w:p>
          <w:p w14:paraId="4BF0FEC9">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2.……</w:t>
            </w:r>
          </w:p>
          <w:p w14:paraId="379EB994">
            <w:pPr>
              <w:rPr>
                <w:rFonts w:hint="eastAsia" w:ascii="宋体" w:hAnsi="宋体" w:cs="宋体"/>
                <w:color w:val="auto"/>
                <w:sz w:val="24"/>
                <w:highlight w:val="none"/>
              </w:rPr>
            </w:pPr>
            <w:r>
              <w:rPr>
                <w:rFonts w:hint="eastAsia" w:ascii="宋体" w:hAnsi="宋体" w:cs="宋体"/>
                <w:color w:val="auto"/>
                <w:szCs w:val="21"/>
                <w:highlight w:val="none"/>
              </w:rPr>
              <w:t>……</w:t>
            </w:r>
          </w:p>
        </w:tc>
        <w:tc>
          <w:tcPr>
            <w:tcW w:w="2410" w:type="dxa"/>
            <w:tcBorders>
              <w:top w:val="single" w:color="auto" w:sz="4" w:space="0"/>
              <w:left w:val="single" w:color="auto" w:sz="4" w:space="0"/>
              <w:bottom w:val="single" w:color="auto" w:sz="4" w:space="0"/>
              <w:right w:val="single" w:color="auto" w:sz="4" w:space="0"/>
            </w:tcBorders>
            <w:noWrap w:val="0"/>
            <w:vAlign w:val="center"/>
          </w:tcPr>
          <w:p w14:paraId="3B2F8825">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1.……</w:t>
            </w:r>
          </w:p>
          <w:p w14:paraId="72A09941">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2.……</w:t>
            </w:r>
          </w:p>
          <w:p w14:paraId="75D9A4E8">
            <w:pPr>
              <w:snapToGrid w:val="0"/>
              <w:spacing w:before="120" w:beforeLines="50"/>
              <w:rPr>
                <w:rFonts w:hint="eastAsia" w:ascii="宋体" w:hAnsi="宋体" w:cs="宋体"/>
                <w:color w:val="auto"/>
                <w:sz w:val="24"/>
                <w:highlight w:val="none"/>
              </w:rPr>
            </w:pPr>
            <w:r>
              <w:rPr>
                <w:rFonts w:hint="eastAsia" w:ascii="宋体" w:hAnsi="宋体" w:cs="宋体"/>
                <w:color w:val="auto"/>
                <w:szCs w:val="21"/>
                <w:highlight w:val="none"/>
              </w:rPr>
              <w:t>……</w:t>
            </w:r>
          </w:p>
        </w:tc>
        <w:tc>
          <w:tcPr>
            <w:tcW w:w="2035" w:type="dxa"/>
            <w:tcBorders>
              <w:top w:val="single" w:color="auto" w:sz="4" w:space="0"/>
              <w:left w:val="single" w:color="auto" w:sz="4" w:space="0"/>
              <w:bottom w:val="single" w:color="auto" w:sz="4" w:space="0"/>
              <w:right w:val="single" w:color="auto" w:sz="4" w:space="0"/>
            </w:tcBorders>
            <w:noWrap w:val="0"/>
            <w:vAlign w:val="center"/>
          </w:tcPr>
          <w:p w14:paraId="298E4918">
            <w:pPr>
              <w:snapToGrid w:val="0"/>
              <w:spacing w:before="120" w:beforeLines="50"/>
              <w:jc w:val="center"/>
              <w:rPr>
                <w:rFonts w:hint="eastAsia" w:ascii="宋体" w:hAnsi="宋体" w:cs="宋体"/>
                <w:color w:val="auto"/>
                <w:sz w:val="24"/>
                <w:highlight w:val="none"/>
              </w:rPr>
            </w:pPr>
          </w:p>
        </w:tc>
      </w:tr>
      <w:tr w14:paraId="36291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57F2CFF3">
            <w:pPr>
              <w:jc w:val="center"/>
              <w:rPr>
                <w:rFonts w:hint="eastAsia" w:ascii="宋体" w:hAnsi="宋体" w:cs="宋体"/>
                <w:color w:val="auto"/>
                <w:sz w:val="24"/>
                <w:highlight w:val="none"/>
              </w:rPr>
            </w:pPr>
          </w:p>
        </w:tc>
        <w:tc>
          <w:tcPr>
            <w:tcW w:w="2686" w:type="dxa"/>
            <w:tcBorders>
              <w:top w:val="single" w:color="auto" w:sz="4" w:space="0"/>
              <w:left w:val="single" w:color="auto" w:sz="4" w:space="0"/>
              <w:bottom w:val="single" w:color="auto" w:sz="4" w:space="0"/>
              <w:right w:val="single" w:color="auto" w:sz="4" w:space="0"/>
            </w:tcBorders>
            <w:noWrap w:val="0"/>
            <w:vAlign w:val="center"/>
          </w:tcPr>
          <w:p w14:paraId="79A938D9">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1.……</w:t>
            </w:r>
          </w:p>
          <w:p w14:paraId="4C4DF1CE">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2.……</w:t>
            </w:r>
          </w:p>
          <w:p w14:paraId="3D9DE4EF">
            <w:pPr>
              <w:rPr>
                <w:rFonts w:hint="eastAsia" w:ascii="宋体" w:hAnsi="宋体" w:cs="宋体"/>
                <w:color w:val="auto"/>
                <w:sz w:val="24"/>
                <w:highlight w:val="none"/>
              </w:rPr>
            </w:pPr>
            <w:r>
              <w:rPr>
                <w:rFonts w:hint="eastAsia" w:ascii="宋体" w:hAnsi="宋体" w:cs="宋体"/>
                <w:color w:val="auto"/>
                <w:szCs w:val="21"/>
                <w:highlight w:val="none"/>
              </w:rPr>
              <w:t>……</w:t>
            </w: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FAA66E8">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1.……</w:t>
            </w:r>
          </w:p>
          <w:p w14:paraId="3260563E">
            <w:pPr>
              <w:snapToGrid w:val="0"/>
              <w:spacing w:before="120" w:beforeLines="50" w:line="300" w:lineRule="atLeast"/>
              <w:rPr>
                <w:rFonts w:hint="eastAsia" w:ascii="宋体" w:hAnsi="宋体" w:cs="宋体"/>
                <w:color w:val="auto"/>
                <w:szCs w:val="21"/>
                <w:highlight w:val="none"/>
              </w:rPr>
            </w:pPr>
            <w:r>
              <w:rPr>
                <w:rFonts w:hint="eastAsia" w:ascii="宋体" w:hAnsi="宋体" w:cs="宋体"/>
                <w:color w:val="auto"/>
                <w:szCs w:val="21"/>
                <w:highlight w:val="none"/>
              </w:rPr>
              <w:t>2.……</w:t>
            </w:r>
          </w:p>
          <w:p w14:paraId="64FC6802">
            <w:pPr>
              <w:snapToGrid w:val="0"/>
              <w:spacing w:before="120" w:beforeLines="50"/>
              <w:ind w:left="43"/>
              <w:rPr>
                <w:rFonts w:hint="eastAsia" w:ascii="宋体" w:hAnsi="宋体" w:cs="宋体"/>
                <w:color w:val="auto"/>
                <w:sz w:val="24"/>
                <w:highlight w:val="none"/>
              </w:rPr>
            </w:pPr>
            <w:r>
              <w:rPr>
                <w:rFonts w:hint="eastAsia" w:ascii="宋体" w:hAnsi="宋体" w:cs="宋体"/>
                <w:color w:val="auto"/>
                <w:szCs w:val="21"/>
                <w:highlight w:val="none"/>
              </w:rPr>
              <w:t>……</w:t>
            </w:r>
          </w:p>
        </w:tc>
        <w:tc>
          <w:tcPr>
            <w:tcW w:w="2035" w:type="dxa"/>
            <w:tcBorders>
              <w:top w:val="single" w:color="auto" w:sz="4" w:space="0"/>
              <w:left w:val="single" w:color="auto" w:sz="4" w:space="0"/>
              <w:bottom w:val="single" w:color="auto" w:sz="4" w:space="0"/>
              <w:right w:val="single" w:color="auto" w:sz="4" w:space="0"/>
            </w:tcBorders>
            <w:noWrap w:val="0"/>
            <w:vAlign w:val="center"/>
          </w:tcPr>
          <w:p w14:paraId="45E36E2D">
            <w:pPr>
              <w:snapToGrid w:val="0"/>
              <w:spacing w:before="120" w:beforeLines="50"/>
              <w:ind w:left="43"/>
              <w:jc w:val="center"/>
              <w:rPr>
                <w:rFonts w:hint="eastAsia" w:ascii="宋体" w:hAnsi="宋体" w:cs="宋体"/>
                <w:color w:val="auto"/>
                <w:sz w:val="24"/>
                <w:highlight w:val="none"/>
              </w:rPr>
            </w:pPr>
          </w:p>
        </w:tc>
      </w:tr>
      <w:tr w14:paraId="020CD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3AC56D43">
            <w:pPr>
              <w:snapToGrid w:val="0"/>
              <w:spacing w:before="120" w:beforeLines="50"/>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4A5C4827">
            <w:pPr>
              <w:snapToGrid w:val="0"/>
              <w:spacing w:before="120" w:beforeLines="50"/>
              <w:rPr>
                <w:rFonts w:hint="eastAsia" w:ascii="宋体" w:hAnsi="宋体" w:cs="宋体"/>
                <w:color w:val="auto"/>
                <w:sz w:val="24"/>
                <w:highlight w:val="none"/>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9CB60AF">
            <w:pPr>
              <w:snapToGrid w:val="0"/>
              <w:spacing w:before="120" w:beforeLines="50"/>
              <w:rPr>
                <w:rFonts w:hint="eastAsia" w:ascii="宋体" w:hAnsi="宋体" w:cs="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center"/>
          </w:tcPr>
          <w:p w14:paraId="32E0F5CA">
            <w:pPr>
              <w:snapToGrid w:val="0"/>
              <w:spacing w:before="120" w:beforeLines="50"/>
              <w:jc w:val="center"/>
              <w:rPr>
                <w:rFonts w:hint="eastAsia" w:ascii="宋体" w:hAnsi="宋体" w:cs="宋体"/>
                <w:color w:val="auto"/>
                <w:sz w:val="24"/>
                <w:highlight w:val="none"/>
              </w:rPr>
            </w:pPr>
          </w:p>
        </w:tc>
      </w:tr>
    </w:tbl>
    <w:p w14:paraId="6084B2AD">
      <w:pPr>
        <w:pStyle w:val="18"/>
        <w:rPr>
          <w:rFonts w:hint="eastAsia" w:ascii="宋体" w:hAnsi="宋体" w:cs="宋体"/>
          <w:color w:val="auto"/>
          <w:highlight w:val="none"/>
        </w:rPr>
      </w:pPr>
      <w:r>
        <w:rPr>
          <w:rFonts w:hint="eastAsia" w:ascii="宋体" w:hAnsi="宋体" w:cs="宋体"/>
          <w:color w:val="auto"/>
          <w:highlight w:val="none"/>
        </w:rPr>
        <w:t>注：</w:t>
      </w:r>
    </w:p>
    <w:p w14:paraId="03AF3F65">
      <w:pPr>
        <w:pStyle w:val="19"/>
        <w:spacing w:line="520" w:lineRule="exact"/>
        <w:ind w:firstLine="0" w:firstLineChars="0"/>
        <w:rPr>
          <w:rFonts w:hint="eastAsia" w:ascii="宋体" w:hAnsi="宋体" w:eastAsia="宋体" w:cs="宋体"/>
          <w:color w:val="auto"/>
          <w:szCs w:val="32"/>
          <w:highlight w:val="none"/>
        </w:rPr>
      </w:pPr>
      <w:r>
        <w:rPr>
          <w:rFonts w:hint="eastAsia" w:ascii="宋体" w:hAnsi="宋体" w:eastAsia="宋体" w:cs="宋体"/>
          <w:color w:val="auto"/>
          <w:sz w:val="24"/>
          <w:szCs w:val="24"/>
          <w:highlight w:val="none"/>
        </w:rPr>
        <w:t>1.说明：应对照招标文件“第二章 采购需求”中的商务要求逐条作明确的投标响应，并作出偏离说明。</w:t>
      </w:r>
    </w:p>
    <w:p w14:paraId="57BA30E3">
      <w:pPr>
        <w:pStyle w:val="18"/>
        <w:rPr>
          <w:rFonts w:hint="eastAsia" w:ascii="宋体" w:hAnsi="宋体" w:cs="宋体"/>
          <w:b w:val="0"/>
          <w:bCs w:val="0"/>
          <w:color w:val="auto"/>
          <w:highlight w:val="none"/>
        </w:rPr>
      </w:pPr>
      <w:r>
        <w:rPr>
          <w:rFonts w:hint="eastAsia" w:ascii="宋体" w:hAnsi="宋体" w:cs="宋体"/>
          <w:b w:val="0"/>
          <w:bCs w:val="0"/>
          <w:color w:val="auto"/>
          <w:highlight w:val="none"/>
        </w:rPr>
        <w:t>2.投标人应根据自身的承诺，对照招标文件要求在“偏离说明”中注明“</w:t>
      </w:r>
      <w:r>
        <w:rPr>
          <w:rFonts w:hint="eastAsia" w:ascii="宋体" w:hAnsi="宋体" w:cs="宋体"/>
          <w:color w:val="auto"/>
          <w:highlight w:val="none"/>
        </w:rPr>
        <w:t>正偏离</w:t>
      </w:r>
      <w:r>
        <w:rPr>
          <w:rFonts w:hint="eastAsia" w:ascii="宋体" w:hAnsi="宋体" w:cs="宋体"/>
          <w:b w:val="0"/>
          <w:bCs w:val="0"/>
          <w:color w:val="auto"/>
          <w:highlight w:val="none"/>
        </w:rPr>
        <w:t>”、“</w:t>
      </w:r>
      <w:r>
        <w:rPr>
          <w:rFonts w:hint="eastAsia" w:ascii="宋体" w:hAnsi="宋体" w:cs="宋体"/>
          <w:color w:val="auto"/>
          <w:highlight w:val="none"/>
        </w:rPr>
        <w:t>负偏离</w:t>
      </w:r>
      <w:r>
        <w:rPr>
          <w:rFonts w:hint="eastAsia" w:ascii="宋体" w:hAnsi="宋体" w:cs="宋体"/>
          <w:b w:val="0"/>
          <w:bCs w:val="0"/>
          <w:color w:val="auto"/>
          <w:highlight w:val="none"/>
        </w:rPr>
        <w:t>”或者“</w:t>
      </w:r>
      <w:r>
        <w:rPr>
          <w:rFonts w:hint="eastAsia" w:ascii="宋体" w:hAnsi="宋体" w:cs="宋体"/>
          <w:color w:val="auto"/>
          <w:highlight w:val="none"/>
        </w:rPr>
        <w:t>无偏离</w:t>
      </w:r>
      <w:r>
        <w:rPr>
          <w:rFonts w:hint="eastAsia" w:ascii="宋体" w:hAnsi="宋体" w:cs="宋体"/>
          <w:b w:val="0"/>
          <w:bCs w:val="0"/>
          <w:color w:val="auto"/>
          <w:highlight w:val="none"/>
        </w:rPr>
        <w:t>”。既不属于“</w:t>
      </w:r>
      <w:r>
        <w:rPr>
          <w:rFonts w:hint="eastAsia" w:ascii="宋体" w:hAnsi="宋体" w:cs="宋体"/>
          <w:color w:val="auto"/>
          <w:highlight w:val="none"/>
        </w:rPr>
        <w:t>正偏离</w:t>
      </w:r>
      <w:r>
        <w:rPr>
          <w:rFonts w:hint="eastAsia" w:ascii="宋体" w:hAnsi="宋体" w:cs="宋体"/>
          <w:b w:val="0"/>
          <w:bCs w:val="0"/>
          <w:color w:val="auto"/>
          <w:highlight w:val="none"/>
        </w:rPr>
        <w:t>”也不属于“</w:t>
      </w:r>
      <w:r>
        <w:rPr>
          <w:rFonts w:hint="eastAsia" w:ascii="宋体" w:hAnsi="宋体" w:cs="宋体"/>
          <w:color w:val="auto"/>
          <w:highlight w:val="none"/>
        </w:rPr>
        <w:t>负偏离</w:t>
      </w:r>
      <w:r>
        <w:rPr>
          <w:rFonts w:hint="eastAsia" w:ascii="宋体" w:hAnsi="宋体" w:cs="宋体"/>
          <w:b w:val="0"/>
          <w:bCs w:val="0"/>
          <w:color w:val="auto"/>
          <w:highlight w:val="none"/>
        </w:rPr>
        <w:t>”即为“</w:t>
      </w:r>
      <w:r>
        <w:rPr>
          <w:rFonts w:hint="eastAsia" w:ascii="宋体" w:hAnsi="宋体" w:cs="宋体"/>
          <w:color w:val="auto"/>
          <w:highlight w:val="none"/>
        </w:rPr>
        <w:t>无偏离</w:t>
      </w:r>
      <w:r>
        <w:rPr>
          <w:rFonts w:hint="eastAsia" w:ascii="宋体" w:hAnsi="宋体" w:cs="宋体"/>
          <w:b w:val="0"/>
          <w:bCs w:val="0"/>
          <w:color w:val="auto"/>
          <w:highlight w:val="none"/>
        </w:rPr>
        <w:t>”。</w:t>
      </w:r>
    </w:p>
    <w:p w14:paraId="32B46321">
      <w:pPr>
        <w:snapToGrid w:val="0"/>
        <w:spacing w:before="50" w:after="50"/>
        <w:rPr>
          <w:rFonts w:hint="eastAsia" w:ascii="宋体" w:hAnsi="宋体" w:cs="宋体"/>
          <w:color w:val="auto"/>
          <w:sz w:val="24"/>
          <w:highlight w:val="none"/>
        </w:rPr>
      </w:pPr>
    </w:p>
    <w:p w14:paraId="0D2AADAA">
      <w:pPr>
        <w:snapToGrid w:val="0"/>
        <w:spacing w:before="50" w:after="50"/>
        <w:rPr>
          <w:rFonts w:hint="eastAsia" w:ascii="宋体" w:hAnsi="宋体" w:cs="宋体"/>
          <w:color w:val="auto"/>
          <w:sz w:val="24"/>
          <w:highlight w:val="none"/>
        </w:rPr>
      </w:pPr>
    </w:p>
    <w:p w14:paraId="56684A58">
      <w:pPr>
        <w:snapToGrid w:val="0"/>
        <w:spacing w:before="50" w:after="50"/>
        <w:rPr>
          <w:rFonts w:hint="eastAsia" w:ascii="宋体" w:hAnsi="宋体" w:cs="宋体"/>
          <w:color w:val="auto"/>
          <w:spacing w:val="20"/>
          <w:sz w:val="24"/>
          <w:highlight w:val="none"/>
          <w:u w:val="single"/>
        </w:rPr>
      </w:pPr>
      <w:r>
        <w:rPr>
          <w:rFonts w:hint="eastAsia" w:ascii="宋体" w:hAnsi="宋体" w:cs="宋体"/>
          <w:color w:val="auto"/>
          <w:sz w:val="24"/>
          <w:highlight w:val="none"/>
        </w:rPr>
        <w:t>法定代表人（负责人或自然人）或者委托代理人</w:t>
      </w:r>
      <w:r>
        <w:rPr>
          <w:rFonts w:hint="eastAsia" w:ascii="宋体" w:hAnsi="宋体" w:cs="宋体"/>
          <w:color w:val="auto"/>
          <w:spacing w:val="20"/>
          <w:sz w:val="24"/>
          <w:highlight w:val="none"/>
        </w:rPr>
        <w:t>（签字或者电子签名）：</w:t>
      </w:r>
      <w:r>
        <w:rPr>
          <w:rFonts w:hint="eastAsia" w:ascii="宋体" w:hAnsi="宋体" w:cs="宋体"/>
          <w:color w:val="auto"/>
          <w:spacing w:val="20"/>
          <w:sz w:val="24"/>
          <w:highlight w:val="none"/>
          <w:u w:val="single"/>
        </w:rPr>
        <w:t xml:space="preserve">        </w:t>
      </w:r>
    </w:p>
    <w:p w14:paraId="34FD82DE">
      <w:pPr>
        <w:snapToGrid w:val="0"/>
        <w:spacing w:before="120" w:beforeLines="50"/>
        <w:rPr>
          <w:rFonts w:hint="eastAsia"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w:t>
      </w:r>
    </w:p>
    <w:p w14:paraId="0D819D49">
      <w:pPr>
        <w:snapToGrid w:val="0"/>
        <w:spacing w:before="120" w:beforeLines="50"/>
        <w:rPr>
          <w:rFonts w:hint="eastAsia" w:ascii="宋体" w:hAnsi="宋体" w:cs="宋体"/>
          <w:color w:val="auto"/>
          <w:sz w:val="24"/>
          <w:szCs w:val="20"/>
          <w:highlight w:val="none"/>
        </w:rPr>
      </w:pPr>
      <w:r>
        <w:rPr>
          <w:rFonts w:hint="eastAsia" w:ascii="宋体" w:hAnsi="宋体" w:cs="宋体"/>
          <w:color w:val="auto"/>
          <w:spacing w:val="20"/>
          <w:sz w:val="24"/>
          <w:highlight w:val="none"/>
        </w:rPr>
        <w:t>日  期：</w:t>
      </w:r>
      <w:r>
        <w:rPr>
          <w:rFonts w:hint="eastAsia" w:ascii="宋体" w:hAnsi="宋体" w:cs="宋体"/>
          <w:color w:val="auto"/>
          <w:spacing w:val="20"/>
          <w:sz w:val="24"/>
          <w:highlight w:val="none"/>
          <w:u w:val="single"/>
        </w:rPr>
        <w:t xml:space="preserve">         </w:t>
      </w:r>
    </w:p>
    <w:p w14:paraId="050DAA44">
      <w:pPr>
        <w:snapToGrid w:val="0"/>
        <w:spacing w:before="120" w:beforeLines="50"/>
        <w:rPr>
          <w:rFonts w:hint="eastAsia" w:ascii="宋体" w:hAnsi="宋体" w:cs="宋体"/>
          <w:color w:val="auto"/>
          <w:sz w:val="24"/>
          <w:szCs w:val="20"/>
          <w:highlight w:val="none"/>
        </w:rPr>
      </w:pPr>
    </w:p>
    <w:p w14:paraId="6DDFC1FF">
      <w:pPr>
        <w:snapToGrid w:val="0"/>
        <w:spacing w:before="120" w:beforeLines="50" w:after="50"/>
        <w:jc w:val="left"/>
        <w:rPr>
          <w:rFonts w:hint="eastAsia" w:ascii="宋体" w:hAnsi="宋体" w:cs="宋体"/>
          <w:color w:val="auto"/>
          <w:sz w:val="24"/>
          <w:szCs w:val="20"/>
          <w:highlight w:val="none"/>
        </w:rPr>
        <w:sectPr>
          <w:pgSz w:w="11906" w:h="16838"/>
          <w:pgMar w:top="1440" w:right="1134" w:bottom="1440" w:left="1134" w:header="851" w:footer="992" w:gutter="0"/>
          <w:pgBorders>
            <w:top w:val="none" w:sz="0" w:space="0"/>
            <w:left w:val="none" w:sz="0" w:space="0"/>
            <w:bottom w:val="none" w:sz="0" w:space="0"/>
            <w:right w:val="none" w:sz="0" w:space="0"/>
          </w:pgBorders>
          <w:cols w:space="720" w:num="1"/>
          <w:docGrid w:linePitch="312" w:charSpace="0"/>
        </w:sectPr>
      </w:pPr>
    </w:p>
    <w:p w14:paraId="35457093">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t>7.技术要求偏离表格式</w:t>
      </w:r>
    </w:p>
    <w:p w14:paraId="4D1B50DA">
      <w:pPr>
        <w:snapToGrid w:val="0"/>
        <w:spacing w:before="120" w:beforeLines="50" w:after="50"/>
        <w:ind w:left="142"/>
        <w:jc w:val="left"/>
        <w:rPr>
          <w:rFonts w:hint="eastAsia" w:ascii="宋体" w:hAnsi="宋体" w:cs="宋体"/>
          <w:b/>
          <w:color w:val="auto"/>
          <w:sz w:val="24"/>
          <w:highlight w:val="none"/>
        </w:rPr>
      </w:pPr>
    </w:p>
    <w:p w14:paraId="2DCAFD11">
      <w:pPr>
        <w:snapToGrid w:val="0"/>
        <w:spacing w:before="120" w:beforeLines="50" w:after="50"/>
        <w:ind w:left="14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技术要求偏离表</w:t>
      </w:r>
    </w:p>
    <w:p w14:paraId="03A96454">
      <w:pPr>
        <w:pStyle w:val="25"/>
        <w:rPr>
          <w:rFonts w:hint="eastAsia"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3061FE30">
      <w:pPr>
        <w:pStyle w:val="14"/>
        <w:rPr>
          <w:rFonts w:hint="eastAsia" w:ascii="宋体" w:hAnsi="宋体" w:cs="宋体"/>
          <w:color w:val="auto"/>
          <w:highlight w:val="none"/>
        </w:rPr>
      </w:pPr>
    </w:p>
    <w:tbl>
      <w:tblPr>
        <w:tblStyle w:val="48"/>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C86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227AC9D6">
            <w:pPr>
              <w:pStyle w:val="25"/>
              <w:spacing w:line="400" w:lineRule="exact"/>
              <w:jc w:val="center"/>
              <w:rPr>
                <w:rFonts w:hint="eastAsia" w:hAnsi="宋体" w:cs="宋体"/>
                <w:color w:val="auto"/>
                <w:kern w:val="2"/>
                <w:sz w:val="24"/>
                <w:szCs w:val="24"/>
                <w:highlight w:val="none"/>
                <w:lang w:val="en-US" w:eastAsia="zh-CN"/>
              </w:rPr>
            </w:pPr>
            <w:r>
              <w:rPr>
                <w:rFonts w:hint="eastAsia" w:hAnsi="宋体" w:cs="宋体"/>
                <w:color w:val="auto"/>
                <w:kern w:val="2"/>
                <w:sz w:val="24"/>
                <w:szCs w:val="24"/>
                <w:highlight w:val="none"/>
                <w:lang w:val="en-US" w:eastAsia="zh-CN"/>
              </w:rPr>
              <w:t>项号</w:t>
            </w:r>
          </w:p>
        </w:tc>
        <w:tc>
          <w:tcPr>
            <w:tcW w:w="2143" w:type="dxa"/>
            <w:noWrap w:val="0"/>
            <w:vAlign w:val="center"/>
          </w:tcPr>
          <w:p w14:paraId="4A464BFC">
            <w:pPr>
              <w:pStyle w:val="25"/>
              <w:spacing w:line="400" w:lineRule="exact"/>
              <w:jc w:val="center"/>
              <w:rPr>
                <w:rFonts w:hint="eastAsia" w:hAnsi="宋体" w:cs="宋体"/>
                <w:color w:val="auto"/>
                <w:kern w:val="2"/>
                <w:sz w:val="24"/>
                <w:szCs w:val="24"/>
                <w:highlight w:val="none"/>
                <w:lang w:val="en-US" w:eastAsia="zh-CN"/>
              </w:rPr>
            </w:pPr>
            <w:r>
              <w:rPr>
                <w:rFonts w:hint="eastAsia" w:hAnsi="宋体" w:cs="宋体"/>
                <w:color w:val="auto"/>
                <w:kern w:val="2"/>
                <w:sz w:val="24"/>
                <w:szCs w:val="24"/>
                <w:highlight w:val="none"/>
                <w:lang w:val="en-US" w:eastAsia="zh-CN"/>
              </w:rPr>
              <w:t>标的的名称</w:t>
            </w:r>
          </w:p>
        </w:tc>
        <w:tc>
          <w:tcPr>
            <w:tcW w:w="1834" w:type="dxa"/>
            <w:noWrap w:val="0"/>
            <w:vAlign w:val="center"/>
          </w:tcPr>
          <w:p w14:paraId="7DFF8BF0">
            <w:pPr>
              <w:pStyle w:val="25"/>
              <w:spacing w:line="400" w:lineRule="exact"/>
              <w:jc w:val="center"/>
              <w:rPr>
                <w:rFonts w:hint="eastAsia" w:hAnsi="宋体" w:cs="宋体"/>
                <w:color w:val="auto"/>
                <w:kern w:val="2"/>
                <w:sz w:val="24"/>
                <w:szCs w:val="24"/>
                <w:highlight w:val="none"/>
                <w:lang w:val="en-US" w:eastAsia="zh-CN"/>
              </w:rPr>
            </w:pPr>
            <w:r>
              <w:rPr>
                <w:rFonts w:hint="eastAsia" w:hAnsi="宋体" w:cs="宋体"/>
                <w:color w:val="auto"/>
                <w:kern w:val="2"/>
                <w:sz w:val="24"/>
                <w:szCs w:val="24"/>
                <w:highlight w:val="none"/>
                <w:lang w:val="en-US" w:eastAsia="zh-CN"/>
              </w:rPr>
              <w:t>技术要求</w:t>
            </w:r>
          </w:p>
        </w:tc>
        <w:tc>
          <w:tcPr>
            <w:tcW w:w="2181" w:type="dxa"/>
            <w:noWrap w:val="0"/>
            <w:vAlign w:val="center"/>
          </w:tcPr>
          <w:p w14:paraId="0E65D20B">
            <w:pPr>
              <w:pStyle w:val="25"/>
              <w:spacing w:line="400" w:lineRule="exact"/>
              <w:jc w:val="center"/>
              <w:rPr>
                <w:rFonts w:hint="eastAsia" w:hAnsi="宋体" w:cs="宋体"/>
                <w:color w:val="auto"/>
                <w:kern w:val="2"/>
                <w:sz w:val="24"/>
                <w:szCs w:val="24"/>
                <w:highlight w:val="none"/>
                <w:lang w:val="en-US" w:eastAsia="zh-CN"/>
              </w:rPr>
            </w:pPr>
            <w:r>
              <w:rPr>
                <w:rFonts w:hint="eastAsia" w:hAnsi="宋体" w:cs="宋体"/>
                <w:color w:val="auto"/>
                <w:kern w:val="2"/>
                <w:sz w:val="24"/>
                <w:szCs w:val="24"/>
                <w:highlight w:val="none"/>
                <w:lang w:val="en-US" w:eastAsia="zh-CN"/>
              </w:rPr>
              <w:t>投标响应</w:t>
            </w:r>
          </w:p>
        </w:tc>
        <w:tc>
          <w:tcPr>
            <w:tcW w:w="1934" w:type="dxa"/>
            <w:noWrap w:val="0"/>
            <w:vAlign w:val="center"/>
          </w:tcPr>
          <w:p w14:paraId="49E4FAEC">
            <w:pPr>
              <w:pStyle w:val="25"/>
              <w:spacing w:line="400" w:lineRule="exact"/>
              <w:jc w:val="center"/>
              <w:rPr>
                <w:rFonts w:hint="eastAsia" w:hAnsi="宋体" w:cs="宋体"/>
                <w:color w:val="auto"/>
                <w:kern w:val="2"/>
                <w:sz w:val="24"/>
                <w:szCs w:val="24"/>
                <w:highlight w:val="none"/>
                <w:lang w:val="en-US" w:eastAsia="zh-CN"/>
              </w:rPr>
            </w:pPr>
            <w:r>
              <w:rPr>
                <w:rFonts w:hint="eastAsia" w:hAnsi="宋体" w:cs="宋体"/>
                <w:color w:val="auto"/>
                <w:kern w:val="2"/>
                <w:sz w:val="24"/>
                <w:szCs w:val="24"/>
                <w:highlight w:val="none"/>
                <w:lang w:val="en-US" w:eastAsia="zh-CN"/>
              </w:rPr>
              <w:t>偏离说明</w:t>
            </w:r>
          </w:p>
        </w:tc>
      </w:tr>
      <w:tr w14:paraId="29AA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A5215F7">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5122036D">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146D4915">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55CF99F4">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720F0388">
            <w:pPr>
              <w:pStyle w:val="25"/>
              <w:spacing w:line="600" w:lineRule="exact"/>
              <w:jc w:val="center"/>
              <w:rPr>
                <w:rFonts w:hint="eastAsia" w:hAnsi="宋体" w:cs="宋体"/>
                <w:color w:val="auto"/>
                <w:kern w:val="2"/>
                <w:sz w:val="24"/>
                <w:szCs w:val="24"/>
                <w:highlight w:val="none"/>
                <w:lang w:val="en-US" w:eastAsia="zh-CN"/>
              </w:rPr>
            </w:pPr>
          </w:p>
        </w:tc>
      </w:tr>
      <w:tr w14:paraId="488F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4C30693D">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6F6DCC9A">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763D8645">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3FFF3A3D">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6534287A">
            <w:pPr>
              <w:pStyle w:val="25"/>
              <w:spacing w:line="600" w:lineRule="exact"/>
              <w:jc w:val="center"/>
              <w:rPr>
                <w:rFonts w:hint="eastAsia" w:hAnsi="宋体" w:cs="宋体"/>
                <w:color w:val="auto"/>
                <w:kern w:val="2"/>
                <w:sz w:val="24"/>
                <w:szCs w:val="24"/>
                <w:highlight w:val="none"/>
                <w:lang w:val="en-US" w:eastAsia="zh-CN"/>
              </w:rPr>
            </w:pPr>
          </w:p>
        </w:tc>
      </w:tr>
      <w:tr w14:paraId="2799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D12C839">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1491C95D">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7C982977">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35553DC3">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2544BC96">
            <w:pPr>
              <w:pStyle w:val="25"/>
              <w:spacing w:line="600" w:lineRule="exact"/>
              <w:jc w:val="center"/>
              <w:rPr>
                <w:rFonts w:hint="eastAsia" w:hAnsi="宋体" w:cs="宋体"/>
                <w:color w:val="auto"/>
                <w:kern w:val="2"/>
                <w:sz w:val="24"/>
                <w:szCs w:val="24"/>
                <w:highlight w:val="none"/>
                <w:lang w:val="en-US" w:eastAsia="zh-CN"/>
              </w:rPr>
            </w:pPr>
          </w:p>
        </w:tc>
      </w:tr>
      <w:tr w14:paraId="2266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A1E5E83">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0602533A">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00BB7BD2">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71BC0299">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18330CB7">
            <w:pPr>
              <w:pStyle w:val="25"/>
              <w:spacing w:line="600" w:lineRule="exact"/>
              <w:jc w:val="center"/>
              <w:rPr>
                <w:rFonts w:hint="eastAsia" w:hAnsi="宋体" w:cs="宋体"/>
                <w:color w:val="auto"/>
                <w:kern w:val="2"/>
                <w:sz w:val="24"/>
                <w:szCs w:val="24"/>
                <w:highlight w:val="none"/>
                <w:lang w:val="en-US" w:eastAsia="zh-CN"/>
              </w:rPr>
            </w:pPr>
          </w:p>
        </w:tc>
      </w:tr>
      <w:tr w14:paraId="330A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588B511">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31EB3C2B">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4C86083D">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21AF3A6C">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61C4AD8A">
            <w:pPr>
              <w:pStyle w:val="25"/>
              <w:spacing w:line="600" w:lineRule="exact"/>
              <w:jc w:val="center"/>
              <w:rPr>
                <w:rFonts w:hint="eastAsia" w:hAnsi="宋体" w:cs="宋体"/>
                <w:color w:val="auto"/>
                <w:kern w:val="2"/>
                <w:sz w:val="24"/>
                <w:szCs w:val="24"/>
                <w:highlight w:val="none"/>
                <w:lang w:val="en-US" w:eastAsia="zh-CN"/>
              </w:rPr>
            </w:pPr>
          </w:p>
        </w:tc>
      </w:tr>
      <w:tr w14:paraId="5596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0AC552B">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1C5B5F67">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39BDC877">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7A352673">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6B994890">
            <w:pPr>
              <w:pStyle w:val="25"/>
              <w:spacing w:line="600" w:lineRule="exact"/>
              <w:jc w:val="center"/>
              <w:rPr>
                <w:rFonts w:hint="eastAsia" w:hAnsi="宋体" w:cs="宋体"/>
                <w:color w:val="auto"/>
                <w:kern w:val="2"/>
                <w:sz w:val="24"/>
                <w:szCs w:val="24"/>
                <w:highlight w:val="none"/>
                <w:lang w:val="en-US" w:eastAsia="zh-CN"/>
              </w:rPr>
            </w:pPr>
          </w:p>
        </w:tc>
      </w:tr>
      <w:tr w14:paraId="19DE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41DD76BC">
            <w:pPr>
              <w:pStyle w:val="25"/>
              <w:spacing w:line="600" w:lineRule="exact"/>
              <w:jc w:val="center"/>
              <w:rPr>
                <w:rFonts w:hint="eastAsia" w:hAnsi="宋体" w:cs="宋体"/>
                <w:color w:val="auto"/>
                <w:kern w:val="2"/>
                <w:sz w:val="24"/>
                <w:szCs w:val="24"/>
                <w:highlight w:val="none"/>
                <w:lang w:val="en-US" w:eastAsia="zh-CN"/>
              </w:rPr>
            </w:pPr>
          </w:p>
        </w:tc>
        <w:tc>
          <w:tcPr>
            <w:tcW w:w="2143" w:type="dxa"/>
            <w:noWrap w:val="0"/>
            <w:vAlign w:val="center"/>
          </w:tcPr>
          <w:p w14:paraId="0CDE2C19">
            <w:pPr>
              <w:pStyle w:val="25"/>
              <w:spacing w:line="600" w:lineRule="exact"/>
              <w:jc w:val="center"/>
              <w:rPr>
                <w:rFonts w:hint="eastAsia" w:hAnsi="宋体" w:cs="宋体"/>
                <w:color w:val="auto"/>
                <w:kern w:val="2"/>
                <w:sz w:val="24"/>
                <w:szCs w:val="24"/>
                <w:highlight w:val="none"/>
                <w:lang w:val="en-US" w:eastAsia="zh-CN"/>
              </w:rPr>
            </w:pPr>
          </w:p>
        </w:tc>
        <w:tc>
          <w:tcPr>
            <w:tcW w:w="1834" w:type="dxa"/>
            <w:noWrap w:val="0"/>
            <w:vAlign w:val="center"/>
          </w:tcPr>
          <w:p w14:paraId="246E8734">
            <w:pPr>
              <w:pStyle w:val="25"/>
              <w:spacing w:line="600" w:lineRule="exact"/>
              <w:jc w:val="center"/>
              <w:rPr>
                <w:rFonts w:hint="eastAsia" w:hAnsi="宋体" w:cs="宋体"/>
                <w:color w:val="auto"/>
                <w:kern w:val="2"/>
                <w:sz w:val="24"/>
                <w:szCs w:val="24"/>
                <w:highlight w:val="none"/>
                <w:lang w:val="en-US" w:eastAsia="zh-CN"/>
              </w:rPr>
            </w:pPr>
          </w:p>
        </w:tc>
        <w:tc>
          <w:tcPr>
            <w:tcW w:w="2181" w:type="dxa"/>
            <w:noWrap w:val="0"/>
            <w:vAlign w:val="center"/>
          </w:tcPr>
          <w:p w14:paraId="317F7F33">
            <w:pPr>
              <w:pStyle w:val="25"/>
              <w:spacing w:line="600" w:lineRule="exact"/>
              <w:jc w:val="center"/>
              <w:rPr>
                <w:rFonts w:hint="eastAsia" w:hAnsi="宋体" w:cs="宋体"/>
                <w:color w:val="auto"/>
                <w:kern w:val="2"/>
                <w:sz w:val="24"/>
                <w:szCs w:val="24"/>
                <w:highlight w:val="none"/>
                <w:lang w:val="en-US" w:eastAsia="zh-CN"/>
              </w:rPr>
            </w:pPr>
          </w:p>
        </w:tc>
        <w:tc>
          <w:tcPr>
            <w:tcW w:w="1934" w:type="dxa"/>
            <w:noWrap w:val="0"/>
            <w:vAlign w:val="center"/>
          </w:tcPr>
          <w:p w14:paraId="73E3C2CB">
            <w:pPr>
              <w:pStyle w:val="25"/>
              <w:spacing w:line="600" w:lineRule="exact"/>
              <w:jc w:val="center"/>
              <w:rPr>
                <w:rFonts w:hint="eastAsia" w:hAnsi="宋体" w:cs="宋体"/>
                <w:color w:val="auto"/>
                <w:kern w:val="2"/>
                <w:sz w:val="24"/>
                <w:szCs w:val="24"/>
                <w:highlight w:val="none"/>
                <w:lang w:val="en-US" w:eastAsia="zh-CN"/>
              </w:rPr>
            </w:pPr>
          </w:p>
        </w:tc>
      </w:tr>
    </w:tbl>
    <w:p w14:paraId="74F8EA5E">
      <w:pPr>
        <w:pStyle w:val="18"/>
        <w:spacing w:line="360" w:lineRule="auto"/>
        <w:contextualSpacing/>
        <w:rPr>
          <w:rFonts w:hint="eastAsia" w:ascii="宋体" w:hAnsi="宋体" w:cs="宋体"/>
          <w:color w:val="auto"/>
          <w:highlight w:val="none"/>
        </w:rPr>
      </w:pPr>
      <w:r>
        <w:rPr>
          <w:rFonts w:hint="eastAsia" w:ascii="宋体" w:hAnsi="宋体" w:cs="宋体"/>
          <w:color w:val="auto"/>
          <w:highlight w:val="none"/>
        </w:rPr>
        <w:t>注：</w:t>
      </w:r>
    </w:p>
    <w:p w14:paraId="4E534499">
      <w:pPr>
        <w:pStyle w:val="19"/>
        <w:spacing w:line="360" w:lineRule="auto"/>
        <w:ind w:firstLine="0" w:firstLineChars="0"/>
        <w:contextualSpacing/>
        <w:rPr>
          <w:rFonts w:hint="eastAsia" w:ascii="宋体" w:hAnsi="宋体" w:eastAsia="宋体" w:cs="宋体"/>
          <w:color w:val="auto"/>
          <w:szCs w:val="32"/>
          <w:highlight w:val="none"/>
        </w:rPr>
      </w:pPr>
      <w:r>
        <w:rPr>
          <w:rFonts w:hint="eastAsia" w:ascii="宋体" w:hAnsi="宋体" w:eastAsia="宋体" w:cs="宋体"/>
          <w:color w:val="auto"/>
          <w:sz w:val="24"/>
          <w:szCs w:val="24"/>
          <w:highlight w:val="none"/>
        </w:rPr>
        <w:t>1.说明：应对照招标文件“第二章 采购需求”中的技术要求逐条作明确的投标响应，并作出偏离说明。</w:t>
      </w:r>
    </w:p>
    <w:p w14:paraId="04F89D73">
      <w:pPr>
        <w:pStyle w:val="18"/>
        <w:spacing w:line="360" w:lineRule="auto"/>
        <w:contextualSpacing/>
        <w:rPr>
          <w:rFonts w:hint="eastAsia" w:ascii="宋体" w:hAnsi="宋体" w:cs="宋体"/>
          <w:color w:val="auto"/>
          <w:highlight w:val="none"/>
        </w:rPr>
      </w:pPr>
      <w:r>
        <w:rPr>
          <w:rFonts w:hint="eastAsia" w:ascii="宋体" w:hAnsi="宋体" w:cs="宋体"/>
          <w:b w:val="0"/>
          <w:bCs w:val="0"/>
          <w:color w:val="auto"/>
          <w:highlight w:val="none"/>
        </w:rPr>
        <w:t>2.投标人应根据自身的承诺，对照招标文件要求，在“偏离说明”中注明“</w:t>
      </w:r>
      <w:r>
        <w:rPr>
          <w:rFonts w:hint="eastAsia" w:ascii="宋体" w:hAnsi="宋体" w:cs="宋体"/>
          <w:color w:val="auto"/>
          <w:highlight w:val="none"/>
        </w:rPr>
        <w:t>正偏离</w:t>
      </w:r>
      <w:r>
        <w:rPr>
          <w:rFonts w:hint="eastAsia" w:ascii="宋体" w:hAnsi="宋体" w:cs="宋体"/>
          <w:b w:val="0"/>
          <w:bCs w:val="0"/>
          <w:color w:val="auto"/>
          <w:highlight w:val="none"/>
        </w:rPr>
        <w:t>”、“</w:t>
      </w:r>
      <w:r>
        <w:rPr>
          <w:rFonts w:hint="eastAsia" w:ascii="宋体" w:hAnsi="宋体" w:cs="宋体"/>
          <w:color w:val="auto"/>
          <w:highlight w:val="none"/>
        </w:rPr>
        <w:t>负偏离</w:t>
      </w:r>
      <w:r>
        <w:rPr>
          <w:rFonts w:hint="eastAsia" w:ascii="宋体" w:hAnsi="宋体" w:cs="宋体"/>
          <w:b w:val="0"/>
          <w:bCs w:val="0"/>
          <w:color w:val="auto"/>
          <w:highlight w:val="none"/>
        </w:rPr>
        <w:t>”或者“</w:t>
      </w:r>
      <w:r>
        <w:rPr>
          <w:rFonts w:hint="eastAsia" w:ascii="宋体" w:hAnsi="宋体" w:cs="宋体"/>
          <w:color w:val="auto"/>
          <w:highlight w:val="none"/>
        </w:rPr>
        <w:t>无偏离</w:t>
      </w:r>
      <w:r>
        <w:rPr>
          <w:rFonts w:hint="eastAsia" w:ascii="宋体" w:hAnsi="宋体" w:cs="宋体"/>
          <w:b w:val="0"/>
          <w:bCs w:val="0"/>
          <w:color w:val="auto"/>
          <w:highlight w:val="none"/>
        </w:rPr>
        <w:t>”。既不属于“</w:t>
      </w:r>
      <w:r>
        <w:rPr>
          <w:rFonts w:hint="eastAsia" w:ascii="宋体" w:hAnsi="宋体" w:cs="宋体"/>
          <w:color w:val="auto"/>
          <w:highlight w:val="none"/>
        </w:rPr>
        <w:t>正偏离</w:t>
      </w:r>
      <w:r>
        <w:rPr>
          <w:rFonts w:hint="eastAsia" w:ascii="宋体" w:hAnsi="宋体" w:cs="宋体"/>
          <w:b w:val="0"/>
          <w:bCs w:val="0"/>
          <w:color w:val="auto"/>
          <w:highlight w:val="none"/>
        </w:rPr>
        <w:t>”也不属于“</w:t>
      </w:r>
      <w:r>
        <w:rPr>
          <w:rFonts w:hint="eastAsia" w:ascii="宋体" w:hAnsi="宋体" w:cs="宋体"/>
          <w:color w:val="auto"/>
          <w:highlight w:val="none"/>
        </w:rPr>
        <w:t>负偏离</w:t>
      </w:r>
      <w:r>
        <w:rPr>
          <w:rFonts w:hint="eastAsia" w:ascii="宋体" w:hAnsi="宋体" w:cs="宋体"/>
          <w:b w:val="0"/>
          <w:bCs w:val="0"/>
          <w:color w:val="auto"/>
          <w:highlight w:val="none"/>
        </w:rPr>
        <w:t>”即为“</w:t>
      </w:r>
      <w:r>
        <w:rPr>
          <w:rFonts w:hint="eastAsia" w:ascii="宋体" w:hAnsi="宋体" w:cs="宋体"/>
          <w:color w:val="auto"/>
          <w:highlight w:val="none"/>
        </w:rPr>
        <w:t>无偏离</w:t>
      </w:r>
      <w:r>
        <w:rPr>
          <w:rFonts w:hint="eastAsia" w:ascii="宋体" w:hAnsi="宋体" w:cs="宋体"/>
          <w:b w:val="0"/>
          <w:bCs w:val="0"/>
          <w:color w:val="auto"/>
          <w:highlight w:val="none"/>
        </w:rPr>
        <w:t>”。</w:t>
      </w:r>
    </w:p>
    <w:p w14:paraId="6C5F8410">
      <w:pPr>
        <w:pStyle w:val="18"/>
        <w:spacing w:line="360" w:lineRule="auto"/>
        <w:contextualSpacing/>
        <w:rPr>
          <w:rFonts w:hint="eastAsia" w:ascii="宋体" w:hAnsi="宋体" w:cs="宋体"/>
          <w:color w:val="auto"/>
          <w:spacing w:val="20"/>
          <w:highlight w:val="none"/>
        </w:rPr>
      </w:pPr>
    </w:p>
    <w:p w14:paraId="5A7A94CC">
      <w:pPr>
        <w:spacing w:line="360" w:lineRule="auto"/>
        <w:contextualSpacing/>
        <w:rPr>
          <w:rFonts w:hint="eastAsia" w:ascii="宋体" w:hAnsi="宋体" w:cs="宋体"/>
          <w:color w:val="auto"/>
          <w:spacing w:val="20"/>
          <w:sz w:val="24"/>
          <w:highlight w:val="none"/>
          <w:u w:val="single"/>
        </w:rPr>
      </w:pPr>
      <w:r>
        <w:rPr>
          <w:rFonts w:hint="eastAsia" w:ascii="宋体" w:hAnsi="宋体" w:cs="宋体"/>
          <w:color w:val="auto"/>
          <w:sz w:val="24"/>
          <w:highlight w:val="none"/>
        </w:rPr>
        <w:t>法定代表人（负责人或自然人）或者委托代理人</w:t>
      </w:r>
      <w:r>
        <w:rPr>
          <w:rFonts w:hint="eastAsia" w:ascii="宋体" w:hAnsi="宋体" w:cs="宋体"/>
          <w:color w:val="auto"/>
          <w:spacing w:val="20"/>
          <w:sz w:val="24"/>
          <w:highlight w:val="none"/>
        </w:rPr>
        <w:t>（签字或者电子签名）：</w:t>
      </w:r>
      <w:r>
        <w:rPr>
          <w:rFonts w:hint="eastAsia" w:ascii="宋体" w:hAnsi="宋体" w:cs="宋体"/>
          <w:color w:val="auto"/>
          <w:spacing w:val="20"/>
          <w:sz w:val="24"/>
          <w:highlight w:val="none"/>
          <w:u w:val="single"/>
        </w:rPr>
        <w:t xml:space="preserve">        </w:t>
      </w:r>
    </w:p>
    <w:p w14:paraId="177FAE82">
      <w:pPr>
        <w:spacing w:line="360" w:lineRule="auto"/>
        <w:contextualSpacing/>
        <w:rPr>
          <w:rFonts w:hint="eastAsia"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w:t>
      </w:r>
    </w:p>
    <w:p w14:paraId="0CE14C56">
      <w:pPr>
        <w:spacing w:line="360" w:lineRule="auto"/>
        <w:contextualSpacing/>
        <w:rPr>
          <w:rFonts w:hint="eastAsia" w:ascii="宋体" w:hAnsi="宋体" w:cs="宋体"/>
          <w:color w:val="auto"/>
          <w:sz w:val="24"/>
          <w:szCs w:val="20"/>
          <w:highlight w:val="none"/>
        </w:rPr>
      </w:pPr>
      <w:r>
        <w:rPr>
          <w:rFonts w:hint="eastAsia" w:ascii="宋体" w:hAnsi="宋体" w:cs="宋体"/>
          <w:color w:val="auto"/>
          <w:spacing w:val="20"/>
          <w:sz w:val="24"/>
          <w:highlight w:val="none"/>
        </w:rPr>
        <w:t>日  期：</w:t>
      </w:r>
      <w:r>
        <w:rPr>
          <w:rFonts w:hint="eastAsia" w:ascii="宋体" w:hAnsi="宋体" w:cs="宋体"/>
          <w:color w:val="auto"/>
          <w:spacing w:val="20"/>
          <w:sz w:val="24"/>
          <w:highlight w:val="none"/>
          <w:u w:val="single"/>
        </w:rPr>
        <w:t xml:space="preserve">          </w:t>
      </w:r>
    </w:p>
    <w:p w14:paraId="0D8BD77F">
      <w:pPr>
        <w:spacing w:line="360" w:lineRule="auto"/>
        <w:contextualSpacing/>
        <w:rPr>
          <w:rFonts w:hint="eastAsia" w:ascii="宋体" w:hAnsi="宋体" w:cs="宋体"/>
          <w:color w:val="auto"/>
          <w:spacing w:val="20"/>
          <w:sz w:val="24"/>
          <w:highlight w:val="none"/>
          <w:u w:val="single"/>
        </w:rPr>
      </w:pPr>
    </w:p>
    <w:p w14:paraId="0A130C86">
      <w:pPr>
        <w:spacing w:line="360" w:lineRule="auto"/>
        <w:contextualSpacing/>
        <w:rPr>
          <w:rFonts w:hint="eastAsia" w:ascii="宋体" w:hAnsi="宋体" w:cs="宋体"/>
          <w:color w:val="auto"/>
          <w:sz w:val="24"/>
          <w:szCs w:val="20"/>
          <w:highlight w:val="none"/>
        </w:rPr>
      </w:pPr>
    </w:p>
    <w:p w14:paraId="77FF05C3">
      <w:pPr>
        <w:snapToGrid w:val="0"/>
        <w:spacing w:before="120" w:beforeLines="50" w:after="50"/>
        <w:jc w:val="left"/>
        <w:rPr>
          <w:rFonts w:hint="eastAsia" w:ascii="宋体" w:hAnsi="宋体" w:cs="宋体"/>
          <w:bCs/>
          <w:color w:val="auto"/>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lang w:val="en-US" w:eastAsia="zh-CN"/>
        </w:rPr>
        <w:t>8.</w:t>
      </w:r>
      <w:r>
        <w:rPr>
          <w:rFonts w:hint="eastAsia" w:ascii="宋体" w:hAnsi="宋体" w:eastAsia="宋体" w:cs="宋体"/>
          <w:b/>
          <w:color w:val="auto"/>
          <w:sz w:val="24"/>
          <w:highlight w:val="none"/>
        </w:rPr>
        <w:t>服务实施方案格式</w:t>
      </w:r>
    </w:p>
    <w:p w14:paraId="2409F707">
      <w:pPr>
        <w:snapToGrid w:val="0"/>
        <w:spacing w:before="120" w:beforeLines="50" w:after="50"/>
        <w:jc w:val="center"/>
        <w:rPr>
          <w:rFonts w:hint="eastAsia" w:ascii="宋体" w:hAnsi="宋体" w:cs="宋体"/>
          <w:b/>
          <w:color w:val="auto"/>
          <w:sz w:val="36"/>
          <w:szCs w:val="44"/>
          <w:highlight w:val="none"/>
        </w:rPr>
      </w:pPr>
      <w:r>
        <w:rPr>
          <w:rFonts w:hint="eastAsia" w:ascii="宋体" w:hAnsi="宋体" w:cs="宋体"/>
          <w:b/>
          <w:color w:val="auto"/>
          <w:sz w:val="36"/>
          <w:szCs w:val="44"/>
          <w:highlight w:val="none"/>
        </w:rPr>
        <w:t>服务实施方案</w:t>
      </w:r>
    </w:p>
    <w:p w14:paraId="5A79127A">
      <w:pPr>
        <w:snapToGrid w:val="0"/>
        <w:spacing w:before="120" w:beforeLines="50" w:after="50"/>
        <w:jc w:val="center"/>
        <w:rPr>
          <w:rFonts w:hint="eastAsia" w:ascii="宋体" w:hAnsi="宋体" w:cs="宋体"/>
          <w:b/>
          <w:color w:val="auto"/>
          <w:sz w:val="36"/>
          <w:szCs w:val="44"/>
          <w:highlight w:val="none"/>
        </w:rPr>
      </w:pPr>
    </w:p>
    <w:p w14:paraId="5F095ED9">
      <w:pPr>
        <w:snapToGrid w:val="0"/>
        <w:spacing w:before="120" w:beforeLines="50" w:after="50"/>
        <w:jc w:val="center"/>
        <w:rPr>
          <w:rFonts w:hint="eastAsia" w:ascii="宋体" w:hAnsi="宋体" w:cs="宋体"/>
          <w:color w:val="auto"/>
          <w:sz w:val="24"/>
          <w:highlight w:val="none"/>
        </w:rPr>
      </w:pPr>
      <w:r>
        <w:rPr>
          <w:rFonts w:hint="eastAsia" w:ascii="宋体" w:hAnsi="宋体" w:cs="宋体"/>
          <w:color w:val="auto"/>
          <w:sz w:val="24"/>
          <w:highlight w:val="none"/>
        </w:rPr>
        <w:t>（内容投标人根据“第二章 采购需求”及“第四章 评标方法及评标标准”结合自身能力编制）；</w:t>
      </w:r>
    </w:p>
    <w:p w14:paraId="63F6CA56">
      <w:pPr>
        <w:snapToGrid w:val="0"/>
        <w:spacing w:before="120" w:beforeLines="50" w:after="50"/>
        <w:jc w:val="center"/>
        <w:rPr>
          <w:rFonts w:hint="eastAsia" w:ascii="宋体" w:hAnsi="宋体" w:cs="宋体"/>
          <w:color w:val="auto"/>
          <w:szCs w:val="21"/>
          <w:highlight w:val="none"/>
        </w:rPr>
      </w:pPr>
    </w:p>
    <w:p w14:paraId="4B39C779">
      <w:pPr>
        <w:snapToGrid w:val="0"/>
        <w:spacing w:before="120" w:beforeLines="50" w:after="50"/>
        <w:jc w:val="center"/>
        <w:rPr>
          <w:rFonts w:hint="eastAsia" w:ascii="宋体" w:hAnsi="宋体" w:cs="宋体"/>
          <w:color w:val="auto"/>
          <w:szCs w:val="21"/>
          <w:highlight w:val="none"/>
        </w:rPr>
      </w:pPr>
    </w:p>
    <w:p w14:paraId="67BCB1CC">
      <w:pPr>
        <w:snapToGrid w:val="0"/>
        <w:spacing w:before="120" w:beforeLines="50" w:after="50"/>
        <w:jc w:val="center"/>
        <w:rPr>
          <w:rFonts w:hint="eastAsia" w:ascii="宋体" w:hAnsi="宋体" w:cs="宋体"/>
          <w:color w:val="auto"/>
          <w:szCs w:val="21"/>
          <w:highlight w:val="none"/>
        </w:rPr>
      </w:pPr>
    </w:p>
    <w:p w14:paraId="27DEC81E">
      <w:pPr>
        <w:snapToGrid w:val="0"/>
        <w:spacing w:before="120" w:beforeLines="50" w:after="50"/>
        <w:jc w:val="center"/>
        <w:rPr>
          <w:rFonts w:hint="eastAsia" w:ascii="宋体" w:hAnsi="宋体" w:cs="宋体"/>
          <w:color w:val="auto"/>
          <w:szCs w:val="21"/>
          <w:highlight w:val="none"/>
        </w:rPr>
      </w:pPr>
    </w:p>
    <w:p w14:paraId="27EE5839">
      <w:pPr>
        <w:snapToGrid w:val="0"/>
        <w:spacing w:before="120" w:beforeLines="50" w:after="50"/>
        <w:jc w:val="center"/>
        <w:rPr>
          <w:rFonts w:hint="eastAsia" w:ascii="宋体" w:hAnsi="宋体" w:cs="宋体"/>
          <w:color w:val="auto"/>
          <w:szCs w:val="21"/>
          <w:highlight w:val="none"/>
        </w:rPr>
      </w:pPr>
    </w:p>
    <w:p w14:paraId="7B824B07">
      <w:pPr>
        <w:pStyle w:val="2"/>
        <w:rPr>
          <w:rFonts w:hint="eastAsia" w:ascii="宋体" w:hAnsi="宋体" w:cs="宋体"/>
          <w:color w:val="auto"/>
          <w:szCs w:val="21"/>
          <w:highlight w:val="none"/>
        </w:rPr>
      </w:pPr>
    </w:p>
    <w:p w14:paraId="2F79423F">
      <w:pPr>
        <w:pStyle w:val="2"/>
        <w:rPr>
          <w:rFonts w:hint="eastAsia" w:ascii="宋体" w:hAnsi="宋体" w:cs="宋体"/>
          <w:color w:val="auto"/>
          <w:szCs w:val="21"/>
          <w:highlight w:val="none"/>
        </w:rPr>
      </w:pPr>
    </w:p>
    <w:p w14:paraId="1A3EF1CF">
      <w:pPr>
        <w:pStyle w:val="2"/>
        <w:rPr>
          <w:rFonts w:hint="eastAsia" w:ascii="宋体" w:hAnsi="宋体" w:cs="宋体"/>
          <w:color w:val="auto"/>
          <w:szCs w:val="21"/>
          <w:highlight w:val="none"/>
        </w:rPr>
      </w:pPr>
    </w:p>
    <w:p w14:paraId="0C14CFE4">
      <w:pPr>
        <w:pStyle w:val="2"/>
        <w:rPr>
          <w:rFonts w:hint="eastAsia" w:ascii="宋体" w:hAnsi="宋体" w:cs="宋体"/>
          <w:color w:val="auto"/>
          <w:szCs w:val="21"/>
          <w:highlight w:val="none"/>
        </w:rPr>
      </w:pPr>
    </w:p>
    <w:p w14:paraId="0B363C61">
      <w:pPr>
        <w:pStyle w:val="2"/>
        <w:rPr>
          <w:rFonts w:hint="eastAsia" w:ascii="宋体" w:hAnsi="宋体" w:cs="宋体"/>
          <w:color w:val="auto"/>
          <w:szCs w:val="21"/>
          <w:highlight w:val="none"/>
        </w:rPr>
      </w:pPr>
    </w:p>
    <w:p w14:paraId="3A39976A">
      <w:pPr>
        <w:pStyle w:val="2"/>
        <w:rPr>
          <w:rFonts w:hint="eastAsia" w:ascii="宋体" w:hAnsi="宋体" w:cs="宋体"/>
          <w:color w:val="auto"/>
          <w:szCs w:val="21"/>
          <w:highlight w:val="none"/>
        </w:rPr>
      </w:pPr>
    </w:p>
    <w:p w14:paraId="2B5C7FC2">
      <w:pPr>
        <w:pStyle w:val="2"/>
        <w:rPr>
          <w:rFonts w:hint="eastAsia" w:ascii="宋体" w:hAnsi="宋体" w:cs="宋体"/>
          <w:color w:val="auto"/>
          <w:szCs w:val="21"/>
          <w:highlight w:val="none"/>
        </w:rPr>
      </w:pPr>
    </w:p>
    <w:p w14:paraId="015FC6C0">
      <w:pPr>
        <w:pStyle w:val="2"/>
        <w:rPr>
          <w:rFonts w:hint="eastAsia" w:ascii="宋体" w:hAnsi="宋体" w:cs="宋体"/>
          <w:color w:val="auto"/>
          <w:szCs w:val="21"/>
          <w:highlight w:val="none"/>
        </w:rPr>
      </w:pPr>
    </w:p>
    <w:p w14:paraId="4471A6B7">
      <w:pPr>
        <w:pStyle w:val="2"/>
        <w:rPr>
          <w:rFonts w:hint="eastAsia" w:ascii="宋体" w:hAnsi="宋体" w:cs="宋体"/>
          <w:color w:val="auto"/>
          <w:szCs w:val="21"/>
          <w:highlight w:val="none"/>
        </w:rPr>
      </w:pPr>
    </w:p>
    <w:p w14:paraId="006EB5CC">
      <w:pPr>
        <w:pStyle w:val="18"/>
        <w:spacing w:line="360" w:lineRule="auto"/>
        <w:contextualSpacing/>
        <w:rPr>
          <w:rFonts w:hint="eastAsia" w:ascii="宋体" w:hAnsi="宋体" w:cs="宋体"/>
          <w:color w:val="auto"/>
          <w:spacing w:val="20"/>
          <w:highlight w:val="none"/>
        </w:rPr>
      </w:pPr>
    </w:p>
    <w:p w14:paraId="0FFC61EA">
      <w:pPr>
        <w:spacing w:line="360" w:lineRule="auto"/>
        <w:contextualSpacing/>
        <w:rPr>
          <w:rFonts w:hint="eastAsia" w:ascii="宋体" w:hAnsi="宋体" w:cs="宋体"/>
          <w:color w:val="auto"/>
          <w:spacing w:val="20"/>
          <w:sz w:val="24"/>
          <w:highlight w:val="none"/>
          <w:u w:val="single"/>
        </w:rPr>
      </w:pPr>
      <w:r>
        <w:rPr>
          <w:rFonts w:hint="eastAsia" w:ascii="宋体" w:hAnsi="宋体" w:cs="宋体"/>
          <w:color w:val="auto"/>
          <w:sz w:val="24"/>
          <w:highlight w:val="none"/>
        </w:rPr>
        <w:t>法定代表人（负责人或自然人）或者委托代理人</w:t>
      </w:r>
      <w:r>
        <w:rPr>
          <w:rFonts w:hint="eastAsia" w:ascii="宋体" w:hAnsi="宋体" w:cs="宋体"/>
          <w:color w:val="auto"/>
          <w:spacing w:val="20"/>
          <w:sz w:val="24"/>
          <w:highlight w:val="none"/>
        </w:rPr>
        <w:t>（签字或者电子签名）：</w:t>
      </w:r>
      <w:r>
        <w:rPr>
          <w:rFonts w:hint="eastAsia" w:ascii="宋体" w:hAnsi="宋体" w:cs="宋体"/>
          <w:color w:val="auto"/>
          <w:spacing w:val="20"/>
          <w:sz w:val="24"/>
          <w:highlight w:val="none"/>
          <w:u w:val="single"/>
        </w:rPr>
        <w:t xml:space="preserve">        </w:t>
      </w:r>
    </w:p>
    <w:p w14:paraId="3EC8EE91">
      <w:pPr>
        <w:spacing w:line="360" w:lineRule="auto"/>
        <w:contextualSpacing/>
        <w:rPr>
          <w:rFonts w:hint="eastAsia"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w:t>
      </w:r>
    </w:p>
    <w:p w14:paraId="11BFF158">
      <w:pPr>
        <w:spacing w:line="360" w:lineRule="auto"/>
        <w:contextualSpacing/>
        <w:rPr>
          <w:rFonts w:hint="eastAsia" w:ascii="宋体" w:hAnsi="宋体" w:cs="宋体"/>
          <w:color w:val="auto"/>
          <w:sz w:val="24"/>
          <w:szCs w:val="20"/>
          <w:highlight w:val="none"/>
        </w:rPr>
      </w:pPr>
      <w:r>
        <w:rPr>
          <w:rFonts w:hint="eastAsia" w:ascii="宋体" w:hAnsi="宋体" w:cs="宋体"/>
          <w:color w:val="auto"/>
          <w:spacing w:val="20"/>
          <w:sz w:val="24"/>
          <w:highlight w:val="none"/>
        </w:rPr>
        <w:t>日  期：</w:t>
      </w:r>
      <w:r>
        <w:rPr>
          <w:rFonts w:hint="eastAsia" w:ascii="宋体" w:hAnsi="宋体" w:cs="宋体"/>
          <w:color w:val="auto"/>
          <w:spacing w:val="20"/>
          <w:sz w:val="24"/>
          <w:highlight w:val="none"/>
          <w:u w:val="single"/>
        </w:rPr>
        <w:t xml:space="preserve">          </w:t>
      </w:r>
    </w:p>
    <w:p w14:paraId="27F63A87">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9.项目实施人员一览表格式</w:t>
      </w:r>
    </w:p>
    <w:p w14:paraId="054FC850">
      <w:pPr>
        <w:snapToGrid w:val="0"/>
        <w:spacing w:before="120" w:beforeLines="50" w:after="50"/>
        <w:ind w:left="142"/>
        <w:jc w:val="left"/>
        <w:rPr>
          <w:rFonts w:hint="eastAsia" w:ascii="宋体" w:hAnsi="宋体" w:cs="宋体"/>
          <w:b/>
          <w:color w:val="auto"/>
          <w:sz w:val="24"/>
          <w:highlight w:val="none"/>
        </w:rPr>
      </w:pPr>
    </w:p>
    <w:p w14:paraId="2702E7E6">
      <w:pPr>
        <w:pStyle w:val="25"/>
        <w:jc w:val="center"/>
        <w:rPr>
          <w:rFonts w:hint="eastAsia" w:hAnsi="宋体" w:cs="宋体"/>
          <w:b/>
          <w:bCs/>
          <w:color w:val="auto"/>
          <w:sz w:val="28"/>
          <w:szCs w:val="28"/>
          <w:highlight w:val="none"/>
        </w:rPr>
      </w:pPr>
      <w:r>
        <w:rPr>
          <w:rFonts w:hint="eastAsia" w:hAnsi="宋体" w:cs="宋体"/>
          <w:b/>
          <w:bCs/>
          <w:color w:val="auto"/>
          <w:sz w:val="28"/>
          <w:szCs w:val="28"/>
          <w:highlight w:val="none"/>
        </w:rPr>
        <w:t>项目拟投入人员一览表</w:t>
      </w:r>
    </w:p>
    <w:p w14:paraId="14771E46">
      <w:pPr>
        <w:pStyle w:val="25"/>
        <w:rPr>
          <w:rFonts w:hint="eastAsia"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50BC16DD">
      <w:pPr>
        <w:pStyle w:val="14"/>
        <w:rPr>
          <w:rFonts w:hint="eastAsia" w:ascii="宋体" w:hAnsi="宋体" w:cs="宋体"/>
          <w:color w:val="auto"/>
          <w:highlight w:val="none"/>
        </w:rPr>
      </w:pP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893"/>
        <w:gridCol w:w="775"/>
        <w:gridCol w:w="1862"/>
        <w:gridCol w:w="1554"/>
        <w:gridCol w:w="1858"/>
        <w:gridCol w:w="2019"/>
      </w:tblGrid>
      <w:tr w14:paraId="6F43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noWrap w:val="0"/>
            <w:vAlign w:val="center"/>
          </w:tcPr>
          <w:p w14:paraId="2A1B6D13">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序号</w:t>
            </w:r>
          </w:p>
        </w:tc>
        <w:tc>
          <w:tcPr>
            <w:tcW w:w="453" w:type="pct"/>
            <w:noWrap w:val="0"/>
            <w:vAlign w:val="center"/>
          </w:tcPr>
          <w:p w14:paraId="1A0FBB84">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姓名</w:t>
            </w:r>
          </w:p>
        </w:tc>
        <w:tc>
          <w:tcPr>
            <w:tcW w:w="393" w:type="pct"/>
            <w:noWrap w:val="0"/>
            <w:vAlign w:val="center"/>
          </w:tcPr>
          <w:p w14:paraId="4CDF5F58">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职务</w:t>
            </w:r>
          </w:p>
        </w:tc>
        <w:tc>
          <w:tcPr>
            <w:tcW w:w="944" w:type="pct"/>
            <w:noWrap w:val="0"/>
            <w:vAlign w:val="center"/>
          </w:tcPr>
          <w:p w14:paraId="55A4E32C">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专业技术资格（职称）或者职业资格或者执业资格证或者其他证书</w:t>
            </w:r>
          </w:p>
        </w:tc>
        <w:tc>
          <w:tcPr>
            <w:tcW w:w="788" w:type="pct"/>
            <w:noWrap w:val="0"/>
            <w:vAlign w:val="center"/>
          </w:tcPr>
          <w:p w14:paraId="302D3855">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证书编号</w:t>
            </w:r>
          </w:p>
        </w:tc>
        <w:tc>
          <w:tcPr>
            <w:tcW w:w="942" w:type="pct"/>
            <w:noWrap w:val="0"/>
            <w:vAlign w:val="center"/>
          </w:tcPr>
          <w:p w14:paraId="2E8D8D67">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工作经验/年</w:t>
            </w:r>
          </w:p>
        </w:tc>
        <w:tc>
          <w:tcPr>
            <w:tcW w:w="1023" w:type="pct"/>
            <w:noWrap w:val="0"/>
            <w:vAlign w:val="center"/>
          </w:tcPr>
          <w:p w14:paraId="1B708FA1">
            <w:pPr>
              <w:snapToGrid w:val="0"/>
              <w:spacing w:before="50" w:after="120" w:afterLines="50"/>
              <w:jc w:val="center"/>
              <w:rPr>
                <w:rFonts w:hint="eastAsia" w:ascii="宋体" w:hAnsi="宋体" w:cs="宋体"/>
                <w:color w:val="auto"/>
                <w:sz w:val="24"/>
                <w:szCs w:val="20"/>
                <w:highlight w:val="none"/>
              </w:rPr>
            </w:pPr>
            <w:r>
              <w:rPr>
                <w:rFonts w:hint="eastAsia" w:ascii="宋体" w:hAnsi="宋体" w:cs="宋体"/>
                <w:color w:val="auto"/>
                <w:sz w:val="24"/>
                <w:szCs w:val="20"/>
                <w:highlight w:val="none"/>
              </w:rPr>
              <w:t>劳动合同编号</w:t>
            </w:r>
          </w:p>
        </w:tc>
      </w:tr>
      <w:tr w14:paraId="33BD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noWrap w:val="0"/>
            <w:vAlign w:val="center"/>
          </w:tcPr>
          <w:p w14:paraId="38EFC3AD">
            <w:pPr>
              <w:snapToGrid w:val="0"/>
              <w:spacing w:before="50" w:after="120" w:afterLines="50"/>
              <w:jc w:val="center"/>
              <w:rPr>
                <w:rFonts w:hint="eastAsia" w:ascii="宋体" w:hAnsi="宋体" w:cs="宋体"/>
                <w:color w:val="auto"/>
                <w:sz w:val="24"/>
                <w:szCs w:val="20"/>
                <w:highlight w:val="none"/>
              </w:rPr>
            </w:pPr>
          </w:p>
        </w:tc>
        <w:tc>
          <w:tcPr>
            <w:tcW w:w="453" w:type="pct"/>
            <w:noWrap w:val="0"/>
            <w:vAlign w:val="center"/>
          </w:tcPr>
          <w:p w14:paraId="29537DEC">
            <w:pPr>
              <w:snapToGrid w:val="0"/>
              <w:spacing w:before="50" w:after="120" w:afterLines="50"/>
              <w:jc w:val="center"/>
              <w:rPr>
                <w:rFonts w:hint="eastAsia" w:ascii="宋体" w:hAnsi="宋体" w:cs="宋体"/>
                <w:color w:val="auto"/>
                <w:sz w:val="24"/>
                <w:szCs w:val="20"/>
                <w:highlight w:val="none"/>
              </w:rPr>
            </w:pPr>
          </w:p>
        </w:tc>
        <w:tc>
          <w:tcPr>
            <w:tcW w:w="393" w:type="pct"/>
            <w:noWrap w:val="0"/>
            <w:vAlign w:val="center"/>
          </w:tcPr>
          <w:p w14:paraId="1352CE64">
            <w:pPr>
              <w:snapToGrid w:val="0"/>
              <w:spacing w:before="50" w:after="120" w:afterLines="50"/>
              <w:jc w:val="center"/>
              <w:rPr>
                <w:rFonts w:hint="eastAsia" w:ascii="宋体" w:hAnsi="宋体" w:cs="宋体"/>
                <w:color w:val="auto"/>
                <w:sz w:val="24"/>
                <w:szCs w:val="20"/>
                <w:highlight w:val="none"/>
              </w:rPr>
            </w:pPr>
          </w:p>
        </w:tc>
        <w:tc>
          <w:tcPr>
            <w:tcW w:w="944" w:type="pct"/>
            <w:noWrap w:val="0"/>
            <w:vAlign w:val="center"/>
          </w:tcPr>
          <w:p w14:paraId="5B0A3653">
            <w:pPr>
              <w:snapToGrid w:val="0"/>
              <w:spacing w:before="50" w:after="120" w:afterLines="50"/>
              <w:jc w:val="center"/>
              <w:rPr>
                <w:rFonts w:hint="eastAsia" w:ascii="宋体" w:hAnsi="宋体" w:cs="宋体"/>
                <w:color w:val="auto"/>
                <w:sz w:val="24"/>
                <w:szCs w:val="20"/>
                <w:highlight w:val="none"/>
              </w:rPr>
            </w:pPr>
          </w:p>
        </w:tc>
        <w:tc>
          <w:tcPr>
            <w:tcW w:w="788" w:type="pct"/>
            <w:noWrap w:val="0"/>
            <w:vAlign w:val="center"/>
          </w:tcPr>
          <w:p w14:paraId="40938990">
            <w:pPr>
              <w:snapToGrid w:val="0"/>
              <w:spacing w:before="50" w:after="120" w:afterLines="50"/>
              <w:jc w:val="center"/>
              <w:rPr>
                <w:rFonts w:hint="eastAsia" w:ascii="宋体" w:hAnsi="宋体" w:cs="宋体"/>
                <w:color w:val="auto"/>
                <w:sz w:val="24"/>
                <w:szCs w:val="20"/>
                <w:highlight w:val="none"/>
              </w:rPr>
            </w:pPr>
          </w:p>
        </w:tc>
        <w:tc>
          <w:tcPr>
            <w:tcW w:w="942" w:type="pct"/>
            <w:noWrap w:val="0"/>
            <w:vAlign w:val="center"/>
          </w:tcPr>
          <w:p w14:paraId="0C992614">
            <w:pPr>
              <w:snapToGrid w:val="0"/>
              <w:spacing w:before="50" w:after="120" w:afterLines="50"/>
              <w:jc w:val="center"/>
              <w:rPr>
                <w:rFonts w:hint="eastAsia" w:ascii="宋体" w:hAnsi="宋体" w:cs="宋体"/>
                <w:color w:val="auto"/>
                <w:sz w:val="24"/>
                <w:szCs w:val="20"/>
                <w:highlight w:val="none"/>
              </w:rPr>
            </w:pPr>
          </w:p>
        </w:tc>
        <w:tc>
          <w:tcPr>
            <w:tcW w:w="1023" w:type="pct"/>
            <w:noWrap w:val="0"/>
            <w:vAlign w:val="center"/>
          </w:tcPr>
          <w:p w14:paraId="2AE473FA">
            <w:pPr>
              <w:snapToGrid w:val="0"/>
              <w:spacing w:before="50" w:after="120" w:afterLines="50"/>
              <w:jc w:val="center"/>
              <w:rPr>
                <w:rFonts w:hint="eastAsia" w:ascii="宋体" w:hAnsi="宋体" w:cs="宋体"/>
                <w:color w:val="auto"/>
                <w:sz w:val="24"/>
                <w:szCs w:val="20"/>
                <w:highlight w:val="none"/>
              </w:rPr>
            </w:pPr>
          </w:p>
        </w:tc>
      </w:tr>
      <w:tr w14:paraId="50F5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 w:type="pct"/>
            <w:noWrap w:val="0"/>
            <w:vAlign w:val="center"/>
          </w:tcPr>
          <w:p w14:paraId="699301E4">
            <w:pPr>
              <w:snapToGrid w:val="0"/>
              <w:spacing w:before="50" w:after="120" w:afterLines="50"/>
              <w:jc w:val="center"/>
              <w:rPr>
                <w:rFonts w:hint="eastAsia" w:ascii="宋体" w:hAnsi="宋体" w:cs="宋体"/>
                <w:color w:val="auto"/>
                <w:sz w:val="24"/>
                <w:szCs w:val="20"/>
                <w:highlight w:val="none"/>
              </w:rPr>
            </w:pPr>
          </w:p>
        </w:tc>
        <w:tc>
          <w:tcPr>
            <w:tcW w:w="453" w:type="pct"/>
            <w:noWrap w:val="0"/>
            <w:vAlign w:val="center"/>
          </w:tcPr>
          <w:p w14:paraId="261169DB">
            <w:pPr>
              <w:snapToGrid w:val="0"/>
              <w:spacing w:before="50" w:after="120" w:afterLines="50"/>
              <w:jc w:val="center"/>
              <w:rPr>
                <w:rFonts w:hint="eastAsia" w:ascii="宋体" w:hAnsi="宋体" w:cs="宋体"/>
                <w:color w:val="auto"/>
                <w:sz w:val="24"/>
                <w:szCs w:val="20"/>
                <w:highlight w:val="none"/>
              </w:rPr>
            </w:pPr>
          </w:p>
        </w:tc>
        <w:tc>
          <w:tcPr>
            <w:tcW w:w="393" w:type="pct"/>
            <w:noWrap w:val="0"/>
            <w:vAlign w:val="center"/>
          </w:tcPr>
          <w:p w14:paraId="2334434B">
            <w:pPr>
              <w:snapToGrid w:val="0"/>
              <w:spacing w:before="50" w:after="120" w:afterLines="50"/>
              <w:jc w:val="center"/>
              <w:rPr>
                <w:rFonts w:hint="eastAsia" w:ascii="宋体" w:hAnsi="宋体" w:cs="宋体"/>
                <w:color w:val="auto"/>
                <w:sz w:val="24"/>
                <w:szCs w:val="20"/>
                <w:highlight w:val="none"/>
              </w:rPr>
            </w:pPr>
          </w:p>
        </w:tc>
        <w:tc>
          <w:tcPr>
            <w:tcW w:w="944" w:type="pct"/>
            <w:noWrap w:val="0"/>
            <w:vAlign w:val="center"/>
          </w:tcPr>
          <w:p w14:paraId="628E7A3E">
            <w:pPr>
              <w:snapToGrid w:val="0"/>
              <w:spacing w:before="50" w:after="120" w:afterLines="50"/>
              <w:jc w:val="center"/>
              <w:rPr>
                <w:rFonts w:hint="eastAsia" w:ascii="宋体" w:hAnsi="宋体" w:cs="宋体"/>
                <w:color w:val="auto"/>
                <w:sz w:val="24"/>
                <w:szCs w:val="20"/>
                <w:highlight w:val="none"/>
              </w:rPr>
            </w:pPr>
          </w:p>
        </w:tc>
        <w:tc>
          <w:tcPr>
            <w:tcW w:w="788" w:type="pct"/>
            <w:noWrap w:val="0"/>
            <w:vAlign w:val="center"/>
          </w:tcPr>
          <w:p w14:paraId="614FA81B">
            <w:pPr>
              <w:snapToGrid w:val="0"/>
              <w:spacing w:before="50" w:after="120" w:afterLines="50"/>
              <w:jc w:val="center"/>
              <w:rPr>
                <w:rFonts w:hint="eastAsia" w:ascii="宋体" w:hAnsi="宋体" w:cs="宋体"/>
                <w:color w:val="auto"/>
                <w:sz w:val="24"/>
                <w:szCs w:val="20"/>
                <w:highlight w:val="none"/>
              </w:rPr>
            </w:pPr>
          </w:p>
        </w:tc>
        <w:tc>
          <w:tcPr>
            <w:tcW w:w="942" w:type="pct"/>
            <w:noWrap w:val="0"/>
            <w:vAlign w:val="center"/>
          </w:tcPr>
          <w:p w14:paraId="4456D550">
            <w:pPr>
              <w:snapToGrid w:val="0"/>
              <w:spacing w:before="50" w:after="120" w:afterLines="50"/>
              <w:jc w:val="center"/>
              <w:rPr>
                <w:rFonts w:hint="eastAsia" w:ascii="宋体" w:hAnsi="宋体" w:cs="宋体"/>
                <w:color w:val="auto"/>
                <w:sz w:val="24"/>
                <w:szCs w:val="20"/>
                <w:highlight w:val="none"/>
              </w:rPr>
            </w:pPr>
          </w:p>
        </w:tc>
        <w:tc>
          <w:tcPr>
            <w:tcW w:w="1023" w:type="pct"/>
            <w:noWrap w:val="0"/>
            <w:vAlign w:val="center"/>
          </w:tcPr>
          <w:p w14:paraId="206B6F83">
            <w:pPr>
              <w:snapToGrid w:val="0"/>
              <w:spacing w:before="50" w:after="120" w:afterLines="50"/>
              <w:jc w:val="center"/>
              <w:rPr>
                <w:rFonts w:hint="eastAsia" w:ascii="宋体" w:hAnsi="宋体" w:cs="宋体"/>
                <w:color w:val="auto"/>
                <w:sz w:val="24"/>
                <w:szCs w:val="20"/>
                <w:highlight w:val="none"/>
              </w:rPr>
            </w:pPr>
          </w:p>
        </w:tc>
      </w:tr>
      <w:tr w14:paraId="0909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 w:type="pct"/>
            <w:noWrap w:val="0"/>
            <w:vAlign w:val="center"/>
          </w:tcPr>
          <w:p w14:paraId="1B987AEB">
            <w:pPr>
              <w:snapToGrid w:val="0"/>
              <w:spacing w:before="50" w:after="120" w:afterLines="50"/>
              <w:jc w:val="center"/>
              <w:rPr>
                <w:rFonts w:hint="eastAsia" w:ascii="宋体" w:hAnsi="宋体" w:cs="宋体"/>
                <w:color w:val="auto"/>
                <w:sz w:val="24"/>
                <w:szCs w:val="20"/>
                <w:highlight w:val="none"/>
              </w:rPr>
            </w:pPr>
          </w:p>
        </w:tc>
        <w:tc>
          <w:tcPr>
            <w:tcW w:w="453" w:type="pct"/>
            <w:noWrap w:val="0"/>
            <w:vAlign w:val="center"/>
          </w:tcPr>
          <w:p w14:paraId="5986FBDC">
            <w:pPr>
              <w:snapToGrid w:val="0"/>
              <w:spacing w:before="50" w:after="120" w:afterLines="50"/>
              <w:jc w:val="center"/>
              <w:rPr>
                <w:rFonts w:hint="eastAsia" w:ascii="宋体" w:hAnsi="宋体" w:cs="宋体"/>
                <w:color w:val="auto"/>
                <w:sz w:val="24"/>
                <w:szCs w:val="20"/>
                <w:highlight w:val="none"/>
              </w:rPr>
            </w:pPr>
          </w:p>
        </w:tc>
        <w:tc>
          <w:tcPr>
            <w:tcW w:w="393" w:type="pct"/>
            <w:noWrap w:val="0"/>
            <w:vAlign w:val="center"/>
          </w:tcPr>
          <w:p w14:paraId="132EE1A8">
            <w:pPr>
              <w:snapToGrid w:val="0"/>
              <w:spacing w:before="50" w:after="120" w:afterLines="50"/>
              <w:jc w:val="center"/>
              <w:rPr>
                <w:rFonts w:hint="eastAsia" w:ascii="宋体" w:hAnsi="宋体" w:cs="宋体"/>
                <w:color w:val="auto"/>
                <w:sz w:val="24"/>
                <w:szCs w:val="20"/>
                <w:highlight w:val="none"/>
              </w:rPr>
            </w:pPr>
          </w:p>
        </w:tc>
        <w:tc>
          <w:tcPr>
            <w:tcW w:w="944" w:type="pct"/>
            <w:noWrap w:val="0"/>
            <w:vAlign w:val="center"/>
          </w:tcPr>
          <w:p w14:paraId="63B0BA3D">
            <w:pPr>
              <w:snapToGrid w:val="0"/>
              <w:spacing w:before="50" w:after="120" w:afterLines="50"/>
              <w:jc w:val="center"/>
              <w:rPr>
                <w:rFonts w:hint="eastAsia" w:ascii="宋体" w:hAnsi="宋体" w:cs="宋体"/>
                <w:color w:val="auto"/>
                <w:sz w:val="24"/>
                <w:szCs w:val="20"/>
                <w:highlight w:val="none"/>
              </w:rPr>
            </w:pPr>
          </w:p>
        </w:tc>
        <w:tc>
          <w:tcPr>
            <w:tcW w:w="788" w:type="pct"/>
            <w:noWrap w:val="0"/>
            <w:vAlign w:val="center"/>
          </w:tcPr>
          <w:p w14:paraId="6FB97D5E">
            <w:pPr>
              <w:snapToGrid w:val="0"/>
              <w:spacing w:before="50" w:after="120" w:afterLines="50"/>
              <w:jc w:val="center"/>
              <w:rPr>
                <w:rFonts w:hint="eastAsia" w:ascii="宋体" w:hAnsi="宋体" w:cs="宋体"/>
                <w:color w:val="auto"/>
                <w:sz w:val="24"/>
                <w:szCs w:val="20"/>
                <w:highlight w:val="none"/>
              </w:rPr>
            </w:pPr>
          </w:p>
        </w:tc>
        <w:tc>
          <w:tcPr>
            <w:tcW w:w="942" w:type="pct"/>
            <w:noWrap w:val="0"/>
            <w:vAlign w:val="center"/>
          </w:tcPr>
          <w:p w14:paraId="4F33F8B3">
            <w:pPr>
              <w:snapToGrid w:val="0"/>
              <w:spacing w:before="50" w:after="120" w:afterLines="50"/>
              <w:jc w:val="center"/>
              <w:rPr>
                <w:rFonts w:hint="eastAsia" w:ascii="宋体" w:hAnsi="宋体" w:cs="宋体"/>
                <w:color w:val="auto"/>
                <w:sz w:val="24"/>
                <w:szCs w:val="20"/>
                <w:highlight w:val="none"/>
              </w:rPr>
            </w:pPr>
          </w:p>
        </w:tc>
        <w:tc>
          <w:tcPr>
            <w:tcW w:w="1023" w:type="pct"/>
            <w:noWrap w:val="0"/>
            <w:vAlign w:val="center"/>
          </w:tcPr>
          <w:p w14:paraId="37FF3292">
            <w:pPr>
              <w:snapToGrid w:val="0"/>
              <w:spacing w:before="50" w:after="120" w:afterLines="50"/>
              <w:jc w:val="center"/>
              <w:rPr>
                <w:rFonts w:hint="eastAsia" w:ascii="宋体" w:hAnsi="宋体" w:cs="宋体"/>
                <w:color w:val="auto"/>
                <w:sz w:val="24"/>
                <w:szCs w:val="20"/>
                <w:highlight w:val="none"/>
              </w:rPr>
            </w:pPr>
          </w:p>
        </w:tc>
      </w:tr>
    </w:tbl>
    <w:p w14:paraId="58008434">
      <w:pPr>
        <w:snapToGrid w:val="0"/>
        <w:spacing w:before="50" w:after="120" w:afterLines="50"/>
        <w:jc w:val="left"/>
        <w:rPr>
          <w:rFonts w:hint="eastAsia" w:ascii="宋体" w:hAnsi="宋体" w:cs="宋体"/>
          <w:color w:val="auto"/>
          <w:sz w:val="24"/>
          <w:szCs w:val="20"/>
          <w:highlight w:val="none"/>
        </w:rPr>
      </w:pPr>
    </w:p>
    <w:p w14:paraId="12945940">
      <w:pPr>
        <w:spacing w:line="360" w:lineRule="auto"/>
        <w:contextualSpacing/>
        <w:jc w:val="left"/>
        <w:rPr>
          <w:rFonts w:hint="eastAsia" w:ascii="宋体" w:hAnsi="宋体" w:cs="宋体"/>
          <w:color w:val="auto"/>
          <w:sz w:val="24"/>
          <w:szCs w:val="20"/>
          <w:highlight w:val="none"/>
        </w:rPr>
      </w:pPr>
      <w:r>
        <w:rPr>
          <w:rFonts w:hint="eastAsia" w:ascii="宋体" w:hAnsi="宋体" w:cs="宋体"/>
          <w:color w:val="auto"/>
          <w:sz w:val="24"/>
          <w:szCs w:val="20"/>
          <w:highlight w:val="none"/>
        </w:rPr>
        <w:t>注：</w:t>
      </w:r>
    </w:p>
    <w:p w14:paraId="1A9D8C2D">
      <w:pPr>
        <w:spacing w:line="360" w:lineRule="auto"/>
        <w:contextualSpacing/>
        <w:jc w:val="left"/>
        <w:rPr>
          <w:rFonts w:hint="eastAsia" w:ascii="宋体" w:hAnsi="宋体" w:cs="宋体"/>
          <w:color w:val="auto"/>
          <w:sz w:val="24"/>
          <w:szCs w:val="20"/>
          <w:highlight w:val="none"/>
        </w:rPr>
      </w:pPr>
      <w:r>
        <w:rPr>
          <w:rFonts w:hint="eastAsia" w:ascii="宋体" w:hAnsi="宋体" w:cs="宋体"/>
          <w:color w:val="auto"/>
          <w:sz w:val="24"/>
          <w:szCs w:val="20"/>
          <w:highlight w:val="none"/>
        </w:rPr>
        <w:t>1.在填写时，如本表格不适合投标单位的实际情况，可根据本表格式自行制表填写。</w:t>
      </w:r>
    </w:p>
    <w:p w14:paraId="7D9E21DD">
      <w:pPr>
        <w:spacing w:line="360" w:lineRule="auto"/>
        <w:contextualSpacing/>
        <w:jc w:val="left"/>
        <w:rPr>
          <w:rFonts w:hint="eastAsia" w:ascii="宋体" w:hAnsi="宋体" w:cs="宋体"/>
          <w:color w:val="auto"/>
          <w:sz w:val="24"/>
          <w:szCs w:val="20"/>
          <w:highlight w:val="none"/>
        </w:rPr>
      </w:pPr>
      <w:r>
        <w:rPr>
          <w:rFonts w:hint="eastAsia" w:ascii="宋体" w:hAnsi="宋体" w:cs="宋体"/>
          <w:color w:val="auto"/>
          <w:sz w:val="24"/>
          <w:szCs w:val="20"/>
          <w:highlight w:val="none"/>
        </w:rPr>
        <w:t>2.投标人应当附有关证明文件复印件（如有）并加盖投标人电子签章。</w:t>
      </w:r>
    </w:p>
    <w:p w14:paraId="33D9AE1E">
      <w:pPr>
        <w:spacing w:line="360" w:lineRule="auto"/>
        <w:contextualSpacing/>
        <w:rPr>
          <w:rFonts w:hint="eastAsia" w:ascii="宋体" w:hAnsi="宋体" w:cs="宋体"/>
          <w:color w:val="auto"/>
          <w:sz w:val="24"/>
          <w:highlight w:val="none"/>
        </w:rPr>
      </w:pPr>
    </w:p>
    <w:p w14:paraId="11BA56E6">
      <w:pPr>
        <w:spacing w:line="360" w:lineRule="auto"/>
        <w:contextualSpacing/>
        <w:rPr>
          <w:rFonts w:hint="eastAsia" w:ascii="宋体" w:hAnsi="宋体" w:cs="宋体"/>
          <w:color w:val="auto"/>
          <w:sz w:val="24"/>
          <w:highlight w:val="none"/>
        </w:rPr>
      </w:pPr>
    </w:p>
    <w:p w14:paraId="152427D9">
      <w:pPr>
        <w:spacing w:line="360" w:lineRule="auto"/>
        <w:contextualSpacing/>
        <w:rPr>
          <w:rFonts w:hint="eastAsia" w:ascii="宋体" w:hAnsi="宋体" w:cs="宋体"/>
          <w:color w:val="auto"/>
          <w:sz w:val="24"/>
          <w:highlight w:val="none"/>
        </w:rPr>
      </w:pPr>
    </w:p>
    <w:p w14:paraId="6CA05FC8">
      <w:pPr>
        <w:spacing w:line="360" w:lineRule="auto"/>
        <w:contextualSpacing/>
        <w:rPr>
          <w:rFonts w:hint="eastAsia" w:ascii="宋体" w:hAnsi="宋体" w:cs="宋体"/>
          <w:color w:val="auto"/>
          <w:spacing w:val="20"/>
          <w:sz w:val="24"/>
          <w:szCs w:val="20"/>
          <w:highlight w:val="none"/>
          <w:u w:val="single"/>
        </w:rPr>
      </w:pPr>
      <w:r>
        <w:rPr>
          <w:rFonts w:hint="eastAsia" w:ascii="宋体" w:hAnsi="宋体" w:cs="宋体"/>
          <w:color w:val="auto"/>
          <w:sz w:val="24"/>
          <w:highlight w:val="none"/>
        </w:rPr>
        <w:t>法定代表人（负责人或自然人）或者委托代理人</w:t>
      </w:r>
      <w:r>
        <w:rPr>
          <w:rFonts w:hint="eastAsia" w:ascii="宋体" w:hAnsi="宋体" w:cs="宋体"/>
          <w:color w:val="auto"/>
          <w:spacing w:val="20"/>
          <w:sz w:val="24"/>
          <w:highlight w:val="none"/>
        </w:rPr>
        <w:t>（签字或者电子签名）：</w:t>
      </w:r>
      <w:r>
        <w:rPr>
          <w:rFonts w:hint="eastAsia" w:ascii="宋体" w:hAnsi="宋体" w:cs="宋体"/>
          <w:color w:val="auto"/>
          <w:spacing w:val="20"/>
          <w:sz w:val="24"/>
          <w:highlight w:val="none"/>
          <w:u w:val="single"/>
        </w:rPr>
        <w:t xml:space="preserve">        </w:t>
      </w:r>
    </w:p>
    <w:p w14:paraId="1BD313D0">
      <w:pPr>
        <w:spacing w:line="360" w:lineRule="auto"/>
        <w:contextualSpacing/>
        <w:jc w:val="left"/>
        <w:rPr>
          <w:rFonts w:hint="eastAsia"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w:t>
      </w:r>
    </w:p>
    <w:p w14:paraId="6BED4AE3">
      <w:pPr>
        <w:spacing w:line="360" w:lineRule="auto"/>
        <w:contextualSpacing/>
        <w:jc w:val="left"/>
        <w:rPr>
          <w:rFonts w:hint="eastAsia" w:ascii="宋体" w:hAnsi="宋体" w:cs="宋体"/>
          <w:color w:val="auto"/>
          <w:sz w:val="24"/>
          <w:szCs w:val="20"/>
          <w:highlight w:val="none"/>
        </w:rPr>
      </w:pPr>
      <w:r>
        <w:rPr>
          <w:rFonts w:hint="eastAsia" w:ascii="宋体" w:hAnsi="宋体" w:cs="宋体"/>
          <w:color w:val="auto"/>
          <w:spacing w:val="20"/>
          <w:sz w:val="24"/>
          <w:highlight w:val="none"/>
        </w:rPr>
        <w:t>日 期：</w:t>
      </w:r>
      <w:r>
        <w:rPr>
          <w:rFonts w:hint="eastAsia" w:ascii="宋体" w:hAnsi="宋体" w:cs="宋体"/>
          <w:color w:val="auto"/>
          <w:spacing w:val="20"/>
          <w:sz w:val="24"/>
          <w:highlight w:val="none"/>
          <w:u w:val="single"/>
        </w:rPr>
        <w:t xml:space="preserve">         </w:t>
      </w:r>
    </w:p>
    <w:p w14:paraId="5E58BDF5">
      <w:pPr>
        <w:snapToGrid w:val="0"/>
        <w:spacing w:before="120" w:beforeLines="50" w:after="50"/>
        <w:jc w:val="left"/>
        <w:rPr>
          <w:rFonts w:hint="eastAsia"/>
          <w:color w:val="auto"/>
          <w:highlight w:val="none"/>
        </w:rPr>
      </w:pPr>
      <w:r>
        <w:rPr>
          <w:color w:val="auto"/>
          <w:szCs w:val="20"/>
          <w:highlight w:val="none"/>
        </w:rPr>
        <w:br w:type="page"/>
      </w:r>
      <w:bookmarkStart w:id="114" w:name="_Toc9516"/>
      <w:r>
        <w:rPr>
          <w:rFonts w:hint="eastAsia" w:ascii="宋体" w:hAnsi="宋体" w:cs="宋体"/>
          <w:b/>
          <w:color w:val="auto"/>
          <w:sz w:val="24"/>
          <w:highlight w:val="none"/>
        </w:rPr>
        <w:t>10. 监督抽检报告清单格式</w:t>
      </w:r>
      <w:bookmarkEnd w:id="114"/>
    </w:p>
    <w:tbl>
      <w:tblPr>
        <w:tblStyle w:val="48"/>
        <w:tblW w:w="5000" w:type="pct"/>
        <w:tblInd w:w="0" w:type="dxa"/>
        <w:tblLayout w:type="autofit"/>
        <w:tblCellMar>
          <w:top w:w="0" w:type="dxa"/>
          <w:left w:w="108" w:type="dxa"/>
          <w:bottom w:w="0" w:type="dxa"/>
          <w:right w:w="108" w:type="dxa"/>
        </w:tblCellMar>
      </w:tblPr>
      <w:tblGrid>
        <w:gridCol w:w="618"/>
        <w:gridCol w:w="1550"/>
        <w:gridCol w:w="1528"/>
        <w:gridCol w:w="1919"/>
        <w:gridCol w:w="1698"/>
        <w:gridCol w:w="1314"/>
        <w:gridCol w:w="1231"/>
      </w:tblGrid>
      <w:tr w14:paraId="5DD1084D">
        <w:tblPrEx>
          <w:tblCellMar>
            <w:top w:w="0" w:type="dxa"/>
            <w:left w:w="108" w:type="dxa"/>
            <w:bottom w:w="0" w:type="dxa"/>
            <w:right w:w="108" w:type="dxa"/>
          </w:tblCellMar>
        </w:tblPrEx>
        <w:trPr>
          <w:trHeight w:val="420" w:hRule="atLeast"/>
        </w:trPr>
        <w:tc>
          <w:tcPr>
            <w:tcW w:w="303" w:type="pct"/>
            <w:vMerge w:val="restart"/>
            <w:tcBorders>
              <w:top w:val="single" w:color="000000" w:sz="4" w:space="0"/>
              <w:left w:val="single" w:color="000000" w:sz="4" w:space="0"/>
              <w:bottom w:val="single" w:color="000000" w:sz="4" w:space="0"/>
              <w:right w:val="single" w:color="000000" w:sz="4" w:space="0"/>
            </w:tcBorders>
            <w:shd w:val="clear" w:color="auto" w:fill="D0CECE"/>
            <w:noWrap/>
            <w:vAlign w:val="center"/>
          </w:tcPr>
          <w:p w14:paraId="3A0C5421">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序号</w:t>
            </w:r>
          </w:p>
        </w:tc>
        <w:tc>
          <w:tcPr>
            <w:tcW w:w="788" w:type="pct"/>
            <w:vMerge w:val="restart"/>
            <w:tcBorders>
              <w:top w:val="single" w:color="000000" w:sz="4" w:space="0"/>
              <w:left w:val="single" w:color="000000" w:sz="4" w:space="0"/>
              <w:bottom w:val="single" w:color="000000" w:sz="4" w:space="0"/>
              <w:right w:val="single" w:color="000000" w:sz="4" w:space="0"/>
            </w:tcBorders>
            <w:shd w:val="clear" w:color="auto" w:fill="D0CECE"/>
            <w:noWrap w:val="0"/>
            <w:vAlign w:val="center"/>
          </w:tcPr>
          <w:p w14:paraId="537BD2C1">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任务来源（委托方名称）</w:t>
            </w:r>
          </w:p>
        </w:tc>
        <w:tc>
          <w:tcPr>
            <w:tcW w:w="1752" w:type="pct"/>
            <w:gridSpan w:val="2"/>
            <w:tcBorders>
              <w:top w:val="single" w:color="000000" w:sz="4" w:space="0"/>
              <w:left w:val="single" w:color="000000" w:sz="4" w:space="0"/>
              <w:bottom w:val="single" w:color="000000" w:sz="4" w:space="0"/>
              <w:right w:val="single" w:color="000000" w:sz="4" w:space="0"/>
            </w:tcBorders>
            <w:shd w:val="clear" w:color="auto" w:fill="D0CECE"/>
            <w:noWrap/>
            <w:vAlign w:val="center"/>
          </w:tcPr>
          <w:p w14:paraId="246D8F7A">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项目名称</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D0CECE"/>
            <w:noWrap w:val="0"/>
            <w:vAlign w:val="center"/>
          </w:tcPr>
          <w:p w14:paraId="2200F7CB">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抽样编号</w:t>
            </w:r>
          </w:p>
        </w:tc>
        <w:tc>
          <w:tcPr>
            <w:tcW w:w="668" w:type="pct"/>
            <w:vMerge w:val="restart"/>
            <w:tcBorders>
              <w:top w:val="single" w:color="000000" w:sz="4" w:space="0"/>
              <w:left w:val="single" w:color="000000" w:sz="4" w:space="0"/>
              <w:bottom w:val="single" w:color="000000" w:sz="4" w:space="0"/>
              <w:right w:val="single" w:color="000000" w:sz="4" w:space="0"/>
            </w:tcBorders>
            <w:shd w:val="clear" w:color="auto" w:fill="D0CECE"/>
            <w:noWrap w:val="0"/>
            <w:vAlign w:val="center"/>
          </w:tcPr>
          <w:p w14:paraId="1268BE55">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报告书编号</w:t>
            </w:r>
          </w:p>
        </w:tc>
        <w:tc>
          <w:tcPr>
            <w:tcW w:w="627" w:type="pct"/>
            <w:vMerge w:val="restart"/>
            <w:tcBorders>
              <w:top w:val="single" w:color="000000" w:sz="4" w:space="0"/>
              <w:left w:val="single" w:color="000000" w:sz="4" w:space="0"/>
              <w:bottom w:val="single" w:color="000000" w:sz="4" w:space="0"/>
              <w:right w:val="single" w:color="000000" w:sz="4" w:space="0"/>
            </w:tcBorders>
            <w:shd w:val="clear" w:color="auto" w:fill="D0CECE"/>
            <w:noWrap w:val="0"/>
            <w:vAlign w:val="center"/>
          </w:tcPr>
          <w:p w14:paraId="7540A155">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报告日期</w:t>
            </w:r>
          </w:p>
        </w:tc>
      </w:tr>
      <w:tr w14:paraId="21B953A3">
        <w:tblPrEx>
          <w:tblCellMar>
            <w:top w:w="0" w:type="dxa"/>
            <w:left w:w="108" w:type="dxa"/>
            <w:bottom w:w="0" w:type="dxa"/>
            <w:right w:w="108" w:type="dxa"/>
          </w:tblCellMar>
        </w:tblPrEx>
        <w:trPr>
          <w:trHeight w:val="636" w:hRule="atLeast"/>
        </w:trPr>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0D86E">
            <w:pPr>
              <w:widowControl/>
              <w:jc w:val="left"/>
              <w:rPr>
                <w:rFonts w:ascii="宋体" w:hAnsi="宋体" w:cs="宋体"/>
                <w:b/>
                <w:bCs/>
                <w:color w:val="auto"/>
                <w:kern w:val="0"/>
                <w:sz w:val="20"/>
                <w:szCs w:val="20"/>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CD0E9">
            <w:pPr>
              <w:widowControl/>
              <w:jc w:val="left"/>
              <w:rPr>
                <w:rFonts w:ascii="宋体" w:hAnsi="宋体" w:cs="宋体"/>
                <w:b/>
                <w:bCs/>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shd w:val="clear" w:color="auto" w:fill="D0CECE"/>
            <w:noWrap w:val="0"/>
            <w:vAlign w:val="center"/>
          </w:tcPr>
          <w:p w14:paraId="2685600B">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报送分类1</w:t>
            </w:r>
          </w:p>
        </w:tc>
        <w:tc>
          <w:tcPr>
            <w:tcW w:w="975" w:type="pct"/>
            <w:tcBorders>
              <w:top w:val="single" w:color="000000" w:sz="4" w:space="0"/>
              <w:left w:val="single" w:color="000000" w:sz="4" w:space="0"/>
              <w:bottom w:val="single" w:color="000000" w:sz="4" w:space="0"/>
              <w:right w:val="single" w:color="000000" w:sz="4" w:space="0"/>
            </w:tcBorders>
            <w:shd w:val="clear" w:color="auto" w:fill="D0CECE"/>
            <w:noWrap w:val="0"/>
            <w:vAlign w:val="center"/>
          </w:tcPr>
          <w:p w14:paraId="182E33CA">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报送分类2</w:t>
            </w:r>
          </w:p>
        </w:tc>
        <w:tc>
          <w:tcPr>
            <w:tcW w:w="86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652E0D">
            <w:pPr>
              <w:widowControl/>
              <w:jc w:val="left"/>
              <w:rPr>
                <w:rFonts w:ascii="宋体" w:hAnsi="宋体" w:cs="宋体"/>
                <w:b/>
                <w:bCs/>
                <w:color w:val="auto"/>
                <w:kern w:val="0"/>
                <w:sz w:val="20"/>
                <w:szCs w:val="20"/>
                <w:highlight w:val="none"/>
              </w:rPr>
            </w:pPr>
          </w:p>
        </w:tc>
        <w:tc>
          <w:tcPr>
            <w:tcW w:w="6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5C94F5">
            <w:pPr>
              <w:widowControl/>
              <w:jc w:val="left"/>
              <w:rPr>
                <w:rFonts w:ascii="宋体" w:hAnsi="宋体" w:cs="宋体"/>
                <w:b/>
                <w:bCs/>
                <w:color w:val="auto"/>
                <w:kern w:val="0"/>
                <w:sz w:val="20"/>
                <w:szCs w:val="20"/>
                <w:highlight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63B97C">
            <w:pPr>
              <w:widowControl/>
              <w:jc w:val="left"/>
              <w:rPr>
                <w:rFonts w:ascii="宋体" w:hAnsi="宋体" w:cs="宋体"/>
                <w:b/>
                <w:bCs/>
                <w:color w:val="auto"/>
                <w:kern w:val="0"/>
                <w:sz w:val="20"/>
                <w:szCs w:val="20"/>
                <w:highlight w:val="none"/>
              </w:rPr>
            </w:pPr>
          </w:p>
        </w:tc>
      </w:tr>
      <w:tr w14:paraId="6910A810">
        <w:tblPrEx>
          <w:tblCellMar>
            <w:top w:w="0" w:type="dxa"/>
            <w:left w:w="108" w:type="dxa"/>
            <w:bottom w:w="0" w:type="dxa"/>
            <w:right w:w="108" w:type="dxa"/>
          </w:tblCellMar>
        </w:tblPrEx>
        <w:trPr>
          <w:trHeight w:val="588"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1A05F84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6E732B0A">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1D847A94">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58486D76">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02CAB304">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0F8632DD">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493D5B3A">
            <w:pPr>
              <w:widowControl/>
              <w:jc w:val="center"/>
              <w:rPr>
                <w:rFonts w:hint="eastAsia" w:ascii="宋体" w:hAnsi="宋体" w:cs="宋体"/>
                <w:color w:val="auto"/>
                <w:kern w:val="0"/>
                <w:sz w:val="20"/>
                <w:szCs w:val="20"/>
                <w:highlight w:val="none"/>
              </w:rPr>
            </w:pPr>
          </w:p>
        </w:tc>
      </w:tr>
      <w:tr w14:paraId="6092D0BF">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1A3BD65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67EA89E6">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0D5DC0AE">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D495571">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5E004067">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1D65F5F1">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61C171CE">
            <w:pPr>
              <w:widowControl/>
              <w:jc w:val="center"/>
              <w:rPr>
                <w:rFonts w:hint="eastAsia" w:ascii="宋体" w:hAnsi="宋体" w:cs="宋体"/>
                <w:color w:val="auto"/>
                <w:kern w:val="0"/>
                <w:sz w:val="20"/>
                <w:szCs w:val="20"/>
                <w:highlight w:val="none"/>
              </w:rPr>
            </w:pPr>
          </w:p>
        </w:tc>
      </w:tr>
      <w:tr w14:paraId="4CFB7B4D">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3D2266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3CA8C5BB">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75B68B90">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64CFB28">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57BA169C">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1485F86E">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74425023">
            <w:pPr>
              <w:widowControl/>
              <w:jc w:val="center"/>
              <w:rPr>
                <w:rFonts w:hint="eastAsia" w:ascii="宋体" w:hAnsi="宋体" w:cs="宋体"/>
                <w:color w:val="auto"/>
                <w:kern w:val="0"/>
                <w:sz w:val="20"/>
                <w:szCs w:val="20"/>
                <w:highlight w:val="none"/>
              </w:rPr>
            </w:pPr>
          </w:p>
        </w:tc>
      </w:tr>
      <w:tr w14:paraId="467A392C">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73BDAE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053AAF7F">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43FFFA52">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6537482B">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45E4782F">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299B0027">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2DBC0DFB">
            <w:pPr>
              <w:widowControl/>
              <w:jc w:val="center"/>
              <w:rPr>
                <w:rFonts w:hint="eastAsia" w:ascii="宋体" w:hAnsi="宋体" w:cs="宋体"/>
                <w:color w:val="auto"/>
                <w:kern w:val="0"/>
                <w:sz w:val="20"/>
                <w:szCs w:val="20"/>
                <w:highlight w:val="none"/>
              </w:rPr>
            </w:pPr>
          </w:p>
        </w:tc>
      </w:tr>
      <w:tr w14:paraId="1701E43D">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907A7E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7DA02522">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0B2ED801">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6A3C8792">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23657BFE">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13AE7F10">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1C034DB9">
            <w:pPr>
              <w:widowControl/>
              <w:jc w:val="center"/>
              <w:rPr>
                <w:rFonts w:hint="eastAsia" w:ascii="宋体" w:hAnsi="宋体" w:cs="宋体"/>
                <w:color w:val="auto"/>
                <w:kern w:val="0"/>
                <w:sz w:val="20"/>
                <w:szCs w:val="20"/>
                <w:highlight w:val="none"/>
              </w:rPr>
            </w:pPr>
          </w:p>
        </w:tc>
      </w:tr>
      <w:tr w14:paraId="190399EE">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DB91CE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3CCBB16F">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6C5DC8C5">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0B8BEA00">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677FD307">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1CD89A04">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35FE7D31">
            <w:pPr>
              <w:widowControl/>
              <w:jc w:val="center"/>
              <w:rPr>
                <w:rFonts w:hint="eastAsia" w:ascii="宋体" w:hAnsi="宋体" w:cs="宋体"/>
                <w:color w:val="auto"/>
                <w:kern w:val="0"/>
                <w:sz w:val="20"/>
                <w:szCs w:val="20"/>
                <w:highlight w:val="none"/>
              </w:rPr>
            </w:pPr>
          </w:p>
        </w:tc>
      </w:tr>
      <w:tr w14:paraId="68327027">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2A83FD2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019253A0">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5F332B91">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7762BCA7">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386A4AFD">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28F078F7">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28E1FE69">
            <w:pPr>
              <w:widowControl/>
              <w:jc w:val="center"/>
              <w:rPr>
                <w:rFonts w:hint="eastAsia" w:ascii="宋体" w:hAnsi="宋体" w:cs="宋体"/>
                <w:color w:val="auto"/>
                <w:kern w:val="0"/>
                <w:sz w:val="20"/>
                <w:szCs w:val="20"/>
                <w:highlight w:val="none"/>
              </w:rPr>
            </w:pPr>
          </w:p>
        </w:tc>
      </w:tr>
      <w:tr w14:paraId="583A3581">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EEA312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4BD8EEA7">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0524D8C9">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459E4C4">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3D05AE94">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6D2A632D">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1B0DDD65">
            <w:pPr>
              <w:widowControl/>
              <w:jc w:val="center"/>
              <w:rPr>
                <w:rFonts w:hint="eastAsia" w:ascii="宋体" w:hAnsi="宋体" w:cs="宋体"/>
                <w:color w:val="auto"/>
                <w:kern w:val="0"/>
                <w:sz w:val="20"/>
                <w:szCs w:val="20"/>
                <w:highlight w:val="none"/>
              </w:rPr>
            </w:pPr>
          </w:p>
        </w:tc>
      </w:tr>
      <w:tr w14:paraId="36A18821">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6D8AF5E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788" w:type="pct"/>
            <w:tcBorders>
              <w:top w:val="single" w:color="000000" w:sz="4" w:space="0"/>
              <w:left w:val="single" w:color="000000" w:sz="4" w:space="0"/>
              <w:bottom w:val="single" w:color="000000" w:sz="4" w:space="0"/>
              <w:right w:val="single" w:color="000000" w:sz="4" w:space="0"/>
            </w:tcBorders>
            <w:noWrap/>
            <w:vAlign w:val="center"/>
          </w:tcPr>
          <w:p w14:paraId="52E43A4E">
            <w:pPr>
              <w:widowControl/>
              <w:jc w:val="center"/>
              <w:rPr>
                <w:rFonts w:hint="eastAsia" w:ascii="宋体" w:hAnsi="宋体" w:cs="宋体"/>
                <w:color w:val="auto"/>
                <w:kern w:val="0"/>
                <w:sz w:val="20"/>
                <w:szCs w:val="20"/>
                <w:highlight w:val="none"/>
              </w:rPr>
            </w:pP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1565B483">
            <w:pPr>
              <w:widowControl/>
              <w:jc w:val="center"/>
              <w:rPr>
                <w:rFonts w:hint="eastAsia" w:ascii="宋体" w:hAnsi="宋体" w:cs="宋体"/>
                <w:color w:val="auto"/>
                <w:kern w:val="0"/>
                <w:sz w:val="20"/>
                <w:szCs w:val="20"/>
                <w:highlight w:val="none"/>
              </w:rPr>
            </w:pP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6A83045C">
            <w:pPr>
              <w:widowControl/>
              <w:jc w:val="center"/>
              <w:rPr>
                <w:rFonts w:hint="eastAsia" w:ascii="宋体" w:hAnsi="宋体" w:cs="宋体"/>
                <w:color w:val="auto"/>
                <w:kern w:val="0"/>
                <w:sz w:val="20"/>
                <w:szCs w:val="20"/>
                <w:highlight w:val="none"/>
              </w:rPr>
            </w:pPr>
          </w:p>
        </w:tc>
        <w:tc>
          <w:tcPr>
            <w:tcW w:w="863" w:type="pct"/>
            <w:tcBorders>
              <w:top w:val="single" w:color="000000" w:sz="4" w:space="0"/>
              <w:left w:val="single" w:color="000000" w:sz="4" w:space="0"/>
              <w:bottom w:val="single" w:color="000000" w:sz="4" w:space="0"/>
              <w:right w:val="single" w:color="000000" w:sz="4" w:space="0"/>
            </w:tcBorders>
            <w:noWrap/>
            <w:vAlign w:val="center"/>
          </w:tcPr>
          <w:p w14:paraId="66F98438">
            <w:pPr>
              <w:widowControl/>
              <w:jc w:val="center"/>
              <w:rPr>
                <w:rFonts w:hint="eastAsia" w:ascii="宋体" w:hAnsi="宋体" w:cs="宋体"/>
                <w:color w:val="auto"/>
                <w:kern w:val="0"/>
                <w:sz w:val="20"/>
                <w:szCs w:val="20"/>
                <w:highlight w:val="none"/>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045AF96C">
            <w:pPr>
              <w:widowControl/>
              <w:jc w:val="center"/>
              <w:rPr>
                <w:rFonts w:hint="eastAsia" w:ascii="宋体" w:hAnsi="宋体" w:cs="宋体"/>
                <w:color w:val="auto"/>
                <w:kern w:val="0"/>
                <w:sz w:val="20"/>
                <w:szCs w:val="20"/>
                <w:highlight w:val="none"/>
              </w:rPr>
            </w:pPr>
          </w:p>
        </w:tc>
        <w:tc>
          <w:tcPr>
            <w:tcW w:w="627" w:type="pct"/>
            <w:tcBorders>
              <w:top w:val="single" w:color="000000" w:sz="4" w:space="0"/>
              <w:left w:val="single" w:color="000000" w:sz="4" w:space="0"/>
              <w:bottom w:val="single" w:color="000000" w:sz="4" w:space="0"/>
              <w:right w:val="single" w:color="000000" w:sz="4" w:space="0"/>
            </w:tcBorders>
            <w:noWrap/>
            <w:vAlign w:val="center"/>
          </w:tcPr>
          <w:p w14:paraId="75DDBB72">
            <w:pPr>
              <w:widowControl/>
              <w:jc w:val="center"/>
              <w:rPr>
                <w:rFonts w:hint="eastAsia" w:ascii="宋体" w:hAnsi="宋体" w:cs="宋体"/>
                <w:color w:val="auto"/>
                <w:kern w:val="0"/>
                <w:sz w:val="20"/>
                <w:szCs w:val="20"/>
                <w:highlight w:val="none"/>
              </w:rPr>
            </w:pPr>
          </w:p>
        </w:tc>
      </w:tr>
    </w:tbl>
    <w:p w14:paraId="7F577F1F">
      <w:pPr>
        <w:spacing w:line="360" w:lineRule="auto"/>
        <w:contextualSpacing/>
        <w:jc w:val="left"/>
        <w:rPr>
          <w:rFonts w:hint="eastAsia" w:ascii="宋体" w:hAnsi="宋体" w:cs="宋体"/>
          <w:color w:val="auto"/>
          <w:sz w:val="24"/>
          <w:szCs w:val="20"/>
          <w:highlight w:val="none"/>
        </w:rPr>
      </w:pPr>
    </w:p>
    <w:p w14:paraId="152B7B10">
      <w:pPr>
        <w:snapToGrid w:val="0"/>
        <w:spacing w:before="50" w:after="120" w:afterLines="50"/>
        <w:jc w:val="left"/>
        <w:rPr>
          <w:rFonts w:hint="eastAsia" w:ascii="宋体" w:hAnsi="宋体" w:cs="宋体"/>
          <w:color w:val="auto"/>
          <w:sz w:val="24"/>
          <w:szCs w:val="20"/>
          <w:highlight w:val="none"/>
        </w:rPr>
      </w:pPr>
    </w:p>
    <w:p w14:paraId="21F9C841">
      <w:pPr>
        <w:snapToGrid w:val="0"/>
        <w:spacing w:before="120" w:beforeLines="50" w:after="50"/>
        <w:jc w:val="left"/>
        <w:rPr>
          <w:rFonts w:hint="eastAsia" w:ascii="宋体" w:hAnsi="宋体" w:cs="宋体"/>
          <w:b/>
          <w:color w:val="auto"/>
          <w:sz w:val="24"/>
          <w:highlight w:val="none"/>
        </w:rPr>
        <w:sectPr>
          <w:pgSz w:w="11910" w:h="16840"/>
          <w:pgMar w:top="1389" w:right="1134" w:bottom="1389" w:left="1134" w:header="0" w:footer="929" w:gutter="0"/>
          <w:pgNumType w:fmt="decimal"/>
          <w:cols w:space="720" w:num="1"/>
        </w:sectPr>
      </w:pPr>
      <w:bookmarkStart w:id="115" w:name="_Toc6295"/>
    </w:p>
    <w:p w14:paraId="0D586891">
      <w:pPr>
        <w:snapToGrid w:val="0"/>
        <w:spacing w:before="120" w:beforeLines="50" w:after="50"/>
        <w:jc w:val="left"/>
        <w:rPr>
          <w:color w:val="auto"/>
          <w:szCs w:val="20"/>
          <w:highlight w:val="none"/>
        </w:rPr>
      </w:pPr>
      <w:r>
        <w:rPr>
          <w:rFonts w:hint="eastAsia" w:ascii="宋体" w:hAnsi="宋体" w:cs="宋体"/>
          <w:b/>
          <w:color w:val="auto"/>
          <w:sz w:val="24"/>
          <w:highlight w:val="none"/>
        </w:rPr>
        <w:t>11. 2026年柳州市食品检验项目资质覆盖情况自查表格式</w:t>
      </w:r>
      <w:bookmarkEnd w:id="115"/>
    </w:p>
    <w:p w14:paraId="69FC5792">
      <w:pPr>
        <w:jc w:val="both"/>
        <w:rPr>
          <w:rFonts w:hint="default" w:ascii="仿宋" w:hAnsi="仿宋" w:eastAsia="仿宋" w:cs="仿宋"/>
          <w:b/>
          <w:bCs/>
          <w:color w:val="auto"/>
          <w:sz w:val="40"/>
          <w:szCs w:val="32"/>
          <w:highlight w:val="none"/>
          <w:lang w:val="en-US" w:eastAsia="zh-CN"/>
        </w:rPr>
      </w:pPr>
      <w:r>
        <w:rPr>
          <w:rFonts w:hint="eastAsia" w:ascii="仿宋" w:hAnsi="仿宋" w:eastAsia="仿宋" w:cs="仿宋"/>
          <w:b/>
          <w:bCs/>
          <w:color w:val="auto"/>
          <w:sz w:val="40"/>
          <w:szCs w:val="32"/>
          <w:highlight w:val="none"/>
          <w:lang w:val="en-US" w:eastAsia="zh-CN"/>
        </w:rPr>
        <w:t>附件1：</w:t>
      </w:r>
    </w:p>
    <w:p w14:paraId="6EA1E9A1">
      <w:pPr>
        <w:jc w:val="center"/>
        <w:rPr>
          <w:rFonts w:hint="eastAsia" w:ascii="仿宋" w:hAnsi="仿宋" w:eastAsia="仿宋" w:cs="仿宋"/>
          <w:b/>
          <w:bCs/>
          <w:color w:val="auto"/>
          <w:sz w:val="40"/>
          <w:szCs w:val="32"/>
          <w:highlight w:val="none"/>
          <w:lang w:eastAsia="zh-CN"/>
        </w:rPr>
      </w:pPr>
      <w:r>
        <w:rPr>
          <w:rFonts w:hint="eastAsia" w:ascii="仿宋" w:hAnsi="仿宋" w:eastAsia="仿宋" w:cs="仿宋"/>
          <w:b/>
          <w:bCs/>
          <w:color w:val="auto"/>
          <w:sz w:val="40"/>
          <w:szCs w:val="32"/>
          <w:highlight w:val="none"/>
          <w:lang w:eastAsia="zh-CN"/>
        </w:rPr>
        <w:t>投标人可以承检的</w:t>
      </w:r>
      <w:r>
        <w:rPr>
          <w:rFonts w:hint="eastAsia" w:ascii="仿宋" w:hAnsi="仿宋" w:eastAsia="仿宋" w:cs="仿宋"/>
          <w:b/>
          <w:bCs/>
          <w:color w:val="auto"/>
          <w:sz w:val="40"/>
          <w:szCs w:val="32"/>
          <w:highlight w:val="none"/>
          <w:lang w:val="en-US" w:eastAsia="zh-CN"/>
        </w:rPr>
        <w:t>普通</w:t>
      </w:r>
      <w:r>
        <w:rPr>
          <w:rFonts w:hint="eastAsia" w:ascii="仿宋" w:hAnsi="仿宋" w:eastAsia="仿宋" w:cs="仿宋"/>
          <w:b/>
          <w:bCs/>
          <w:color w:val="auto"/>
          <w:sz w:val="40"/>
          <w:szCs w:val="32"/>
          <w:highlight w:val="none"/>
          <w:lang w:eastAsia="zh-CN"/>
        </w:rPr>
        <w:t>食品安全抽检品种及项目表</w:t>
      </w:r>
    </w:p>
    <w:p w14:paraId="0CB76AA7">
      <w:pPr>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投标人具备资质的检验项目占全部</w:t>
      </w:r>
      <w:r>
        <w:rPr>
          <w:rFonts w:hint="eastAsia" w:ascii="仿宋" w:hAnsi="仿宋" w:eastAsia="仿宋" w:cs="仿宋"/>
          <w:color w:val="auto"/>
          <w:sz w:val="24"/>
          <w:highlight w:val="none"/>
          <w:lang w:val="en-US" w:eastAsia="zh-CN"/>
        </w:rPr>
        <w:t>普通</w:t>
      </w:r>
      <w:r>
        <w:rPr>
          <w:rFonts w:hint="eastAsia" w:ascii="仿宋" w:hAnsi="仿宋" w:eastAsia="仿宋" w:cs="仿宋"/>
          <w:color w:val="auto"/>
          <w:sz w:val="24"/>
          <w:highlight w:val="none"/>
          <w:lang w:eastAsia="zh-CN"/>
        </w:rPr>
        <w:t>食品细类检验项目中的比例为</w:t>
      </w:r>
      <w:r>
        <w:rPr>
          <w:rFonts w:hint="eastAsia" w:ascii="仿宋" w:hAnsi="仿宋" w:eastAsia="仿宋" w:cs="仿宋"/>
          <w:color w:val="auto"/>
          <w:sz w:val="24"/>
          <w:highlight w:val="none"/>
          <w:u w:val="single"/>
          <w:lang w:val="en-US" w:eastAsia="zh-CN"/>
        </w:rPr>
        <w:t>XXX</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lang w:eastAsia="zh-CN"/>
        </w:rPr>
        <w:t>。（全部</w:t>
      </w:r>
      <w:r>
        <w:rPr>
          <w:rFonts w:hint="eastAsia" w:ascii="仿宋" w:hAnsi="仿宋" w:eastAsia="仿宋" w:cs="仿宋"/>
          <w:color w:val="auto"/>
          <w:sz w:val="24"/>
          <w:highlight w:val="none"/>
          <w:lang w:val="en-US" w:eastAsia="zh-CN"/>
        </w:rPr>
        <w:t>普通</w:t>
      </w:r>
      <w:r>
        <w:rPr>
          <w:rFonts w:hint="eastAsia" w:ascii="仿宋" w:hAnsi="仿宋" w:eastAsia="仿宋" w:cs="仿宋"/>
          <w:color w:val="auto"/>
          <w:sz w:val="24"/>
          <w:highlight w:val="none"/>
          <w:lang w:eastAsia="zh-CN"/>
        </w:rPr>
        <w:t>食品细类检验项目共</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个（保健食品除外），投标人具有</w:t>
      </w:r>
      <w:r>
        <w:rPr>
          <w:rFonts w:hint="eastAsia" w:ascii="仿宋" w:hAnsi="仿宋" w:eastAsia="仿宋" w:cs="仿宋"/>
          <w:color w:val="auto"/>
          <w:sz w:val="24"/>
          <w:highlight w:val="none"/>
          <w:u w:val="single"/>
          <w:lang w:eastAsia="zh-CN"/>
        </w:rPr>
        <w:t>XX</w:t>
      </w:r>
      <w:r>
        <w:rPr>
          <w:rFonts w:hint="eastAsia" w:ascii="仿宋" w:hAnsi="仿宋" w:eastAsia="仿宋" w:cs="仿宋"/>
          <w:color w:val="auto"/>
          <w:sz w:val="24"/>
          <w:highlight w:val="none"/>
          <w:lang w:eastAsia="zh-CN"/>
        </w:rPr>
        <w:t>个检验项目资质中</w:t>
      </w:r>
      <w:r>
        <w:rPr>
          <w:rFonts w:hint="eastAsia" w:ascii="仿宋" w:hAnsi="仿宋" w:eastAsia="仿宋" w:cs="仿宋"/>
          <w:color w:val="auto"/>
          <w:sz w:val="24"/>
          <w:highlight w:val="none"/>
          <w:u w:val="single"/>
          <w:lang w:eastAsia="zh-CN"/>
        </w:rPr>
        <w:t>XX</w:t>
      </w:r>
      <w:r>
        <w:rPr>
          <w:rFonts w:hint="eastAsia" w:ascii="仿宋" w:hAnsi="仿宋" w:eastAsia="仿宋" w:cs="仿宋"/>
          <w:color w:val="auto"/>
          <w:sz w:val="24"/>
          <w:highlight w:val="none"/>
          <w:lang w:eastAsia="zh-CN"/>
        </w:rPr>
        <w:t>个）</w:t>
      </w:r>
    </w:p>
    <w:p w14:paraId="2AEE3F9E">
      <w:pPr>
        <w:pBdr>
          <w:top w:val="none" w:color="auto" w:sz="0" w:space="1"/>
          <w:left w:val="none" w:color="auto" w:sz="0" w:space="4"/>
          <w:bottom w:val="none" w:color="auto" w:sz="0" w:space="1"/>
          <w:right w:val="none" w:color="auto" w:sz="0" w:space="4"/>
        </w:pBdr>
        <w:suppressAutoHyphens/>
        <w:spacing w:afterLines="50"/>
        <w:jc w:val="both"/>
        <w:rPr>
          <w:rFonts w:ascii="Times New Roman" w:hAnsi="Times New Roman" w:eastAsia="方正小标宋简体"/>
          <w:color w:val="auto"/>
          <w:sz w:val="44"/>
          <w:szCs w:val="44"/>
          <w:highlight w:val="none"/>
          <w:lang w:eastAsia="zh-CN"/>
        </w:rPr>
      </w:pPr>
      <w:r>
        <w:rPr>
          <w:rFonts w:hint="eastAsia" w:ascii="仿宋" w:hAnsi="仿宋" w:eastAsia="仿宋" w:cs="仿宋"/>
          <w:color w:val="auto"/>
          <w:sz w:val="24"/>
          <w:highlight w:val="none"/>
          <w:lang w:eastAsia="zh-CN"/>
        </w:rPr>
        <w:t>投标人检验项目资质覆盖情况具体如下：</w:t>
      </w:r>
    </w:p>
    <w:tbl>
      <w:tblPr>
        <w:tblStyle w:val="49"/>
        <w:tblW w:w="5072" w:type="pct"/>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926"/>
        <w:gridCol w:w="939"/>
        <w:gridCol w:w="1002"/>
        <w:gridCol w:w="1446"/>
        <w:gridCol w:w="800"/>
        <w:gridCol w:w="3775"/>
        <w:gridCol w:w="1388"/>
        <w:gridCol w:w="1608"/>
        <w:gridCol w:w="1993"/>
      </w:tblGrid>
      <w:tr w14:paraId="5794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blHeader/>
        </w:trPr>
        <w:tc>
          <w:tcPr>
            <w:tcW w:w="210" w:type="pct"/>
            <w:noWrap w:val="0"/>
            <w:vAlign w:val="center"/>
          </w:tcPr>
          <w:p w14:paraId="594C73F8">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序号</w:t>
            </w:r>
          </w:p>
        </w:tc>
        <w:tc>
          <w:tcPr>
            <w:tcW w:w="320" w:type="pct"/>
            <w:noWrap w:val="0"/>
            <w:vAlign w:val="center"/>
          </w:tcPr>
          <w:p w14:paraId="132A18F4">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食品大类（一级）</w:t>
            </w:r>
          </w:p>
        </w:tc>
        <w:tc>
          <w:tcPr>
            <w:tcW w:w="324" w:type="pct"/>
            <w:noWrap w:val="0"/>
            <w:vAlign w:val="center"/>
          </w:tcPr>
          <w:p w14:paraId="12983F2B">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食品亚类（二级）</w:t>
            </w:r>
          </w:p>
        </w:tc>
        <w:tc>
          <w:tcPr>
            <w:tcW w:w="346" w:type="pct"/>
            <w:noWrap w:val="0"/>
            <w:vAlign w:val="center"/>
          </w:tcPr>
          <w:p w14:paraId="31F2A413">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食品品种（三级）</w:t>
            </w:r>
          </w:p>
        </w:tc>
        <w:tc>
          <w:tcPr>
            <w:tcW w:w="499" w:type="pct"/>
            <w:noWrap w:val="0"/>
            <w:vAlign w:val="center"/>
          </w:tcPr>
          <w:p w14:paraId="149D4052">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食品细类（四级）</w:t>
            </w:r>
          </w:p>
        </w:tc>
        <w:tc>
          <w:tcPr>
            <w:tcW w:w="276" w:type="pct"/>
            <w:noWrap w:val="0"/>
            <w:vAlign w:val="center"/>
          </w:tcPr>
          <w:p w14:paraId="339B7FA4">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风险等级</w:t>
            </w:r>
          </w:p>
        </w:tc>
        <w:tc>
          <w:tcPr>
            <w:tcW w:w="1303" w:type="pct"/>
            <w:noWrap w:val="0"/>
            <w:vAlign w:val="center"/>
          </w:tcPr>
          <w:p w14:paraId="438F16B3">
            <w:pPr>
              <w:pageBreakBefore w:val="0"/>
              <w:wordWrap/>
              <w:overflowPunct/>
              <w:topLinePunct w:val="0"/>
              <w:bidi w:val="0"/>
              <w:spacing w:line="300" w:lineRule="exact"/>
              <w:jc w:val="center"/>
              <w:rPr>
                <w:rFonts w:hint="default"/>
              </w:rPr>
            </w:pPr>
            <w:r>
              <w:rPr>
                <w:rFonts w:hint="default" w:ascii="Times New Roman" w:hAnsi="Times New Roman" w:eastAsia="仿宋_GB2312" w:cs="Times New Roman"/>
                <w:b/>
                <w:bCs/>
                <w:color w:val="auto"/>
                <w:sz w:val="21"/>
                <w:szCs w:val="21"/>
                <w:highlight w:val="none"/>
              </w:rPr>
              <w:t>必检项目</w:t>
            </w:r>
          </w:p>
        </w:tc>
        <w:tc>
          <w:tcPr>
            <w:tcW w:w="479" w:type="pct"/>
            <w:noWrap w:val="0"/>
            <w:vAlign w:val="center"/>
          </w:tcPr>
          <w:p w14:paraId="3CB13B58">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延伸项目</w:t>
            </w:r>
          </w:p>
        </w:tc>
        <w:tc>
          <w:tcPr>
            <w:tcW w:w="555" w:type="pct"/>
            <w:noWrap w:val="0"/>
            <w:vAlign w:val="center"/>
          </w:tcPr>
          <w:p w14:paraId="154DAC48">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eastAsia" w:ascii="Times New Roman" w:hAnsi="Times New Roman" w:eastAsia="仿宋_GB2312" w:cs="Times New Roman"/>
                <w:b/>
                <w:bCs/>
                <w:color w:val="auto"/>
                <w:sz w:val="21"/>
                <w:szCs w:val="21"/>
                <w:highlight w:val="none"/>
                <w:lang w:eastAsia="zh-CN"/>
              </w:rPr>
              <w:t>是否具备检验资质(CMA)</w:t>
            </w:r>
          </w:p>
        </w:tc>
        <w:tc>
          <w:tcPr>
            <w:tcW w:w="683" w:type="pct"/>
            <w:noWrap w:val="0"/>
            <w:vAlign w:val="center"/>
          </w:tcPr>
          <w:p w14:paraId="779D9AF5">
            <w:pPr>
              <w:pageBreakBefore w:val="0"/>
              <w:wordWrap/>
              <w:overflowPunct/>
              <w:topLinePunct w:val="0"/>
              <w:bidi w:val="0"/>
              <w:spacing w:line="300" w:lineRule="exact"/>
              <w:jc w:val="center"/>
              <w:rPr>
                <w:rFonts w:hint="default" w:ascii="Times New Roman" w:hAnsi="Times New Roman" w:eastAsia="仿宋_GB2312" w:cs="Times New Roman"/>
                <w:b/>
                <w:bCs/>
                <w:color w:val="auto"/>
                <w:sz w:val="21"/>
                <w:szCs w:val="21"/>
                <w:highlight w:val="none"/>
              </w:rPr>
            </w:pPr>
            <w:r>
              <w:rPr>
                <w:rFonts w:hint="eastAsia" w:ascii="Times New Roman" w:hAnsi="Times New Roman" w:eastAsia="仿宋_GB2312" w:cs="Times New Roman"/>
                <w:b/>
                <w:bCs/>
                <w:color w:val="auto"/>
                <w:sz w:val="21"/>
                <w:szCs w:val="21"/>
                <w:highlight w:val="none"/>
                <w:lang w:eastAsia="zh-CN"/>
              </w:rPr>
              <w:t>对应资质证书附表页码、序号</w:t>
            </w:r>
          </w:p>
        </w:tc>
      </w:tr>
      <w:tr w14:paraId="1413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restart"/>
            <w:noWrap w:val="0"/>
            <w:vAlign w:val="center"/>
          </w:tcPr>
          <w:p w14:paraId="37DA0F7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w:t>
            </w:r>
          </w:p>
        </w:tc>
        <w:tc>
          <w:tcPr>
            <w:tcW w:w="320" w:type="pct"/>
            <w:vMerge w:val="restart"/>
            <w:noWrap w:val="0"/>
            <w:vAlign w:val="center"/>
          </w:tcPr>
          <w:p w14:paraId="0512066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粮食加工品</w:t>
            </w:r>
          </w:p>
        </w:tc>
        <w:tc>
          <w:tcPr>
            <w:tcW w:w="324" w:type="pct"/>
            <w:noWrap w:val="0"/>
            <w:vAlign w:val="center"/>
          </w:tcPr>
          <w:p w14:paraId="5F89FEC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小麦粉</w:t>
            </w:r>
          </w:p>
        </w:tc>
        <w:tc>
          <w:tcPr>
            <w:tcW w:w="346" w:type="pct"/>
            <w:noWrap w:val="0"/>
            <w:vAlign w:val="center"/>
          </w:tcPr>
          <w:p w14:paraId="3E9505C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小麦粉</w:t>
            </w:r>
          </w:p>
        </w:tc>
        <w:tc>
          <w:tcPr>
            <w:tcW w:w="499" w:type="pct"/>
            <w:noWrap w:val="0"/>
            <w:vAlign w:val="center"/>
          </w:tcPr>
          <w:p w14:paraId="1C202CA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小麦粉</w:t>
            </w:r>
          </w:p>
        </w:tc>
        <w:tc>
          <w:tcPr>
            <w:tcW w:w="276" w:type="pct"/>
            <w:noWrap w:val="0"/>
            <w:vAlign w:val="center"/>
          </w:tcPr>
          <w:p w14:paraId="510CB08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603FEBF0">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eastAsia"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rPr>
              <w:t>铅(以Pb计)、</w:t>
            </w:r>
            <w:r>
              <w:rPr>
                <w:rFonts w:hint="default" w:ascii="Times New Roman" w:hAnsi="Times New Roman" w:eastAsia="仿宋_GB2312" w:cs="Times New Roman"/>
                <w:color w:val="auto"/>
                <w:kern w:val="0"/>
                <w:sz w:val="21"/>
                <w:szCs w:val="21"/>
                <w:highlight w:val="none"/>
              </w:rPr>
              <w:t>镉（以Cd计）、苯并[a]芘、玉米赤霉烯酮、脱氧雪腐镰刀菌烯醇、赭曲霉毒</w:t>
            </w:r>
            <w:r>
              <w:rPr>
                <w:rFonts w:hint="default" w:ascii="Times New Roman" w:hAnsi="Times New Roman" w:eastAsia="仿宋_GB2312" w:cs="Times New Roman"/>
                <w:color w:val="auto"/>
                <w:spacing w:val="-1"/>
                <w:kern w:val="0"/>
                <w:sz w:val="21"/>
                <w:szCs w:val="21"/>
                <w:highlight w:val="none"/>
              </w:rPr>
              <w:t>素A、黄曲霉毒</w:t>
            </w:r>
            <w:r>
              <w:rPr>
                <w:rFonts w:hint="default" w:ascii="Times New Roman" w:hAnsi="Times New Roman" w:eastAsia="仿宋_GB2312" w:cs="Times New Roman"/>
                <w:color w:val="auto"/>
                <w:spacing w:val="5"/>
                <w:kern w:val="0"/>
                <w:sz w:val="21"/>
                <w:szCs w:val="21"/>
                <w:highlight w:val="none"/>
              </w:rPr>
              <w:t>素B</w:t>
            </w:r>
            <w:r>
              <w:rPr>
                <w:rFonts w:hint="eastAsia" w:ascii="Times New Roman" w:hAnsi="Times New Roman" w:eastAsia="仿宋_GB2312" w:cs="Times New Roman"/>
                <w:color w:val="auto"/>
                <w:spacing w:val="5"/>
                <w:kern w:val="0"/>
                <w:sz w:val="21"/>
                <w:szCs w:val="21"/>
                <w:highlight w:val="none"/>
                <w:vertAlign w:val="subscript"/>
                <w:lang w:val="en-US" w:eastAsia="zh-CN"/>
              </w:rPr>
              <w:t>1</w:t>
            </w:r>
          </w:p>
        </w:tc>
        <w:tc>
          <w:tcPr>
            <w:tcW w:w="479" w:type="pct"/>
            <w:noWrap w:val="0"/>
            <w:vAlign w:val="center"/>
          </w:tcPr>
          <w:p w14:paraId="2AC1715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偶氮甲酰胺、过氧化苯甲酰</w:t>
            </w:r>
          </w:p>
        </w:tc>
        <w:tc>
          <w:tcPr>
            <w:tcW w:w="555" w:type="pct"/>
            <w:noWrap w:val="0"/>
            <w:vAlign w:val="center"/>
          </w:tcPr>
          <w:p w14:paraId="5BD3E07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是</w:t>
            </w:r>
            <w:r>
              <w:rPr>
                <w:rFonts w:hint="eastAsia"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rPr>
              <w:t xml:space="preserve">  否□</w:t>
            </w:r>
          </w:p>
        </w:tc>
        <w:tc>
          <w:tcPr>
            <w:tcW w:w="683" w:type="pct"/>
            <w:noWrap w:val="0"/>
            <w:vAlign w:val="center"/>
          </w:tcPr>
          <w:p w14:paraId="35276FC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r>
      <w:tr w14:paraId="2C8A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3B74512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F7563E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noWrap w:val="0"/>
            <w:vAlign w:val="center"/>
          </w:tcPr>
          <w:p w14:paraId="7AC734C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大米</w:t>
            </w:r>
          </w:p>
        </w:tc>
        <w:tc>
          <w:tcPr>
            <w:tcW w:w="346" w:type="pct"/>
            <w:noWrap w:val="0"/>
            <w:vAlign w:val="center"/>
          </w:tcPr>
          <w:p w14:paraId="63CC312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大米</w:t>
            </w:r>
          </w:p>
        </w:tc>
        <w:tc>
          <w:tcPr>
            <w:tcW w:w="499" w:type="pct"/>
            <w:noWrap w:val="0"/>
            <w:vAlign w:val="center"/>
          </w:tcPr>
          <w:p w14:paraId="457F2DF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大米</w:t>
            </w:r>
          </w:p>
        </w:tc>
        <w:tc>
          <w:tcPr>
            <w:tcW w:w="276" w:type="pct"/>
            <w:noWrap w:val="0"/>
            <w:vAlign w:val="center"/>
          </w:tcPr>
          <w:p w14:paraId="37A1FC0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5C6E5C5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铅（以</w:t>
            </w:r>
            <w:r>
              <w:rPr>
                <w:rFonts w:hint="default" w:ascii="Times New Roman" w:hAnsi="Times New Roman" w:eastAsia="仿宋_GB2312" w:cs="Times New Roman"/>
                <w:color w:val="auto"/>
                <w:kern w:val="0"/>
                <w:sz w:val="21"/>
                <w:szCs w:val="21"/>
                <w:highlight w:val="none"/>
              </w:rPr>
              <w:t>Pb</w:t>
            </w:r>
            <w:r>
              <w:rPr>
                <w:rFonts w:hint="default" w:ascii="Times New Roman" w:hAnsi="Times New Roman" w:eastAsia="仿宋_GB2312" w:cs="Times New Roman"/>
                <w:color w:val="auto"/>
                <w:spacing w:val="3"/>
                <w:kern w:val="0"/>
                <w:sz w:val="21"/>
                <w:szCs w:val="21"/>
                <w:highlight w:val="none"/>
              </w:rPr>
              <w:t>计）、镉（以</w:t>
            </w:r>
            <w:r>
              <w:rPr>
                <w:rFonts w:hint="default" w:ascii="Times New Roman" w:hAnsi="Times New Roman" w:eastAsia="仿宋_GB2312" w:cs="Times New Roman"/>
                <w:color w:val="auto"/>
                <w:kern w:val="0"/>
                <w:sz w:val="21"/>
                <w:szCs w:val="21"/>
                <w:highlight w:val="none"/>
              </w:rPr>
              <w:t>Cd</w:t>
            </w:r>
            <w:r>
              <w:rPr>
                <w:rFonts w:hint="default" w:ascii="Times New Roman" w:hAnsi="Times New Roman" w:eastAsia="仿宋_GB2312" w:cs="Times New Roman"/>
                <w:color w:val="auto"/>
                <w:spacing w:val="3"/>
                <w:kern w:val="0"/>
                <w:sz w:val="21"/>
                <w:szCs w:val="21"/>
                <w:highlight w:val="none"/>
              </w:rPr>
              <w:t>计）、无机砷（以</w:t>
            </w:r>
            <w:r>
              <w:rPr>
                <w:rFonts w:hint="default" w:ascii="Times New Roman" w:hAnsi="Times New Roman" w:eastAsia="仿宋_GB2312" w:cs="Times New Roman"/>
                <w:color w:val="auto"/>
                <w:kern w:val="0"/>
                <w:sz w:val="21"/>
                <w:szCs w:val="21"/>
                <w:highlight w:val="none"/>
              </w:rPr>
              <w:t>As</w:t>
            </w:r>
            <w:r>
              <w:rPr>
                <w:rFonts w:hint="default" w:ascii="Times New Roman" w:hAnsi="Times New Roman" w:eastAsia="仿宋_GB2312" w:cs="Times New Roman"/>
                <w:color w:val="auto"/>
                <w:spacing w:val="3"/>
                <w:kern w:val="0"/>
                <w:sz w:val="21"/>
                <w:szCs w:val="21"/>
                <w:highlight w:val="none"/>
              </w:rPr>
              <w:t>计）、苯并[a]芘、黄曲霉毒素B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default" w:ascii="Times New Roman" w:hAnsi="Times New Roman" w:eastAsia="仿宋_GB2312" w:cs="Times New Roman"/>
                <w:color w:val="auto"/>
                <w:spacing w:val="2"/>
                <w:kern w:val="0"/>
                <w:sz w:val="21"/>
                <w:szCs w:val="21"/>
                <w:highlight w:val="none"/>
              </w:rPr>
              <w:t>、赭曲霉毒</w:t>
            </w:r>
            <w:r>
              <w:rPr>
                <w:rFonts w:hint="default" w:ascii="Times New Roman" w:hAnsi="Times New Roman" w:eastAsia="仿宋_GB2312" w:cs="Times New Roman"/>
                <w:color w:val="auto"/>
                <w:spacing w:val="-4"/>
                <w:kern w:val="0"/>
                <w:sz w:val="21"/>
                <w:szCs w:val="21"/>
                <w:highlight w:val="none"/>
              </w:rPr>
              <w:t>素A</w:t>
            </w:r>
          </w:p>
        </w:tc>
        <w:tc>
          <w:tcPr>
            <w:tcW w:w="479" w:type="pct"/>
            <w:noWrap w:val="0"/>
            <w:vAlign w:val="center"/>
          </w:tcPr>
          <w:p w14:paraId="23634236">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46E5751E">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w:t>
            </w:r>
            <w:r>
              <w:rPr>
                <w:rFonts w:hint="eastAsia"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rPr>
              <w:t xml:space="preserve">  否□</w:t>
            </w:r>
          </w:p>
        </w:tc>
        <w:tc>
          <w:tcPr>
            <w:tcW w:w="683" w:type="pct"/>
            <w:noWrap w:val="0"/>
            <w:vAlign w:val="center"/>
          </w:tcPr>
          <w:p w14:paraId="40153AC5">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76D9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3158024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06F2D8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noWrap w:val="0"/>
            <w:vAlign w:val="center"/>
          </w:tcPr>
          <w:p w14:paraId="3FE213C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挂面</w:t>
            </w:r>
          </w:p>
        </w:tc>
        <w:tc>
          <w:tcPr>
            <w:tcW w:w="346" w:type="pct"/>
            <w:noWrap w:val="0"/>
            <w:vAlign w:val="center"/>
          </w:tcPr>
          <w:p w14:paraId="668856E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挂面</w:t>
            </w:r>
          </w:p>
        </w:tc>
        <w:tc>
          <w:tcPr>
            <w:tcW w:w="499" w:type="pct"/>
            <w:noWrap w:val="0"/>
            <w:vAlign w:val="center"/>
          </w:tcPr>
          <w:p w14:paraId="1AD60C4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挂面</w:t>
            </w:r>
          </w:p>
        </w:tc>
        <w:tc>
          <w:tcPr>
            <w:tcW w:w="276" w:type="pct"/>
            <w:noWrap w:val="0"/>
            <w:vAlign w:val="center"/>
          </w:tcPr>
          <w:p w14:paraId="6BAA697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08400629">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铅(以Pb计)、黄曲霉毒素B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default" w:ascii="Times New Roman" w:hAnsi="Times New Roman" w:eastAsia="仿宋_GB2312" w:cs="Times New Roman"/>
                <w:color w:val="auto"/>
                <w:spacing w:val="3"/>
                <w:kern w:val="0"/>
                <w:sz w:val="21"/>
                <w:szCs w:val="21"/>
                <w:highlight w:val="none"/>
              </w:rPr>
              <w:t>、脱氢乙酸及其钠盐（以脱氢乙酸计</w:t>
            </w:r>
            <w:r>
              <w:rPr>
                <w:rFonts w:hint="default" w:ascii="Times New Roman" w:hAnsi="Times New Roman" w:eastAsia="仿宋_GB2312" w:cs="Times New Roman"/>
                <w:color w:val="auto"/>
                <w:spacing w:val="2"/>
                <w:kern w:val="0"/>
                <w:sz w:val="21"/>
                <w:szCs w:val="21"/>
                <w:highlight w:val="none"/>
              </w:rPr>
              <w:t>）、合成着色剂(柠檬黄、日落黄、胭脂红、苋菜红、诱惑红、亮蓝)</w:t>
            </w:r>
          </w:p>
        </w:tc>
        <w:tc>
          <w:tcPr>
            <w:tcW w:w="479" w:type="pct"/>
            <w:noWrap w:val="0"/>
            <w:vAlign w:val="center"/>
          </w:tcPr>
          <w:p w14:paraId="47E6DD1B">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76714D5F">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w:t>
            </w:r>
            <w:r>
              <w:rPr>
                <w:rFonts w:hint="eastAsia"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rPr>
              <w:t xml:space="preserve">  否□</w:t>
            </w:r>
          </w:p>
        </w:tc>
        <w:tc>
          <w:tcPr>
            <w:tcW w:w="683" w:type="pct"/>
            <w:noWrap w:val="0"/>
            <w:vAlign w:val="center"/>
          </w:tcPr>
          <w:p w14:paraId="59387E49">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1740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781E39D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3031FA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restart"/>
            <w:noWrap w:val="0"/>
            <w:vAlign w:val="center"/>
          </w:tcPr>
          <w:p w14:paraId="0CE4C78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其他粮食加工品</w:t>
            </w:r>
          </w:p>
        </w:tc>
        <w:tc>
          <w:tcPr>
            <w:tcW w:w="346" w:type="pct"/>
            <w:noWrap w:val="0"/>
            <w:vAlign w:val="center"/>
          </w:tcPr>
          <w:p w14:paraId="6D76CA0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谷物加工品</w:t>
            </w:r>
          </w:p>
        </w:tc>
        <w:tc>
          <w:tcPr>
            <w:tcW w:w="499" w:type="pct"/>
            <w:noWrap w:val="0"/>
            <w:vAlign w:val="center"/>
          </w:tcPr>
          <w:p w14:paraId="7651F0F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谷物加工品</w:t>
            </w:r>
          </w:p>
        </w:tc>
        <w:tc>
          <w:tcPr>
            <w:tcW w:w="276" w:type="pct"/>
            <w:noWrap w:val="0"/>
            <w:vAlign w:val="center"/>
          </w:tcPr>
          <w:p w14:paraId="28FE728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68FAE4A9">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4"/>
                <w:kern w:val="0"/>
                <w:sz w:val="21"/>
                <w:szCs w:val="21"/>
                <w:highlight w:val="none"/>
              </w:rPr>
              <w:t>铅(以Pb计)、镉（以</w:t>
            </w:r>
            <w:r>
              <w:rPr>
                <w:rFonts w:hint="default" w:ascii="Times New Roman" w:hAnsi="Times New Roman" w:eastAsia="仿宋_GB2312" w:cs="Times New Roman"/>
                <w:color w:val="auto"/>
                <w:kern w:val="0"/>
                <w:sz w:val="21"/>
                <w:szCs w:val="21"/>
                <w:highlight w:val="none"/>
              </w:rPr>
              <w:t>Cd</w:t>
            </w:r>
            <w:r>
              <w:rPr>
                <w:rFonts w:hint="default" w:ascii="Times New Roman" w:hAnsi="Times New Roman" w:eastAsia="仿宋_GB2312" w:cs="Times New Roman"/>
                <w:color w:val="auto"/>
                <w:spacing w:val="4"/>
                <w:kern w:val="0"/>
                <w:sz w:val="21"/>
                <w:szCs w:val="21"/>
                <w:highlight w:val="none"/>
              </w:rPr>
              <w:t>计）</w:t>
            </w:r>
            <w:r>
              <w:rPr>
                <w:rFonts w:hint="default" w:ascii="Times New Roman" w:hAnsi="Times New Roman" w:eastAsia="仿宋_GB2312" w:cs="Times New Roman"/>
                <w:color w:val="auto"/>
                <w:spacing w:val="3"/>
                <w:kern w:val="0"/>
                <w:sz w:val="21"/>
                <w:szCs w:val="21"/>
                <w:highlight w:val="none"/>
              </w:rPr>
              <w:t>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eastAsia" w:ascii="Times New Roman" w:hAnsi="Times New Roman" w:eastAsia="仿宋_GB2312" w:cs="Times New Roman"/>
                <w:color w:val="auto"/>
                <w:spacing w:val="4"/>
                <w:kern w:val="0"/>
                <w:sz w:val="21"/>
                <w:szCs w:val="21"/>
                <w:highlight w:val="none"/>
                <w:lang w:val="en-US" w:eastAsia="zh-CN"/>
              </w:rPr>
              <w:t>、</w:t>
            </w:r>
            <w:r>
              <w:rPr>
                <w:rFonts w:hint="default" w:ascii="Times New Roman" w:hAnsi="Times New Roman" w:eastAsia="仿宋_GB2312" w:cs="Times New Roman"/>
                <w:color w:val="auto"/>
                <w:spacing w:val="4"/>
                <w:kern w:val="0"/>
                <w:sz w:val="21"/>
                <w:szCs w:val="21"/>
                <w:highlight w:val="none"/>
              </w:rPr>
              <w:t>赭曲霉毒素A</w:t>
            </w:r>
          </w:p>
        </w:tc>
        <w:tc>
          <w:tcPr>
            <w:tcW w:w="479" w:type="pct"/>
            <w:noWrap w:val="0"/>
            <w:vAlign w:val="center"/>
          </w:tcPr>
          <w:p w14:paraId="2FB17395">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5C357F80">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32C82CA">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7724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1FF4390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FDBB2B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351EA9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restart"/>
            <w:noWrap w:val="0"/>
            <w:vAlign w:val="center"/>
          </w:tcPr>
          <w:p w14:paraId="5B7206B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谷物碾磨加工品</w:t>
            </w:r>
          </w:p>
        </w:tc>
        <w:tc>
          <w:tcPr>
            <w:tcW w:w="499" w:type="pct"/>
            <w:noWrap w:val="0"/>
            <w:vAlign w:val="center"/>
          </w:tcPr>
          <w:p w14:paraId="2262824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玉米粉（片、渣）</w:t>
            </w:r>
          </w:p>
        </w:tc>
        <w:tc>
          <w:tcPr>
            <w:tcW w:w="276" w:type="pct"/>
            <w:noWrap w:val="0"/>
            <w:vAlign w:val="center"/>
          </w:tcPr>
          <w:p w14:paraId="5DEFCDB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63E81017">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苯并[a]芘、黄曲霉毒素B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eastAsia" w:ascii="Times New Roman" w:hAnsi="Times New Roman" w:eastAsia="仿宋_GB2312" w:cs="Times New Roman"/>
                <w:color w:val="auto"/>
                <w:spacing w:val="3"/>
                <w:kern w:val="0"/>
                <w:sz w:val="21"/>
                <w:szCs w:val="21"/>
                <w:highlight w:val="none"/>
                <w:lang w:eastAsia="zh-CN"/>
              </w:rPr>
              <w:t>、</w:t>
            </w:r>
            <w:r>
              <w:rPr>
                <w:rFonts w:hint="default" w:ascii="Times New Roman" w:hAnsi="Times New Roman" w:eastAsia="仿宋_GB2312" w:cs="Times New Roman"/>
                <w:color w:val="auto"/>
                <w:spacing w:val="3"/>
                <w:kern w:val="0"/>
                <w:sz w:val="21"/>
                <w:szCs w:val="21"/>
                <w:highlight w:val="none"/>
              </w:rPr>
              <w:t>赭曲霉毒素A、玉米赤霉烯酮、脱</w:t>
            </w:r>
            <w:r>
              <w:rPr>
                <w:rFonts w:hint="default" w:ascii="Times New Roman" w:hAnsi="Times New Roman" w:eastAsia="仿宋_GB2312" w:cs="Times New Roman"/>
                <w:color w:val="auto"/>
                <w:spacing w:val="2"/>
                <w:kern w:val="0"/>
                <w:sz w:val="21"/>
                <w:szCs w:val="21"/>
                <w:highlight w:val="none"/>
              </w:rPr>
              <w:t>氧雪腐镰刀菌烯醇</w:t>
            </w:r>
          </w:p>
        </w:tc>
        <w:tc>
          <w:tcPr>
            <w:tcW w:w="479" w:type="pct"/>
            <w:noWrap w:val="0"/>
            <w:vAlign w:val="center"/>
          </w:tcPr>
          <w:p w14:paraId="56A17DF5">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20623F1A">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7EF6595">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p>
        </w:tc>
      </w:tr>
      <w:tr w14:paraId="669D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10E7617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39E6A3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547B0C4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36C8E3E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66F4A31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米粉</w:t>
            </w:r>
          </w:p>
        </w:tc>
        <w:tc>
          <w:tcPr>
            <w:tcW w:w="276" w:type="pct"/>
            <w:noWrap w:val="0"/>
            <w:vAlign w:val="center"/>
          </w:tcPr>
          <w:p w14:paraId="224CF0A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3A2C5CE7">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(以Pb计)、镉(以Cd计)、总汞 (以Hg计)、无机砷(以As计)</w:t>
            </w:r>
          </w:p>
        </w:tc>
        <w:tc>
          <w:tcPr>
            <w:tcW w:w="479" w:type="pct"/>
            <w:noWrap w:val="0"/>
            <w:vAlign w:val="center"/>
          </w:tcPr>
          <w:p w14:paraId="1811673B">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7A018D72">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19C4DD5">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56A0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1B8936E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5B893A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592E8D2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095C89E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7AB2275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其他谷物碾磨加工品</w:t>
            </w:r>
          </w:p>
        </w:tc>
        <w:tc>
          <w:tcPr>
            <w:tcW w:w="276" w:type="pct"/>
            <w:noWrap w:val="0"/>
            <w:vAlign w:val="center"/>
          </w:tcPr>
          <w:p w14:paraId="49CE780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5D02F6B7">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铅(以Pb计)、铬( Cr计)、赭曲霉毒素A</w:t>
            </w:r>
          </w:p>
        </w:tc>
        <w:tc>
          <w:tcPr>
            <w:tcW w:w="479" w:type="pct"/>
            <w:noWrap w:val="0"/>
            <w:vAlign w:val="center"/>
          </w:tcPr>
          <w:p w14:paraId="4DEF3508">
            <w:pPr>
              <w:pageBreakBefore w:val="0"/>
              <w:wordWrap/>
              <w:overflowPunct/>
              <w:topLinePunct w:val="0"/>
              <w:bidi w:val="0"/>
              <w:spacing w:line="300" w:lineRule="exact"/>
              <w:jc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72779391">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912DAC3">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694C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0" w:type="pct"/>
            <w:vMerge w:val="continue"/>
            <w:noWrap w:val="0"/>
            <w:vAlign w:val="center"/>
          </w:tcPr>
          <w:p w14:paraId="16FDB70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C42A1A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58FA07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restart"/>
            <w:noWrap w:val="0"/>
            <w:vAlign w:val="center"/>
          </w:tcPr>
          <w:p w14:paraId="19D4358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谷物粉类制成品</w:t>
            </w:r>
          </w:p>
        </w:tc>
        <w:tc>
          <w:tcPr>
            <w:tcW w:w="499" w:type="pct"/>
            <w:noWrap w:val="0"/>
            <w:vAlign w:val="center"/>
          </w:tcPr>
          <w:p w14:paraId="5D62042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生湿面制品</w:t>
            </w:r>
          </w:p>
        </w:tc>
        <w:tc>
          <w:tcPr>
            <w:tcW w:w="276" w:type="pct"/>
            <w:noWrap w:val="0"/>
            <w:vAlign w:val="center"/>
          </w:tcPr>
          <w:p w14:paraId="3AA4945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4515E34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(以Pb计)、苯甲酸及其钠盐 (以苯甲酸计)、山梨酸及其钾盐 (以山梨酸计)、脱氢乙酸及其钠盐 (以脱氢乙酸计)、二氧化硫残留量、合成着色剂(柠檬黄)</w:t>
            </w:r>
          </w:p>
        </w:tc>
        <w:tc>
          <w:tcPr>
            <w:tcW w:w="479" w:type="pct"/>
            <w:noWrap w:val="0"/>
            <w:vAlign w:val="center"/>
          </w:tcPr>
          <w:p w14:paraId="417C5288">
            <w:pPr>
              <w:keepNext w:val="0"/>
              <w:keepLines w:val="0"/>
              <w:pageBreakBefore w:val="0"/>
              <w:widowControl/>
              <w:suppressLineNumbers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对羟基苯甲酸酯类及其钠盐</w:t>
            </w:r>
          </w:p>
        </w:tc>
        <w:tc>
          <w:tcPr>
            <w:tcW w:w="555" w:type="pct"/>
            <w:noWrap w:val="0"/>
            <w:vAlign w:val="center"/>
          </w:tcPr>
          <w:p w14:paraId="472F9BB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DA09D3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DD4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0" w:type="pct"/>
            <w:vMerge w:val="continue"/>
            <w:noWrap w:val="0"/>
            <w:vAlign w:val="center"/>
          </w:tcPr>
          <w:p w14:paraId="0846877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F01089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E5FF2F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632CE2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56C664B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发酵面制品</w:t>
            </w:r>
          </w:p>
        </w:tc>
        <w:tc>
          <w:tcPr>
            <w:tcW w:w="276" w:type="pct"/>
            <w:noWrap w:val="0"/>
            <w:vAlign w:val="center"/>
          </w:tcPr>
          <w:p w14:paraId="55228A2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7DFB6626">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铅(以Pb计)、苯甲酸及其钠盐 (以苯甲酸计)、山梨酸及其钾盐 (以山梨酸计)、脱氢乙酸及其钠盐(以脱氢乙酸计)、糖精钠(以糖精计)、甜蜜素(以环己基氨基磺酸计)、安赛蜜、合成着色剂(柠檬黄、胭脂红)</w:t>
            </w:r>
          </w:p>
        </w:tc>
        <w:tc>
          <w:tcPr>
            <w:tcW w:w="479" w:type="pct"/>
            <w:noWrap w:val="0"/>
            <w:vAlign w:val="center"/>
          </w:tcPr>
          <w:p w14:paraId="5C59F94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菌落总数、大肠菌群</w:t>
            </w:r>
          </w:p>
        </w:tc>
        <w:tc>
          <w:tcPr>
            <w:tcW w:w="555" w:type="pct"/>
            <w:noWrap w:val="0"/>
            <w:vAlign w:val="center"/>
          </w:tcPr>
          <w:p w14:paraId="222DCB0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E809FB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B77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vMerge w:val="continue"/>
            <w:noWrap w:val="0"/>
            <w:vAlign w:val="center"/>
          </w:tcPr>
          <w:p w14:paraId="35D08B4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BF4027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907FD9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4AAAC27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6500A08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米粉制品</w:t>
            </w:r>
          </w:p>
        </w:tc>
        <w:tc>
          <w:tcPr>
            <w:tcW w:w="276" w:type="pct"/>
            <w:noWrap w:val="0"/>
            <w:vAlign w:val="center"/>
          </w:tcPr>
          <w:p w14:paraId="00CDDC8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168F786E">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 (以苯甲酸计)、山梨酸及其钾盐 (以山梨酸计)、脱氢乙酸及其钠盐 (以脱氢乙酸计)、二氧化硫残留量、菌落总数、大肠菌群、甜蜜素(以环己基氨基磺酸计)</w:t>
            </w:r>
          </w:p>
        </w:tc>
        <w:tc>
          <w:tcPr>
            <w:tcW w:w="479" w:type="pct"/>
            <w:noWrap w:val="0"/>
            <w:vAlign w:val="center"/>
          </w:tcPr>
          <w:p w14:paraId="12CBD5A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rPr>
              <w:t xml:space="preserve">合成着色剂(柠檬黄、日落黄、喹啉黄、亮蓝、靛蓝) </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丙酸及其钠盐、钙盐（以丙酸计）</w:t>
            </w:r>
          </w:p>
        </w:tc>
        <w:tc>
          <w:tcPr>
            <w:tcW w:w="555" w:type="pct"/>
            <w:noWrap w:val="0"/>
            <w:vAlign w:val="center"/>
          </w:tcPr>
          <w:p w14:paraId="6AD2DE5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D060157">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0C7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10" w:type="pct"/>
            <w:vMerge w:val="continue"/>
            <w:noWrap w:val="0"/>
            <w:vAlign w:val="center"/>
          </w:tcPr>
          <w:p w14:paraId="31BE2A1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13F574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EB2562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0E11D37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1124FE2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其他谷物粉类制成品</w:t>
            </w:r>
          </w:p>
        </w:tc>
        <w:tc>
          <w:tcPr>
            <w:tcW w:w="276" w:type="pct"/>
            <w:noWrap w:val="0"/>
            <w:vAlign w:val="center"/>
          </w:tcPr>
          <w:p w14:paraId="101C484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7914259A">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黄曲霉毒素B</w:t>
            </w:r>
            <w:r>
              <w:rPr>
                <w:rFonts w:hint="default" w:ascii="Times New Roman" w:hAnsi="Times New Roman" w:eastAsia="仿宋_GB2312" w:cs="Times New Roman"/>
                <w:color w:val="auto"/>
                <w:sz w:val="21"/>
                <w:szCs w:val="21"/>
                <w:highlight w:val="none"/>
                <w:vertAlign w:val="subscript"/>
              </w:rPr>
              <w:t>1</w:t>
            </w:r>
            <w:r>
              <w:rPr>
                <w:rFonts w:hint="default" w:ascii="Times New Roman" w:hAnsi="Times New Roman" w:eastAsia="仿宋_GB2312" w:cs="Times New Roman"/>
                <w:color w:val="auto"/>
                <w:sz w:val="21"/>
                <w:szCs w:val="21"/>
                <w:highlight w:val="none"/>
              </w:rPr>
              <w:t>、苯甲酸及其钠盐 (以苯甲酸计)、山梨酸及其钾盐 (以山梨酸计)、脱氢乙酸及其钠盐 (以脱氢乙酸计)、合成着色剂（柠檬黄、日落黄、胭脂红、苋菜红、亮蓝）、菌落总数、大肠菌群</w:t>
            </w:r>
          </w:p>
        </w:tc>
        <w:tc>
          <w:tcPr>
            <w:tcW w:w="479" w:type="pct"/>
            <w:noWrap w:val="0"/>
            <w:vAlign w:val="center"/>
          </w:tcPr>
          <w:p w14:paraId="4749D3E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丙酸及其钠盐、钙盐（以丙酸计）</w:t>
            </w:r>
          </w:p>
        </w:tc>
        <w:tc>
          <w:tcPr>
            <w:tcW w:w="555" w:type="pct"/>
            <w:noWrap w:val="0"/>
            <w:vAlign w:val="center"/>
          </w:tcPr>
          <w:p w14:paraId="17CE60D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D4FCEA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F2A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210" w:type="pct"/>
            <w:vMerge w:val="restart"/>
            <w:noWrap w:val="0"/>
            <w:vAlign w:val="center"/>
          </w:tcPr>
          <w:p w14:paraId="3E09754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2</w:t>
            </w:r>
          </w:p>
        </w:tc>
        <w:tc>
          <w:tcPr>
            <w:tcW w:w="320" w:type="pct"/>
            <w:vMerge w:val="restart"/>
            <w:noWrap w:val="0"/>
            <w:vAlign w:val="center"/>
          </w:tcPr>
          <w:p w14:paraId="797791C8">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食用油、油</w:t>
            </w:r>
            <w:r>
              <w:rPr>
                <w:rFonts w:hint="default" w:ascii="Times New Roman" w:hAnsi="Times New Roman" w:eastAsia="仿宋_GB2312" w:cs="Times New Roman"/>
                <w:color w:val="auto"/>
                <w:spacing w:val="2"/>
                <w:kern w:val="0"/>
                <w:sz w:val="21"/>
                <w:szCs w:val="21"/>
                <w:highlight w:val="none"/>
              </w:rPr>
              <w:t xml:space="preserve"> </w:t>
            </w:r>
            <w:r>
              <w:rPr>
                <w:rFonts w:hint="default" w:ascii="Times New Roman" w:hAnsi="Times New Roman" w:eastAsia="仿宋_GB2312" w:cs="Times New Roman"/>
                <w:color w:val="auto"/>
                <w:spacing w:val="3"/>
                <w:kern w:val="0"/>
                <w:sz w:val="21"/>
                <w:szCs w:val="21"/>
                <w:highlight w:val="none"/>
              </w:rPr>
              <w:t>脂及其制品</w:t>
            </w:r>
          </w:p>
        </w:tc>
        <w:tc>
          <w:tcPr>
            <w:tcW w:w="324" w:type="pct"/>
            <w:vMerge w:val="restart"/>
            <w:noWrap w:val="0"/>
            <w:vAlign w:val="center"/>
          </w:tcPr>
          <w:p w14:paraId="40FD0E8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食用植物油</w:t>
            </w:r>
          </w:p>
        </w:tc>
        <w:tc>
          <w:tcPr>
            <w:tcW w:w="346" w:type="pct"/>
            <w:vMerge w:val="restart"/>
            <w:noWrap w:val="0"/>
            <w:vAlign w:val="center"/>
          </w:tcPr>
          <w:p w14:paraId="2C322D9A">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食用植物油</w:t>
            </w:r>
          </w:p>
        </w:tc>
        <w:tc>
          <w:tcPr>
            <w:tcW w:w="499" w:type="pct"/>
            <w:noWrap w:val="0"/>
            <w:vAlign w:val="center"/>
          </w:tcPr>
          <w:p w14:paraId="23809ED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6"/>
                <w:kern w:val="0"/>
                <w:sz w:val="21"/>
                <w:szCs w:val="21"/>
                <w:highlight w:val="none"/>
              </w:rPr>
              <w:t>花生油</w:t>
            </w:r>
          </w:p>
        </w:tc>
        <w:tc>
          <w:tcPr>
            <w:tcW w:w="276" w:type="pct"/>
            <w:noWrap w:val="0"/>
            <w:vAlign w:val="center"/>
          </w:tcPr>
          <w:p w14:paraId="58B8A46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5D084BB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酸值/酸价、过氧化值</w:t>
            </w:r>
            <w:r>
              <w:rPr>
                <w:rFonts w:hint="default" w:ascii="Times New Roman" w:hAnsi="Times New Roman" w:eastAsia="仿宋_GB2312" w:cs="Times New Roman"/>
                <w:color w:val="auto"/>
                <w:kern w:val="0"/>
                <w:sz w:val="21"/>
                <w:szCs w:val="21"/>
                <w:highlight w:val="none"/>
              </w:rPr>
              <w:t>、苯并[a]芘</w:t>
            </w:r>
            <w:r>
              <w:rPr>
                <w:rFonts w:hint="default" w:ascii="Times New Roman" w:hAnsi="Times New Roman" w:eastAsia="仿宋_GB2312" w:cs="Times New Roman"/>
                <w:color w:val="auto"/>
                <w:spacing w:val="3"/>
                <w:kern w:val="0"/>
                <w:sz w:val="21"/>
                <w:szCs w:val="21"/>
                <w:highlight w:val="none"/>
              </w:rPr>
              <w:t>、黄曲霉毒素B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default" w:ascii="Times New Roman" w:hAnsi="Times New Roman" w:eastAsia="仿宋_GB2312" w:cs="Times New Roman"/>
                <w:color w:val="auto"/>
                <w:spacing w:val="3"/>
                <w:kern w:val="0"/>
                <w:sz w:val="21"/>
                <w:szCs w:val="21"/>
                <w:highlight w:val="none"/>
              </w:rPr>
              <w:t>、溶剂残</w:t>
            </w:r>
            <w:r>
              <w:rPr>
                <w:rFonts w:hint="default" w:ascii="Times New Roman" w:hAnsi="Times New Roman" w:eastAsia="仿宋_GB2312" w:cs="Times New Roman"/>
                <w:color w:val="auto"/>
                <w:spacing w:val="2"/>
                <w:kern w:val="0"/>
                <w:sz w:val="21"/>
                <w:szCs w:val="21"/>
                <w:highlight w:val="none"/>
              </w:rPr>
              <w:t>留量、特丁基对苯二酚</w:t>
            </w:r>
            <w:r>
              <w:rPr>
                <w:rFonts w:hint="default" w:ascii="Times New Roman" w:hAnsi="Times New Roman" w:eastAsia="仿宋_GB2312" w:cs="Times New Roman"/>
                <w:color w:val="auto"/>
                <w:spacing w:val="-7"/>
                <w:kern w:val="0"/>
                <w:sz w:val="21"/>
                <w:szCs w:val="21"/>
                <w:highlight w:val="none"/>
                <w:lang w:eastAsia="zh-CN"/>
              </w:rPr>
              <w:t>（</w:t>
            </w:r>
            <w:r>
              <w:rPr>
                <w:rFonts w:hint="default" w:ascii="Times New Roman" w:hAnsi="Times New Roman" w:eastAsia="仿宋_GB2312" w:cs="Times New Roman"/>
                <w:color w:val="auto"/>
                <w:spacing w:val="-7"/>
                <w:kern w:val="0"/>
                <w:sz w:val="21"/>
                <w:szCs w:val="21"/>
                <w:highlight w:val="none"/>
              </w:rPr>
              <w:t>TBHQ</w:t>
            </w:r>
            <w:r>
              <w:rPr>
                <w:rFonts w:hint="default" w:ascii="Times New Roman" w:hAnsi="Times New Roman" w:eastAsia="仿宋_GB2312" w:cs="Times New Roman"/>
                <w:color w:val="auto"/>
                <w:spacing w:val="-7"/>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p>
        </w:tc>
        <w:tc>
          <w:tcPr>
            <w:tcW w:w="479" w:type="pct"/>
            <w:noWrap w:val="0"/>
            <w:vAlign w:val="center"/>
          </w:tcPr>
          <w:p w14:paraId="55EDB1F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0613521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5AD2E3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876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210" w:type="pct"/>
            <w:vMerge w:val="continue"/>
            <w:noWrap w:val="0"/>
            <w:vAlign w:val="center"/>
          </w:tcPr>
          <w:p w14:paraId="16D6CF7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A5F357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BE594A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vertAlign w:val="baseline"/>
                <w:lang w:val="en-US" w:eastAsia="zh-CN" w:bidi="ar-SA"/>
              </w:rPr>
            </w:pPr>
          </w:p>
        </w:tc>
        <w:tc>
          <w:tcPr>
            <w:tcW w:w="346" w:type="pct"/>
            <w:vMerge w:val="continue"/>
            <w:noWrap w:val="0"/>
            <w:vAlign w:val="center"/>
          </w:tcPr>
          <w:p w14:paraId="17915D34">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vertAlign w:val="baseline"/>
                <w:lang w:val="en-US" w:eastAsia="zh-CN" w:bidi="ar-SA"/>
              </w:rPr>
            </w:pPr>
          </w:p>
        </w:tc>
        <w:tc>
          <w:tcPr>
            <w:tcW w:w="499" w:type="pct"/>
            <w:noWrap w:val="0"/>
            <w:vAlign w:val="center"/>
          </w:tcPr>
          <w:p w14:paraId="5A865B3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6"/>
                <w:kern w:val="0"/>
                <w:sz w:val="21"/>
                <w:szCs w:val="21"/>
                <w:highlight w:val="none"/>
              </w:rPr>
              <w:t>玉米油</w:t>
            </w:r>
          </w:p>
        </w:tc>
        <w:tc>
          <w:tcPr>
            <w:tcW w:w="276" w:type="pct"/>
            <w:noWrap w:val="0"/>
            <w:vAlign w:val="center"/>
          </w:tcPr>
          <w:p w14:paraId="0077BDB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1EF7DDE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1"/>
                <w:kern w:val="0"/>
                <w:sz w:val="21"/>
                <w:szCs w:val="21"/>
                <w:highlight w:val="none"/>
              </w:rPr>
              <w:t>酸值/酸价、过氧化值、</w:t>
            </w:r>
            <w:r>
              <w:rPr>
                <w:rFonts w:hint="default" w:ascii="Times New Roman" w:hAnsi="Times New Roman" w:eastAsia="仿宋_GB2312" w:cs="Times New Roman"/>
                <w:color w:val="auto"/>
                <w:spacing w:val="3"/>
                <w:kern w:val="0"/>
                <w:sz w:val="21"/>
                <w:szCs w:val="21"/>
                <w:highlight w:val="none"/>
              </w:rPr>
              <w:t>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default" w:ascii="Times New Roman" w:hAnsi="Times New Roman" w:eastAsia="仿宋_GB2312" w:cs="Times New Roman"/>
                <w:color w:val="auto"/>
                <w:spacing w:val="1"/>
                <w:kern w:val="0"/>
                <w:sz w:val="21"/>
                <w:szCs w:val="21"/>
                <w:highlight w:val="none"/>
              </w:rPr>
              <w:t>、特丁基对苯二酚</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TBHQ</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lang w:val="en-US" w:eastAsia="zh-CN"/>
              </w:rPr>
              <w:t>镉（以Cd计）</w:t>
            </w:r>
          </w:p>
        </w:tc>
        <w:tc>
          <w:tcPr>
            <w:tcW w:w="479" w:type="pct"/>
            <w:noWrap w:val="0"/>
            <w:vAlign w:val="center"/>
          </w:tcPr>
          <w:p w14:paraId="20EC335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652EAF9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3A21E7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A80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 w:hRule="atLeast"/>
        </w:trPr>
        <w:tc>
          <w:tcPr>
            <w:tcW w:w="210" w:type="pct"/>
            <w:vMerge w:val="continue"/>
            <w:noWrap w:val="0"/>
            <w:vAlign w:val="center"/>
          </w:tcPr>
          <w:p w14:paraId="708C6F9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661BD88">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64AB1F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5F2E1AC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5D7F39B7">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6"/>
                <w:kern w:val="0"/>
                <w:sz w:val="21"/>
                <w:szCs w:val="21"/>
                <w:highlight w:val="none"/>
              </w:rPr>
              <w:t>芝麻油</w:t>
            </w:r>
          </w:p>
        </w:tc>
        <w:tc>
          <w:tcPr>
            <w:tcW w:w="276" w:type="pct"/>
            <w:noWrap w:val="0"/>
            <w:vAlign w:val="center"/>
          </w:tcPr>
          <w:p w14:paraId="0CA6EBB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73C7618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酸值/酸价、过氧化值、苯并[a]芘、溶剂</w:t>
            </w:r>
            <w:r>
              <w:rPr>
                <w:rFonts w:hint="default" w:ascii="Times New Roman" w:hAnsi="Times New Roman" w:eastAsia="仿宋_GB2312" w:cs="Times New Roman"/>
                <w:color w:val="auto"/>
                <w:spacing w:val="-1"/>
                <w:kern w:val="0"/>
                <w:sz w:val="21"/>
                <w:szCs w:val="21"/>
                <w:highlight w:val="none"/>
              </w:rPr>
              <w:t>残留量、乙基麦芽酚</w:t>
            </w:r>
          </w:p>
        </w:tc>
        <w:tc>
          <w:tcPr>
            <w:tcW w:w="479" w:type="pct"/>
            <w:noWrap w:val="0"/>
            <w:vAlign w:val="center"/>
          </w:tcPr>
          <w:p w14:paraId="59730CE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173ABCA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085C15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A80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 w:hRule="atLeast"/>
        </w:trPr>
        <w:tc>
          <w:tcPr>
            <w:tcW w:w="210" w:type="pct"/>
            <w:vMerge w:val="continue"/>
            <w:noWrap w:val="0"/>
            <w:vAlign w:val="center"/>
          </w:tcPr>
          <w:p w14:paraId="631EAFE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EB2612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561C9A3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6353567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13D2D49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橄榄油、油橄榄果渣油</w:t>
            </w:r>
          </w:p>
        </w:tc>
        <w:tc>
          <w:tcPr>
            <w:tcW w:w="276" w:type="pct"/>
            <w:noWrap w:val="0"/>
            <w:vAlign w:val="center"/>
          </w:tcPr>
          <w:p w14:paraId="2F114D4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5AEDDC8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1"/>
                <w:kern w:val="0"/>
                <w:sz w:val="21"/>
                <w:szCs w:val="21"/>
                <w:highlight w:val="none"/>
              </w:rPr>
              <w:t>酸值/酸价、过氧化值、溶剂残留量、特丁基对苯二酚</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TBHQ</w:t>
            </w:r>
            <w:r>
              <w:rPr>
                <w:rFonts w:hint="default" w:ascii="Times New Roman" w:hAnsi="Times New Roman" w:eastAsia="仿宋_GB2312" w:cs="Times New Roman"/>
                <w:color w:val="auto"/>
                <w:spacing w:val="1"/>
                <w:kern w:val="0"/>
                <w:sz w:val="21"/>
                <w:szCs w:val="21"/>
                <w:highlight w:val="none"/>
                <w:lang w:eastAsia="zh-CN"/>
              </w:rPr>
              <w:t>）</w:t>
            </w:r>
          </w:p>
        </w:tc>
        <w:tc>
          <w:tcPr>
            <w:tcW w:w="479" w:type="pct"/>
            <w:noWrap w:val="0"/>
            <w:vAlign w:val="center"/>
          </w:tcPr>
          <w:p w14:paraId="4DDF093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3DBA1795">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EB24FF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8F6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210" w:type="pct"/>
            <w:vMerge w:val="continue"/>
            <w:noWrap w:val="0"/>
            <w:vAlign w:val="center"/>
          </w:tcPr>
          <w:p w14:paraId="5EBC680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E8EFA4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31582F0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4AF9A07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4E6A37B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6"/>
                <w:kern w:val="0"/>
                <w:sz w:val="21"/>
                <w:szCs w:val="21"/>
                <w:highlight w:val="none"/>
              </w:rPr>
              <w:t>菜籽油</w:t>
            </w:r>
          </w:p>
        </w:tc>
        <w:tc>
          <w:tcPr>
            <w:tcW w:w="276" w:type="pct"/>
            <w:noWrap w:val="0"/>
            <w:vAlign w:val="center"/>
          </w:tcPr>
          <w:p w14:paraId="1C48987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33264D97">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酸值/酸价、过氧化值、苯并[a]芘、溶剂残留</w:t>
            </w:r>
            <w:r>
              <w:rPr>
                <w:rFonts w:hint="default" w:ascii="Times New Roman" w:hAnsi="Times New Roman" w:eastAsia="仿宋_GB2312" w:cs="Times New Roman"/>
                <w:color w:val="auto"/>
                <w:spacing w:val="-1"/>
                <w:kern w:val="0"/>
                <w:sz w:val="21"/>
                <w:szCs w:val="21"/>
                <w:highlight w:val="none"/>
              </w:rPr>
              <w:t>量、</w:t>
            </w:r>
            <w:r>
              <w:rPr>
                <w:rFonts w:hint="default" w:ascii="Times New Roman" w:hAnsi="Times New Roman" w:eastAsia="仿宋_GB2312" w:cs="Times New Roman"/>
                <w:color w:val="auto"/>
                <w:spacing w:val="1"/>
                <w:kern w:val="0"/>
                <w:sz w:val="21"/>
                <w:szCs w:val="21"/>
                <w:highlight w:val="none"/>
              </w:rPr>
              <w:t>特丁基对苯二酚</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TBHQ</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乙基麦芽酚、铅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p>
        </w:tc>
        <w:tc>
          <w:tcPr>
            <w:tcW w:w="479" w:type="pct"/>
            <w:noWrap w:val="0"/>
            <w:vAlign w:val="center"/>
          </w:tcPr>
          <w:p w14:paraId="76BBB0F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67E8C37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2F579C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3B2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trPr>
        <w:tc>
          <w:tcPr>
            <w:tcW w:w="210" w:type="pct"/>
            <w:vMerge w:val="continue"/>
            <w:noWrap w:val="0"/>
            <w:vAlign w:val="center"/>
          </w:tcPr>
          <w:p w14:paraId="67975A6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455C670">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397D5FE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35832CD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59C2D968">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6"/>
                <w:kern w:val="0"/>
                <w:sz w:val="21"/>
                <w:szCs w:val="21"/>
                <w:highlight w:val="none"/>
              </w:rPr>
              <w:t>大豆油</w:t>
            </w:r>
          </w:p>
        </w:tc>
        <w:tc>
          <w:tcPr>
            <w:tcW w:w="276" w:type="pct"/>
            <w:noWrap w:val="0"/>
            <w:vAlign w:val="center"/>
          </w:tcPr>
          <w:p w14:paraId="1CA7ADC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33FF950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1"/>
                <w:kern w:val="0"/>
                <w:sz w:val="21"/>
                <w:szCs w:val="21"/>
                <w:highlight w:val="none"/>
              </w:rPr>
              <w:t>酸值/酸价、过氧化值、苯并[a]芘、溶剂残留量</w:t>
            </w:r>
            <w:r>
              <w:rPr>
                <w:rFonts w:hint="default" w:ascii="Times New Roman" w:hAnsi="Times New Roman" w:eastAsia="仿宋_GB2312" w:cs="Times New Roman"/>
                <w:color w:val="auto"/>
                <w:kern w:val="0"/>
                <w:sz w:val="21"/>
                <w:szCs w:val="21"/>
                <w:highlight w:val="none"/>
              </w:rPr>
              <w:t>、</w:t>
            </w:r>
            <w:r>
              <w:rPr>
                <w:rFonts w:hint="default" w:ascii="Times New Roman" w:hAnsi="Times New Roman" w:eastAsia="仿宋_GB2312" w:cs="Times New Roman"/>
                <w:color w:val="auto"/>
                <w:spacing w:val="1"/>
                <w:kern w:val="0"/>
                <w:sz w:val="21"/>
                <w:szCs w:val="21"/>
                <w:highlight w:val="none"/>
              </w:rPr>
              <w:t>特丁基对苯二酚</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TBHQ</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lang w:val="en-US" w:eastAsia="zh-CN"/>
              </w:rPr>
              <w:t>镉（以Cd计）</w:t>
            </w:r>
          </w:p>
        </w:tc>
        <w:tc>
          <w:tcPr>
            <w:tcW w:w="479" w:type="pct"/>
            <w:noWrap w:val="0"/>
            <w:vAlign w:val="center"/>
          </w:tcPr>
          <w:p w14:paraId="5BDC035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1FD3CF4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41517A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FE8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5BB7A13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1C80C50">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D31790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045CB2B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53F13C0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2"/>
                <w:kern w:val="0"/>
                <w:sz w:val="21"/>
                <w:szCs w:val="21"/>
                <w:highlight w:val="none"/>
              </w:rPr>
              <w:t>食用植物调</w:t>
            </w:r>
            <w:r>
              <w:rPr>
                <w:rFonts w:hint="default" w:ascii="Times New Roman" w:hAnsi="Times New Roman" w:eastAsia="仿宋_GB2312" w:cs="Times New Roman"/>
                <w:color w:val="auto"/>
                <w:spacing w:val="9"/>
                <w:kern w:val="0"/>
                <w:sz w:val="21"/>
                <w:szCs w:val="21"/>
                <w:highlight w:val="none"/>
              </w:rPr>
              <w:t>和油</w:t>
            </w:r>
          </w:p>
        </w:tc>
        <w:tc>
          <w:tcPr>
            <w:tcW w:w="276" w:type="pct"/>
            <w:noWrap w:val="0"/>
            <w:vAlign w:val="center"/>
          </w:tcPr>
          <w:p w14:paraId="20A9921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7FFEF38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酸价、过氧化值、溶剂残留量、特丁基对苯二酚</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w:t>
            </w:r>
            <w:r>
              <w:rPr>
                <w:rFonts w:hint="default" w:ascii="Times New Roman" w:hAnsi="Times New Roman" w:eastAsia="仿宋_GB2312" w:cs="Times New Roman"/>
                <w:color w:val="auto"/>
                <w:spacing w:val="-1"/>
                <w:kern w:val="0"/>
                <w:sz w:val="21"/>
                <w:szCs w:val="21"/>
                <w:highlight w:val="none"/>
              </w:rPr>
              <w:t>HQ</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乙基麦芽酚</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p>
        </w:tc>
        <w:tc>
          <w:tcPr>
            <w:tcW w:w="479" w:type="pct"/>
            <w:noWrap w:val="0"/>
            <w:vAlign w:val="center"/>
          </w:tcPr>
          <w:p w14:paraId="7C0B3C4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52764E8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A520BA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CA6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3626ECA0">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699E2A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5B44E0E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5CEE58F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00850CB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4"/>
                <w:kern w:val="0"/>
                <w:sz w:val="21"/>
                <w:szCs w:val="21"/>
                <w:highlight w:val="none"/>
              </w:rPr>
              <w:t>油茶籽油</w:t>
            </w:r>
          </w:p>
        </w:tc>
        <w:tc>
          <w:tcPr>
            <w:tcW w:w="276" w:type="pct"/>
            <w:noWrap w:val="0"/>
            <w:vAlign w:val="center"/>
          </w:tcPr>
          <w:p w14:paraId="6620516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4DBEF36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rPr>
              <w:t>酸值/酸价、过氧化值、苯并[a]芘、溶剂残留</w:t>
            </w:r>
            <w:r>
              <w:rPr>
                <w:rFonts w:hint="default" w:ascii="Times New Roman" w:hAnsi="Times New Roman" w:eastAsia="仿宋_GB2312" w:cs="Times New Roman"/>
                <w:color w:val="auto"/>
                <w:spacing w:val="-1"/>
                <w:kern w:val="0"/>
                <w:sz w:val="21"/>
                <w:szCs w:val="21"/>
                <w:highlight w:val="none"/>
              </w:rPr>
              <w:t>量、</w:t>
            </w:r>
            <w:r>
              <w:rPr>
                <w:rFonts w:hint="default" w:ascii="Times New Roman" w:hAnsi="Times New Roman" w:eastAsia="仿宋_GB2312" w:cs="Times New Roman"/>
                <w:color w:val="auto"/>
                <w:spacing w:val="1"/>
                <w:kern w:val="0"/>
                <w:sz w:val="21"/>
                <w:szCs w:val="21"/>
                <w:highlight w:val="none"/>
              </w:rPr>
              <w:t>特丁基对苯二酚</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TBHQ</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p>
        </w:tc>
        <w:tc>
          <w:tcPr>
            <w:tcW w:w="479" w:type="pct"/>
            <w:noWrap w:val="0"/>
            <w:vAlign w:val="center"/>
          </w:tcPr>
          <w:p w14:paraId="78D31D0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55" w:type="pct"/>
            <w:noWrap w:val="0"/>
            <w:vAlign w:val="center"/>
          </w:tcPr>
          <w:p w14:paraId="7410E98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43D573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303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3BFBC01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C115F9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C17870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2944937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2C697DD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2"/>
                <w:kern w:val="0"/>
                <w:sz w:val="21"/>
                <w:szCs w:val="21"/>
                <w:highlight w:val="none"/>
              </w:rPr>
              <w:t>其他食用植</w:t>
            </w:r>
            <w:r>
              <w:rPr>
                <w:rFonts w:hint="default" w:ascii="Times New Roman" w:hAnsi="Times New Roman" w:eastAsia="仿宋_GB2312" w:cs="Times New Roman"/>
                <w:color w:val="auto"/>
                <w:spacing w:val="9"/>
                <w:kern w:val="0"/>
                <w:sz w:val="21"/>
                <w:szCs w:val="21"/>
                <w:highlight w:val="none"/>
              </w:rPr>
              <w:t>物油</w:t>
            </w:r>
          </w:p>
        </w:tc>
        <w:tc>
          <w:tcPr>
            <w:tcW w:w="276" w:type="pct"/>
            <w:noWrap w:val="0"/>
            <w:vAlign w:val="center"/>
          </w:tcPr>
          <w:p w14:paraId="7D3330C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400317D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1"/>
                <w:kern w:val="0"/>
                <w:sz w:val="21"/>
                <w:szCs w:val="21"/>
                <w:highlight w:val="none"/>
              </w:rPr>
              <w:t>酸值/酸价、过氧化值、溶剂残留量、特丁基对苯二酚</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TBHQ</w:t>
            </w:r>
            <w:r>
              <w:rPr>
                <w:rFonts w:hint="default" w:ascii="Times New Roman" w:hAnsi="Times New Roman" w:eastAsia="仿宋_GB2312" w:cs="Times New Roman"/>
                <w:color w:val="auto"/>
                <w:spacing w:val="1"/>
                <w:kern w:val="0"/>
                <w:sz w:val="21"/>
                <w:szCs w:val="21"/>
                <w:highlight w:val="none"/>
                <w:lang w:eastAsia="zh-CN"/>
              </w:rPr>
              <w:t>）</w:t>
            </w:r>
          </w:p>
        </w:tc>
        <w:tc>
          <w:tcPr>
            <w:tcW w:w="479" w:type="pct"/>
            <w:noWrap w:val="0"/>
            <w:vAlign w:val="center"/>
          </w:tcPr>
          <w:p w14:paraId="485868C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i w:val="0"/>
                <w:iCs w:val="0"/>
                <w:color w:val="auto"/>
                <w:sz w:val="21"/>
                <w:szCs w:val="21"/>
                <w:highlight w:val="none"/>
                <w:lang w:eastAsia="zh-CN"/>
              </w:rPr>
              <w:t>总砷</w:t>
            </w:r>
            <w:r>
              <w:rPr>
                <w:rFonts w:hint="default" w:ascii="Times New Roman" w:hAnsi="Times New Roman" w:eastAsia="仿宋_GB2312" w:cs="Times New Roman"/>
                <w:i w:val="0"/>
                <w:iCs w:val="0"/>
                <w:color w:val="auto"/>
                <w:sz w:val="21"/>
                <w:szCs w:val="21"/>
                <w:highlight w:val="none"/>
                <w:lang w:val="en"/>
              </w:rPr>
              <w:t>(</w:t>
            </w:r>
            <w:r>
              <w:rPr>
                <w:rFonts w:hint="default" w:ascii="Times New Roman" w:hAnsi="Times New Roman" w:eastAsia="仿宋_GB2312" w:cs="Times New Roman"/>
                <w:i w:val="0"/>
                <w:iCs w:val="0"/>
                <w:color w:val="auto"/>
                <w:sz w:val="21"/>
                <w:szCs w:val="21"/>
                <w:highlight w:val="none"/>
                <w:lang w:val="en" w:eastAsia="zh-CN"/>
              </w:rPr>
              <w:t>以</w:t>
            </w:r>
            <w:r>
              <w:rPr>
                <w:rFonts w:hint="default" w:ascii="Times New Roman" w:hAnsi="Times New Roman" w:eastAsia="仿宋_GB2312" w:cs="Times New Roman"/>
                <w:i w:val="0"/>
                <w:iCs w:val="0"/>
                <w:color w:val="auto"/>
                <w:sz w:val="21"/>
                <w:szCs w:val="21"/>
                <w:highlight w:val="none"/>
                <w:lang w:val="en-US" w:eastAsia="zh-CN"/>
              </w:rPr>
              <w:t>As计</w:t>
            </w:r>
            <w:r>
              <w:rPr>
                <w:rFonts w:hint="default" w:ascii="Times New Roman" w:hAnsi="Times New Roman" w:eastAsia="仿宋_GB2312" w:cs="Times New Roman"/>
                <w:i w:val="0"/>
                <w:iCs w:val="0"/>
                <w:color w:val="auto"/>
                <w:sz w:val="21"/>
                <w:szCs w:val="21"/>
                <w:highlight w:val="none"/>
                <w:lang w:val="en"/>
              </w:rPr>
              <w:t>)</w:t>
            </w:r>
          </w:p>
        </w:tc>
        <w:tc>
          <w:tcPr>
            <w:tcW w:w="555" w:type="pct"/>
            <w:noWrap w:val="0"/>
            <w:vAlign w:val="center"/>
          </w:tcPr>
          <w:p w14:paraId="1AAE5BE5">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14A37C6">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72E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0219D6E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F4B4F8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2B72F68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食用动物油</w:t>
            </w:r>
            <w:r>
              <w:rPr>
                <w:rFonts w:hint="default" w:ascii="Times New Roman" w:hAnsi="Times New Roman" w:eastAsia="仿宋_GB2312" w:cs="Times New Roman"/>
                <w:color w:val="auto"/>
                <w:kern w:val="0"/>
                <w:sz w:val="21"/>
                <w:szCs w:val="21"/>
                <w:highlight w:val="none"/>
              </w:rPr>
              <w:t>脂</w:t>
            </w:r>
          </w:p>
        </w:tc>
        <w:tc>
          <w:tcPr>
            <w:tcW w:w="346" w:type="pct"/>
            <w:noWrap w:val="0"/>
            <w:vAlign w:val="center"/>
          </w:tcPr>
          <w:p w14:paraId="71AE81B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食用动物油</w:t>
            </w:r>
            <w:r>
              <w:rPr>
                <w:rFonts w:hint="default" w:ascii="Times New Roman" w:hAnsi="Times New Roman" w:eastAsia="仿宋_GB2312" w:cs="Times New Roman"/>
                <w:color w:val="auto"/>
                <w:kern w:val="0"/>
                <w:sz w:val="21"/>
                <w:szCs w:val="21"/>
                <w:highlight w:val="none"/>
              </w:rPr>
              <w:t>脂</w:t>
            </w:r>
          </w:p>
        </w:tc>
        <w:tc>
          <w:tcPr>
            <w:tcW w:w="499" w:type="pct"/>
            <w:noWrap w:val="0"/>
            <w:vAlign w:val="center"/>
          </w:tcPr>
          <w:p w14:paraId="34379BD8">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rPr>
              <w:t>食用动物油</w:t>
            </w:r>
            <w:r>
              <w:rPr>
                <w:rFonts w:hint="default" w:ascii="Times New Roman" w:hAnsi="Times New Roman" w:eastAsia="仿宋_GB2312" w:cs="Times New Roman"/>
                <w:color w:val="auto"/>
                <w:kern w:val="0"/>
                <w:sz w:val="21"/>
                <w:szCs w:val="21"/>
                <w:highlight w:val="none"/>
              </w:rPr>
              <w:t>脂</w:t>
            </w:r>
          </w:p>
        </w:tc>
        <w:tc>
          <w:tcPr>
            <w:tcW w:w="276" w:type="pct"/>
            <w:noWrap w:val="0"/>
            <w:vAlign w:val="center"/>
          </w:tcPr>
          <w:p w14:paraId="119E295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4A80CF0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1"/>
                <w:kern w:val="0"/>
                <w:sz w:val="21"/>
                <w:szCs w:val="21"/>
                <w:highlight w:val="none"/>
              </w:rPr>
              <w:t>酸价、过氧化值、丙二醛、</w:t>
            </w:r>
            <w:r>
              <w:rPr>
                <w:rFonts w:hint="default" w:ascii="Times New Roman" w:hAnsi="Times New Roman" w:eastAsia="仿宋_GB2312" w:cs="Times New Roman"/>
                <w:color w:val="auto"/>
                <w:kern w:val="0"/>
                <w:sz w:val="21"/>
                <w:szCs w:val="21"/>
                <w:highlight w:val="none"/>
              </w:rPr>
              <w:t>铅</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以Pb计</w:t>
            </w:r>
            <w:r>
              <w:rPr>
                <w:rFonts w:hint="default" w:ascii="Times New Roman" w:hAnsi="Times New Roman" w:eastAsia="仿宋_GB2312" w:cs="Times New Roman"/>
                <w:color w:val="auto"/>
                <w:kern w:val="0"/>
                <w:sz w:val="21"/>
                <w:szCs w:val="21"/>
                <w:highlight w:val="none"/>
                <w:lang w:eastAsia="zh-CN"/>
              </w:rPr>
              <w:t>）</w:t>
            </w:r>
          </w:p>
        </w:tc>
        <w:tc>
          <w:tcPr>
            <w:tcW w:w="479" w:type="pct"/>
            <w:noWrap w:val="0"/>
            <w:vAlign w:val="center"/>
          </w:tcPr>
          <w:p w14:paraId="0A8C3B9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spacing w:val="-1"/>
                <w:kern w:val="0"/>
                <w:sz w:val="21"/>
                <w:szCs w:val="21"/>
                <w:highlight w:val="none"/>
              </w:rPr>
              <w:t>苯并[a]</w:t>
            </w:r>
            <w:r>
              <w:rPr>
                <w:rFonts w:hint="default" w:ascii="Times New Roman" w:hAnsi="Times New Roman" w:eastAsia="仿宋_GB2312" w:cs="Times New Roman"/>
                <w:color w:val="auto"/>
                <w:kern w:val="0"/>
                <w:sz w:val="21"/>
                <w:szCs w:val="21"/>
                <w:highlight w:val="none"/>
              </w:rPr>
              <w:t>芘</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i w:val="0"/>
                <w:iCs w:val="0"/>
                <w:color w:val="auto"/>
                <w:sz w:val="21"/>
                <w:szCs w:val="21"/>
                <w:highlight w:val="none"/>
                <w:lang w:eastAsia="zh-CN"/>
              </w:rPr>
              <w:t>总砷</w:t>
            </w:r>
            <w:r>
              <w:rPr>
                <w:rFonts w:hint="default" w:ascii="Times New Roman" w:hAnsi="Times New Roman" w:eastAsia="仿宋_GB2312" w:cs="Times New Roman"/>
                <w:i w:val="0"/>
                <w:iCs w:val="0"/>
                <w:color w:val="auto"/>
                <w:sz w:val="21"/>
                <w:szCs w:val="21"/>
                <w:highlight w:val="none"/>
                <w:lang w:val="en"/>
              </w:rPr>
              <w:t>(</w:t>
            </w:r>
            <w:r>
              <w:rPr>
                <w:rFonts w:hint="default" w:ascii="Times New Roman" w:hAnsi="Times New Roman" w:eastAsia="仿宋_GB2312" w:cs="Times New Roman"/>
                <w:i w:val="0"/>
                <w:iCs w:val="0"/>
                <w:color w:val="auto"/>
                <w:sz w:val="21"/>
                <w:szCs w:val="21"/>
                <w:highlight w:val="none"/>
                <w:lang w:val="en" w:eastAsia="zh-CN"/>
              </w:rPr>
              <w:t>以</w:t>
            </w:r>
            <w:r>
              <w:rPr>
                <w:rFonts w:hint="default" w:ascii="Times New Roman" w:hAnsi="Times New Roman" w:eastAsia="仿宋_GB2312" w:cs="Times New Roman"/>
                <w:i w:val="0"/>
                <w:iCs w:val="0"/>
                <w:color w:val="auto"/>
                <w:sz w:val="21"/>
                <w:szCs w:val="21"/>
                <w:highlight w:val="none"/>
                <w:lang w:val="en-US" w:eastAsia="zh-CN"/>
              </w:rPr>
              <w:t>As计</w:t>
            </w:r>
            <w:r>
              <w:rPr>
                <w:rFonts w:hint="default" w:ascii="Times New Roman" w:hAnsi="Times New Roman" w:eastAsia="仿宋_GB2312" w:cs="Times New Roman"/>
                <w:i w:val="0"/>
                <w:iCs w:val="0"/>
                <w:color w:val="auto"/>
                <w:sz w:val="21"/>
                <w:szCs w:val="21"/>
                <w:highlight w:val="none"/>
                <w:lang w:val="en"/>
              </w:rPr>
              <w:t>)</w:t>
            </w:r>
          </w:p>
        </w:tc>
        <w:tc>
          <w:tcPr>
            <w:tcW w:w="555" w:type="pct"/>
            <w:noWrap w:val="0"/>
            <w:vAlign w:val="center"/>
          </w:tcPr>
          <w:p w14:paraId="5D74F14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D955DA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D14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61F6AF98">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8B4E4C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0AF5479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lang w:eastAsia="zh-CN"/>
              </w:rPr>
              <w:t>食用油脂制品</w:t>
            </w:r>
          </w:p>
        </w:tc>
        <w:tc>
          <w:tcPr>
            <w:tcW w:w="346" w:type="pct"/>
            <w:noWrap w:val="0"/>
            <w:vAlign w:val="center"/>
          </w:tcPr>
          <w:p w14:paraId="086C3857">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lang w:eastAsia="zh-CN"/>
              </w:rPr>
              <w:t>食用油脂制品</w:t>
            </w:r>
          </w:p>
        </w:tc>
        <w:tc>
          <w:tcPr>
            <w:tcW w:w="499" w:type="pct"/>
            <w:noWrap w:val="0"/>
            <w:vAlign w:val="center"/>
          </w:tcPr>
          <w:p w14:paraId="06FF4E3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3"/>
                <w:kern w:val="0"/>
                <w:sz w:val="21"/>
                <w:szCs w:val="21"/>
                <w:highlight w:val="none"/>
                <w:lang w:eastAsia="zh-CN"/>
              </w:rPr>
              <w:t>食用油脂制品</w:t>
            </w:r>
          </w:p>
        </w:tc>
        <w:tc>
          <w:tcPr>
            <w:tcW w:w="276" w:type="pct"/>
            <w:noWrap w:val="0"/>
            <w:vAlign w:val="center"/>
          </w:tcPr>
          <w:p w14:paraId="79E12EE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lang w:eastAsia="zh-CN"/>
              </w:rPr>
              <w:t>较</w:t>
            </w: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53C0BDE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1"/>
                <w:kern w:val="0"/>
                <w:sz w:val="21"/>
                <w:szCs w:val="21"/>
                <w:highlight w:val="none"/>
              </w:rPr>
              <w:t>酸价</w:t>
            </w:r>
            <w:r>
              <w:rPr>
                <w:rFonts w:hint="default" w:ascii="Times New Roman" w:hAnsi="Times New Roman" w:eastAsia="仿宋_GB2312" w:cs="Times New Roman"/>
                <w:color w:val="auto"/>
                <w:spacing w:val="1"/>
                <w:kern w:val="0"/>
                <w:sz w:val="21"/>
                <w:szCs w:val="21"/>
                <w:highlight w:val="none"/>
                <w:lang w:eastAsia="zh-CN"/>
              </w:rPr>
              <w:t>（以脂肪计）</w:t>
            </w:r>
            <w:r>
              <w:rPr>
                <w:rFonts w:hint="default" w:ascii="Times New Roman" w:hAnsi="Times New Roman" w:eastAsia="仿宋_GB2312" w:cs="Times New Roman"/>
                <w:color w:val="auto"/>
                <w:spacing w:val="1"/>
                <w:kern w:val="0"/>
                <w:sz w:val="21"/>
                <w:szCs w:val="21"/>
                <w:highlight w:val="none"/>
              </w:rPr>
              <w:t>、过氧化值</w:t>
            </w:r>
            <w:r>
              <w:rPr>
                <w:rFonts w:hint="default" w:ascii="Times New Roman" w:hAnsi="Times New Roman" w:eastAsia="仿宋_GB2312" w:cs="Times New Roman"/>
                <w:color w:val="auto"/>
                <w:spacing w:val="1"/>
                <w:kern w:val="0"/>
                <w:sz w:val="21"/>
                <w:szCs w:val="21"/>
                <w:highlight w:val="none"/>
                <w:lang w:eastAsia="zh-CN"/>
              </w:rPr>
              <w:t>（以脂肪计）</w:t>
            </w:r>
            <w:r>
              <w:rPr>
                <w:rFonts w:hint="default" w:ascii="Times New Roman" w:hAnsi="Times New Roman" w:eastAsia="仿宋_GB2312" w:cs="Times New Roman"/>
                <w:color w:val="auto"/>
                <w:spacing w:val="1"/>
                <w:kern w:val="0"/>
                <w:sz w:val="21"/>
                <w:szCs w:val="21"/>
                <w:highlight w:val="none"/>
              </w:rPr>
              <w:t>、</w:t>
            </w:r>
            <w:r>
              <w:rPr>
                <w:rFonts w:hint="default" w:ascii="Times New Roman" w:hAnsi="Times New Roman" w:eastAsia="仿宋_GB2312" w:cs="Times New Roman"/>
                <w:color w:val="auto"/>
                <w:spacing w:val="1"/>
                <w:kern w:val="0"/>
                <w:sz w:val="21"/>
                <w:szCs w:val="21"/>
                <w:highlight w:val="none"/>
                <w:lang w:eastAsia="zh-CN"/>
              </w:rPr>
              <w:t>大肠菌群、霉菌</w:t>
            </w:r>
          </w:p>
        </w:tc>
        <w:tc>
          <w:tcPr>
            <w:tcW w:w="479" w:type="pct"/>
            <w:noWrap w:val="0"/>
            <w:vAlign w:val="center"/>
          </w:tcPr>
          <w:p w14:paraId="6B3A5C3A">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eastAsia="zh-CN"/>
              </w:rPr>
              <w:t>铅</w:t>
            </w:r>
            <w:r>
              <w:rPr>
                <w:rFonts w:hint="default" w:ascii="Times New Roman" w:hAnsi="Times New Roman" w:eastAsia="仿宋_GB2312" w:cs="Times New Roman"/>
                <w:color w:val="auto"/>
                <w:kern w:val="0"/>
                <w:sz w:val="21"/>
                <w:szCs w:val="21"/>
                <w:highlight w:val="none"/>
                <w:lang w:val="en"/>
              </w:rPr>
              <w:t>(</w:t>
            </w:r>
            <w:r>
              <w:rPr>
                <w:rFonts w:hint="default" w:ascii="Times New Roman" w:hAnsi="Times New Roman" w:eastAsia="仿宋_GB2312" w:cs="Times New Roman"/>
                <w:color w:val="auto"/>
                <w:kern w:val="0"/>
                <w:sz w:val="21"/>
                <w:szCs w:val="21"/>
                <w:highlight w:val="none"/>
                <w:lang w:val="en" w:eastAsia="zh-CN"/>
              </w:rPr>
              <w:t>以</w:t>
            </w:r>
            <w:r>
              <w:rPr>
                <w:rFonts w:hint="default" w:ascii="Times New Roman" w:hAnsi="Times New Roman" w:eastAsia="仿宋_GB2312" w:cs="Times New Roman"/>
                <w:color w:val="auto"/>
                <w:kern w:val="0"/>
                <w:sz w:val="21"/>
                <w:szCs w:val="21"/>
                <w:highlight w:val="none"/>
                <w:lang w:val="en-US" w:eastAsia="zh-CN"/>
              </w:rPr>
              <w:t>Pb计</w:t>
            </w:r>
            <w:r>
              <w:rPr>
                <w:rFonts w:hint="default" w:ascii="Times New Roman" w:hAnsi="Times New Roman" w:eastAsia="仿宋_GB2312" w:cs="Times New Roman"/>
                <w:color w:val="auto"/>
                <w:kern w:val="0"/>
                <w:sz w:val="21"/>
                <w:szCs w:val="21"/>
                <w:highlight w:val="none"/>
                <w:lang w:val="en"/>
              </w:rPr>
              <w:t>)</w:t>
            </w:r>
            <w:r>
              <w:rPr>
                <w:rFonts w:hint="default" w:ascii="Times New Roman" w:hAnsi="Times New Roman" w:eastAsia="仿宋_GB2312" w:cs="Times New Roman"/>
                <w:color w:val="auto"/>
                <w:kern w:val="0"/>
                <w:sz w:val="21"/>
                <w:szCs w:val="21"/>
                <w:highlight w:val="none"/>
                <w:lang w:val="en" w:eastAsia="zh-CN"/>
              </w:rPr>
              <w:t>、</w:t>
            </w:r>
            <w:r>
              <w:rPr>
                <w:rFonts w:hint="default" w:ascii="Times New Roman" w:hAnsi="Times New Roman" w:eastAsia="仿宋_GB2312" w:cs="Times New Roman"/>
                <w:color w:val="auto"/>
                <w:kern w:val="0"/>
                <w:sz w:val="21"/>
                <w:szCs w:val="21"/>
                <w:highlight w:val="none"/>
                <w:lang w:eastAsia="zh-CN"/>
              </w:rPr>
              <w:t>总砷</w:t>
            </w:r>
            <w:r>
              <w:rPr>
                <w:rFonts w:hint="default" w:ascii="Times New Roman" w:hAnsi="Times New Roman" w:eastAsia="仿宋_GB2312" w:cs="Times New Roman"/>
                <w:color w:val="auto"/>
                <w:kern w:val="0"/>
                <w:sz w:val="21"/>
                <w:szCs w:val="21"/>
                <w:highlight w:val="none"/>
                <w:lang w:val="en"/>
              </w:rPr>
              <w:t>(</w:t>
            </w:r>
            <w:r>
              <w:rPr>
                <w:rFonts w:hint="default" w:ascii="Times New Roman" w:hAnsi="Times New Roman" w:eastAsia="仿宋_GB2312" w:cs="Times New Roman"/>
                <w:color w:val="auto"/>
                <w:kern w:val="0"/>
                <w:sz w:val="21"/>
                <w:szCs w:val="21"/>
                <w:highlight w:val="none"/>
                <w:lang w:val="en" w:eastAsia="zh-CN"/>
              </w:rPr>
              <w:t>以</w:t>
            </w:r>
            <w:r>
              <w:rPr>
                <w:rFonts w:hint="default" w:ascii="Times New Roman" w:hAnsi="Times New Roman" w:eastAsia="仿宋_GB2312" w:cs="Times New Roman"/>
                <w:color w:val="auto"/>
                <w:kern w:val="0"/>
                <w:sz w:val="21"/>
                <w:szCs w:val="21"/>
                <w:highlight w:val="none"/>
                <w:lang w:val="en-US" w:eastAsia="zh-CN"/>
              </w:rPr>
              <w:t>As计</w:t>
            </w:r>
            <w:r>
              <w:rPr>
                <w:rFonts w:hint="default" w:ascii="Times New Roman" w:hAnsi="Times New Roman" w:eastAsia="仿宋_GB2312" w:cs="Times New Roman"/>
                <w:color w:val="auto"/>
                <w:kern w:val="0"/>
                <w:sz w:val="21"/>
                <w:szCs w:val="21"/>
                <w:highlight w:val="none"/>
                <w:lang w:val="en"/>
              </w:rPr>
              <w:t>)</w:t>
            </w:r>
          </w:p>
        </w:tc>
        <w:tc>
          <w:tcPr>
            <w:tcW w:w="555" w:type="pct"/>
            <w:noWrap w:val="0"/>
            <w:vAlign w:val="center"/>
          </w:tcPr>
          <w:p w14:paraId="71C03AC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412185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52A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210" w:type="pct"/>
            <w:vMerge w:val="restart"/>
            <w:noWrap w:val="0"/>
            <w:vAlign w:val="center"/>
          </w:tcPr>
          <w:p w14:paraId="725F22BD">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3</w:t>
            </w:r>
          </w:p>
        </w:tc>
        <w:tc>
          <w:tcPr>
            <w:tcW w:w="320" w:type="pct"/>
            <w:vMerge w:val="restart"/>
            <w:noWrap w:val="0"/>
            <w:vAlign w:val="center"/>
          </w:tcPr>
          <w:p w14:paraId="651F445E">
            <w:pPr>
              <w:pageBreakBefore w:val="0"/>
              <w:widowControl/>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lang w:val="en-US" w:eastAsia="zh-CN"/>
              </w:rPr>
              <w:t>调味品</w:t>
            </w:r>
          </w:p>
        </w:tc>
        <w:tc>
          <w:tcPr>
            <w:tcW w:w="324" w:type="pct"/>
            <w:noWrap w:val="0"/>
            <w:vAlign w:val="center"/>
          </w:tcPr>
          <w:p w14:paraId="36C93162">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酱油</w:t>
            </w:r>
          </w:p>
        </w:tc>
        <w:tc>
          <w:tcPr>
            <w:tcW w:w="346" w:type="pct"/>
            <w:noWrap w:val="0"/>
            <w:vAlign w:val="center"/>
          </w:tcPr>
          <w:p w14:paraId="244DD42A">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酱油</w:t>
            </w:r>
          </w:p>
        </w:tc>
        <w:tc>
          <w:tcPr>
            <w:tcW w:w="499" w:type="pct"/>
            <w:noWrap w:val="0"/>
            <w:vAlign w:val="center"/>
          </w:tcPr>
          <w:p w14:paraId="13F32830">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酱油</w:t>
            </w:r>
          </w:p>
        </w:tc>
        <w:tc>
          <w:tcPr>
            <w:tcW w:w="276" w:type="pct"/>
            <w:noWrap w:val="0"/>
            <w:vAlign w:val="center"/>
          </w:tcPr>
          <w:p w14:paraId="5C5BB3F0">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64CBFAA3">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w:t>
            </w:r>
          </w:p>
        </w:tc>
        <w:tc>
          <w:tcPr>
            <w:tcW w:w="479" w:type="pct"/>
            <w:noWrap w:val="0"/>
            <w:vAlign w:val="center"/>
          </w:tcPr>
          <w:p w14:paraId="25AB10FF">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糖精钠（以糖精计）、三氯蔗糖、甜蜜素（以环己基氨基磺酸计）、菌落总数、大肠菌群</w:t>
            </w:r>
          </w:p>
        </w:tc>
        <w:tc>
          <w:tcPr>
            <w:tcW w:w="555" w:type="pct"/>
            <w:noWrap w:val="0"/>
            <w:vAlign w:val="center"/>
          </w:tcPr>
          <w:p w14:paraId="2BCA01A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C5D88B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A20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210" w:type="pct"/>
            <w:vMerge w:val="continue"/>
            <w:noWrap w:val="0"/>
            <w:vAlign w:val="center"/>
          </w:tcPr>
          <w:p w14:paraId="7F1B900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93470E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228F9F2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食醋</w:t>
            </w:r>
          </w:p>
        </w:tc>
        <w:tc>
          <w:tcPr>
            <w:tcW w:w="346" w:type="pct"/>
            <w:noWrap w:val="0"/>
            <w:vAlign w:val="center"/>
          </w:tcPr>
          <w:p w14:paraId="71E347ED">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食醋</w:t>
            </w:r>
          </w:p>
        </w:tc>
        <w:tc>
          <w:tcPr>
            <w:tcW w:w="499" w:type="pct"/>
            <w:noWrap w:val="0"/>
            <w:vAlign w:val="center"/>
          </w:tcPr>
          <w:p w14:paraId="6E94204F">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食醋</w:t>
            </w:r>
          </w:p>
        </w:tc>
        <w:tc>
          <w:tcPr>
            <w:tcW w:w="276" w:type="pct"/>
            <w:noWrap w:val="0"/>
            <w:vAlign w:val="center"/>
          </w:tcPr>
          <w:p w14:paraId="398DF53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7853DA88">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总酸（以乙酸计）、不挥发酸（以乳酸计）、苯甲酸及其钠盐（以苯甲酸计）、山梨酸及其钾盐（以山梨酸计）、脱氢乙酸及其钠盐（以脱氢乙酸计）、防腐剂混合使用时各自用量占其最大使用量的比例之和、菌落总数</w:t>
            </w:r>
          </w:p>
        </w:tc>
        <w:tc>
          <w:tcPr>
            <w:tcW w:w="479" w:type="pct"/>
            <w:noWrap w:val="0"/>
            <w:vAlign w:val="center"/>
          </w:tcPr>
          <w:p w14:paraId="64A0D54B">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对羟基苯甲酸酯类及其钠盐（以对羟基苯甲酸计）、糖精钠（以糖精计）、三氯蔗糖、甜蜜素（以环己基氨基磺酸计）</w:t>
            </w:r>
          </w:p>
        </w:tc>
        <w:tc>
          <w:tcPr>
            <w:tcW w:w="555" w:type="pct"/>
            <w:noWrap w:val="0"/>
            <w:vAlign w:val="center"/>
          </w:tcPr>
          <w:p w14:paraId="43ED0C9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022F0E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C58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210" w:type="pct"/>
            <w:vMerge w:val="continue"/>
            <w:noWrap w:val="0"/>
            <w:vAlign w:val="center"/>
          </w:tcPr>
          <w:p w14:paraId="417BDFC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B8A65E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08900326">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酱类</w:t>
            </w:r>
          </w:p>
        </w:tc>
        <w:tc>
          <w:tcPr>
            <w:tcW w:w="346" w:type="pct"/>
            <w:noWrap w:val="0"/>
            <w:vAlign w:val="center"/>
          </w:tcPr>
          <w:p w14:paraId="7201932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酱类</w:t>
            </w:r>
          </w:p>
        </w:tc>
        <w:tc>
          <w:tcPr>
            <w:tcW w:w="499" w:type="pct"/>
            <w:noWrap w:val="0"/>
            <w:vAlign w:val="center"/>
          </w:tcPr>
          <w:p w14:paraId="2953AB31">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黄豆酱、甜面酱等</w:t>
            </w:r>
          </w:p>
        </w:tc>
        <w:tc>
          <w:tcPr>
            <w:tcW w:w="276" w:type="pct"/>
            <w:noWrap w:val="0"/>
            <w:vAlign w:val="center"/>
          </w:tcPr>
          <w:p w14:paraId="1A28400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6384812B">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氨基酸态氮、</w:t>
            </w:r>
            <w:r>
              <w:rPr>
                <w:rFonts w:hint="default" w:ascii="Times New Roman" w:hAnsi="Times New Roman" w:eastAsia="仿宋_GB2312" w:cs="Times New Roman"/>
                <w:color w:val="auto"/>
                <w:spacing w:val="3"/>
                <w:kern w:val="0"/>
                <w:sz w:val="21"/>
                <w:szCs w:val="21"/>
                <w:highlight w:val="none"/>
              </w:rPr>
              <w:t>黄曲霉毒素B</w:t>
            </w:r>
            <w:r>
              <w:rPr>
                <w:rFonts w:hint="eastAsia" w:ascii="Times New Roman" w:hAnsi="Times New Roman" w:eastAsia="仿宋_GB2312" w:cs="Times New Roman"/>
                <w:color w:val="auto"/>
                <w:spacing w:val="3"/>
                <w:kern w:val="0"/>
                <w:sz w:val="21"/>
                <w:szCs w:val="21"/>
                <w:highlight w:val="none"/>
                <w:vertAlign w:val="subscript"/>
                <w:lang w:val="en-US" w:eastAsia="zh-CN"/>
              </w:rPr>
              <w:t>1</w:t>
            </w:r>
            <w:r>
              <w:rPr>
                <w:rFonts w:hint="default" w:ascii="Times New Roman" w:hAnsi="Times New Roman" w:eastAsia="仿宋_GB2312" w:cs="Times New Roman"/>
                <w:color w:val="auto"/>
                <w:kern w:val="0"/>
                <w:sz w:val="21"/>
                <w:szCs w:val="21"/>
                <w:highlight w:val="none"/>
              </w:rPr>
              <w:t>、苯甲酸及其钠盐（以苯甲酸计）、山梨酸及其钾盐（以山梨酸计）、脱氢乙酸及其钠盐（以脱氢乙酸计）、防腐剂混合使用时各自用量占其最大使用量的比例之和</w:t>
            </w:r>
          </w:p>
        </w:tc>
        <w:tc>
          <w:tcPr>
            <w:tcW w:w="479" w:type="pct"/>
            <w:noWrap w:val="0"/>
            <w:vAlign w:val="center"/>
          </w:tcPr>
          <w:p w14:paraId="6F9CA7C7">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糖精钠（以糖精计）、三氯蔗糖、甜蜜素（以环己基氨基磺酸计）、安赛蜜、大肠菌群</w:t>
            </w:r>
          </w:p>
        </w:tc>
        <w:tc>
          <w:tcPr>
            <w:tcW w:w="555" w:type="pct"/>
            <w:noWrap w:val="0"/>
            <w:vAlign w:val="center"/>
          </w:tcPr>
          <w:p w14:paraId="5FC71C94">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947B4D1">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C9B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75DDCD1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E7D13E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62A1F881">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调味料酒</w:t>
            </w:r>
          </w:p>
        </w:tc>
        <w:tc>
          <w:tcPr>
            <w:tcW w:w="346" w:type="pct"/>
            <w:noWrap w:val="0"/>
            <w:vAlign w:val="center"/>
          </w:tcPr>
          <w:p w14:paraId="3438A61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调味料酒</w:t>
            </w:r>
          </w:p>
        </w:tc>
        <w:tc>
          <w:tcPr>
            <w:tcW w:w="499" w:type="pct"/>
            <w:noWrap w:val="0"/>
            <w:vAlign w:val="center"/>
          </w:tcPr>
          <w:p w14:paraId="66B3EB34">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料酒</w:t>
            </w:r>
          </w:p>
        </w:tc>
        <w:tc>
          <w:tcPr>
            <w:tcW w:w="276" w:type="pct"/>
            <w:noWrap w:val="0"/>
            <w:vAlign w:val="center"/>
          </w:tcPr>
          <w:p w14:paraId="68713A3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08A3673D">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氨基酸态氮（以氮计）、苯甲酸及其钠盐（以苯甲酸计）、山梨酸及其钾盐（以山梨酸计）、脱氢乙酸及其钠盐（以脱氢乙酸计）、甜蜜素（以环己基氨基磺酸计）、三氯蔗糖</w:t>
            </w:r>
          </w:p>
        </w:tc>
        <w:tc>
          <w:tcPr>
            <w:tcW w:w="479" w:type="pct"/>
            <w:noWrap w:val="0"/>
            <w:vAlign w:val="center"/>
          </w:tcPr>
          <w:p w14:paraId="2272D43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3299568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5C1D8F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875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5FAD94D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5BF44C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restart"/>
            <w:noWrap w:val="0"/>
            <w:vAlign w:val="center"/>
          </w:tcPr>
          <w:p w14:paraId="328270D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香辛料类</w:t>
            </w:r>
          </w:p>
        </w:tc>
        <w:tc>
          <w:tcPr>
            <w:tcW w:w="346" w:type="pct"/>
            <w:vMerge w:val="restart"/>
            <w:noWrap w:val="0"/>
            <w:vAlign w:val="center"/>
          </w:tcPr>
          <w:p w14:paraId="1E8093E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香辛料类</w:t>
            </w:r>
          </w:p>
        </w:tc>
        <w:tc>
          <w:tcPr>
            <w:tcW w:w="499" w:type="pct"/>
            <w:noWrap w:val="0"/>
            <w:vAlign w:val="center"/>
          </w:tcPr>
          <w:p w14:paraId="6D9572E4">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香辛料调味油</w:t>
            </w:r>
          </w:p>
        </w:tc>
        <w:tc>
          <w:tcPr>
            <w:tcW w:w="276" w:type="pct"/>
            <w:noWrap w:val="0"/>
            <w:vAlign w:val="center"/>
          </w:tcPr>
          <w:p w14:paraId="2F118B12">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18C91C01">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酸价/酸值、过氧化值、铅（以Pb计）</w:t>
            </w:r>
          </w:p>
        </w:tc>
        <w:tc>
          <w:tcPr>
            <w:tcW w:w="479" w:type="pct"/>
            <w:noWrap w:val="0"/>
            <w:vAlign w:val="center"/>
          </w:tcPr>
          <w:p w14:paraId="300AE042">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0FA9D94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DA1251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432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4052B470">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088B56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B5D33A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4723B33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08F540FB">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辣椒、花椒、辣椒粉、花椒粉</w:t>
            </w:r>
          </w:p>
        </w:tc>
        <w:tc>
          <w:tcPr>
            <w:tcW w:w="276" w:type="pct"/>
            <w:noWrap w:val="0"/>
            <w:vAlign w:val="center"/>
          </w:tcPr>
          <w:p w14:paraId="0D18B2E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较高</w:t>
            </w:r>
          </w:p>
        </w:tc>
        <w:tc>
          <w:tcPr>
            <w:tcW w:w="1303" w:type="pct"/>
            <w:noWrap w:val="0"/>
            <w:vAlign w:val="center"/>
          </w:tcPr>
          <w:p w14:paraId="421B5C90">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铅（以Pb计）、罗丹明B、苏丹红I、苏丹红II、苏丹红III、苏丹红IV、山梨酸及其钾盐（以山梨酸计）、二氧化硫残留量、合成着色剂（柠檬黄、日落黄、胭脂红）</w:t>
            </w:r>
          </w:p>
        </w:tc>
        <w:tc>
          <w:tcPr>
            <w:tcW w:w="479" w:type="pct"/>
            <w:noWrap w:val="0"/>
            <w:vAlign w:val="center"/>
          </w:tcPr>
          <w:p w14:paraId="26B0D9B2">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脱氢乙酸及其钠盐（以脱氢乙酸计）、沙门氏菌</w:t>
            </w:r>
          </w:p>
        </w:tc>
        <w:tc>
          <w:tcPr>
            <w:tcW w:w="555" w:type="pct"/>
            <w:noWrap w:val="0"/>
            <w:vAlign w:val="center"/>
          </w:tcPr>
          <w:p w14:paraId="7CD63D2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337501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3F3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210" w:type="pct"/>
            <w:vMerge w:val="continue"/>
            <w:noWrap w:val="0"/>
            <w:vAlign w:val="center"/>
          </w:tcPr>
          <w:p w14:paraId="4EAECF5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47AAE38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37C136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114AFBA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67DEC869">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其他香辛料调味品</w:t>
            </w:r>
          </w:p>
        </w:tc>
        <w:tc>
          <w:tcPr>
            <w:tcW w:w="276" w:type="pct"/>
            <w:noWrap w:val="0"/>
            <w:vAlign w:val="center"/>
          </w:tcPr>
          <w:p w14:paraId="13AA8EA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较高</w:t>
            </w:r>
          </w:p>
        </w:tc>
        <w:tc>
          <w:tcPr>
            <w:tcW w:w="1303" w:type="pct"/>
            <w:noWrap w:val="0"/>
            <w:vAlign w:val="center"/>
          </w:tcPr>
          <w:p w14:paraId="3DB070F5">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铅（以Pb计）、氯氰菊酯和高效氯氰菊酯、二氧化硫残留量、合成着色剂（柠檬黄、日落黄、苋菜红、胭脂红、亮蓝）、多菌灵、克百威</w:t>
            </w:r>
          </w:p>
        </w:tc>
        <w:tc>
          <w:tcPr>
            <w:tcW w:w="479" w:type="pct"/>
            <w:noWrap w:val="0"/>
            <w:vAlign w:val="center"/>
          </w:tcPr>
          <w:p w14:paraId="028117E4">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丙溴磷、甜蜜素（以环己基氨基磺酸计）、脱氢乙酸及其钠盐（以脱氢乙酸计）、毒死蜱、沙门氏菌</w:t>
            </w:r>
          </w:p>
        </w:tc>
        <w:tc>
          <w:tcPr>
            <w:tcW w:w="555" w:type="pct"/>
            <w:noWrap w:val="0"/>
            <w:vAlign w:val="center"/>
          </w:tcPr>
          <w:p w14:paraId="131702E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18FD49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62D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210" w:type="pct"/>
            <w:vMerge w:val="continue"/>
            <w:noWrap w:val="0"/>
            <w:vAlign w:val="center"/>
          </w:tcPr>
          <w:p w14:paraId="08775AFF">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468791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restart"/>
            <w:noWrap w:val="0"/>
            <w:vAlign w:val="center"/>
          </w:tcPr>
          <w:p w14:paraId="702C78D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调味料</w:t>
            </w:r>
          </w:p>
        </w:tc>
        <w:tc>
          <w:tcPr>
            <w:tcW w:w="346" w:type="pct"/>
            <w:vMerge w:val="restart"/>
            <w:noWrap w:val="0"/>
            <w:vAlign w:val="center"/>
          </w:tcPr>
          <w:p w14:paraId="39DE481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固体复合调味料</w:t>
            </w:r>
          </w:p>
        </w:tc>
        <w:tc>
          <w:tcPr>
            <w:tcW w:w="499" w:type="pct"/>
            <w:noWrap w:val="0"/>
            <w:vAlign w:val="center"/>
          </w:tcPr>
          <w:p w14:paraId="18B0BD5B">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鸡粉、鸡精调味料</w:t>
            </w:r>
          </w:p>
        </w:tc>
        <w:tc>
          <w:tcPr>
            <w:tcW w:w="276" w:type="pct"/>
            <w:noWrap w:val="0"/>
            <w:vAlign w:val="center"/>
          </w:tcPr>
          <w:p w14:paraId="6FD7793D">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017FEBF">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谷氨酸钠、呈味核苷酸二钠、铅（以Pb计）、糖精钠（以糖精计）、甜蜜素（以环己基氨基磺酸计）、总氮（以N计）</w:t>
            </w:r>
          </w:p>
        </w:tc>
        <w:tc>
          <w:tcPr>
            <w:tcW w:w="479" w:type="pct"/>
            <w:noWrap w:val="0"/>
            <w:vAlign w:val="center"/>
          </w:tcPr>
          <w:p w14:paraId="3D616B4F">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安赛蜜、菌落总数、大肠菌群</w:t>
            </w:r>
          </w:p>
        </w:tc>
        <w:tc>
          <w:tcPr>
            <w:tcW w:w="555" w:type="pct"/>
            <w:noWrap w:val="0"/>
            <w:vAlign w:val="center"/>
          </w:tcPr>
          <w:p w14:paraId="4CC5E794">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44A4A8F">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FC4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4" w:hRule="atLeast"/>
        </w:trPr>
        <w:tc>
          <w:tcPr>
            <w:tcW w:w="210" w:type="pct"/>
            <w:vMerge w:val="continue"/>
            <w:noWrap w:val="0"/>
            <w:vAlign w:val="center"/>
          </w:tcPr>
          <w:p w14:paraId="09E5B34D">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260F4E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90C828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56FCEDF8">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444ABBE8">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其他固体调味料</w:t>
            </w:r>
          </w:p>
        </w:tc>
        <w:tc>
          <w:tcPr>
            <w:tcW w:w="276" w:type="pct"/>
            <w:noWrap w:val="0"/>
            <w:vAlign w:val="center"/>
          </w:tcPr>
          <w:p w14:paraId="072D331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F215620">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铅（以Pb计）、苏丹红I、苏丹红II、苏丹红III、苏丹红IV、罂粟碱、糖精钠（以糖精计）、甜蜜素（以环己基氨基磺酸计）、二氧化硫残留量</w:t>
            </w:r>
          </w:p>
        </w:tc>
        <w:tc>
          <w:tcPr>
            <w:tcW w:w="479" w:type="pct"/>
            <w:noWrap w:val="0"/>
            <w:vAlign w:val="center"/>
          </w:tcPr>
          <w:p w14:paraId="08D3A775">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吗啡、可待因、那可丁、苯甲酸及其钠盐（以苯甲酸计）、山梨酸及其钾盐（以山梨酸计）、脱氢乙酸及其钠盐（以脱氢乙酸计）、防腐剂混合使用时各自用量占其最大使用量的比例之和、安赛蜜、阿斯巴甜</w:t>
            </w:r>
          </w:p>
        </w:tc>
        <w:tc>
          <w:tcPr>
            <w:tcW w:w="555" w:type="pct"/>
            <w:noWrap w:val="0"/>
            <w:vAlign w:val="center"/>
          </w:tcPr>
          <w:p w14:paraId="013B442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6FAFC5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03A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 w:hRule="atLeast"/>
        </w:trPr>
        <w:tc>
          <w:tcPr>
            <w:tcW w:w="210" w:type="pct"/>
            <w:vMerge w:val="continue"/>
            <w:noWrap w:val="0"/>
            <w:vAlign w:val="center"/>
          </w:tcPr>
          <w:p w14:paraId="243E471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08AED1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B17B37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restart"/>
            <w:noWrap w:val="0"/>
            <w:vAlign w:val="center"/>
          </w:tcPr>
          <w:p w14:paraId="131F41FB">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半固体复合调味料</w:t>
            </w:r>
          </w:p>
        </w:tc>
        <w:tc>
          <w:tcPr>
            <w:tcW w:w="499" w:type="pct"/>
            <w:noWrap w:val="0"/>
            <w:vAlign w:val="center"/>
          </w:tcPr>
          <w:p w14:paraId="2D109330">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蛋黄酱、沙拉酱</w:t>
            </w:r>
          </w:p>
        </w:tc>
        <w:tc>
          <w:tcPr>
            <w:tcW w:w="276" w:type="pct"/>
            <w:noWrap w:val="0"/>
            <w:vAlign w:val="center"/>
          </w:tcPr>
          <w:p w14:paraId="5E4480D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23ADCCC">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二氧化钛、合成着色剂（柠檬黄、日落黄）</w:t>
            </w:r>
          </w:p>
        </w:tc>
        <w:tc>
          <w:tcPr>
            <w:tcW w:w="479" w:type="pct"/>
            <w:noWrap w:val="0"/>
            <w:vAlign w:val="center"/>
          </w:tcPr>
          <w:p w14:paraId="780201C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21D0B41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38EEB9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A4C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1A66E03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AC2236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40C9CFF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37CD1A1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773DCB94">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坚果与籽类的泥（酱）</w:t>
            </w:r>
          </w:p>
        </w:tc>
        <w:tc>
          <w:tcPr>
            <w:tcW w:w="276" w:type="pct"/>
            <w:noWrap w:val="0"/>
            <w:vAlign w:val="center"/>
          </w:tcPr>
          <w:p w14:paraId="4473F70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2A3DB7A">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酸价/酸值、过氧化值、铅（以Pb计）、黄曲霉毒素B</w:t>
            </w:r>
            <w:r>
              <w:rPr>
                <w:rFonts w:hint="default" w:ascii="Times New Roman" w:hAnsi="Times New Roman" w:eastAsia="仿宋_GB2312" w:cs="Times New Roman"/>
                <w:color w:val="auto"/>
                <w:kern w:val="0"/>
                <w:sz w:val="21"/>
                <w:szCs w:val="21"/>
                <w:highlight w:val="none"/>
                <w:vertAlign w:val="subscript"/>
              </w:rPr>
              <w:t>1</w:t>
            </w:r>
          </w:p>
        </w:tc>
        <w:tc>
          <w:tcPr>
            <w:tcW w:w="479" w:type="pct"/>
            <w:noWrap w:val="0"/>
            <w:vAlign w:val="center"/>
          </w:tcPr>
          <w:p w14:paraId="73DBB5B1">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33FCF28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9D5B43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A26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0E3E578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41AD6B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226E18A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244CB10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06522AE4">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辣椒酱</w:t>
            </w:r>
          </w:p>
        </w:tc>
        <w:tc>
          <w:tcPr>
            <w:tcW w:w="276" w:type="pct"/>
            <w:noWrap w:val="0"/>
            <w:vAlign w:val="center"/>
          </w:tcPr>
          <w:p w14:paraId="65CB586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7B7C3A0D">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479" w:type="pct"/>
            <w:noWrap w:val="0"/>
            <w:vAlign w:val="center"/>
          </w:tcPr>
          <w:p w14:paraId="66A36053">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0C9E26A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49ECF9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6DA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4B49FFA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D3483F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441109E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21121A4B">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374AE0C2">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火锅底料、麻辣烫底料</w:t>
            </w:r>
          </w:p>
        </w:tc>
        <w:tc>
          <w:tcPr>
            <w:tcW w:w="276" w:type="pct"/>
            <w:noWrap w:val="0"/>
            <w:vAlign w:val="center"/>
          </w:tcPr>
          <w:p w14:paraId="35CB7CE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7724BE9E">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罂粟碱、吗啡、可待因、那可丁、苏丹红I、苏丹红II、苏丹红III、苏丹红IV、苯甲酸及其钠盐（以苯甲酸计）、山梨酸及其钾盐（以山梨酸计）、防腐剂混合使用时各自用量占其最大使用量的比例之和</w:t>
            </w:r>
          </w:p>
        </w:tc>
        <w:tc>
          <w:tcPr>
            <w:tcW w:w="479" w:type="pct"/>
            <w:noWrap w:val="0"/>
            <w:vAlign w:val="center"/>
          </w:tcPr>
          <w:p w14:paraId="7308DAAA">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脱氢乙酸及其钠盐（以脱氢乙酸计）</w:t>
            </w:r>
          </w:p>
        </w:tc>
        <w:tc>
          <w:tcPr>
            <w:tcW w:w="555" w:type="pct"/>
            <w:noWrap w:val="0"/>
            <w:vAlign w:val="center"/>
          </w:tcPr>
          <w:p w14:paraId="6D9C9306">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E48CBED">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00D0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699B4D9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666BF76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06D468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1E520EB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5ADB1415">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其他半固体调味料</w:t>
            </w:r>
          </w:p>
        </w:tc>
        <w:tc>
          <w:tcPr>
            <w:tcW w:w="276" w:type="pct"/>
            <w:noWrap w:val="0"/>
            <w:vAlign w:val="center"/>
          </w:tcPr>
          <w:p w14:paraId="7C13B5B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B7194D0">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铅（以Pb计）、苯甲酸及其钠盐（以苯甲酸计）、山梨酸及其钾盐（以山梨酸计）、脱氢乙酸及其钠盐（以脱氢乙酸计）、防腐剂混合使用时各自用量占其最大使用量的比例之和、安赛蜜</w:t>
            </w:r>
          </w:p>
        </w:tc>
        <w:tc>
          <w:tcPr>
            <w:tcW w:w="479" w:type="pct"/>
            <w:noWrap w:val="0"/>
            <w:vAlign w:val="center"/>
          </w:tcPr>
          <w:p w14:paraId="6C9CD6C1">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罗丹明B、罂粟碱、吗啡、可待因、那可丁、甜蜜素（以环己基氨基磺酸计）</w:t>
            </w:r>
          </w:p>
        </w:tc>
        <w:tc>
          <w:tcPr>
            <w:tcW w:w="555" w:type="pct"/>
            <w:noWrap w:val="0"/>
            <w:vAlign w:val="center"/>
          </w:tcPr>
          <w:p w14:paraId="6A50302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94945E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FB9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7BBAEDC4">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453C63C8">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2D6BE2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restart"/>
            <w:noWrap w:val="0"/>
            <w:vAlign w:val="center"/>
          </w:tcPr>
          <w:p w14:paraId="708BB74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液体复合调味料</w:t>
            </w:r>
          </w:p>
        </w:tc>
        <w:tc>
          <w:tcPr>
            <w:tcW w:w="499" w:type="pct"/>
            <w:noWrap w:val="0"/>
            <w:vAlign w:val="center"/>
          </w:tcPr>
          <w:p w14:paraId="38D97463">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蚝油、虾油、鱼露</w:t>
            </w:r>
          </w:p>
        </w:tc>
        <w:tc>
          <w:tcPr>
            <w:tcW w:w="276" w:type="pct"/>
            <w:noWrap w:val="0"/>
            <w:vAlign w:val="center"/>
          </w:tcPr>
          <w:p w14:paraId="1E226EB6">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975EB44">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氨基酸态氮、苯甲酸及其钠盐（以苯甲酸计）、山梨酸及其钾盐（以山梨酸计）、脱氢乙酸及其钠盐（以脱氢乙酸计）、防腐剂混合使用时各自用量占其最大使用量的比例之和、菌落总数</w:t>
            </w:r>
          </w:p>
        </w:tc>
        <w:tc>
          <w:tcPr>
            <w:tcW w:w="479" w:type="pct"/>
            <w:noWrap w:val="0"/>
            <w:vAlign w:val="center"/>
          </w:tcPr>
          <w:p w14:paraId="094A92C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大肠菌群</w:t>
            </w:r>
          </w:p>
        </w:tc>
        <w:tc>
          <w:tcPr>
            <w:tcW w:w="555" w:type="pct"/>
            <w:noWrap w:val="0"/>
            <w:vAlign w:val="center"/>
          </w:tcPr>
          <w:p w14:paraId="46C4911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923072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09D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2" w:hRule="atLeast"/>
        </w:trPr>
        <w:tc>
          <w:tcPr>
            <w:tcW w:w="210" w:type="pct"/>
            <w:vMerge w:val="continue"/>
            <w:noWrap w:val="0"/>
            <w:vAlign w:val="center"/>
          </w:tcPr>
          <w:p w14:paraId="7429F08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BD10A8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6932B0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5BB5B88A">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1D1CD240">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其他液体调味料</w:t>
            </w:r>
          </w:p>
        </w:tc>
        <w:tc>
          <w:tcPr>
            <w:tcW w:w="276" w:type="pct"/>
            <w:noWrap w:val="0"/>
            <w:vAlign w:val="center"/>
          </w:tcPr>
          <w:p w14:paraId="12718AB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4C31D241">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苯甲酸及其钠盐（以苯甲酸计）、山梨酸及其钾盐（以山梨酸计）、脱氢乙酸及其钠盐（以脱氢乙酸计）、防腐剂混合使用时各自用量占其最大使用量的比例之和、糖精钠（以糖精计）、甜蜜素（以环己基氨基磺酸计）</w:t>
            </w:r>
          </w:p>
        </w:tc>
        <w:tc>
          <w:tcPr>
            <w:tcW w:w="479" w:type="pct"/>
            <w:noWrap w:val="0"/>
            <w:vAlign w:val="center"/>
          </w:tcPr>
          <w:p w14:paraId="034DAFD9">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合成着色剂（柠檬黄、日落黄、胭脂红、诱惑红）、相同色泽着色剂混合使用时各自用量占其最大使用量的比例之和、菌落总数</w:t>
            </w:r>
          </w:p>
        </w:tc>
        <w:tc>
          <w:tcPr>
            <w:tcW w:w="555" w:type="pct"/>
            <w:noWrap w:val="0"/>
            <w:vAlign w:val="center"/>
          </w:tcPr>
          <w:p w14:paraId="1A9F9E0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4EA044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533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210" w:type="pct"/>
            <w:vMerge w:val="continue"/>
            <w:noWrap w:val="0"/>
            <w:vAlign w:val="center"/>
          </w:tcPr>
          <w:p w14:paraId="0E7BECA4">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88285B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104C9097">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味精</w:t>
            </w:r>
          </w:p>
        </w:tc>
        <w:tc>
          <w:tcPr>
            <w:tcW w:w="346" w:type="pct"/>
            <w:noWrap w:val="0"/>
            <w:vAlign w:val="center"/>
          </w:tcPr>
          <w:p w14:paraId="7F70F853">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味精</w:t>
            </w:r>
          </w:p>
        </w:tc>
        <w:tc>
          <w:tcPr>
            <w:tcW w:w="499" w:type="pct"/>
            <w:noWrap w:val="0"/>
            <w:vAlign w:val="center"/>
          </w:tcPr>
          <w:p w14:paraId="289CF4EE">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味精</w:t>
            </w:r>
          </w:p>
        </w:tc>
        <w:tc>
          <w:tcPr>
            <w:tcW w:w="276" w:type="pct"/>
            <w:noWrap w:val="0"/>
            <w:vAlign w:val="center"/>
          </w:tcPr>
          <w:p w14:paraId="317669DA">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65D64F18">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谷氨酸钠</w:t>
            </w:r>
          </w:p>
        </w:tc>
        <w:tc>
          <w:tcPr>
            <w:tcW w:w="479" w:type="pct"/>
            <w:noWrap w:val="0"/>
            <w:vAlign w:val="center"/>
          </w:tcPr>
          <w:p w14:paraId="25B2AD9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1718F3A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61E506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E6D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5BEE45F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CCC730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restart"/>
            <w:noWrap w:val="0"/>
            <w:vAlign w:val="center"/>
          </w:tcPr>
          <w:p w14:paraId="0D389CE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食盐</w:t>
            </w:r>
          </w:p>
        </w:tc>
        <w:tc>
          <w:tcPr>
            <w:tcW w:w="346" w:type="pct"/>
            <w:vMerge w:val="restart"/>
            <w:noWrap w:val="0"/>
            <w:vAlign w:val="center"/>
          </w:tcPr>
          <w:p w14:paraId="77DEE69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食用盐</w:t>
            </w:r>
          </w:p>
        </w:tc>
        <w:tc>
          <w:tcPr>
            <w:tcW w:w="499" w:type="pct"/>
            <w:noWrap w:val="0"/>
            <w:vAlign w:val="center"/>
          </w:tcPr>
          <w:p w14:paraId="7131279E">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普通食用盐</w:t>
            </w:r>
          </w:p>
        </w:tc>
        <w:tc>
          <w:tcPr>
            <w:tcW w:w="276" w:type="pct"/>
            <w:noWrap w:val="0"/>
            <w:vAlign w:val="center"/>
          </w:tcPr>
          <w:p w14:paraId="3517809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17916B3F">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氯化钠、钡（以Ba计）、碘（以I计）、铅（以Pb计）、总砷（以As计）、镉（以Cd计）</w:t>
            </w:r>
          </w:p>
        </w:tc>
        <w:tc>
          <w:tcPr>
            <w:tcW w:w="479" w:type="pct"/>
            <w:noWrap w:val="0"/>
            <w:vAlign w:val="center"/>
          </w:tcPr>
          <w:p w14:paraId="4FEE7858">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总汞（以Hg计）、亚铁氰化钾/亚铁氰化钠（以亚铁氰根计）</w:t>
            </w:r>
          </w:p>
        </w:tc>
        <w:tc>
          <w:tcPr>
            <w:tcW w:w="555" w:type="pct"/>
            <w:noWrap w:val="0"/>
            <w:vAlign w:val="center"/>
          </w:tcPr>
          <w:p w14:paraId="5298B26C">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0971DD8">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17B0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5356E4CD">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66653A9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FA645E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2230605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0542C512">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低钠食用盐</w:t>
            </w:r>
          </w:p>
        </w:tc>
        <w:tc>
          <w:tcPr>
            <w:tcW w:w="276" w:type="pct"/>
            <w:noWrap w:val="0"/>
            <w:vAlign w:val="center"/>
          </w:tcPr>
          <w:p w14:paraId="451A83E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1EF8CA70">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氯化</w:t>
            </w:r>
            <w:r>
              <w:rPr>
                <w:rFonts w:hint="eastAsia" w:ascii="Times New Roman" w:hAnsi="Times New Roman" w:eastAsia="仿宋_GB2312" w:cs="Times New Roman"/>
                <w:color w:val="auto"/>
                <w:kern w:val="0"/>
                <w:sz w:val="21"/>
                <w:szCs w:val="21"/>
                <w:highlight w:val="none"/>
                <w:lang w:eastAsia="zh-CN"/>
              </w:rPr>
              <w:t>钾</w:t>
            </w:r>
            <w:r>
              <w:rPr>
                <w:rFonts w:hint="default" w:ascii="Times New Roman" w:hAnsi="Times New Roman" w:eastAsia="仿宋_GB2312" w:cs="Times New Roman"/>
                <w:color w:val="auto"/>
                <w:kern w:val="0"/>
                <w:sz w:val="21"/>
                <w:szCs w:val="21"/>
                <w:highlight w:val="none"/>
              </w:rPr>
              <w:t>、钡（以Ba计）、碘（以I计）、铅（以Pb计）、总砷（以As计）、镉（以Cd计）</w:t>
            </w:r>
          </w:p>
        </w:tc>
        <w:tc>
          <w:tcPr>
            <w:tcW w:w="479" w:type="pct"/>
            <w:noWrap w:val="0"/>
            <w:vAlign w:val="center"/>
          </w:tcPr>
          <w:p w14:paraId="7497D25D">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总汞（以Hg计）、亚铁氰化钾/亚铁氰化钠（以亚铁氰根计）</w:t>
            </w:r>
          </w:p>
        </w:tc>
        <w:tc>
          <w:tcPr>
            <w:tcW w:w="555" w:type="pct"/>
            <w:noWrap w:val="0"/>
            <w:vAlign w:val="center"/>
          </w:tcPr>
          <w:p w14:paraId="320DF20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744FE1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7A9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210" w:type="pct"/>
            <w:vMerge w:val="continue"/>
            <w:noWrap w:val="0"/>
            <w:vAlign w:val="center"/>
          </w:tcPr>
          <w:p w14:paraId="61C596C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F112C1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E7866C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563B22C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582F85DB">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风味食用盐</w:t>
            </w:r>
          </w:p>
        </w:tc>
        <w:tc>
          <w:tcPr>
            <w:tcW w:w="276" w:type="pct"/>
            <w:noWrap w:val="0"/>
            <w:vAlign w:val="center"/>
          </w:tcPr>
          <w:p w14:paraId="15DC2FF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6919A6D2">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钡（以Ba计）、铅（以Pb计）、总砷（以As计）、镉（以Cd计）、总汞（以Hg计）、亚铁氰化钾/亚铁氰化钠（以亚铁氰根计）</w:t>
            </w:r>
          </w:p>
        </w:tc>
        <w:tc>
          <w:tcPr>
            <w:tcW w:w="479" w:type="pct"/>
            <w:noWrap w:val="0"/>
            <w:vAlign w:val="center"/>
          </w:tcPr>
          <w:p w14:paraId="78B2DC53">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4655046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BE4F73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6D9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2885A3D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A8BC11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3A49A33B">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145EFF5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499" w:type="pct"/>
            <w:noWrap w:val="0"/>
            <w:vAlign w:val="center"/>
          </w:tcPr>
          <w:p w14:paraId="5CE450A0">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特殊工艺食用盐</w:t>
            </w:r>
          </w:p>
        </w:tc>
        <w:tc>
          <w:tcPr>
            <w:tcW w:w="276" w:type="pct"/>
            <w:noWrap w:val="0"/>
            <w:vAlign w:val="center"/>
          </w:tcPr>
          <w:p w14:paraId="1DA4F3C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445EBB2">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氯化钠、钡（以Ba计）、碘（以I计）、铅（以Pb计）、总砷（以As计）、镉（以Cd计）</w:t>
            </w:r>
          </w:p>
        </w:tc>
        <w:tc>
          <w:tcPr>
            <w:tcW w:w="479" w:type="pct"/>
            <w:noWrap w:val="0"/>
            <w:vAlign w:val="center"/>
          </w:tcPr>
          <w:p w14:paraId="54F78251">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总汞（以Hg计）、亚铁氰化钾/亚铁氰化钠（以亚铁氰根计）</w:t>
            </w:r>
          </w:p>
        </w:tc>
        <w:tc>
          <w:tcPr>
            <w:tcW w:w="555" w:type="pct"/>
            <w:noWrap w:val="0"/>
            <w:vAlign w:val="center"/>
          </w:tcPr>
          <w:p w14:paraId="30D538C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0E9D52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F1A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10" w:type="pct"/>
            <w:vMerge w:val="continue"/>
            <w:noWrap w:val="0"/>
            <w:vAlign w:val="center"/>
          </w:tcPr>
          <w:p w14:paraId="0A679B4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125581B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2D2B9A1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0FBBE75B">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食品生产加工用盐</w:t>
            </w:r>
          </w:p>
        </w:tc>
        <w:tc>
          <w:tcPr>
            <w:tcW w:w="499" w:type="pct"/>
            <w:noWrap w:val="0"/>
            <w:vAlign w:val="center"/>
          </w:tcPr>
          <w:p w14:paraId="54A6C9C2">
            <w:pPr>
              <w:pageBreakBefore w:val="0"/>
              <w:widowControl/>
              <w:wordWrap/>
              <w:overflowPunct/>
              <w:topLinePunct w:val="0"/>
              <w:bidi w:val="0"/>
              <w:spacing w:line="300" w:lineRule="exact"/>
              <w:jc w:val="center"/>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食品生产加工用盐</w:t>
            </w:r>
          </w:p>
        </w:tc>
        <w:tc>
          <w:tcPr>
            <w:tcW w:w="276" w:type="pct"/>
            <w:noWrap w:val="0"/>
            <w:vAlign w:val="center"/>
          </w:tcPr>
          <w:p w14:paraId="09F0A84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3711ACC">
            <w:pPr>
              <w:pageBreakBefore w:val="0"/>
              <w:widowControl/>
              <w:wordWrap/>
              <w:overflowPunct/>
              <w:topLinePunct w:val="0"/>
              <w:bidi w:val="0"/>
              <w:spacing w:line="300" w:lineRule="exact"/>
              <w:jc w:val="left"/>
              <w:rPr>
                <w:rFonts w:hint="default" w:ascii="Times New Roman" w:hAnsi="Times New Roman" w:eastAsia="仿宋_GB2312" w:cs="Times New Roman"/>
                <w:color w:val="auto"/>
                <w:spacing w:val="1"/>
                <w:kern w:val="0"/>
                <w:sz w:val="21"/>
                <w:szCs w:val="21"/>
                <w:highlight w:val="none"/>
              </w:rPr>
            </w:pPr>
            <w:r>
              <w:rPr>
                <w:rFonts w:hint="default" w:ascii="Times New Roman" w:hAnsi="Times New Roman" w:eastAsia="仿宋_GB2312" w:cs="Times New Roman"/>
                <w:color w:val="auto"/>
                <w:kern w:val="0"/>
                <w:sz w:val="21"/>
                <w:szCs w:val="21"/>
                <w:highlight w:val="none"/>
              </w:rPr>
              <w:t>铅（以Pb计）、总砷（以As计）、镉（以Cd计）、总汞（以Hg计）、亚铁氰化钾/亚铁氰化钠（以亚铁氰根计）、亚硝酸盐（以NaNO</w:t>
            </w:r>
            <w:r>
              <w:rPr>
                <w:rFonts w:hint="default" w:ascii="Times New Roman" w:hAnsi="Times New Roman" w:eastAsia="仿宋_GB2312" w:cs="Times New Roman"/>
                <w:color w:val="auto"/>
                <w:kern w:val="0"/>
                <w:sz w:val="21"/>
                <w:szCs w:val="21"/>
                <w:highlight w:val="none"/>
                <w:vertAlign w:val="subscript"/>
              </w:rPr>
              <w:t>2</w:t>
            </w:r>
            <w:r>
              <w:rPr>
                <w:rFonts w:hint="default" w:ascii="Times New Roman" w:hAnsi="Times New Roman" w:eastAsia="仿宋_GB2312" w:cs="Times New Roman"/>
                <w:color w:val="auto"/>
                <w:kern w:val="0"/>
                <w:sz w:val="21"/>
                <w:szCs w:val="21"/>
                <w:highlight w:val="none"/>
              </w:rPr>
              <w:t>计）</w:t>
            </w:r>
          </w:p>
        </w:tc>
        <w:tc>
          <w:tcPr>
            <w:tcW w:w="479" w:type="pct"/>
            <w:noWrap w:val="0"/>
            <w:vAlign w:val="center"/>
          </w:tcPr>
          <w:p w14:paraId="28BCC939">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0A03A7A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7382E5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B4D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210" w:type="pct"/>
            <w:vMerge w:val="restart"/>
            <w:noWrap w:val="0"/>
            <w:vAlign w:val="center"/>
          </w:tcPr>
          <w:p w14:paraId="63321CC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4</w:t>
            </w:r>
          </w:p>
        </w:tc>
        <w:tc>
          <w:tcPr>
            <w:tcW w:w="320" w:type="pct"/>
            <w:vMerge w:val="restart"/>
            <w:noWrap w:val="0"/>
            <w:vAlign w:val="center"/>
          </w:tcPr>
          <w:p w14:paraId="22891B0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pacing w:val="7"/>
                <w:sz w:val="21"/>
                <w:szCs w:val="21"/>
                <w:highlight w:val="none"/>
              </w:rPr>
              <w:t>肉制品</w:t>
            </w:r>
          </w:p>
        </w:tc>
        <w:tc>
          <w:tcPr>
            <w:tcW w:w="324" w:type="pct"/>
            <w:vMerge w:val="restart"/>
            <w:noWrap w:val="0"/>
            <w:vAlign w:val="center"/>
          </w:tcPr>
          <w:p w14:paraId="0B6D9C7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spacing w:val="4"/>
                <w:sz w:val="21"/>
                <w:szCs w:val="21"/>
                <w:highlight w:val="none"/>
              </w:rPr>
              <w:t>预制肉制</w:t>
            </w:r>
            <w:r>
              <w:rPr>
                <w:rFonts w:hint="default" w:ascii="Times New Roman" w:hAnsi="Times New Roman" w:eastAsia="仿宋_GB2312" w:cs="Times New Roman"/>
                <w:color w:val="auto"/>
                <w:sz w:val="21"/>
                <w:szCs w:val="21"/>
                <w:highlight w:val="none"/>
              </w:rPr>
              <w:t>品</w:t>
            </w:r>
          </w:p>
        </w:tc>
        <w:tc>
          <w:tcPr>
            <w:tcW w:w="346" w:type="pct"/>
            <w:noWrap w:val="0"/>
            <w:vAlign w:val="center"/>
          </w:tcPr>
          <w:p w14:paraId="7132A41B">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调理肉制品</w:t>
            </w:r>
          </w:p>
        </w:tc>
        <w:tc>
          <w:tcPr>
            <w:tcW w:w="499" w:type="pct"/>
            <w:noWrap w:val="0"/>
            <w:vAlign w:val="center"/>
          </w:tcPr>
          <w:p w14:paraId="4F5ABFC1">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调理肉制品</w:t>
            </w:r>
            <w:r>
              <w:rPr>
                <w:rFonts w:hint="default" w:ascii="Times New Roman" w:hAnsi="Times New Roman" w:eastAsia="仿宋_GB2312" w:cs="Times New Roman"/>
                <w:color w:val="auto"/>
                <w:spacing w:val="9"/>
                <w:sz w:val="21"/>
                <w:szCs w:val="21"/>
                <w:highlight w:val="none"/>
              </w:rPr>
              <w:t>(非速冻)</w:t>
            </w:r>
          </w:p>
        </w:tc>
        <w:tc>
          <w:tcPr>
            <w:tcW w:w="276" w:type="pct"/>
            <w:noWrap w:val="0"/>
            <w:vAlign w:val="center"/>
          </w:tcPr>
          <w:p w14:paraId="3BAC13F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72152FD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苯甲酸及其钠盐（以苯甲酸计）、山梨酸及其钾盐（以山梨酸计）、脱氢乙酸及其钠盐（以脱氢乙酸计）</w:t>
            </w:r>
          </w:p>
        </w:tc>
        <w:tc>
          <w:tcPr>
            <w:tcW w:w="479" w:type="pct"/>
            <w:noWrap w:val="0"/>
            <w:vAlign w:val="center"/>
          </w:tcPr>
          <w:p w14:paraId="211C09AF">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555" w:type="pct"/>
            <w:noWrap w:val="0"/>
            <w:vAlign w:val="center"/>
          </w:tcPr>
          <w:p w14:paraId="37781AA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9D0C23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69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210" w:type="pct"/>
            <w:vMerge w:val="continue"/>
            <w:noWrap w:val="0"/>
            <w:vAlign w:val="center"/>
          </w:tcPr>
          <w:p w14:paraId="2F8ACB2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55B51B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8EBA24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00B15C68">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腌腊肉制品</w:t>
            </w:r>
          </w:p>
        </w:tc>
        <w:tc>
          <w:tcPr>
            <w:tcW w:w="499" w:type="pct"/>
            <w:noWrap w:val="0"/>
            <w:vAlign w:val="center"/>
          </w:tcPr>
          <w:p w14:paraId="6FE3AEF9">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腌腊肉制品</w:t>
            </w:r>
          </w:p>
        </w:tc>
        <w:tc>
          <w:tcPr>
            <w:tcW w:w="276" w:type="pct"/>
            <w:noWrap w:val="0"/>
            <w:vAlign w:val="center"/>
          </w:tcPr>
          <w:p w14:paraId="5383FD4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5F10A082">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z w:val="21"/>
                <w:szCs w:val="21"/>
                <w:highlight w:val="none"/>
              </w:rPr>
              <w:t>过氧化值(以脂肪计)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山梨酸及其钾盐(以山梨酸计)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脱氢乙酸及其钠盐(以脱氢乙酸计)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合成着色剂(柠檬黄、日落黄、胭脂红、诱惑红、苋菜红、酸性红)</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氯霉素</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红2G</w:t>
            </w:r>
          </w:p>
        </w:tc>
        <w:tc>
          <w:tcPr>
            <w:tcW w:w="479" w:type="pct"/>
            <w:noWrap w:val="0"/>
            <w:vAlign w:val="center"/>
          </w:tcPr>
          <w:p w14:paraId="31B4A642">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亚硝酸盐(以亚硝酸钠计)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苯甲酸及其钠盐(以苯甲酸计)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铅(以Pb计)</w:t>
            </w:r>
            <w:r>
              <w:rPr>
                <w:rFonts w:hint="eastAsia"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总砷(以As计)</w:t>
            </w:r>
          </w:p>
        </w:tc>
        <w:tc>
          <w:tcPr>
            <w:tcW w:w="555" w:type="pct"/>
            <w:noWrap w:val="0"/>
            <w:vAlign w:val="center"/>
          </w:tcPr>
          <w:p w14:paraId="0CF6B79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E481BA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7D7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210" w:type="pct"/>
            <w:vMerge w:val="continue"/>
            <w:noWrap w:val="0"/>
            <w:vAlign w:val="center"/>
          </w:tcPr>
          <w:p w14:paraId="3DB974C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311B72D">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restart"/>
            <w:noWrap w:val="0"/>
            <w:vAlign w:val="center"/>
          </w:tcPr>
          <w:p w14:paraId="0CF83B8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r>
              <w:rPr>
                <w:rFonts w:hint="default" w:ascii="Times New Roman" w:hAnsi="Times New Roman" w:eastAsia="仿宋_GB2312" w:cs="Times New Roman"/>
                <w:color w:val="auto"/>
                <w:spacing w:val="5"/>
                <w:sz w:val="21"/>
                <w:szCs w:val="21"/>
                <w:highlight w:val="none"/>
              </w:rPr>
              <w:t>熟肉制品</w:t>
            </w:r>
          </w:p>
        </w:tc>
        <w:tc>
          <w:tcPr>
            <w:tcW w:w="346" w:type="pct"/>
            <w:noWrap w:val="0"/>
            <w:vAlign w:val="center"/>
          </w:tcPr>
          <w:p w14:paraId="0FCC3A2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发酵肉制品</w:t>
            </w:r>
          </w:p>
        </w:tc>
        <w:tc>
          <w:tcPr>
            <w:tcW w:w="499" w:type="pct"/>
            <w:noWrap w:val="0"/>
            <w:vAlign w:val="center"/>
          </w:tcPr>
          <w:p w14:paraId="76559A4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spacing w:val="4"/>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发酵肉制品</w:t>
            </w:r>
          </w:p>
        </w:tc>
        <w:tc>
          <w:tcPr>
            <w:tcW w:w="276" w:type="pct"/>
            <w:noWrap w:val="0"/>
            <w:vAlign w:val="center"/>
          </w:tcPr>
          <w:p w14:paraId="7C06851A">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3893FDF8">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亚硝酸盐（以亚硝酸钠计）、沙门氏菌、金黄色葡萄球菌</w:t>
            </w:r>
          </w:p>
        </w:tc>
        <w:tc>
          <w:tcPr>
            <w:tcW w:w="479" w:type="pct"/>
            <w:noWrap w:val="0"/>
            <w:vAlign w:val="center"/>
          </w:tcPr>
          <w:p w14:paraId="2C56FB21">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单核细胞增生李斯特氏菌</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致泻大肠埃希氏菌</w:t>
            </w:r>
          </w:p>
        </w:tc>
        <w:tc>
          <w:tcPr>
            <w:tcW w:w="555" w:type="pct"/>
            <w:noWrap w:val="0"/>
            <w:vAlign w:val="center"/>
          </w:tcPr>
          <w:p w14:paraId="2FB4A84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0A43C9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95E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210" w:type="pct"/>
            <w:vMerge w:val="continue"/>
            <w:noWrap w:val="0"/>
            <w:vAlign w:val="center"/>
          </w:tcPr>
          <w:p w14:paraId="2B4CB89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4BEBC26">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6CAA76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6420AB9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酱卤肉制品</w:t>
            </w:r>
          </w:p>
        </w:tc>
        <w:tc>
          <w:tcPr>
            <w:tcW w:w="499" w:type="pct"/>
            <w:noWrap w:val="0"/>
            <w:vAlign w:val="center"/>
          </w:tcPr>
          <w:p w14:paraId="7A523BCA">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酱卤肉制品</w:t>
            </w:r>
          </w:p>
        </w:tc>
        <w:tc>
          <w:tcPr>
            <w:tcW w:w="276" w:type="pct"/>
            <w:noWrap w:val="0"/>
            <w:vAlign w:val="center"/>
          </w:tcPr>
          <w:p w14:paraId="0012949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273B6209">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z w:val="21"/>
                <w:szCs w:val="21"/>
                <w:highlight w:val="none"/>
              </w:rPr>
              <w:t>苯甲酸及其钠盐（以苯甲酸计）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山梨酸及其钾盐（以山梨酸计）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脱氢乙酸及其钠盐（以脱氢乙酸计）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防腐剂混合使用时各自用量占其最大使用量的比例之和</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合成着色剂（柠檬黄、日落黄、胭脂红、诱惑红）</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氯霉素</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菌落总数</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大肠菌群</w:t>
            </w:r>
          </w:p>
        </w:tc>
        <w:tc>
          <w:tcPr>
            <w:tcW w:w="479" w:type="pct"/>
            <w:noWrap w:val="0"/>
            <w:vAlign w:val="center"/>
          </w:tcPr>
          <w:p w14:paraId="2500964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spacing w:val="1"/>
                <w:kern w:val="2"/>
                <w:sz w:val="21"/>
                <w:szCs w:val="21"/>
                <w:highlight w:val="none"/>
                <w:lang w:val="en-US" w:eastAsia="zh-CN" w:bidi="ar-SA"/>
              </w:rPr>
            </w:pPr>
            <w:r>
              <w:rPr>
                <w:rFonts w:hint="default" w:ascii="Times New Roman" w:hAnsi="Times New Roman" w:eastAsia="仿宋_GB2312" w:cs="Times New Roman"/>
                <w:color w:val="auto"/>
                <w:spacing w:val="1"/>
                <w:sz w:val="21"/>
                <w:szCs w:val="21"/>
                <w:highlight w:val="none"/>
                <w:lang w:val="en-US" w:eastAsia="zh-CN"/>
              </w:rPr>
              <w:t>沙门氏菌、金黄色葡萄球菌、纳他霉素、糖精钠（以糖精计）、N-二甲基亚硝胺、亚硝酸盐（以亚硝酸钠计）</w:t>
            </w:r>
          </w:p>
        </w:tc>
        <w:tc>
          <w:tcPr>
            <w:tcW w:w="555" w:type="pct"/>
            <w:noWrap w:val="0"/>
            <w:vAlign w:val="center"/>
          </w:tcPr>
          <w:p w14:paraId="1CB6099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1B5A8C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7B9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210" w:type="pct"/>
            <w:vMerge w:val="continue"/>
            <w:noWrap w:val="0"/>
            <w:vAlign w:val="center"/>
          </w:tcPr>
          <w:p w14:paraId="00E8B07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19F724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1EEB638">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7C5BB04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油炸肉制品</w:t>
            </w:r>
          </w:p>
        </w:tc>
        <w:tc>
          <w:tcPr>
            <w:tcW w:w="499" w:type="pct"/>
            <w:noWrap w:val="0"/>
            <w:vAlign w:val="center"/>
          </w:tcPr>
          <w:p w14:paraId="0948B019">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油炸肉制品</w:t>
            </w:r>
          </w:p>
        </w:tc>
        <w:tc>
          <w:tcPr>
            <w:tcW w:w="276" w:type="pct"/>
            <w:noWrap w:val="0"/>
            <w:vAlign w:val="center"/>
          </w:tcPr>
          <w:p w14:paraId="7BF4BAD5">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00D55E9F">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z w:val="21"/>
                <w:szCs w:val="21"/>
                <w:highlight w:val="none"/>
              </w:rPr>
              <w:t>亚硝酸盐(以亚硝酸钠计)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N-二甲基亚硝胺</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苯甲酸及其钠盐(以苯甲酸计)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山梨酸及其钾盐(以山梨酸计)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沙门氏菌</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金黄色葡萄球菌</w:t>
            </w:r>
          </w:p>
        </w:tc>
        <w:tc>
          <w:tcPr>
            <w:tcW w:w="479" w:type="pct"/>
            <w:noWrap w:val="0"/>
            <w:vAlign w:val="center"/>
          </w:tcPr>
          <w:p w14:paraId="5FC3481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spacing w:val="2"/>
                <w:kern w:val="2"/>
                <w:sz w:val="21"/>
                <w:szCs w:val="21"/>
                <w:highlight w:val="none"/>
                <w:lang w:val="en-US" w:eastAsia="zh-CN" w:bidi="ar-SA"/>
              </w:rPr>
            </w:pPr>
            <w:r>
              <w:rPr>
                <w:rFonts w:hint="default" w:ascii="Times New Roman" w:hAnsi="Times New Roman" w:eastAsia="仿宋_GB2312" w:cs="Times New Roman"/>
                <w:color w:val="auto"/>
                <w:spacing w:val="2"/>
                <w:sz w:val="21"/>
                <w:szCs w:val="21"/>
                <w:highlight w:val="none"/>
              </w:rPr>
              <w:t>单核细胞增生李斯特氏菌</w:t>
            </w:r>
            <w:r>
              <w:rPr>
                <w:rFonts w:hint="default" w:ascii="Times New Roman" w:hAnsi="Times New Roman" w:eastAsia="仿宋_GB2312" w:cs="Times New Roman"/>
                <w:color w:val="auto"/>
                <w:spacing w:val="2"/>
                <w:sz w:val="21"/>
                <w:szCs w:val="21"/>
                <w:highlight w:val="none"/>
                <w:lang w:eastAsia="zh-CN"/>
              </w:rPr>
              <w:t>、</w:t>
            </w:r>
            <w:r>
              <w:rPr>
                <w:rFonts w:hint="default" w:ascii="Times New Roman" w:hAnsi="Times New Roman" w:eastAsia="仿宋_GB2312" w:cs="Times New Roman"/>
                <w:color w:val="auto"/>
                <w:spacing w:val="2"/>
                <w:sz w:val="21"/>
                <w:szCs w:val="21"/>
                <w:highlight w:val="none"/>
              </w:rPr>
              <w:t>致泻大肠埃希氏菌</w:t>
            </w:r>
          </w:p>
        </w:tc>
        <w:tc>
          <w:tcPr>
            <w:tcW w:w="555" w:type="pct"/>
            <w:noWrap w:val="0"/>
            <w:vAlign w:val="center"/>
          </w:tcPr>
          <w:p w14:paraId="7D739DE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7660D4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69E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210" w:type="pct"/>
            <w:vMerge w:val="continue"/>
            <w:noWrap w:val="0"/>
            <w:vAlign w:val="center"/>
          </w:tcPr>
          <w:p w14:paraId="0AE3D8F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49CF162">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3ADBF17">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4EAAD1A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熟肉干制品</w:t>
            </w:r>
          </w:p>
        </w:tc>
        <w:tc>
          <w:tcPr>
            <w:tcW w:w="499" w:type="pct"/>
            <w:noWrap w:val="0"/>
            <w:vAlign w:val="center"/>
          </w:tcPr>
          <w:p w14:paraId="249A788F">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4"/>
                <w:sz w:val="21"/>
                <w:szCs w:val="21"/>
                <w:highlight w:val="none"/>
              </w:rPr>
              <w:t>熟肉干制品</w:t>
            </w:r>
          </w:p>
        </w:tc>
        <w:tc>
          <w:tcPr>
            <w:tcW w:w="276" w:type="pct"/>
            <w:noWrap w:val="0"/>
            <w:vAlign w:val="center"/>
          </w:tcPr>
          <w:p w14:paraId="0444FAE6">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3D2F0731">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eastAsia="zh-CN"/>
              </w:rPr>
              <w:t>N-二甲基亚硝胺、苯甲酸及其钠盐(以苯甲酸计)、山梨酸及其钾盐(以山梨酸计)、脱氢乙酸及其钠盐(以脱氢乙酸计)、防腐剂混合使用时各自用量占其最大使用量的比例之和、氯霉素、菌落总数</w:t>
            </w:r>
          </w:p>
        </w:tc>
        <w:tc>
          <w:tcPr>
            <w:tcW w:w="479" w:type="pct"/>
            <w:noWrap w:val="0"/>
            <w:vAlign w:val="center"/>
          </w:tcPr>
          <w:p w14:paraId="6A66F53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spacing w:val="1"/>
                <w:kern w:val="2"/>
                <w:sz w:val="21"/>
                <w:szCs w:val="21"/>
                <w:highlight w:val="none"/>
                <w:lang w:val="en-US" w:eastAsia="zh-CN" w:bidi="ar-SA"/>
              </w:rPr>
            </w:pPr>
            <w:r>
              <w:rPr>
                <w:rFonts w:hint="default" w:ascii="Times New Roman" w:hAnsi="Times New Roman" w:eastAsia="仿宋_GB2312" w:cs="Times New Roman"/>
                <w:color w:val="auto"/>
                <w:spacing w:val="1"/>
                <w:sz w:val="21"/>
                <w:szCs w:val="21"/>
                <w:highlight w:val="none"/>
                <w:lang w:val="en-US" w:eastAsia="zh-CN"/>
              </w:rPr>
              <w:t>铅(以Pb计)、合成着色剂(胭脂红、诱惑红)、大肠菌群、沙门氏菌、金黄色葡萄球菌</w:t>
            </w:r>
          </w:p>
        </w:tc>
        <w:tc>
          <w:tcPr>
            <w:tcW w:w="555" w:type="pct"/>
            <w:noWrap w:val="0"/>
            <w:vAlign w:val="center"/>
          </w:tcPr>
          <w:p w14:paraId="0307621F">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1E01D2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292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210" w:type="pct"/>
            <w:vMerge w:val="continue"/>
            <w:noWrap w:val="0"/>
            <w:vAlign w:val="center"/>
          </w:tcPr>
          <w:p w14:paraId="0EA55EC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227385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4946C8C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6C8A2E6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3"/>
                <w:sz w:val="21"/>
                <w:szCs w:val="21"/>
                <w:highlight w:val="none"/>
              </w:rPr>
              <w:t>熏烧烤肉制品</w:t>
            </w:r>
          </w:p>
        </w:tc>
        <w:tc>
          <w:tcPr>
            <w:tcW w:w="499" w:type="pct"/>
            <w:noWrap w:val="0"/>
            <w:vAlign w:val="center"/>
          </w:tcPr>
          <w:p w14:paraId="1602EA85">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3"/>
                <w:sz w:val="21"/>
                <w:szCs w:val="21"/>
                <w:highlight w:val="none"/>
              </w:rPr>
              <w:t>熏烧烤肉制品</w:t>
            </w:r>
          </w:p>
        </w:tc>
        <w:tc>
          <w:tcPr>
            <w:tcW w:w="276" w:type="pct"/>
            <w:noWrap w:val="0"/>
            <w:vAlign w:val="center"/>
          </w:tcPr>
          <w:p w14:paraId="014DF43A">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16205B4B">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eastAsia="zh-CN"/>
              </w:rPr>
              <w:t>苯甲酸及其钠盐（以苯甲酸计）、山梨酸及其钾盐（以山梨酸计）、合成着色剂（柠檬黄、日落黄、胭脂红）、氯霉素、菌落总数、大肠菌群</w:t>
            </w:r>
          </w:p>
        </w:tc>
        <w:tc>
          <w:tcPr>
            <w:tcW w:w="479" w:type="pct"/>
            <w:noWrap w:val="0"/>
            <w:vAlign w:val="center"/>
          </w:tcPr>
          <w:p w14:paraId="3BBB72B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spacing w:val="1"/>
                <w:kern w:val="2"/>
                <w:sz w:val="21"/>
                <w:szCs w:val="21"/>
                <w:highlight w:val="none"/>
                <w:lang w:val="en-US" w:eastAsia="zh-CN" w:bidi="ar-SA"/>
              </w:rPr>
            </w:pPr>
            <w:r>
              <w:rPr>
                <w:rFonts w:hint="default" w:ascii="Times New Roman" w:hAnsi="Times New Roman" w:eastAsia="仿宋_GB2312" w:cs="Times New Roman"/>
                <w:color w:val="auto"/>
                <w:spacing w:val="1"/>
                <w:sz w:val="21"/>
                <w:szCs w:val="21"/>
                <w:highlight w:val="none"/>
                <w:lang w:val="en-US" w:eastAsia="zh-CN"/>
              </w:rPr>
              <w:t>纳他霉素、苯并[a]芘、N-二甲基亚硝胺、亚硝酸盐（以亚硝酸钠计）、沙门氏菌、金黄色葡萄球菌</w:t>
            </w:r>
          </w:p>
        </w:tc>
        <w:tc>
          <w:tcPr>
            <w:tcW w:w="555" w:type="pct"/>
            <w:noWrap w:val="0"/>
            <w:vAlign w:val="center"/>
          </w:tcPr>
          <w:p w14:paraId="62D72BD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F1126A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A5E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210" w:type="pct"/>
            <w:vMerge w:val="continue"/>
            <w:noWrap w:val="0"/>
            <w:vAlign w:val="center"/>
          </w:tcPr>
          <w:p w14:paraId="7AE17F2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638E0E8D">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079B51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58E6301A">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1"/>
                <w:sz w:val="21"/>
                <w:szCs w:val="21"/>
                <w:highlight w:val="none"/>
              </w:rPr>
              <w:t>熏煮香肠火腿</w:t>
            </w:r>
            <w:r>
              <w:rPr>
                <w:rFonts w:hint="default" w:ascii="Times New Roman" w:hAnsi="Times New Roman" w:eastAsia="仿宋_GB2312" w:cs="Times New Roman"/>
                <w:color w:val="auto"/>
                <w:spacing w:val="10"/>
                <w:sz w:val="21"/>
                <w:szCs w:val="21"/>
                <w:highlight w:val="none"/>
              </w:rPr>
              <w:t>制品</w:t>
            </w:r>
          </w:p>
        </w:tc>
        <w:tc>
          <w:tcPr>
            <w:tcW w:w="499" w:type="pct"/>
            <w:noWrap w:val="0"/>
            <w:vAlign w:val="center"/>
          </w:tcPr>
          <w:p w14:paraId="65638AB1">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2"/>
                <w:sz w:val="21"/>
                <w:szCs w:val="21"/>
                <w:highlight w:val="none"/>
              </w:rPr>
              <w:t>熏煮香肠火腿制</w:t>
            </w:r>
            <w:r>
              <w:rPr>
                <w:rFonts w:hint="default" w:ascii="Times New Roman" w:hAnsi="Times New Roman" w:eastAsia="仿宋_GB2312" w:cs="Times New Roman"/>
                <w:color w:val="auto"/>
                <w:sz w:val="21"/>
                <w:szCs w:val="21"/>
                <w:highlight w:val="none"/>
              </w:rPr>
              <w:t>品</w:t>
            </w:r>
          </w:p>
        </w:tc>
        <w:tc>
          <w:tcPr>
            <w:tcW w:w="276" w:type="pct"/>
            <w:noWrap w:val="0"/>
            <w:vAlign w:val="center"/>
          </w:tcPr>
          <w:p w14:paraId="261245B2">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7C82C17C">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eastAsia="zh-CN"/>
              </w:rPr>
              <w:t>亚硝酸盐(以亚硝酸钠计)、苯甲酸及其钠盐(以苯甲酸计)、山梨酸及其钾盐(以山梨酸计)、脱氢乙酸及其钠盐(以脱氢乙酸计)、防腐剂混合使用时各自用量占其最大使用量的比例之和、</w:t>
            </w:r>
            <w:r>
              <w:rPr>
                <w:rFonts w:hint="default" w:ascii="Times New Roman" w:hAnsi="Times New Roman" w:eastAsia="仿宋_GB2312" w:cs="Times New Roman"/>
                <w:color w:val="auto"/>
                <w:sz w:val="21"/>
                <w:szCs w:val="21"/>
                <w:highlight w:val="none"/>
                <w:lang w:val="en-US" w:eastAsia="zh-CN"/>
              </w:rPr>
              <w:t>氯霉素、</w:t>
            </w:r>
            <w:r>
              <w:rPr>
                <w:rFonts w:hint="default" w:ascii="Times New Roman" w:hAnsi="Times New Roman" w:eastAsia="仿宋_GB2312" w:cs="Times New Roman"/>
                <w:color w:val="auto"/>
                <w:sz w:val="21"/>
                <w:szCs w:val="21"/>
                <w:highlight w:val="none"/>
                <w:lang w:eastAsia="zh-CN"/>
              </w:rPr>
              <w:t>菌落总数、大肠菌群</w:t>
            </w:r>
          </w:p>
        </w:tc>
        <w:tc>
          <w:tcPr>
            <w:tcW w:w="479" w:type="pct"/>
            <w:noWrap w:val="0"/>
            <w:vAlign w:val="center"/>
          </w:tcPr>
          <w:p w14:paraId="16559EE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合成着色剂(胭脂红、诱惑红)、沙门氏菌、金黄色葡萄球菌</w:t>
            </w:r>
          </w:p>
        </w:tc>
        <w:tc>
          <w:tcPr>
            <w:tcW w:w="555" w:type="pct"/>
            <w:noWrap w:val="0"/>
            <w:vAlign w:val="center"/>
          </w:tcPr>
          <w:p w14:paraId="2DCAC0A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224CCF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C3F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restart"/>
            <w:noWrap w:val="0"/>
            <w:vAlign w:val="center"/>
          </w:tcPr>
          <w:p w14:paraId="5BB7379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5</w:t>
            </w:r>
          </w:p>
        </w:tc>
        <w:tc>
          <w:tcPr>
            <w:tcW w:w="320" w:type="pct"/>
            <w:vMerge w:val="restart"/>
            <w:noWrap w:val="0"/>
            <w:vAlign w:val="center"/>
          </w:tcPr>
          <w:p w14:paraId="0318548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乳制品</w:t>
            </w:r>
          </w:p>
        </w:tc>
        <w:tc>
          <w:tcPr>
            <w:tcW w:w="324" w:type="pct"/>
            <w:vMerge w:val="restart"/>
            <w:noWrap w:val="0"/>
            <w:vAlign w:val="center"/>
          </w:tcPr>
          <w:p w14:paraId="04DA6108">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乳制品</w:t>
            </w:r>
          </w:p>
        </w:tc>
        <w:tc>
          <w:tcPr>
            <w:tcW w:w="346" w:type="pct"/>
            <w:vMerge w:val="restart"/>
            <w:noWrap w:val="0"/>
            <w:vAlign w:val="center"/>
          </w:tcPr>
          <w:p w14:paraId="6D7D94C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液体乳</w:t>
            </w:r>
          </w:p>
        </w:tc>
        <w:tc>
          <w:tcPr>
            <w:tcW w:w="499" w:type="pct"/>
            <w:noWrap w:val="0"/>
            <w:vAlign w:val="center"/>
          </w:tcPr>
          <w:p w14:paraId="5741BB0A">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灭菌乳</w:t>
            </w:r>
          </w:p>
        </w:tc>
        <w:tc>
          <w:tcPr>
            <w:tcW w:w="276" w:type="pct"/>
            <w:noWrap w:val="0"/>
            <w:vAlign w:val="center"/>
          </w:tcPr>
          <w:p w14:paraId="19EFB90D">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465A859A">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蛋白质、非脂乳固体、酸度、脂肪、三聚氰胺、铅（以Pb计）、黄曲霉毒素M</w:t>
            </w:r>
            <w:r>
              <w:rPr>
                <w:rFonts w:hint="default" w:ascii="Times New Roman" w:hAnsi="Times New Roman" w:eastAsia="仿宋_GB2312" w:cs="Times New Roman"/>
                <w:color w:val="auto"/>
                <w:kern w:val="0"/>
                <w:sz w:val="21"/>
                <w:szCs w:val="21"/>
                <w:highlight w:val="none"/>
                <w:vertAlign w:val="subscript"/>
              </w:rPr>
              <w:t>1</w:t>
            </w:r>
          </w:p>
        </w:tc>
        <w:tc>
          <w:tcPr>
            <w:tcW w:w="479" w:type="pct"/>
            <w:noWrap w:val="0"/>
            <w:vAlign w:val="center"/>
          </w:tcPr>
          <w:p w14:paraId="5C03E6E7">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丙二醇、商业无菌</w:t>
            </w:r>
          </w:p>
        </w:tc>
        <w:tc>
          <w:tcPr>
            <w:tcW w:w="555" w:type="pct"/>
            <w:noWrap w:val="0"/>
            <w:vAlign w:val="center"/>
          </w:tcPr>
          <w:p w14:paraId="31FABC7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D8030A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D54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0610A57D">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24D897F">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5FD4FE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77086FEA">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56BF56C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巴氏杀菌乳</w:t>
            </w:r>
          </w:p>
        </w:tc>
        <w:tc>
          <w:tcPr>
            <w:tcW w:w="276" w:type="pct"/>
            <w:noWrap w:val="0"/>
            <w:vAlign w:val="center"/>
          </w:tcPr>
          <w:p w14:paraId="6119957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0202CF6A">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蛋白质、酸度、三聚氰胺、铅（以Pb计）、黄曲霉毒素M</w:t>
            </w:r>
            <w:r>
              <w:rPr>
                <w:rFonts w:hint="default" w:ascii="Times New Roman" w:hAnsi="Times New Roman" w:eastAsia="仿宋_GB2312" w:cs="Times New Roman"/>
                <w:color w:val="auto"/>
                <w:kern w:val="0"/>
                <w:sz w:val="21"/>
                <w:szCs w:val="21"/>
                <w:highlight w:val="none"/>
                <w:vertAlign w:val="subscript"/>
              </w:rPr>
              <w:t>1</w:t>
            </w:r>
            <w:r>
              <w:rPr>
                <w:rFonts w:hint="default" w:ascii="Times New Roman" w:hAnsi="Times New Roman" w:eastAsia="仿宋_GB2312" w:cs="Times New Roman"/>
                <w:color w:val="auto"/>
                <w:kern w:val="0"/>
                <w:sz w:val="21"/>
                <w:szCs w:val="21"/>
                <w:highlight w:val="none"/>
              </w:rPr>
              <w:t>、丙二醇</w:t>
            </w:r>
          </w:p>
        </w:tc>
        <w:tc>
          <w:tcPr>
            <w:tcW w:w="479" w:type="pct"/>
            <w:noWrap w:val="0"/>
            <w:vAlign w:val="center"/>
          </w:tcPr>
          <w:p w14:paraId="5758430B">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沙门氏菌、金黄色葡萄球菌、菌落总数、大肠菌群</w:t>
            </w:r>
          </w:p>
        </w:tc>
        <w:tc>
          <w:tcPr>
            <w:tcW w:w="555" w:type="pct"/>
            <w:noWrap w:val="0"/>
            <w:vAlign w:val="center"/>
          </w:tcPr>
          <w:p w14:paraId="2A94D2C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6CF1F0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C35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56F8BB70">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174D2F4">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2B16C79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2EF3DDB5">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6B500F4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调制乳</w:t>
            </w:r>
          </w:p>
        </w:tc>
        <w:tc>
          <w:tcPr>
            <w:tcW w:w="276" w:type="pct"/>
            <w:noWrap w:val="0"/>
            <w:vAlign w:val="center"/>
          </w:tcPr>
          <w:p w14:paraId="2CDCBCA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3FCABD9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蛋白质、三聚氰胺、铅（以Pb计）、黄曲霉毒素M</w:t>
            </w:r>
            <w:r>
              <w:rPr>
                <w:rFonts w:hint="default" w:ascii="Times New Roman" w:hAnsi="Times New Roman" w:eastAsia="仿宋_GB2312" w:cs="Times New Roman"/>
                <w:color w:val="auto"/>
                <w:kern w:val="0"/>
                <w:sz w:val="21"/>
                <w:szCs w:val="21"/>
                <w:highlight w:val="none"/>
                <w:vertAlign w:val="subscript"/>
              </w:rPr>
              <w:t>1</w:t>
            </w:r>
            <w:r>
              <w:rPr>
                <w:rFonts w:hint="default" w:ascii="Times New Roman" w:hAnsi="Times New Roman" w:eastAsia="仿宋_GB2312" w:cs="Times New Roman"/>
                <w:color w:val="auto"/>
                <w:kern w:val="0"/>
                <w:sz w:val="21"/>
                <w:szCs w:val="21"/>
                <w:highlight w:val="none"/>
              </w:rPr>
              <w:t>、商业无菌、菌落总数、大肠菌群</w:t>
            </w:r>
          </w:p>
        </w:tc>
        <w:tc>
          <w:tcPr>
            <w:tcW w:w="479" w:type="pct"/>
            <w:noWrap w:val="0"/>
            <w:vAlign w:val="center"/>
          </w:tcPr>
          <w:p w14:paraId="0A5B4624">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1B812DF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9A25DDC">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eastAsia="zh-CN"/>
              </w:rPr>
              <w:t>附表X，第XXX页，序号XXX</w:t>
            </w:r>
          </w:p>
        </w:tc>
      </w:tr>
      <w:tr w14:paraId="53BD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05AB592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D01CEC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4FB571A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01E8490A">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53F525CA">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发酵乳</w:t>
            </w:r>
          </w:p>
        </w:tc>
        <w:tc>
          <w:tcPr>
            <w:tcW w:w="276" w:type="pct"/>
            <w:noWrap w:val="0"/>
            <w:vAlign w:val="center"/>
          </w:tcPr>
          <w:p w14:paraId="1C936BCA">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465122C0">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脂肪、蛋白质、酸度、山梨酸及其钾盐（以山梨酸计）、甜蜜素（以环己基氨基磺酸计）、黄曲霉毒素M</w:t>
            </w:r>
            <w:r>
              <w:rPr>
                <w:rFonts w:hint="default" w:ascii="Times New Roman" w:hAnsi="Times New Roman" w:eastAsia="仿宋_GB2312" w:cs="Times New Roman"/>
                <w:color w:val="auto"/>
                <w:kern w:val="0"/>
                <w:sz w:val="21"/>
                <w:szCs w:val="21"/>
                <w:highlight w:val="none"/>
                <w:vertAlign w:val="subscript"/>
              </w:rPr>
              <w:t>1</w:t>
            </w:r>
          </w:p>
        </w:tc>
        <w:tc>
          <w:tcPr>
            <w:tcW w:w="479" w:type="pct"/>
            <w:noWrap w:val="0"/>
            <w:vAlign w:val="center"/>
          </w:tcPr>
          <w:p w14:paraId="21749FEB">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阿斯巴甜、安赛蜜、三聚氰胺、铅（以Pb计）、金黄色葡萄球菌、沙门氏菌、大肠菌群、酵母、霉菌</w:t>
            </w:r>
          </w:p>
        </w:tc>
        <w:tc>
          <w:tcPr>
            <w:tcW w:w="555" w:type="pct"/>
            <w:noWrap w:val="0"/>
            <w:vAlign w:val="center"/>
          </w:tcPr>
          <w:p w14:paraId="7B1FEA7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BAC472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eastAsia="zh-CN"/>
              </w:rPr>
              <w:t>附表X，第XXX页，序号XXX</w:t>
            </w:r>
          </w:p>
        </w:tc>
      </w:tr>
      <w:tr w14:paraId="08A2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40CA444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65D60211">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D67118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406285EE">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713DACBF">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高温杀菌乳</w:t>
            </w:r>
          </w:p>
        </w:tc>
        <w:tc>
          <w:tcPr>
            <w:tcW w:w="276" w:type="pct"/>
            <w:noWrap w:val="0"/>
            <w:vAlign w:val="center"/>
          </w:tcPr>
          <w:p w14:paraId="21A5D82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707FA644">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蛋白质、酸度、三聚氰胺、铅（以Pb计）、黄曲霉毒素M</w:t>
            </w:r>
            <w:r>
              <w:rPr>
                <w:rFonts w:hint="default" w:ascii="Times New Roman" w:hAnsi="Times New Roman" w:eastAsia="仿宋_GB2312" w:cs="Times New Roman"/>
                <w:color w:val="auto"/>
                <w:kern w:val="0"/>
                <w:sz w:val="21"/>
                <w:szCs w:val="21"/>
                <w:highlight w:val="none"/>
                <w:vertAlign w:val="subscript"/>
              </w:rPr>
              <w:t>1</w:t>
            </w:r>
            <w:r>
              <w:rPr>
                <w:rFonts w:hint="default" w:ascii="Times New Roman" w:hAnsi="Times New Roman" w:eastAsia="仿宋_GB2312" w:cs="Times New Roman"/>
                <w:color w:val="auto"/>
                <w:kern w:val="0"/>
                <w:sz w:val="21"/>
                <w:szCs w:val="21"/>
                <w:highlight w:val="none"/>
              </w:rPr>
              <w:t>、沙门氏菌</w:t>
            </w:r>
          </w:p>
        </w:tc>
        <w:tc>
          <w:tcPr>
            <w:tcW w:w="479" w:type="pct"/>
            <w:noWrap w:val="0"/>
            <w:vAlign w:val="center"/>
          </w:tcPr>
          <w:p w14:paraId="5A25FA7D">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菌落总数、大肠菌群、丙二醇</w:t>
            </w:r>
          </w:p>
        </w:tc>
        <w:tc>
          <w:tcPr>
            <w:tcW w:w="555" w:type="pct"/>
            <w:noWrap w:val="0"/>
            <w:vAlign w:val="center"/>
          </w:tcPr>
          <w:p w14:paraId="5EBC503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071F00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eastAsia="zh-CN"/>
              </w:rPr>
              <w:t>附表X，第XXX页，序号XXX</w:t>
            </w:r>
          </w:p>
        </w:tc>
      </w:tr>
      <w:tr w14:paraId="0344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trPr>
        <w:tc>
          <w:tcPr>
            <w:tcW w:w="210" w:type="pct"/>
            <w:vMerge w:val="continue"/>
            <w:noWrap w:val="0"/>
            <w:vAlign w:val="center"/>
          </w:tcPr>
          <w:p w14:paraId="6123D8BA">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48EF5D0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58FE5E5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519A02E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乳清粉和乳清蛋白粉（企业原料）</w:t>
            </w:r>
          </w:p>
        </w:tc>
        <w:tc>
          <w:tcPr>
            <w:tcW w:w="499" w:type="pct"/>
            <w:noWrap w:val="0"/>
            <w:vAlign w:val="center"/>
          </w:tcPr>
          <w:p w14:paraId="1C7855F8">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脱盐乳清粉、非脱盐乳清粉、浓缩乳清蛋白粉、分离乳清蛋白粉</w:t>
            </w:r>
          </w:p>
        </w:tc>
        <w:tc>
          <w:tcPr>
            <w:tcW w:w="276" w:type="pct"/>
            <w:noWrap w:val="0"/>
            <w:vAlign w:val="center"/>
          </w:tcPr>
          <w:p w14:paraId="61F2E37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25045E52">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蛋白质、三聚氰胺</w:t>
            </w:r>
          </w:p>
        </w:tc>
        <w:tc>
          <w:tcPr>
            <w:tcW w:w="479" w:type="pct"/>
            <w:noWrap w:val="0"/>
            <w:vAlign w:val="center"/>
          </w:tcPr>
          <w:p w14:paraId="23E781AF">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19D5A03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077613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eastAsia="zh-CN"/>
              </w:rPr>
              <w:t>附表X，第XXX页，序号XXX</w:t>
            </w:r>
          </w:p>
        </w:tc>
      </w:tr>
      <w:tr w14:paraId="5F5E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210" w:type="pct"/>
            <w:vMerge w:val="continue"/>
            <w:noWrap w:val="0"/>
            <w:vAlign w:val="center"/>
          </w:tcPr>
          <w:p w14:paraId="7B023F5E">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1580805">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F8C475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noWrap w:val="0"/>
            <w:vAlign w:val="center"/>
          </w:tcPr>
          <w:p w14:paraId="5BB57820">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乳粉</w:t>
            </w:r>
          </w:p>
        </w:tc>
        <w:tc>
          <w:tcPr>
            <w:tcW w:w="499" w:type="pct"/>
            <w:noWrap w:val="0"/>
            <w:vAlign w:val="center"/>
          </w:tcPr>
          <w:p w14:paraId="5C206B1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乳粉（全脂、脱脂、部分脱脂和调制乳粉）</w:t>
            </w:r>
          </w:p>
        </w:tc>
        <w:tc>
          <w:tcPr>
            <w:tcW w:w="276" w:type="pct"/>
            <w:noWrap w:val="0"/>
            <w:vAlign w:val="center"/>
          </w:tcPr>
          <w:p w14:paraId="39BBDD4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706E1FA7">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蛋白质、脂肪、复原乳酸度、杂质度、水分、三聚氰胺</w:t>
            </w:r>
          </w:p>
        </w:tc>
        <w:tc>
          <w:tcPr>
            <w:tcW w:w="479" w:type="pct"/>
            <w:noWrap w:val="0"/>
            <w:vAlign w:val="center"/>
          </w:tcPr>
          <w:p w14:paraId="1D6C06E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铅（以Pb计）、菌落总数、大肠菌群</w:t>
            </w:r>
          </w:p>
        </w:tc>
        <w:tc>
          <w:tcPr>
            <w:tcW w:w="555" w:type="pct"/>
            <w:noWrap w:val="0"/>
            <w:vAlign w:val="center"/>
          </w:tcPr>
          <w:p w14:paraId="604D5F0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AE4B28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456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10" w:type="pct"/>
            <w:vMerge w:val="continue"/>
            <w:noWrap w:val="0"/>
            <w:vAlign w:val="center"/>
          </w:tcPr>
          <w:p w14:paraId="73AB8414">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49623610">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B1F5FD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restart"/>
            <w:noWrap w:val="0"/>
            <w:vAlign w:val="center"/>
          </w:tcPr>
          <w:p w14:paraId="0AFC724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其他乳制品（炼乳、奶油、干酪、固态成型产品）</w:t>
            </w:r>
          </w:p>
        </w:tc>
        <w:tc>
          <w:tcPr>
            <w:tcW w:w="499" w:type="pct"/>
            <w:noWrap w:val="0"/>
            <w:vAlign w:val="center"/>
          </w:tcPr>
          <w:p w14:paraId="3B339A80">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浓缩乳制品</w:t>
            </w:r>
          </w:p>
        </w:tc>
        <w:tc>
          <w:tcPr>
            <w:tcW w:w="276" w:type="pct"/>
            <w:noWrap w:val="0"/>
            <w:vAlign w:val="center"/>
          </w:tcPr>
          <w:p w14:paraId="0FA9BDB0">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218D15C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蛋白质、三聚氰胺、商业无菌、大肠菌群、菌落总数</w:t>
            </w:r>
          </w:p>
        </w:tc>
        <w:tc>
          <w:tcPr>
            <w:tcW w:w="479" w:type="pct"/>
            <w:noWrap w:val="0"/>
            <w:vAlign w:val="center"/>
          </w:tcPr>
          <w:p w14:paraId="0BD44B6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p>
        </w:tc>
        <w:tc>
          <w:tcPr>
            <w:tcW w:w="555" w:type="pct"/>
            <w:noWrap w:val="0"/>
            <w:vAlign w:val="center"/>
          </w:tcPr>
          <w:p w14:paraId="78152B8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03F737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94E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210" w:type="pct"/>
            <w:vMerge w:val="continue"/>
            <w:noWrap w:val="0"/>
            <w:vAlign w:val="center"/>
          </w:tcPr>
          <w:p w14:paraId="7307B7EC">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CD5EAF7">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3043A7C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2EE01D05">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3088375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稀奶油、奶油和无水奶油</w:t>
            </w:r>
          </w:p>
        </w:tc>
        <w:tc>
          <w:tcPr>
            <w:tcW w:w="276" w:type="pct"/>
            <w:noWrap w:val="0"/>
            <w:vAlign w:val="center"/>
          </w:tcPr>
          <w:p w14:paraId="1127FB06">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565A33D1">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脂肪、酸度、三聚氰胺、脱氢乙酸及其钠盐（以脱氢乙酸计）、沙门氏菌、商业无菌</w:t>
            </w:r>
          </w:p>
        </w:tc>
        <w:tc>
          <w:tcPr>
            <w:tcW w:w="479" w:type="pct"/>
            <w:noWrap w:val="0"/>
            <w:vAlign w:val="center"/>
          </w:tcPr>
          <w:p w14:paraId="346A5E6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菌落总数、大肠菌群、霉菌</w:t>
            </w:r>
          </w:p>
        </w:tc>
        <w:tc>
          <w:tcPr>
            <w:tcW w:w="555" w:type="pct"/>
            <w:noWrap w:val="0"/>
            <w:vAlign w:val="center"/>
          </w:tcPr>
          <w:p w14:paraId="33F87AE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47E62D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26C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210" w:type="pct"/>
            <w:vMerge w:val="continue"/>
            <w:noWrap w:val="0"/>
            <w:vAlign w:val="center"/>
          </w:tcPr>
          <w:p w14:paraId="2268FFDB">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73B5163">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2D5E308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7E1248A2">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4DAE886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干酪、再制干酪、干酪制品</w:t>
            </w:r>
          </w:p>
        </w:tc>
        <w:tc>
          <w:tcPr>
            <w:tcW w:w="276" w:type="pct"/>
            <w:noWrap w:val="0"/>
            <w:vAlign w:val="center"/>
          </w:tcPr>
          <w:p w14:paraId="0CCD3FC1">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5AE9797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三聚氰胺、金黄色葡萄球菌、沙门氏菌、单核细胞增生李斯特氏菌、菌落总数、大肠菌群、霉菌</w:t>
            </w:r>
          </w:p>
        </w:tc>
        <w:tc>
          <w:tcPr>
            <w:tcW w:w="479" w:type="pct"/>
            <w:noWrap w:val="0"/>
            <w:vAlign w:val="center"/>
          </w:tcPr>
          <w:p w14:paraId="0900F4D9">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5D558B8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924D8E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726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210" w:type="pct"/>
            <w:vMerge w:val="continue"/>
            <w:noWrap w:val="0"/>
            <w:vAlign w:val="center"/>
          </w:tcPr>
          <w:p w14:paraId="07537F94">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5EEA0E9">
            <w:pPr>
              <w:pageBreakBefore w:val="0"/>
              <w:widowControl w:val="0"/>
              <w:pBdr>
                <w:top w:val="none" w:color="auto" w:sz="0" w:space="1"/>
                <w:left w:val="none" w:color="auto" w:sz="0" w:space="4"/>
                <w:bottom w:val="none" w:color="auto" w:sz="0" w:space="1"/>
                <w:right w:val="none" w:color="auto" w:sz="0" w:space="4"/>
                <w:between w:val="none" w:color="auto" w:sz="0" w:space="0"/>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C5B5864">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spacing w:val="3"/>
                <w:kern w:val="0"/>
                <w:sz w:val="21"/>
                <w:szCs w:val="21"/>
                <w:highlight w:val="none"/>
                <w:lang w:eastAsia="zh-CN"/>
              </w:rPr>
            </w:pPr>
          </w:p>
        </w:tc>
        <w:tc>
          <w:tcPr>
            <w:tcW w:w="346" w:type="pct"/>
            <w:vMerge w:val="continue"/>
            <w:noWrap w:val="0"/>
            <w:vAlign w:val="center"/>
          </w:tcPr>
          <w:p w14:paraId="152202CC">
            <w:pPr>
              <w:pStyle w:val="132"/>
              <w:keepNext w:val="0"/>
              <w:keepLines w:val="0"/>
              <w:pageBreakBefore w:val="0"/>
              <w:widowControl/>
              <w:kinsoku w:val="0"/>
              <w:wordWrap/>
              <w:overflowPunct/>
              <w:topLinePunct w:val="0"/>
              <w:autoSpaceDE w:val="0"/>
              <w:autoSpaceDN w:val="0"/>
              <w:bidi w:val="0"/>
              <w:adjustRightInd w:val="0"/>
              <w:snapToGrid w:val="0"/>
              <w:spacing w:before="68" w:line="300" w:lineRule="exact"/>
              <w:ind w:left="0" w:leftChars="0" w:right="0" w:rightChars="0" w:firstLine="0" w:firstLineChars="0"/>
              <w:jc w:val="center"/>
              <w:textAlignment w:val="baseline"/>
              <w:rPr>
                <w:rFonts w:hint="default" w:ascii="Times New Roman" w:hAnsi="Times New Roman" w:eastAsia="仿宋_GB2312" w:cs="Times New Roman"/>
                <w:color w:val="auto"/>
                <w:spacing w:val="1"/>
                <w:sz w:val="21"/>
                <w:szCs w:val="21"/>
                <w:highlight w:val="none"/>
              </w:rPr>
            </w:pPr>
          </w:p>
        </w:tc>
        <w:tc>
          <w:tcPr>
            <w:tcW w:w="499" w:type="pct"/>
            <w:noWrap w:val="0"/>
            <w:vAlign w:val="center"/>
          </w:tcPr>
          <w:p w14:paraId="62F3E51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奶片、奶条等固态成型产品</w:t>
            </w:r>
          </w:p>
        </w:tc>
        <w:tc>
          <w:tcPr>
            <w:tcW w:w="276" w:type="pct"/>
            <w:noWrap w:val="0"/>
            <w:vAlign w:val="center"/>
          </w:tcPr>
          <w:p w14:paraId="0FCEB0B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高</w:t>
            </w:r>
          </w:p>
        </w:tc>
        <w:tc>
          <w:tcPr>
            <w:tcW w:w="1303" w:type="pct"/>
            <w:noWrap w:val="0"/>
            <w:vAlign w:val="center"/>
          </w:tcPr>
          <w:p w14:paraId="64919A81">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蛋白质、脱氢乙酸及其钠盐（以脱氢乙酸计）、三聚氰胺、沙门氏菌</w:t>
            </w:r>
          </w:p>
        </w:tc>
        <w:tc>
          <w:tcPr>
            <w:tcW w:w="479" w:type="pct"/>
            <w:noWrap w:val="0"/>
            <w:vAlign w:val="center"/>
          </w:tcPr>
          <w:p w14:paraId="511D3C2F">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4022619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194380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778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restart"/>
            <w:noWrap w:val="0"/>
            <w:vAlign w:val="center"/>
          </w:tcPr>
          <w:p w14:paraId="433F5F7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6</w:t>
            </w:r>
          </w:p>
        </w:tc>
        <w:tc>
          <w:tcPr>
            <w:tcW w:w="320" w:type="pct"/>
            <w:vMerge w:val="restart"/>
            <w:noWrap w:val="0"/>
            <w:vAlign w:val="center"/>
          </w:tcPr>
          <w:p w14:paraId="50EFF09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饮料</w:t>
            </w:r>
          </w:p>
        </w:tc>
        <w:tc>
          <w:tcPr>
            <w:tcW w:w="324" w:type="pct"/>
            <w:vMerge w:val="restart"/>
            <w:noWrap w:val="0"/>
            <w:vAlign w:val="center"/>
          </w:tcPr>
          <w:p w14:paraId="66314FF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饮料</w:t>
            </w:r>
          </w:p>
        </w:tc>
        <w:tc>
          <w:tcPr>
            <w:tcW w:w="346" w:type="pct"/>
            <w:vMerge w:val="restart"/>
            <w:noWrap w:val="0"/>
            <w:vAlign w:val="center"/>
          </w:tcPr>
          <w:p w14:paraId="64AD2B02">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2"/>
                <w:kern w:val="0"/>
                <w:sz w:val="21"/>
                <w:szCs w:val="21"/>
                <w:highlight w:val="none"/>
              </w:rPr>
              <w:t>包装饮用水</w:t>
            </w:r>
          </w:p>
        </w:tc>
        <w:tc>
          <w:tcPr>
            <w:tcW w:w="499" w:type="pct"/>
            <w:noWrap w:val="0"/>
            <w:vAlign w:val="center"/>
          </w:tcPr>
          <w:p w14:paraId="759C6ABC">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2"/>
                <w:kern w:val="0"/>
                <w:sz w:val="21"/>
                <w:szCs w:val="21"/>
                <w:highlight w:val="none"/>
              </w:rPr>
              <w:t>饮用天然矿</w:t>
            </w:r>
            <w:r>
              <w:rPr>
                <w:rFonts w:hint="default" w:ascii="Times New Roman" w:hAnsi="Times New Roman" w:eastAsia="仿宋_GB2312" w:cs="Times New Roman"/>
                <w:color w:val="auto"/>
                <w:spacing w:val="-3"/>
                <w:kern w:val="0"/>
                <w:sz w:val="21"/>
                <w:szCs w:val="21"/>
                <w:highlight w:val="none"/>
              </w:rPr>
              <w:t>泉水</w:t>
            </w:r>
          </w:p>
        </w:tc>
        <w:tc>
          <w:tcPr>
            <w:tcW w:w="276" w:type="pct"/>
            <w:noWrap w:val="0"/>
            <w:vAlign w:val="center"/>
          </w:tcPr>
          <w:p w14:paraId="607BD43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5D69239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界限指标、总砷（以As计）、溴酸盐、硝酸盐 (以NO</w:t>
            </w:r>
            <w:r>
              <w:rPr>
                <w:rFonts w:hint="default" w:ascii="Times New Roman" w:hAnsi="Times New Roman" w:eastAsia="仿宋_GB2312" w:cs="Times New Roman"/>
                <w:color w:val="auto"/>
                <w:sz w:val="21"/>
                <w:szCs w:val="21"/>
                <w:highlight w:val="none"/>
                <w:vertAlign w:val="subscript"/>
              </w:rPr>
              <w:t>3</w:t>
            </w:r>
            <w:r>
              <w:rPr>
                <w:rFonts w:hint="default" w:ascii="Times New Roman" w:hAnsi="Times New Roman" w:eastAsia="仿宋_GB2312" w:cs="Times New Roman"/>
                <w:color w:val="auto"/>
                <w:sz w:val="21"/>
                <w:szCs w:val="21"/>
                <w:highlight w:val="none"/>
                <w:vertAlign w:val="superscript"/>
              </w:rPr>
              <w:t>-</w:t>
            </w:r>
            <w:r>
              <w:rPr>
                <w:rFonts w:hint="default" w:ascii="Times New Roman" w:hAnsi="Times New Roman" w:eastAsia="仿宋_GB2312" w:cs="Times New Roman"/>
                <w:color w:val="auto"/>
                <w:sz w:val="21"/>
                <w:szCs w:val="21"/>
                <w:highlight w:val="none"/>
              </w:rPr>
              <w:t>计)、亚硝酸盐(以NO</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vertAlign w:val="superscript"/>
              </w:rPr>
              <w:t>-</w:t>
            </w:r>
            <w:r>
              <w:rPr>
                <w:rFonts w:hint="default" w:ascii="Times New Roman" w:hAnsi="Times New Roman" w:eastAsia="仿宋_GB2312" w:cs="Times New Roman"/>
                <w:color w:val="auto"/>
                <w:sz w:val="21"/>
                <w:szCs w:val="21"/>
                <w:highlight w:val="none"/>
              </w:rPr>
              <w:t>计)、大肠菌群、铜绿假单胞菌</w:t>
            </w:r>
          </w:p>
        </w:tc>
        <w:tc>
          <w:tcPr>
            <w:tcW w:w="479" w:type="pct"/>
            <w:noWrap w:val="0"/>
            <w:vAlign w:val="center"/>
          </w:tcPr>
          <w:p w14:paraId="36C8EC9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铅（以Pb计）、镉（以Cd计）</w:t>
            </w:r>
          </w:p>
        </w:tc>
        <w:tc>
          <w:tcPr>
            <w:tcW w:w="555" w:type="pct"/>
            <w:noWrap w:val="0"/>
            <w:vAlign w:val="center"/>
          </w:tcPr>
          <w:p w14:paraId="7A29B4E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BE78E4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407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56A41F1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07454D0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C71EA1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4448B4DD">
            <w:pPr>
              <w:pageBreakBefore w:val="0"/>
              <w:pBdr>
                <w:top w:val="none" w:color="auto" w:sz="0" w:space="1"/>
                <w:left w:val="none" w:color="auto" w:sz="0" w:space="4"/>
                <w:bottom w:val="none" w:color="auto" w:sz="0" w:space="1"/>
                <w:right w:val="none" w:color="auto" w:sz="0" w:space="4"/>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CEF9D91">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2"/>
                <w:kern w:val="0"/>
                <w:sz w:val="21"/>
                <w:szCs w:val="21"/>
                <w:highlight w:val="none"/>
              </w:rPr>
              <w:t>饮用纯净水</w:t>
            </w:r>
          </w:p>
        </w:tc>
        <w:tc>
          <w:tcPr>
            <w:tcW w:w="276" w:type="pct"/>
            <w:noWrap w:val="0"/>
            <w:vAlign w:val="center"/>
          </w:tcPr>
          <w:p w14:paraId="1FF048A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098F4D35">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电导率、亚硝酸盐 (以NO</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vertAlign w:val="superscript"/>
              </w:rPr>
              <w:t>-</w:t>
            </w:r>
            <w:r>
              <w:rPr>
                <w:rFonts w:hint="default" w:ascii="Times New Roman" w:hAnsi="Times New Roman" w:eastAsia="仿宋_GB2312" w:cs="Times New Roman"/>
                <w:color w:val="auto"/>
                <w:sz w:val="21"/>
                <w:szCs w:val="21"/>
                <w:highlight w:val="none"/>
              </w:rPr>
              <w:t>计)、余氯(游离氯)、溴酸盐、大肠菌群、铜绿假单胞菌</w:t>
            </w:r>
          </w:p>
        </w:tc>
        <w:tc>
          <w:tcPr>
            <w:tcW w:w="479" w:type="pct"/>
            <w:noWrap w:val="0"/>
            <w:vAlign w:val="center"/>
          </w:tcPr>
          <w:p w14:paraId="04F4A300">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耗氧量(以O</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rPr>
              <w:t>计)、三氯甲烷</w:t>
            </w:r>
          </w:p>
          <w:p w14:paraId="0E7829E5">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5ECB4A6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5E70977">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F88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65F0FBA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79F40A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AC59F6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B056DFC">
            <w:pPr>
              <w:pageBreakBefore w:val="0"/>
              <w:pBdr>
                <w:top w:val="none" w:color="auto" w:sz="0" w:space="1"/>
                <w:left w:val="none" w:color="auto" w:sz="0" w:space="4"/>
                <w:bottom w:val="none" w:color="auto" w:sz="0" w:space="1"/>
                <w:right w:val="none" w:color="auto" w:sz="0" w:space="4"/>
              </w:pBdr>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78A719F4">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4"/>
                <w:kern w:val="0"/>
                <w:sz w:val="21"/>
                <w:szCs w:val="21"/>
                <w:highlight w:val="none"/>
              </w:rPr>
              <w:t>其他类饮用</w:t>
            </w:r>
            <w:r>
              <w:rPr>
                <w:rFonts w:hint="default" w:ascii="Times New Roman" w:hAnsi="Times New Roman" w:eastAsia="仿宋_GB2312" w:cs="Times New Roman"/>
                <w:color w:val="auto"/>
                <w:kern w:val="0"/>
                <w:sz w:val="21"/>
                <w:szCs w:val="21"/>
                <w:highlight w:val="none"/>
              </w:rPr>
              <w:t>水</w:t>
            </w:r>
          </w:p>
        </w:tc>
        <w:tc>
          <w:tcPr>
            <w:tcW w:w="276" w:type="pct"/>
            <w:noWrap w:val="0"/>
            <w:vAlign w:val="center"/>
          </w:tcPr>
          <w:p w14:paraId="3E8CD64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122B4445">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亚硝酸盐 (以NO</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vertAlign w:val="superscript"/>
              </w:rPr>
              <w:t>-</w:t>
            </w:r>
            <w:r>
              <w:rPr>
                <w:rFonts w:hint="default" w:ascii="Times New Roman" w:hAnsi="Times New Roman" w:eastAsia="仿宋_GB2312" w:cs="Times New Roman"/>
                <w:color w:val="auto"/>
                <w:sz w:val="21"/>
                <w:szCs w:val="21"/>
                <w:highlight w:val="none"/>
              </w:rPr>
              <w:t>计)、余氯(游离氯)、溴酸盐、大肠菌群、铜绿假单胞菌、总砷（以As计）</w:t>
            </w:r>
          </w:p>
        </w:tc>
        <w:tc>
          <w:tcPr>
            <w:tcW w:w="479" w:type="pct"/>
            <w:noWrap w:val="0"/>
            <w:vAlign w:val="center"/>
          </w:tcPr>
          <w:p w14:paraId="64B8060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耗氧量(以O</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rPr>
              <w:t>计)、三氯甲烷</w:t>
            </w:r>
          </w:p>
          <w:p w14:paraId="2B7A26C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1DF1965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323399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8DB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10" w:type="pct"/>
            <w:vMerge w:val="continue"/>
            <w:noWrap w:val="0"/>
            <w:vAlign w:val="center"/>
          </w:tcPr>
          <w:p w14:paraId="4880939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7609C8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B19650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774F14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1"/>
                <w:kern w:val="0"/>
                <w:sz w:val="21"/>
                <w:szCs w:val="21"/>
                <w:highlight w:val="none"/>
              </w:rPr>
              <w:t>果蔬汁类及</w:t>
            </w:r>
            <w:r>
              <w:rPr>
                <w:rFonts w:hint="default" w:ascii="Times New Roman" w:hAnsi="Times New Roman" w:eastAsia="仿宋_GB2312" w:cs="Times New Roman"/>
                <w:color w:val="auto"/>
                <w:spacing w:val="-2"/>
                <w:kern w:val="0"/>
                <w:sz w:val="21"/>
                <w:szCs w:val="21"/>
                <w:highlight w:val="none"/>
              </w:rPr>
              <w:t>其饮料</w:t>
            </w:r>
          </w:p>
        </w:tc>
        <w:tc>
          <w:tcPr>
            <w:tcW w:w="499" w:type="pct"/>
            <w:noWrap w:val="0"/>
            <w:vAlign w:val="center"/>
          </w:tcPr>
          <w:p w14:paraId="3FEF865E">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1"/>
                <w:kern w:val="0"/>
                <w:sz w:val="21"/>
                <w:szCs w:val="21"/>
                <w:highlight w:val="none"/>
              </w:rPr>
              <w:t>果蔬汁类及</w:t>
            </w:r>
            <w:r>
              <w:rPr>
                <w:rFonts w:hint="default" w:ascii="Times New Roman" w:hAnsi="Times New Roman" w:eastAsia="仿宋_GB2312" w:cs="Times New Roman"/>
                <w:color w:val="auto"/>
                <w:spacing w:val="-2"/>
                <w:kern w:val="0"/>
                <w:sz w:val="21"/>
                <w:szCs w:val="21"/>
                <w:highlight w:val="none"/>
              </w:rPr>
              <w:t>其饮料</w:t>
            </w:r>
          </w:p>
        </w:tc>
        <w:tc>
          <w:tcPr>
            <w:tcW w:w="276" w:type="pct"/>
            <w:noWrap w:val="0"/>
            <w:vAlign w:val="center"/>
          </w:tcPr>
          <w:p w14:paraId="5342B0E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1E9B697E">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脱氢乙酸及其钠盐(以脱氢乙酸计)、展青霉素、阿斯巴甜、合成着色剂(柠檬黄、新红、苋菜红、靛蓝、胭脂红、日落黄、诱惑红、亮蓝、酸性红、喹啉黄、赤藓红)、菌落总数、大肠菌群、霉菌、酵母</w:t>
            </w:r>
          </w:p>
        </w:tc>
        <w:tc>
          <w:tcPr>
            <w:tcW w:w="479" w:type="pct"/>
            <w:noWrap w:val="0"/>
            <w:vAlign w:val="center"/>
          </w:tcPr>
          <w:p w14:paraId="59B33B7A">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苯甲酸及其钠盐（以苯甲酸计）、山梨酸及其钾盐（以山梨酸计）、防腐剂混合使用时各自用量占其最大使用量的比例之和</w:t>
            </w:r>
          </w:p>
          <w:p w14:paraId="3FAC9AE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692B976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D29219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6F1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61C7E3C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07E83F7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3FEAFE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AC6AA2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蛋白饮料</w:t>
            </w:r>
          </w:p>
        </w:tc>
        <w:tc>
          <w:tcPr>
            <w:tcW w:w="499" w:type="pct"/>
            <w:noWrap w:val="0"/>
            <w:vAlign w:val="center"/>
          </w:tcPr>
          <w:p w14:paraId="2AAF5DE1">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蛋白饮料</w:t>
            </w:r>
          </w:p>
        </w:tc>
        <w:tc>
          <w:tcPr>
            <w:tcW w:w="276" w:type="pct"/>
            <w:noWrap w:val="0"/>
            <w:vAlign w:val="center"/>
          </w:tcPr>
          <w:p w14:paraId="3B2060E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5F1C0C6F">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蛋白质、乳酸菌数、氰化物(以HCN计)、三聚氰胺、脱氢乙酸及其钠盐(以脱氢乙酸计)、安赛蜜、甜蜜素(以环己基氨基磺酸计)、阿斯巴甜、菌落总数、大肠菌群、商业无菌</w:t>
            </w:r>
          </w:p>
        </w:tc>
        <w:tc>
          <w:tcPr>
            <w:tcW w:w="479" w:type="pct"/>
            <w:noWrap w:val="0"/>
            <w:vAlign w:val="center"/>
          </w:tcPr>
          <w:p w14:paraId="2E9D53DF">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霉菌、酵母</w:t>
            </w:r>
          </w:p>
        </w:tc>
        <w:tc>
          <w:tcPr>
            <w:tcW w:w="555" w:type="pct"/>
            <w:noWrap w:val="0"/>
            <w:vAlign w:val="center"/>
          </w:tcPr>
          <w:p w14:paraId="572676A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A96D66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21D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28EDE16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11A7D3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AC514E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459FEF11">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碳酸饮料</w:t>
            </w:r>
          </w:p>
          <w:p w14:paraId="52D1CC0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9"/>
                <w:kern w:val="0"/>
                <w:sz w:val="21"/>
                <w:szCs w:val="21"/>
                <w:highlight w:val="none"/>
              </w:rPr>
              <w:t>（汽水）</w:t>
            </w:r>
          </w:p>
        </w:tc>
        <w:tc>
          <w:tcPr>
            <w:tcW w:w="499" w:type="pct"/>
            <w:noWrap w:val="0"/>
            <w:vAlign w:val="center"/>
          </w:tcPr>
          <w:p w14:paraId="724B047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碳酸饮料</w:t>
            </w:r>
          </w:p>
          <w:p w14:paraId="2601D904">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9"/>
                <w:kern w:val="0"/>
                <w:sz w:val="21"/>
                <w:szCs w:val="21"/>
                <w:highlight w:val="none"/>
              </w:rPr>
              <w:t>（汽水）</w:t>
            </w:r>
          </w:p>
        </w:tc>
        <w:tc>
          <w:tcPr>
            <w:tcW w:w="276" w:type="pct"/>
            <w:noWrap w:val="0"/>
            <w:vAlign w:val="center"/>
          </w:tcPr>
          <w:p w14:paraId="55FCC20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2B639DAA">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二氧化碳气容量、苯甲酸及其钠盐（以苯甲酸计）、山梨酸及其钾盐（以山梨酸计）、防腐剂混合使用时各自用量占其最大使用量的比例之和、菌落总数、霉菌、酵母</w:t>
            </w:r>
          </w:p>
        </w:tc>
        <w:tc>
          <w:tcPr>
            <w:tcW w:w="479" w:type="pct"/>
            <w:noWrap w:val="0"/>
            <w:vAlign w:val="center"/>
          </w:tcPr>
          <w:p w14:paraId="76E3D3C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安赛蜜、阿斯巴甜、甜蜜素（以环己基氨基磺酸计）</w:t>
            </w:r>
          </w:p>
        </w:tc>
        <w:tc>
          <w:tcPr>
            <w:tcW w:w="555" w:type="pct"/>
            <w:noWrap w:val="0"/>
            <w:vAlign w:val="center"/>
          </w:tcPr>
          <w:p w14:paraId="6F9A910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A3E369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B83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10" w:type="pct"/>
            <w:vMerge w:val="continue"/>
            <w:noWrap w:val="0"/>
            <w:vAlign w:val="center"/>
          </w:tcPr>
          <w:p w14:paraId="7989535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41FF65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5F1BEE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6D9EAC5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茶饮料</w:t>
            </w:r>
          </w:p>
        </w:tc>
        <w:tc>
          <w:tcPr>
            <w:tcW w:w="499" w:type="pct"/>
            <w:noWrap w:val="0"/>
            <w:vAlign w:val="center"/>
          </w:tcPr>
          <w:p w14:paraId="7430287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3"/>
                <w:kern w:val="0"/>
                <w:sz w:val="21"/>
                <w:szCs w:val="21"/>
                <w:highlight w:val="none"/>
              </w:rPr>
              <w:t>茶饮料</w:t>
            </w:r>
          </w:p>
        </w:tc>
        <w:tc>
          <w:tcPr>
            <w:tcW w:w="276" w:type="pct"/>
            <w:noWrap w:val="0"/>
            <w:vAlign w:val="center"/>
          </w:tcPr>
          <w:p w14:paraId="0DF20A2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260C40F2">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茶多酚、咖啡因、安赛蜜、甜蜜素(以环己基氨基磺酸计)、阿斯巴甜、菌落总数</w:t>
            </w:r>
          </w:p>
        </w:tc>
        <w:tc>
          <w:tcPr>
            <w:tcW w:w="479" w:type="pct"/>
            <w:noWrap w:val="0"/>
            <w:vAlign w:val="center"/>
          </w:tcPr>
          <w:p w14:paraId="6E1C2805">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脱氢乙酸及其钠盐(以脱氢乙酸计)</w:t>
            </w:r>
          </w:p>
          <w:p w14:paraId="7B626C2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62A17CB8">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3BBA92F">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1B9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10" w:type="pct"/>
            <w:vMerge w:val="continue"/>
            <w:noWrap w:val="0"/>
            <w:vAlign w:val="center"/>
          </w:tcPr>
          <w:p w14:paraId="285C045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098692B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258FEE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0F5A99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1"/>
                <w:kern w:val="0"/>
                <w:sz w:val="21"/>
                <w:szCs w:val="21"/>
                <w:highlight w:val="none"/>
              </w:rPr>
              <w:t>固体饮料</w:t>
            </w:r>
          </w:p>
        </w:tc>
        <w:tc>
          <w:tcPr>
            <w:tcW w:w="499" w:type="pct"/>
            <w:noWrap w:val="0"/>
            <w:vAlign w:val="center"/>
          </w:tcPr>
          <w:p w14:paraId="15B60D7B">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1"/>
                <w:kern w:val="0"/>
                <w:sz w:val="21"/>
                <w:szCs w:val="21"/>
                <w:highlight w:val="none"/>
              </w:rPr>
              <w:t>固体饮料</w:t>
            </w:r>
          </w:p>
        </w:tc>
        <w:tc>
          <w:tcPr>
            <w:tcW w:w="276" w:type="pct"/>
            <w:noWrap w:val="0"/>
            <w:vAlign w:val="center"/>
          </w:tcPr>
          <w:p w14:paraId="701F3FC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4C7CC94C">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蛋白质、西地那非、他达拉非、西布曲明、比沙可啶、氰化物(以HCN计)、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479" w:type="pct"/>
            <w:noWrap w:val="0"/>
            <w:vAlign w:val="center"/>
          </w:tcPr>
          <w:p w14:paraId="3F44373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铅(以Pb计)、苯甲酸及其钠盐（以苯甲酸计）、山梨酸及其钾盐（以山梨酸计）、防腐剂混合使用时各自用量占其最大使用量的比例之和</w:t>
            </w:r>
          </w:p>
        </w:tc>
        <w:tc>
          <w:tcPr>
            <w:tcW w:w="555" w:type="pct"/>
            <w:noWrap w:val="0"/>
            <w:vAlign w:val="center"/>
          </w:tcPr>
          <w:p w14:paraId="52C45AD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0A548A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2DA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210" w:type="pct"/>
            <w:vMerge w:val="continue"/>
            <w:noWrap w:val="0"/>
            <w:vAlign w:val="center"/>
          </w:tcPr>
          <w:p w14:paraId="3D248B0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0163219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43ACBC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99C342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2"/>
                <w:kern w:val="0"/>
                <w:sz w:val="21"/>
                <w:szCs w:val="21"/>
                <w:highlight w:val="none"/>
              </w:rPr>
              <w:t>其他饮料</w:t>
            </w:r>
          </w:p>
        </w:tc>
        <w:tc>
          <w:tcPr>
            <w:tcW w:w="499" w:type="pct"/>
            <w:noWrap w:val="0"/>
            <w:vAlign w:val="center"/>
          </w:tcPr>
          <w:p w14:paraId="033AC0DE">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2"/>
                <w:kern w:val="0"/>
                <w:sz w:val="21"/>
                <w:szCs w:val="21"/>
                <w:highlight w:val="none"/>
              </w:rPr>
              <w:t>其他饮料</w:t>
            </w:r>
          </w:p>
        </w:tc>
        <w:tc>
          <w:tcPr>
            <w:tcW w:w="276" w:type="pct"/>
            <w:noWrap w:val="0"/>
            <w:vAlign w:val="center"/>
          </w:tcPr>
          <w:p w14:paraId="6CF6EAC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1664F6D6">
            <w:pPr>
              <w:pageBreakBefore w:val="0"/>
              <w:pBdr>
                <w:top w:val="none" w:color="auto" w:sz="0" w:space="1"/>
                <w:left w:val="none" w:color="auto" w:sz="0" w:space="4"/>
                <w:bottom w:val="none" w:color="auto" w:sz="0" w:space="1"/>
                <w:right w:val="none" w:color="auto" w:sz="0" w:space="4"/>
              </w:pBdr>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苯甲酸及其钠盐(以苯甲酸计)、山梨酸及其钾盐 (以山梨酸计)、脱氢乙酸及其钠盐(以脱氢乙酸计)、防腐剂混合使用时各自用量占其最大使用量的比例之和、糖精钠(以糖精计)、合成着色剂(柠檬黄、新红、苋菜红、靛蓝、胭脂红、日落黄、诱惑红、亮蓝、酸性红、喹啉黄、赤藓红)、菌落总数、大肠菌群、霉菌、酵母、</w:t>
            </w:r>
          </w:p>
        </w:tc>
        <w:tc>
          <w:tcPr>
            <w:tcW w:w="479" w:type="pct"/>
            <w:noWrap w:val="0"/>
            <w:vAlign w:val="center"/>
          </w:tcPr>
          <w:p w14:paraId="5D60F7E5">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安赛蜜、甜蜜素(以环己基氨基磺酸计)</w:t>
            </w:r>
          </w:p>
        </w:tc>
        <w:tc>
          <w:tcPr>
            <w:tcW w:w="555" w:type="pct"/>
            <w:noWrap w:val="0"/>
            <w:vAlign w:val="center"/>
          </w:tcPr>
          <w:p w14:paraId="0B3DEF6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653487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0D5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5" w:hRule="atLeast"/>
        </w:trPr>
        <w:tc>
          <w:tcPr>
            <w:tcW w:w="210" w:type="pct"/>
            <w:vMerge w:val="restart"/>
            <w:noWrap w:val="0"/>
            <w:vAlign w:val="center"/>
          </w:tcPr>
          <w:p w14:paraId="40E8EB0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7</w:t>
            </w:r>
          </w:p>
        </w:tc>
        <w:tc>
          <w:tcPr>
            <w:tcW w:w="320" w:type="pct"/>
            <w:vMerge w:val="restart"/>
            <w:noWrap w:val="0"/>
            <w:vAlign w:val="center"/>
          </w:tcPr>
          <w:p w14:paraId="36CEAF4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方便食品</w:t>
            </w:r>
          </w:p>
        </w:tc>
        <w:tc>
          <w:tcPr>
            <w:tcW w:w="324" w:type="pct"/>
            <w:vMerge w:val="restart"/>
            <w:noWrap w:val="0"/>
            <w:vAlign w:val="center"/>
          </w:tcPr>
          <w:p w14:paraId="74770158">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方便食品</w:t>
            </w:r>
          </w:p>
        </w:tc>
        <w:tc>
          <w:tcPr>
            <w:tcW w:w="346" w:type="pct"/>
            <w:noWrap w:val="0"/>
            <w:vAlign w:val="center"/>
          </w:tcPr>
          <w:p w14:paraId="043F5336">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方便面</w:t>
            </w:r>
          </w:p>
        </w:tc>
        <w:tc>
          <w:tcPr>
            <w:tcW w:w="499" w:type="pct"/>
            <w:noWrap w:val="0"/>
            <w:vAlign w:val="center"/>
          </w:tcPr>
          <w:p w14:paraId="7B8D517B">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油炸面、非油炸面</w:t>
            </w:r>
          </w:p>
        </w:tc>
        <w:tc>
          <w:tcPr>
            <w:tcW w:w="276" w:type="pct"/>
            <w:noWrap w:val="0"/>
            <w:vAlign w:val="center"/>
          </w:tcPr>
          <w:p w14:paraId="2EE69F43">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较高</w:t>
            </w:r>
          </w:p>
          <w:p w14:paraId="151430F3">
            <w:pPr>
              <w:pageBreakBefore w:val="0"/>
              <w:widowControl w:val="0"/>
              <w:wordWrap/>
              <w:overflowPunct/>
              <w:topLinePunct w:val="0"/>
              <w:bidi w:val="0"/>
              <w:spacing w:line="300" w:lineRule="exact"/>
              <w:jc w:val="center"/>
              <w:rPr>
                <w:rFonts w:hint="default" w:ascii="Times New Roman" w:hAnsi="Times New Roman" w:eastAsia="仿宋_GB2312" w:cs="Times New Roman"/>
                <w:strike/>
                <w:color w:val="auto"/>
                <w:spacing w:val="5"/>
                <w:kern w:val="2"/>
                <w:sz w:val="21"/>
                <w:szCs w:val="21"/>
                <w:highlight w:val="none"/>
                <w:lang w:val="en-US" w:eastAsia="zh-CN" w:bidi="ar-SA"/>
              </w:rPr>
            </w:pPr>
          </w:p>
        </w:tc>
        <w:tc>
          <w:tcPr>
            <w:tcW w:w="1303" w:type="pct"/>
            <w:noWrap w:val="0"/>
            <w:vAlign w:val="center"/>
          </w:tcPr>
          <w:p w14:paraId="558417B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水分、酸价(以脂肪计)(KOH)、过氧化值(以脂肪计)、菌落总数、大肠菌群、霉菌</w:t>
            </w:r>
          </w:p>
        </w:tc>
        <w:tc>
          <w:tcPr>
            <w:tcW w:w="479" w:type="pct"/>
            <w:noWrap w:val="0"/>
            <w:vAlign w:val="center"/>
          </w:tcPr>
          <w:p w14:paraId="5573C851">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5FE4D08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6EF378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A11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8F35CF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00E82FF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1FAF4F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5FD7B85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方便面</w:t>
            </w:r>
          </w:p>
        </w:tc>
        <w:tc>
          <w:tcPr>
            <w:tcW w:w="499" w:type="pct"/>
            <w:noWrap w:val="0"/>
            <w:vAlign w:val="center"/>
          </w:tcPr>
          <w:p w14:paraId="7FB21D71">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方便米粉</w:t>
            </w:r>
          </w:p>
          <w:p w14:paraId="285FCF7D">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(米线)</w:t>
            </w:r>
          </w:p>
        </w:tc>
        <w:tc>
          <w:tcPr>
            <w:tcW w:w="276" w:type="pct"/>
            <w:noWrap w:val="0"/>
            <w:vAlign w:val="center"/>
          </w:tcPr>
          <w:p w14:paraId="2608C49E">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6E76F6B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水分、酸价(以脂肪计)(KOH)、过氧化值(以脂肪计)、菌落总数、大肠菌群、霉菌</w:t>
            </w:r>
          </w:p>
        </w:tc>
        <w:tc>
          <w:tcPr>
            <w:tcW w:w="479" w:type="pct"/>
            <w:noWrap w:val="0"/>
            <w:vAlign w:val="center"/>
          </w:tcPr>
          <w:p w14:paraId="3A67BE8F">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6CD08DD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5AFA2B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011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7CECE5E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287C8E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68CE87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3645838">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方便面</w:t>
            </w:r>
          </w:p>
        </w:tc>
        <w:tc>
          <w:tcPr>
            <w:tcW w:w="499" w:type="pct"/>
            <w:noWrap w:val="0"/>
            <w:vAlign w:val="center"/>
          </w:tcPr>
          <w:p w14:paraId="621514EC">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方便粉丝</w:t>
            </w:r>
          </w:p>
        </w:tc>
        <w:tc>
          <w:tcPr>
            <w:tcW w:w="276" w:type="pct"/>
            <w:noWrap w:val="0"/>
            <w:vAlign w:val="center"/>
          </w:tcPr>
          <w:p w14:paraId="0192D750">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0DEAFA12">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水分、酸价(以脂肪计)(KOH)、过氧化值(以脂肪计)、菌落总数、大肠菌群、霉菌</w:t>
            </w:r>
          </w:p>
        </w:tc>
        <w:tc>
          <w:tcPr>
            <w:tcW w:w="479" w:type="pct"/>
            <w:noWrap w:val="0"/>
            <w:vAlign w:val="center"/>
          </w:tcPr>
          <w:p w14:paraId="2623AFC3">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546C5BD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D0EE7CD">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359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634A68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34F36B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656655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2D17E230">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方便面</w:t>
            </w:r>
          </w:p>
        </w:tc>
        <w:tc>
          <w:tcPr>
            <w:tcW w:w="499" w:type="pct"/>
            <w:noWrap w:val="0"/>
            <w:vAlign w:val="center"/>
          </w:tcPr>
          <w:p w14:paraId="23FFCA0E">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其他方便面</w:t>
            </w:r>
          </w:p>
        </w:tc>
        <w:tc>
          <w:tcPr>
            <w:tcW w:w="276" w:type="pct"/>
            <w:noWrap w:val="0"/>
            <w:vAlign w:val="center"/>
          </w:tcPr>
          <w:p w14:paraId="6403520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5B6C16C7">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水分、酸价(以脂肪计)(KOH)、过氧化值(以脂肪计)、菌落总数、大肠菌群、霉菌</w:t>
            </w:r>
          </w:p>
        </w:tc>
        <w:tc>
          <w:tcPr>
            <w:tcW w:w="479" w:type="pct"/>
            <w:noWrap w:val="0"/>
            <w:vAlign w:val="center"/>
          </w:tcPr>
          <w:p w14:paraId="7B57C7D0">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284E19F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9A509E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52B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0" w:type="pct"/>
            <w:vMerge w:val="continue"/>
            <w:noWrap w:val="0"/>
            <w:vAlign w:val="center"/>
          </w:tcPr>
          <w:p w14:paraId="3E40B24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D601A1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19E2546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78A521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调味面制品</w:t>
            </w:r>
          </w:p>
        </w:tc>
        <w:tc>
          <w:tcPr>
            <w:tcW w:w="499" w:type="pct"/>
            <w:noWrap w:val="0"/>
            <w:vAlign w:val="center"/>
          </w:tcPr>
          <w:p w14:paraId="7AD062E6">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调味面制品</w:t>
            </w:r>
          </w:p>
        </w:tc>
        <w:tc>
          <w:tcPr>
            <w:tcW w:w="276" w:type="pct"/>
            <w:noWrap w:val="0"/>
            <w:vAlign w:val="center"/>
          </w:tcPr>
          <w:p w14:paraId="15B73530">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A0EAA5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酸价(以脂肪计)(KOH)、过氧化值(以脂肪计)、甜蜜素(以环己基氨基磺酸计)、三氯蔗糖、菌落总数、大肠菌群</w:t>
            </w:r>
          </w:p>
        </w:tc>
        <w:tc>
          <w:tcPr>
            <w:tcW w:w="479" w:type="pct"/>
            <w:noWrap w:val="0"/>
            <w:vAlign w:val="center"/>
          </w:tcPr>
          <w:p w14:paraId="11F32F67">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w:t>
            </w:r>
          </w:p>
          <w:p w14:paraId="5BF4CAF3">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p>
        </w:tc>
        <w:tc>
          <w:tcPr>
            <w:tcW w:w="555" w:type="pct"/>
            <w:noWrap w:val="0"/>
            <w:vAlign w:val="center"/>
          </w:tcPr>
          <w:p w14:paraId="33E80C2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92A3C6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86F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2E269A6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BE1DA8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D27283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016D83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其他方便食品</w:t>
            </w:r>
          </w:p>
        </w:tc>
        <w:tc>
          <w:tcPr>
            <w:tcW w:w="499" w:type="pct"/>
            <w:noWrap w:val="0"/>
            <w:vAlign w:val="center"/>
          </w:tcPr>
          <w:p w14:paraId="3EFED64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冲调类方便食品</w:t>
            </w:r>
          </w:p>
        </w:tc>
        <w:tc>
          <w:tcPr>
            <w:tcW w:w="276" w:type="pct"/>
            <w:noWrap w:val="0"/>
            <w:vAlign w:val="center"/>
          </w:tcPr>
          <w:p w14:paraId="32569CD5">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5D6BD262">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菌落总数、大肠菌群、霉菌、糖精钠(以糖精计)、黄曲霉毒素B</w:t>
            </w:r>
            <w:r>
              <w:rPr>
                <w:rFonts w:hint="default" w:ascii="Times New Roman" w:hAnsi="Times New Roman" w:eastAsia="仿宋_GB2312" w:cs="Times New Roman"/>
                <w:color w:val="auto"/>
                <w:spacing w:val="5"/>
                <w:sz w:val="21"/>
                <w:szCs w:val="21"/>
                <w:highlight w:val="none"/>
                <w:vertAlign w:val="subscript"/>
                <w:lang w:eastAsia="zh-CN"/>
              </w:rPr>
              <w:t>1</w:t>
            </w:r>
            <w:r>
              <w:rPr>
                <w:rFonts w:hint="default" w:ascii="Times New Roman" w:hAnsi="Times New Roman" w:eastAsia="仿宋_GB2312" w:cs="Times New Roman"/>
                <w:color w:val="auto"/>
                <w:spacing w:val="5"/>
                <w:sz w:val="21"/>
                <w:szCs w:val="21"/>
                <w:highlight w:val="none"/>
                <w:lang w:eastAsia="zh-CN"/>
              </w:rPr>
              <w:t>、铅(以Pb计)</w:t>
            </w:r>
          </w:p>
        </w:tc>
        <w:tc>
          <w:tcPr>
            <w:tcW w:w="479" w:type="pct"/>
            <w:noWrap w:val="0"/>
            <w:vAlign w:val="center"/>
          </w:tcPr>
          <w:p w14:paraId="0A74768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w:t>
            </w:r>
          </w:p>
        </w:tc>
        <w:tc>
          <w:tcPr>
            <w:tcW w:w="555" w:type="pct"/>
            <w:noWrap w:val="0"/>
            <w:vAlign w:val="center"/>
          </w:tcPr>
          <w:p w14:paraId="65D3B29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703994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3E3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5FA8847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E0F194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AB2ED4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21DBB2BD">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其他方便食品</w:t>
            </w:r>
          </w:p>
        </w:tc>
        <w:tc>
          <w:tcPr>
            <w:tcW w:w="499" w:type="pct"/>
            <w:noWrap w:val="0"/>
            <w:vAlign w:val="center"/>
          </w:tcPr>
          <w:p w14:paraId="4BEB55A4">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主食类方便食品</w:t>
            </w:r>
          </w:p>
        </w:tc>
        <w:tc>
          <w:tcPr>
            <w:tcW w:w="276" w:type="pct"/>
            <w:noWrap w:val="0"/>
            <w:vAlign w:val="center"/>
          </w:tcPr>
          <w:p w14:paraId="2F7C2800">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39235E04">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酸价(以脂肪计)(KOH)、过氧化值(以脂肪计)、苯甲酸及其钠盐(以苯甲酸计)、</w:t>
            </w:r>
            <w:r>
              <w:rPr>
                <w:rFonts w:hint="default" w:ascii="Times New Roman" w:hAnsi="Times New Roman" w:eastAsia="仿宋_GB2312" w:cs="Times New Roman"/>
                <w:color w:val="auto"/>
                <w:spacing w:val="5"/>
                <w:sz w:val="21"/>
                <w:szCs w:val="21"/>
                <w:highlight w:val="none"/>
                <w:lang w:val="en-US" w:eastAsia="zh-CN"/>
              </w:rPr>
              <w:t xml:space="preserve"> </w:t>
            </w:r>
            <w:r>
              <w:rPr>
                <w:rFonts w:hint="default" w:ascii="Times New Roman" w:hAnsi="Times New Roman" w:eastAsia="仿宋_GB2312" w:cs="Times New Roman"/>
                <w:color w:val="auto"/>
                <w:spacing w:val="5"/>
                <w:sz w:val="21"/>
                <w:szCs w:val="21"/>
                <w:highlight w:val="none"/>
                <w:lang w:eastAsia="zh-CN"/>
              </w:rPr>
              <w:t>山梨酸及其钾盐(以山梨酸计)、霉菌、菌落总数</w:t>
            </w:r>
          </w:p>
        </w:tc>
        <w:tc>
          <w:tcPr>
            <w:tcW w:w="479" w:type="pct"/>
            <w:noWrap w:val="0"/>
            <w:vAlign w:val="center"/>
          </w:tcPr>
          <w:p w14:paraId="52B0373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大肠菌群、糖精钠(以糖精计)、纽甜、三氯蔗糖、安赛蜜、甜蜜素(以环己基氨基磺酸计)</w:t>
            </w:r>
          </w:p>
        </w:tc>
        <w:tc>
          <w:tcPr>
            <w:tcW w:w="555" w:type="pct"/>
            <w:noWrap w:val="0"/>
            <w:vAlign w:val="center"/>
          </w:tcPr>
          <w:p w14:paraId="3F05ABF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321DDF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785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02A5B9EA">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0" w:type="pct"/>
            <w:vMerge w:val="continue"/>
            <w:noWrap w:val="0"/>
            <w:vAlign w:val="center"/>
          </w:tcPr>
          <w:p w14:paraId="624C9A72">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4" w:type="pct"/>
            <w:vMerge w:val="continue"/>
            <w:noWrap w:val="0"/>
            <w:vAlign w:val="center"/>
          </w:tcPr>
          <w:p w14:paraId="32517E77">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46" w:type="pct"/>
            <w:noWrap w:val="0"/>
            <w:vAlign w:val="center"/>
          </w:tcPr>
          <w:p w14:paraId="1413CC70">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w:t>
            </w:r>
            <w:r>
              <w:rPr>
                <w:rFonts w:hint="default" w:ascii="Times New Roman" w:hAnsi="Times New Roman" w:eastAsia="仿宋_GB2312" w:cs="Times New Roman"/>
                <w:b w:val="0"/>
                <w:bCs w:val="0"/>
                <w:color w:val="auto"/>
                <w:spacing w:val="5"/>
                <w:sz w:val="21"/>
                <w:szCs w:val="21"/>
                <w:highlight w:val="none"/>
                <w:lang w:val="en-US" w:eastAsia="zh-CN"/>
              </w:rPr>
              <w:t>类</w:t>
            </w:r>
            <w:r>
              <w:rPr>
                <w:rFonts w:hint="default" w:ascii="Times New Roman" w:hAnsi="Times New Roman" w:eastAsia="仿宋_GB2312" w:cs="Times New Roman"/>
                <w:b w:val="0"/>
                <w:bCs w:val="0"/>
                <w:color w:val="auto"/>
                <w:spacing w:val="5"/>
                <w:sz w:val="21"/>
                <w:szCs w:val="21"/>
                <w:highlight w:val="none"/>
                <w:lang w:eastAsia="zh-CN"/>
              </w:rPr>
              <w:t>方便食品</w:t>
            </w:r>
          </w:p>
        </w:tc>
        <w:tc>
          <w:tcPr>
            <w:tcW w:w="499" w:type="pct"/>
            <w:noWrap w:val="0"/>
            <w:vAlign w:val="center"/>
          </w:tcPr>
          <w:p w14:paraId="5E364CA7">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其他方便食品</w:t>
            </w:r>
          </w:p>
        </w:tc>
        <w:tc>
          <w:tcPr>
            <w:tcW w:w="276" w:type="pct"/>
            <w:noWrap w:val="0"/>
            <w:vAlign w:val="center"/>
          </w:tcPr>
          <w:p w14:paraId="49054E9E">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较高</w:t>
            </w:r>
          </w:p>
        </w:tc>
        <w:tc>
          <w:tcPr>
            <w:tcW w:w="1303" w:type="pct"/>
            <w:noWrap w:val="0"/>
            <w:vAlign w:val="center"/>
          </w:tcPr>
          <w:p w14:paraId="496E6C06">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酸价(以脂肪计)(KOH)、过氧化值(以脂肪计)、苯甲酸及其钠盐(以苯甲酸计)、山梨酸及其钾盐(以山梨酸计)、霉菌、菌落总数</w:t>
            </w:r>
          </w:p>
        </w:tc>
        <w:tc>
          <w:tcPr>
            <w:tcW w:w="479" w:type="pct"/>
            <w:noWrap w:val="0"/>
            <w:vAlign w:val="center"/>
          </w:tcPr>
          <w:p w14:paraId="44E066DE">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大肠菌群、糖精钠(以糖精计)</w:t>
            </w:r>
          </w:p>
        </w:tc>
        <w:tc>
          <w:tcPr>
            <w:tcW w:w="555" w:type="pct"/>
            <w:noWrap w:val="0"/>
            <w:vAlign w:val="center"/>
          </w:tcPr>
          <w:p w14:paraId="6E364CCC">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FA089BF">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78A0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noWrap w:val="0"/>
            <w:vAlign w:val="center"/>
          </w:tcPr>
          <w:p w14:paraId="2846185E">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r>
              <w:rPr>
                <w:rFonts w:hint="default" w:ascii="Times New Roman" w:hAnsi="Times New Roman" w:eastAsia="仿宋_GB2312" w:cs="Times New Roman"/>
                <w:b/>
                <w:bCs/>
                <w:color w:val="auto"/>
                <w:spacing w:val="5"/>
                <w:kern w:val="2"/>
                <w:sz w:val="21"/>
                <w:szCs w:val="21"/>
                <w:highlight w:val="none"/>
                <w:lang w:val="en-US" w:eastAsia="zh-CN" w:bidi="ar-SA"/>
              </w:rPr>
              <w:t>8</w:t>
            </w:r>
          </w:p>
        </w:tc>
        <w:tc>
          <w:tcPr>
            <w:tcW w:w="320" w:type="pct"/>
            <w:noWrap w:val="0"/>
            <w:vAlign w:val="center"/>
          </w:tcPr>
          <w:p w14:paraId="6904560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kern w:val="2"/>
                <w:sz w:val="21"/>
                <w:szCs w:val="21"/>
                <w:highlight w:val="none"/>
                <w:lang w:val="en-US" w:eastAsia="zh-CN" w:bidi="ar-SA"/>
              </w:rPr>
            </w:pPr>
            <w:r>
              <w:rPr>
                <w:rFonts w:hint="default" w:ascii="Times New Roman" w:hAnsi="Times New Roman" w:eastAsia="仿宋_GB2312" w:cs="Times New Roman"/>
                <w:i w:val="0"/>
                <w:iCs w:val="0"/>
                <w:color w:val="auto"/>
                <w:kern w:val="0"/>
                <w:sz w:val="21"/>
                <w:szCs w:val="21"/>
                <w:highlight w:val="none"/>
                <w:u w:val="none"/>
                <w:lang w:val="en-US" w:eastAsia="zh-CN" w:bidi="ar"/>
              </w:rPr>
              <w:t>饼干</w:t>
            </w:r>
          </w:p>
        </w:tc>
        <w:tc>
          <w:tcPr>
            <w:tcW w:w="324" w:type="pct"/>
            <w:noWrap w:val="0"/>
            <w:vAlign w:val="center"/>
          </w:tcPr>
          <w:p w14:paraId="1ED7DE9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kern w:val="2"/>
                <w:sz w:val="21"/>
                <w:szCs w:val="21"/>
                <w:highlight w:val="none"/>
                <w:lang w:val="en-US" w:eastAsia="zh-CN" w:bidi="ar-SA"/>
              </w:rPr>
            </w:pPr>
            <w:r>
              <w:rPr>
                <w:rFonts w:hint="default" w:ascii="Times New Roman" w:hAnsi="Times New Roman" w:eastAsia="仿宋_GB2312" w:cs="Times New Roman"/>
                <w:i w:val="0"/>
                <w:iCs w:val="0"/>
                <w:color w:val="auto"/>
                <w:kern w:val="0"/>
                <w:sz w:val="21"/>
                <w:szCs w:val="21"/>
                <w:highlight w:val="none"/>
                <w:u w:val="none"/>
                <w:lang w:val="en-US" w:eastAsia="zh-CN" w:bidi="ar"/>
              </w:rPr>
              <w:t>饼干</w:t>
            </w:r>
          </w:p>
        </w:tc>
        <w:tc>
          <w:tcPr>
            <w:tcW w:w="346" w:type="pct"/>
            <w:noWrap w:val="0"/>
            <w:vAlign w:val="center"/>
          </w:tcPr>
          <w:p w14:paraId="0E66B4C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i w:val="0"/>
                <w:iCs w:val="0"/>
                <w:color w:val="auto"/>
                <w:kern w:val="0"/>
                <w:sz w:val="21"/>
                <w:szCs w:val="21"/>
                <w:highlight w:val="none"/>
                <w:u w:val="none"/>
                <w:lang w:val="en-US" w:eastAsia="zh-CN" w:bidi="ar"/>
              </w:rPr>
              <w:t>饼干</w:t>
            </w:r>
          </w:p>
        </w:tc>
        <w:tc>
          <w:tcPr>
            <w:tcW w:w="499" w:type="pct"/>
            <w:noWrap w:val="0"/>
            <w:vAlign w:val="center"/>
          </w:tcPr>
          <w:p w14:paraId="7FE8887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i w:val="0"/>
                <w:iCs w:val="0"/>
                <w:color w:val="auto"/>
                <w:kern w:val="0"/>
                <w:sz w:val="21"/>
                <w:szCs w:val="21"/>
                <w:highlight w:val="none"/>
                <w:u w:val="none"/>
                <w:lang w:val="en-US" w:eastAsia="zh-CN" w:bidi="ar"/>
              </w:rPr>
              <w:t>饼干</w:t>
            </w:r>
          </w:p>
        </w:tc>
        <w:tc>
          <w:tcPr>
            <w:tcW w:w="276" w:type="pct"/>
            <w:noWrap w:val="0"/>
            <w:vAlign w:val="center"/>
          </w:tcPr>
          <w:p w14:paraId="74E88D2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pacing w:val="5"/>
                <w:sz w:val="21"/>
                <w:szCs w:val="21"/>
                <w:highlight w:val="none"/>
                <w:lang w:val="en-US" w:eastAsia="zh-CN"/>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2EE73A0A">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i w:val="0"/>
                <w:iCs w:val="0"/>
                <w:color w:val="auto"/>
                <w:kern w:val="0"/>
                <w:sz w:val="21"/>
                <w:szCs w:val="21"/>
                <w:highlight w:val="none"/>
                <w:u w:val="none"/>
                <w:lang w:val="en-US" w:eastAsia="zh-CN" w:bidi="ar"/>
              </w:rPr>
              <w:t>酸价（以脂肪计）（KOH）、过氧化值（以脂肪计）、山梨酸及其钾盐（以山梨酸计）、二氧化硫残留量、合成着色剂（柠檬黄、日落黄、胭脂红、苋菜红、亮蓝、靛蓝、诱惑红）、霉菌</w:t>
            </w:r>
          </w:p>
        </w:tc>
        <w:tc>
          <w:tcPr>
            <w:tcW w:w="479" w:type="pct"/>
            <w:noWrap w:val="0"/>
            <w:vAlign w:val="center"/>
          </w:tcPr>
          <w:p w14:paraId="5259D125">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color w:val="auto"/>
                <w:spacing w:val="5"/>
                <w:sz w:val="21"/>
                <w:szCs w:val="21"/>
                <w:highlight w:val="none"/>
                <w:lang w:eastAsia="zh-CN"/>
              </w:rPr>
            </w:pPr>
            <w:r>
              <w:rPr>
                <w:rStyle w:val="125"/>
                <w:rFonts w:hint="default" w:ascii="Times New Roman" w:hAnsi="Times New Roman" w:eastAsia="仿宋_GB2312" w:cs="Times New Roman"/>
                <w:color w:val="auto"/>
                <w:sz w:val="21"/>
                <w:szCs w:val="21"/>
                <w:highlight w:val="none"/>
                <w:lang w:val="en-US" w:eastAsia="zh-CN" w:bidi="ar"/>
              </w:rPr>
              <w:t>铝的残留量（干样品，以Al计）、脱氢乙酸及其钠盐（以脱氢乙酸计）、甜蜜素(以环己基氨基磺酸计)、糖精钠（以糖精计）、苯甲酸及其钠盐（以苯甲酸计）、</w:t>
            </w:r>
            <w:r>
              <w:rPr>
                <w:rStyle w:val="127"/>
                <w:rFonts w:hint="default" w:ascii="Times New Roman" w:hAnsi="Times New Roman" w:eastAsia="仿宋_GB2312" w:cs="Times New Roman"/>
                <w:color w:val="auto"/>
                <w:sz w:val="21"/>
                <w:szCs w:val="21"/>
                <w:highlight w:val="none"/>
                <w:lang w:val="en-US" w:eastAsia="zh-CN" w:bidi="ar"/>
              </w:rPr>
              <w:t>丙酸及其钠盐、钙盐（以丙酸计）</w:t>
            </w:r>
          </w:p>
        </w:tc>
        <w:tc>
          <w:tcPr>
            <w:tcW w:w="555" w:type="pct"/>
            <w:noWrap w:val="0"/>
            <w:vAlign w:val="center"/>
          </w:tcPr>
          <w:p w14:paraId="3C200A3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617E86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D9D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restart"/>
            <w:noWrap w:val="0"/>
            <w:vAlign w:val="center"/>
          </w:tcPr>
          <w:p w14:paraId="0B21C4C5">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r>
              <w:rPr>
                <w:rFonts w:hint="default" w:ascii="Times New Roman" w:hAnsi="Times New Roman" w:eastAsia="仿宋_GB2312" w:cs="Times New Roman"/>
                <w:b/>
                <w:bCs/>
                <w:color w:val="auto"/>
                <w:spacing w:val="5"/>
                <w:kern w:val="2"/>
                <w:sz w:val="21"/>
                <w:szCs w:val="21"/>
                <w:highlight w:val="none"/>
                <w:lang w:val="en-US" w:eastAsia="zh-CN" w:bidi="ar-SA"/>
              </w:rPr>
              <w:t>9</w:t>
            </w:r>
          </w:p>
        </w:tc>
        <w:tc>
          <w:tcPr>
            <w:tcW w:w="320" w:type="pct"/>
            <w:vMerge w:val="restart"/>
            <w:noWrap w:val="0"/>
            <w:vAlign w:val="center"/>
          </w:tcPr>
          <w:p w14:paraId="47B5FE5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罐头</w:t>
            </w:r>
          </w:p>
        </w:tc>
        <w:tc>
          <w:tcPr>
            <w:tcW w:w="324" w:type="pct"/>
            <w:vMerge w:val="restart"/>
            <w:noWrap w:val="0"/>
            <w:vAlign w:val="center"/>
          </w:tcPr>
          <w:p w14:paraId="729F8D7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罐头</w:t>
            </w:r>
          </w:p>
        </w:tc>
        <w:tc>
          <w:tcPr>
            <w:tcW w:w="346" w:type="pct"/>
            <w:vMerge w:val="restart"/>
            <w:noWrap w:val="0"/>
            <w:vAlign w:val="center"/>
          </w:tcPr>
          <w:p w14:paraId="2C2A796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畜禽水产罐头</w:t>
            </w:r>
          </w:p>
        </w:tc>
        <w:tc>
          <w:tcPr>
            <w:tcW w:w="499" w:type="pct"/>
            <w:noWrap w:val="0"/>
            <w:vAlign w:val="center"/>
          </w:tcPr>
          <w:p w14:paraId="0009714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畜禽肉类罐头</w:t>
            </w:r>
          </w:p>
        </w:tc>
        <w:tc>
          <w:tcPr>
            <w:tcW w:w="276" w:type="pct"/>
            <w:noWrap w:val="0"/>
            <w:vAlign w:val="center"/>
          </w:tcPr>
          <w:p w14:paraId="30085E0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576ED4B8">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铅（以Pb计）、镉（以Cd计）、脱氢乙酸及其钠盐（以脱氢乙酸计）、苯甲酸及其钠盐（以苯甲酸计）、山梨酸及其钾盐（以山梨酸计）、商业无菌</w:t>
            </w:r>
          </w:p>
        </w:tc>
        <w:tc>
          <w:tcPr>
            <w:tcW w:w="479" w:type="pct"/>
            <w:noWrap w:val="0"/>
            <w:vAlign w:val="center"/>
          </w:tcPr>
          <w:p w14:paraId="548E1963">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w:t>
            </w:r>
          </w:p>
        </w:tc>
        <w:tc>
          <w:tcPr>
            <w:tcW w:w="555" w:type="pct"/>
            <w:noWrap w:val="0"/>
            <w:vAlign w:val="center"/>
          </w:tcPr>
          <w:p w14:paraId="6DD87E9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D2EAAE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90F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0" w:type="pct"/>
            <w:vMerge w:val="continue"/>
            <w:noWrap w:val="0"/>
            <w:vAlign w:val="center"/>
          </w:tcPr>
          <w:p w14:paraId="6BD9C7BD">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0" w:type="pct"/>
            <w:vMerge w:val="continue"/>
            <w:noWrap w:val="0"/>
            <w:vAlign w:val="center"/>
          </w:tcPr>
          <w:p w14:paraId="7B66A4C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C46661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072A592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1425C8A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水产动物类罐头</w:t>
            </w:r>
          </w:p>
        </w:tc>
        <w:tc>
          <w:tcPr>
            <w:tcW w:w="276" w:type="pct"/>
            <w:noWrap w:val="0"/>
            <w:vAlign w:val="center"/>
          </w:tcPr>
          <w:p w14:paraId="3E8D3C1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32FCDE91">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组胺、铅（以Pb计）、无机砷（以As计）、脱氢乙酸及其钠盐（以脱氢乙酸计）、甜蜜素（以环己基氨基磺酸计）、商业无菌</w:t>
            </w:r>
          </w:p>
        </w:tc>
        <w:tc>
          <w:tcPr>
            <w:tcW w:w="479" w:type="pct"/>
            <w:noWrap w:val="0"/>
            <w:vAlign w:val="center"/>
          </w:tcPr>
          <w:p w14:paraId="446B86D9">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苯甲酸及其钠盐（以苯甲酸计）、山梨酸及其钾盐（以山梨酸计）、糖精钠（以糖精计）</w:t>
            </w:r>
          </w:p>
        </w:tc>
        <w:tc>
          <w:tcPr>
            <w:tcW w:w="555" w:type="pct"/>
            <w:noWrap w:val="0"/>
            <w:vAlign w:val="center"/>
          </w:tcPr>
          <w:p w14:paraId="7AFBDB8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AB6820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FA0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vMerge w:val="continue"/>
            <w:noWrap w:val="0"/>
            <w:vAlign w:val="center"/>
          </w:tcPr>
          <w:p w14:paraId="6E2B2351">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0" w:type="pct"/>
            <w:vMerge w:val="continue"/>
            <w:noWrap w:val="0"/>
            <w:vAlign w:val="center"/>
          </w:tcPr>
          <w:p w14:paraId="6234DE4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5F3A0A6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restart"/>
            <w:noWrap w:val="0"/>
            <w:vAlign w:val="center"/>
          </w:tcPr>
          <w:p w14:paraId="50AB3C0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果蔬罐头</w:t>
            </w:r>
          </w:p>
        </w:tc>
        <w:tc>
          <w:tcPr>
            <w:tcW w:w="499" w:type="pct"/>
            <w:noWrap w:val="0"/>
            <w:vAlign w:val="center"/>
          </w:tcPr>
          <w:p w14:paraId="6EA5C1F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水果类罐头</w:t>
            </w:r>
          </w:p>
        </w:tc>
        <w:tc>
          <w:tcPr>
            <w:tcW w:w="276" w:type="pct"/>
            <w:noWrap w:val="0"/>
            <w:vAlign w:val="center"/>
          </w:tcPr>
          <w:p w14:paraId="11BAB2C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较高</w:t>
            </w:r>
          </w:p>
        </w:tc>
        <w:tc>
          <w:tcPr>
            <w:tcW w:w="1303" w:type="pct"/>
            <w:noWrap w:val="0"/>
            <w:vAlign w:val="center"/>
          </w:tcPr>
          <w:p w14:paraId="23AB3A3A">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铅（以Pb计）、合成着色剂（柠檬黄、日落黄、苋菜红、胭脂红、赤藓红、诱惑红、亮蓝）、脱氢乙酸及其钠盐（以脱氢乙酸计）、甜蜜素（以环己基氨基磺酸计）、二氧化硫残留量、商业无菌</w:t>
            </w:r>
          </w:p>
        </w:tc>
        <w:tc>
          <w:tcPr>
            <w:tcW w:w="479" w:type="pct"/>
            <w:noWrap w:val="0"/>
            <w:vAlign w:val="center"/>
          </w:tcPr>
          <w:p w14:paraId="2125AAB0">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苯甲酸及其钠盐（以苯甲酸计）、山梨酸及其钾盐（以山梨酸计）、糖精钠（以糖精计）</w:t>
            </w:r>
          </w:p>
        </w:tc>
        <w:tc>
          <w:tcPr>
            <w:tcW w:w="555" w:type="pct"/>
            <w:noWrap w:val="0"/>
            <w:vAlign w:val="center"/>
          </w:tcPr>
          <w:p w14:paraId="60E0CB7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08A08E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AD8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2AC2C157">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0" w:type="pct"/>
            <w:vMerge w:val="continue"/>
            <w:noWrap w:val="0"/>
            <w:vAlign w:val="center"/>
          </w:tcPr>
          <w:p w14:paraId="7238157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3030801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25DD062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49103D4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蔬菜类罐头</w:t>
            </w:r>
          </w:p>
        </w:tc>
        <w:tc>
          <w:tcPr>
            <w:tcW w:w="276" w:type="pct"/>
            <w:noWrap w:val="0"/>
            <w:vAlign w:val="center"/>
          </w:tcPr>
          <w:p w14:paraId="35828EB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较高</w:t>
            </w:r>
          </w:p>
        </w:tc>
        <w:tc>
          <w:tcPr>
            <w:tcW w:w="1303" w:type="pct"/>
            <w:noWrap w:val="0"/>
            <w:vAlign w:val="center"/>
          </w:tcPr>
          <w:p w14:paraId="7C81B086">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铅（以Pb计）、合成着色剂（柠檬黄、日落黄）、脱氢乙酸及其钠盐（以脱氢乙酸计）、苯甲酸及其钠盐（以苯甲酸计）、山梨酸及其钾盐（以山梨酸计）、商业无菌</w:t>
            </w:r>
          </w:p>
        </w:tc>
        <w:tc>
          <w:tcPr>
            <w:tcW w:w="479" w:type="pct"/>
            <w:noWrap w:val="0"/>
            <w:vAlign w:val="center"/>
          </w:tcPr>
          <w:p w14:paraId="1D88537B">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乙二胺四乙酸二钠、二氧化硫残留量</w:t>
            </w:r>
          </w:p>
        </w:tc>
        <w:tc>
          <w:tcPr>
            <w:tcW w:w="555" w:type="pct"/>
            <w:noWrap w:val="0"/>
            <w:vAlign w:val="center"/>
          </w:tcPr>
          <w:p w14:paraId="08427828">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392634E">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06E4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2B99AAA9">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0" w:type="pct"/>
            <w:vMerge w:val="continue"/>
            <w:noWrap w:val="0"/>
            <w:vAlign w:val="center"/>
          </w:tcPr>
          <w:p w14:paraId="1F24AAB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0D1D405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0AB1D52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3A5A0A7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食用菌罐头</w:t>
            </w:r>
          </w:p>
        </w:tc>
        <w:tc>
          <w:tcPr>
            <w:tcW w:w="276" w:type="pct"/>
            <w:noWrap w:val="0"/>
            <w:vAlign w:val="center"/>
          </w:tcPr>
          <w:p w14:paraId="66D53F8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较高</w:t>
            </w:r>
          </w:p>
        </w:tc>
        <w:tc>
          <w:tcPr>
            <w:tcW w:w="1303" w:type="pct"/>
            <w:noWrap w:val="0"/>
            <w:vAlign w:val="center"/>
          </w:tcPr>
          <w:p w14:paraId="56B0DDCC">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铅（以Pb计）、脱氢乙酸及其钠盐（以脱氢乙酸计）、苯甲酸及其钠盐（以苯甲酸计）、山梨酸及其钾盐（以山梨酸计）、乙二胺四乙酸二钠、商业无菌</w:t>
            </w:r>
          </w:p>
        </w:tc>
        <w:tc>
          <w:tcPr>
            <w:tcW w:w="479" w:type="pct"/>
            <w:noWrap w:val="0"/>
            <w:vAlign w:val="center"/>
          </w:tcPr>
          <w:p w14:paraId="594700D3">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二氧化硫残留量</w:t>
            </w:r>
          </w:p>
        </w:tc>
        <w:tc>
          <w:tcPr>
            <w:tcW w:w="555" w:type="pct"/>
            <w:noWrap w:val="0"/>
            <w:vAlign w:val="center"/>
          </w:tcPr>
          <w:p w14:paraId="2E35AC7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83B4A0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A7C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39BBAB35">
            <w:pPr>
              <w:pageBreakBefore w:val="0"/>
              <w:widowControl w:val="0"/>
              <w:wordWrap/>
              <w:overflowPunct/>
              <w:topLinePunct w:val="0"/>
              <w:bidi w:val="0"/>
              <w:spacing w:line="300" w:lineRule="exact"/>
              <w:jc w:val="center"/>
              <w:rPr>
                <w:rFonts w:hint="default" w:ascii="Times New Roman" w:hAnsi="Times New Roman" w:eastAsia="仿宋_GB2312" w:cs="Times New Roman"/>
                <w:b/>
                <w:bCs/>
                <w:color w:val="auto"/>
                <w:spacing w:val="5"/>
                <w:kern w:val="2"/>
                <w:sz w:val="21"/>
                <w:szCs w:val="21"/>
                <w:highlight w:val="none"/>
                <w:lang w:val="en-US" w:eastAsia="zh-CN" w:bidi="ar-SA"/>
              </w:rPr>
            </w:pPr>
          </w:p>
        </w:tc>
        <w:tc>
          <w:tcPr>
            <w:tcW w:w="320" w:type="pct"/>
            <w:vMerge w:val="continue"/>
            <w:noWrap w:val="0"/>
            <w:vAlign w:val="center"/>
          </w:tcPr>
          <w:p w14:paraId="11A654F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7EF4532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5EFFF1F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其他罐头</w:t>
            </w:r>
          </w:p>
        </w:tc>
        <w:tc>
          <w:tcPr>
            <w:tcW w:w="499" w:type="pct"/>
            <w:noWrap w:val="0"/>
            <w:vAlign w:val="center"/>
          </w:tcPr>
          <w:p w14:paraId="73B0626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其他罐头</w:t>
            </w:r>
          </w:p>
        </w:tc>
        <w:tc>
          <w:tcPr>
            <w:tcW w:w="276" w:type="pct"/>
            <w:noWrap w:val="0"/>
            <w:vAlign w:val="center"/>
          </w:tcPr>
          <w:p w14:paraId="383BA9A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42BDF792">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黄曲霉毒素B1、脱氢乙酸及其钠盐（以脱氢乙酸计）、苯甲酸及其钠盐（以苯甲酸计）、山梨酸及其钾盐（以山梨酸计）、乙二胺四乙酸二钠、商业无菌</w:t>
            </w:r>
          </w:p>
        </w:tc>
        <w:tc>
          <w:tcPr>
            <w:tcW w:w="479" w:type="pct"/>
            <w:noWrap w:val="0"/>
            <w:vAlign w:val="center"/>
          </w:tcPr>
          <w:p w14:paraId="3F070099">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w:t>
            </w:r>
          </w:p>
        </w:tc>
        <w:tc>
          <w:tcPr>
            <w:tcW w:w="555" w:type="pct"/>
            <w:noWrap w:val="0"/>
            <w:vAlign w:val="center"/>
          </w:tcPr>
          <w:p w14:paraId="6F4CD0C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6F949B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7A2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noWrap w:val="0"/>
            <w:vAlign w:val="center"/>
          </w:tcPr>
          <w:p w14:paraId="1AD7BCD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kern w:val="2"/>
                <w:sz w:val="21"/>
                <w:szCs w:val="21"/>
                <w:highlight w:val="none"/>
                <w:lang w:val="en-US" w:eastAsia="zh-CN" w:bidi="ar-SA"/>
              </w:rPr>
            </w:pPr>
            <w:r>
              <w:rPr>
                <w:rFonts w:hint="default" w:ascii="Times New Roman" w:hAnsi="Times New Roman" w:eastAsia="仿宋_GB2312" w:cs="Times New Roman"/>
                <w:i w:val="0"/>
                <w:iCs w:val="0"/>
                <w:color w:val="auto"/>
                <w:kern w:val="0"/>
                <w:sz w:val="21"/>
                <w:szCs w:val="21"/>
                <w:highlight w:val="none"/>
                <w:u w:val="none"/>
                <w:lang w:val="en-US" w:eastAsia="zh-CN" w:bidi="ar"/>
              </w:rPr>
              <w:t>10</w:t>
            </w:r>
          </w:p>
        </w:tc>
        <w:tc>
          <w:tcPr>
            <w:tcW w:w="320" w:type="pct"/>
            <w:noWrap w:val="0"/>
            <w:vAlign w:val="center"/>
          </w:tcPr>
          <w:p w14:paraId="7EB46C8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冷冻饮品</w:t>
            </w:r>
          </w:p>
        </w:tc>
        <w:tc>
          <w:tcPr>
            <w:tcW w:w="324" w:type="pct"/>
            <w:noWrap w:val="0"/>
            <w:vAlign w:val="center"/>
          </w:tcPr>
          <w:p w14:paraId="76F7979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冷冻饮品</w:t>
            </w:r>
          </w:p>
        </w:tc>
        <w:tc>
          <w:tcPr>
            <w:tcW w:w="346" w:type="pct"/>
            <w:noWrap w:val="0"/>
            <w:vAlign w:val="center"/>
          </w:tcPr>
          <w:p w14:paraId="2EA06A1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冷冻饮品</w:t>
            </w:r>
          </w:p>
        </w:tc>
        <w:tc>
          <w:tcPr>
            <w:tcW w:w="499" w:type="pct"/>
            <w:noWrap w:val="0"/>
            <w:vAlign w:val="center"/>
          </w:tcPr>
          <w:p w14:paraId="6E34550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冰淇淋、雪糕、雪泥、冰棍、食用冰、甜味冰、其他类</w:t>
            </w:r>
          </w:p>
        </w:tc>
        <w:tc>
          <w:tcPr>
            <w:tcW w:w="276" w:type="pct"/>
            <w:noWrap w:val="0"/>
            <w:vAlign w:val="center"/>
          </w:tcPr>
          <w:p w14:paraId="7006ED6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3092DC2F">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蛋白质、甜蜜素（以环己基氨基磺酸计）、三氯蔗糖、合成着色剂（柠檬黄、日落黄、新红、苋菜红、靛蓝、胭脂红、诱惑红、亮蓝、酸性红、喹啉黄、赤藓红）、相同色泽着色剂混合使用时各自用量占其最大使用量的比例之和、菌落总数、大肠菌群</w:t>
            </w:r>
          </w:p>
        </w:tc>
        <w:tc>
          <w:tcPr>
            <w:tcW w:w="479" w:type="pct"/>
            <w:noWrap w:val="0"/>
            <w:vAlign w:val="center"/>
          </w:tcPr>
          <w:p w14:paraId="48AD30C2">
            <w:pPr>
              <w:keepNext w:val="0"/>
              <w:keepLines w:val="0"/>
              <w:pageBreakBefore w:val="0"/>
              <w:widowControl/>
              <w:suppressLineNumbers w:val="0"/>
              <w:wordWrap/>
              <w:overflowPunct/>
              <w:topLinePunct w:val="0"/>
              <w:bidi w:val="0"/>
              <w:spacing w:line="300" w:lineRule="exact"/>
              <w:jc w:val="left"/>
              <w:textAlignment w:val="center"/>
              <w:rPr>
                <w:rStyle w:val="125"/>
                <w:rFonts w:hint="default" w:ascii="Times New Roman" w:hAnsi="Times New Roman" w:eastAsia="仿宋_GB2312" w:cs="Times New Roman"/>
                <w:color w:val="auto"/>
                <w:sz w:val="21"/>
                <w:szCs w:val="21"/>
                <w:highlight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糖精钠（以糖精计）、安赛蜜</w:t>
            </w:r>
          </w:p>
        </w:tc>
        <w:tc>
          <w:tcPr>
            <w:tcW w:w="555" w:type="pct"/>
            <w:noWrap w:val="0"/>
            <w:vAlign w:val="center"/>
          </w:tcPr>
          <w:p w14:paraId="5ADA4F7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8234F2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719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restart"/>
            <w:noWrap w:val="0"/>
            <w:vAlign w:val="center"/>
          </w:tcPr>
          <w:p w14:paraId="51C3B1A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11</w:t>
            </w:r>
          </w:p>
        </w:tc>
        <w:tc>
          <w:tcPr>
            <w:tcW w:w="320" w:type="pct"/>
            <w:vMerge w:val="restart"/>
            <w:noWrap w:val="0"/>
            <w:vAlign w:val="center"/>
          </w:tcPr>
          <w:p w14:paraId="30371AE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速冻食品</w:t>
            </w:r>
          </w:p>
        </w:tc>
        <w:tc>
          <w:tcPr>
            <w:tcW w:w="324" w:type="pct"/>
            <w:vMerge w:val="restart"/>
            <w:noWrap w:val="0"/>
            <w:vAlign w:val="center"/>
          </w:tcPr>
          <w:p w14:paraId="5178D2C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速冻面米食品</w:t>
            </w:r>
          </w:p>
        </w:tc>
        <w:tc>
          <w:tcPr>
            <w:tcW w:w="346" w:type="pct"/>
            <w:vMerge w:val="restart"/>
            <w:noWrap w:val="0"/>
            <w:vAlign w:val="center"/>
          </w:tcPr>
          <w:p w14:paraId="645990C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速冻面米食品</w:t>
            </w:r>
          </w:p>
        </w:tc>
        <w:tc>
          <w:tcPr>
            <w:tcW w:w="499" w:type="pct"/>
            <w:noWrap w:val="0"/>
            <w:vAlign w:val="center"/>
          </w:tcPr>
          <w:p w14:paraId="35BA70E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速冻面米生制品</w:t>
            </w:r>
          </w:p>
        </w:tc>
        <w:tc>
          <w:tcPr>
            <w:tcW w:w="276" w:type="pct"/>
            <w:noWrap w:val="0"/>
            <w:vAlign w:val="center"/>
          </w:tcPr>
          <w:p w14:paraId="1A2F28C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较高</w:t>
            </w:r>
          </w:p>
        </w:tc>
        <w:tc>
          <w:tcPr>
            <w:tcW w:w="1303" w:type="pct"/>
            <w:noWrap w:val="0"/>
            <w:vAlign w:val="center"/>
          </w:tcPr>
          <w:p w14:paraId="6E524D20">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过氧化值（以脂肪计）、铅（以Pb计）、糖精钠（以糖精计）、甜蜜素（以环己基氨基磺酸计）、合成着色剂（柠檬黄、日落黄、苋菜红、亮蓝、胭脂红）</w:t>
            </w:r>
          </w:p>
        </w:tc>
        <w:tc>
          <w:tcPr>
            <w:tcW w:w="479" w:type="pct"/>
            <w:noWrap w:val="0"/>
            <w:vAlign w:val="center"/>
          </w:tcPr>
          <w:p w14:paraId="79243B39">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w:t>
            </w:r>
          </w:p>
        </w:tc>
        <w:tc>
          <w:tcPr>
            <w:tcW w:w="555" w:type="pct"/>
            <w:noWrap w:val="0"/>
            <w:vAlign w:val="center"/>
          </w:tcPr>
          <w:p w14:paraId="2B409E9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22290C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2C7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8179182">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7D80132A">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17241985">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717379B8">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5FA0861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速冻面米熟制品</w:t>
            </w:r>
          </w:p>
        </w:tc>
        <w:tc>
          <w:tcPr>
            <w:tcW w:w="276" w:type="pct"/>
            <w:noWrap w:val="0"/>
            <w:vAlign w:val="center"/>
          </w:tcPr>
          <w:p w14:paraId="45A39CD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较高</w:t>
            </w:r>
          </w:p>
        </w:tc>
        <w:tc>
          <w:tcPr>
            <w:tcW w:w="1303" w:type="pct"/>
            <w:noWrap w:val="0"/>
            <w:vAlign w:val="center"/>
          </w:tcPr>
          <w:p w14:paraId="57202B73">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过氧化值（以脂肪计）、铅（以Pb计）、糖精钠（以糖精计）、甜蜜素（以环己基氨基磺酸计）、合成着色剂（柠檬黄、日落黄、苋菜红、亮蓝、胭脂红）</w:t>
            </w:r>
          </w:p>
        </w:tc>
        <w:tc>
          <w:tcPr>
            <w:tcW w:w="479" w:type="pct"/>
            <w:noWrap w:val="0"/>
            <w:vAlign w:val="center"/>
          </w:tcPr>
          <w:p w14:paraId="28BBCC9A">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菌落总数、大肠菌群、沙门氏菌、金黄色葡萄球菌</w:t>
            </w:r>
          </w:p>
        </w:tc>
        <w:tc>
          <w:tcPr>
            <w:tcW w:w="555" w:type="pct"/>
            <w:noWrap w:val="0"/>
            <w:vAlign w:val="center"/>
          </w:tcPr>
          <w:p w14:paraId="7ADE0CB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1C09B41">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66E9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70AE1900">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83C4B2D">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078D0DB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速冻调制食品</w:t>
            </w:r>
          </w:p>
        </w:tc>
        <w:tc>
          <w:tcPr>
            <w:tcW w:w="346" w:type="pct"/>
            <w:noWrap w:val="0"/>
            <w:vAlign w:val="center"/>
          </w:tcPr>
          <w:p w14:paraId="200384C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Style w:val="126"/>
                <w:rFonts w:hint="default" w:ascii="Times New Roman" w:hAnsi="Times New Roman" w:eastAsia="仿宋_GB2312" w:cs="Times New Roman"/>
                <w:color w:val="auto"/>
                <w:sz w:val="21"/>
                <w:szCs w:val="21"/>
                <w:highlight w:val="none"/>
                <w:lang w:val="en-US" w:eastAsia="zh-CN" w:bidi="ar"/>
              </w:rPr>
              <w:t>速冻调理肉制</w:t>
            </w:r>
            <w:r>
              <w:rPr>
                <w:rStyle w:val="176"/>
                <w:rFonts w:hint="default" w:ascii="Times New Roman" w:hAnsi="Times New Roman" w:eastAsia="仿宋_GB2312" w:cs="Times New Roman"/>
                <w:color w:val="auto"/>
                <w:sz w:val="21"/>
                <w:szCs w:val="21"/>
                <w:highlight w:val="none"/>
                <w:lang w:val="en-US" w:eastAsia="zh-CN" w:bidi="ar"/>
              </w:rPr>
              <w:t>品</w:t>
            </w:r>
          </w:p>
        </w:tc>
        <w:tc>
          <w:tcPr>
            <w:tcW w:w="499" w:type="pct"/>
            <w:noWrap w:val="0"/>
            <w:vAlign w:val="center"/>
          </w:tcPr>
          <w:p w14:paraId="21208A8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速冻调理肉制品</w:t>
            </w:r>
          </w:p>
        </w:tc>
        <w:tc>
          <w:tcPr>
            <w:tcW w:w="276" w:type="pct"/>
            <w:noWrap w:val="0"/>
            <w:vAlign w:val="center"/>
          </w:tcPr>
          <w:p w14:paraId="1F9C8C3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35B5F9C3">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过氧化值（以脂肪计）、铬（以Cr计）、合成着色剂（胭脂红、柠檬黄、日落黄、诱惑红）、亚硝酸盐（以亚硝酸钠计）、苯甲酸及其钠盐（以苯甲酸计）、山梨酸及其钾盐（以山梨酸计）、沙门氏菌</w:t>
            </w:r>
          </w:p>
        </w:tc>
        <w:tc>
          <w:tcPr>
            <w:tcW w:w="479" w:type="pct"/>
            <w:noWrap w:val="0"/>
            <w:vAlign w:val="center"/>
          </w:tcPr>
          <w:p w14:paraId="2AB1669B">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铅（以Pb计）、氯霉素</w:t>
            </w:r>
          </w:p>
        </w:tc>
        <w:tc>
          <w:tcPr>
            <w:tcW w:w="555" w:type="pct"/>
            <w:noWrap w:val="0"/>
            <w:vAlign w:val="center"/>
          </w:tcPr>
          <w:p w14:paraId="59B2144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A625A4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A30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0" w:type="pct"/>
            <w:vMerge w:val="continue"/>
            <w:noWrap w:val="0"/>
            <w:vAlign w:val="center"/>
          </w:tcPr>
          <w:p w14:paraId="51AD3F65">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1D8E891A">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58539576">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5AF2377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速冻调制水产制品</w:t>
            </w:r>
          </w:p>
        </w:tc>
        <w:tc>
          <w:tcPr>
            <w:tcW w:w="499" w:type="pct"/>
            <w:noWrap w:val="0"/>
            <w:vAlign w:val="center"/>
          </w:tcPr>
          <w:p w14:paraId="5AB5DB8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速冻调制水产制品</w:t>
            </w:r>
          </w:p>
        </w:tc>
        <w:tc>
          <w:tcPr>
            <w:tcW w:w="276" w:type="pct"/>
            <w:noWrap w:val="0"/>
            <w:vAlign w:val="center"/>
          </w:tcPr>
          <w:p w14:paraId="1814142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56548038">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挥发性盐基氮、苯甲酸及其钠盐（以苯甲酸计）、山梨酸及其钾盐（以山梨酸计）、二氧化硫残留量、沙门氏菌、单核细胞增生李斯特氏菌</w:t>
            </w:r>
          </w:p>
        </w:tc>
        <w:tc>
          <w:tcPr>
            <w:tcW w:w="479" w:type="pct"/>
            <w:noWrap w:val="0"/>
            <w:vAlign w:val="center"/>
          </w:tcPr>
          <w:p w14:paraId="2AAA637F">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菌落总数、大肠菌群、副溶血性弧菌</w:t>
            </w:r>
          </w:p>
        </w:tc>
        <w:tc>
          <w:tcPr>
            <w:tcW w:w="555" w:type="pct"/>
            <w:noWrap w:val="0"/>
            <w:vAlign w:val="center"/>
          </w:tcPr>
          <w:p w14:paraId="1672B99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D68CAD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F74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900A4FB">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FE3DC5D">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14A914E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速冻其他食品</w:t>
            </w:r>
          </w:p>
        </w:tc>
        <w:tc>
          <w:tcPr>
            <w:tcW w:w="346" w:type="pct"/>
            <w:noWrap w:val="0"/>
            <w:vAlign w:val="center"/>
          </w:tcPr>
          <w:p w14:paraId="44CA9F5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速冻谷物食品</w:t>
            </w:r>
          </w:p>
        </w:tc>
        <w:tc>
          <w:tcPr>
            <w:tcW w:w="499" w:type="pct"/>
            <w:noWrap w:val="0"/>
            <w:vAlign w:val="center"/>
          </w:tcPr>
          <w:p w14:paraId="51B0937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速冻谷物食品</w:t>
            </w:r>
          </w:p>
        </w:tc>
        <w:tc>
          <w:tcPr>
            <w:tcW w:w="276" w:type="pct"/>
            <w:noWrap w:val="0"/>
            <w:vAlign w:val="center"/>
          </w:tcPr>
          <w:p w14:paraId="30CFF46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30D15DBE">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铅（以Pb计）、黄曲霉毒素B</w:t>
            </w:r>
            <w:r>
              <w:rPr>
                <w:rFonts w:hint="default" w:ascii="Times New Roman" w:hAnsi="Times New Roman" w:eastAsia="仿宋_GB2312" w:cs="Times New Roman"/>
                <w:i w:val="0"/>
                <w:iCs w:val="0"/>
                <w:color w:val="auto"/>
                <w:kern w:val="0"/>
                <w:sz w:val="21"/>
                <w:szCs w:val="21"/>
                <w:highlight w:val="none"/>
                <w:u w:val="none"/>
                <w:vertAlign w:val="subscript"/>
                <w:lang w:val="en-US" w:eastAsia="zh-CN" w:bidi="ar"/>
              </w:rPr>
              <w:t>1</w:t>
            </w:r>
          </w:p>
        </w:tc>
        <w:tc>
          <w:tcPr>
            <w:tcW w:w="479" w:type="pct"/>
            <w:noWrap w:val="0"/>
            <w:vAlign w:val="center"/>
          </w:tcPr>
          <w:p w14:paraId="572A8C87">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w:t>
            </w:r>
          </w:p>
        </w:tc>
        <w:tc>
          <w:tcPr>
            <w:tcW w:w="555" w:type="pct"/>
            <w:noWrap w:val="0"/>
            <w:vAlign w:val="center"/>
          </w:tcPr>
          <w:p w14:paraId="44E4A39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8E9185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559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55053E63">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5FEE57C9">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C4A5F30">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4EA4F97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速冻蔬菜制品</w:t>
            </w:r>
          </w:p>
        </w:tc>
        <w:tc>
          <w:tcPr>
            <w:tcW w:w="499" w:type="pct"/>
            <w:noWrap w:val="0"/>
            <w:vAlign w:val="center"/>
          </w:tcPr>
          <w:p w14:paraId="122F1E7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速冻蔬菜制品</w:t>
            </w:r>
          </w:p>
        </w:tc>
        <w:tc>
          <w:tcPr>
            <w:tcW w:w="276" w:type="pct"/>
            <w:noWrap w:val="0"/>
            <w:vAlign w:val="center"/>
          </w:tcPr>
          <w:p w14:paraId="1A03D45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632ADCA1">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铅（以Pb计）、镉（以Cd计）、糖精钠（以糖精计）</w:t>
            </w:r>
          </w:p>
        </w:tc>
        <w:tc>
          <w:tcPr>
            <w:tcW w:w="479" w:type="pct"/>
            <w:noWrap w:val="0"/>
            <w:vAlign w:val="center"/>
          </w:tcPr>
          <w:p w14:paraId="21385035">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w:t>
            </w:r>
          </w:p>
        </w:tc>
        <w:tc>
          <w:tcPr>
            <w:tcW w:w="555" w:type="pct"/>
            <w:noWrap w:val="0"/>
            <w:vAlign w:val="center"/>
          </w:tcPr>
          <w:p w14:paraId="36AEF67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9CD8A1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A9F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32A5FE49">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77EE9C8E">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5B88A75">
            <w:pPr>
              <w:pageBreakBefore w:val="0"/>
              <w:wordWrap/>
              <w:overflowPunct/>
              <w:topLinePunct w:val="0"/>
              <w:bidi w:val="0"/>
              <w:spacing w:line="300" w:lineRule="exact"/>
              <w:jc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462ED7C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速冻水果制品</w:t>
            </w:r>
          </w:p>
        </w:tc>
        <w:tc>
          <w:tcPr>
            <w:tcW w:w="499" w:type="pct"/>
            <w:noWrap w:val="0"/>
            <w:vAlign w:val="center"/>
          </w:tcPr>
          <w:p w14:paraId="2259FCB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速冻水果制品</w:t>
            </w:r>
          </w:p>
        </w:tc>
        <w:tc>
          <w:tcPr>
            <w:tcW w:w="276" w:type="pct"/>
            <w:noWrap w:val="0"/>
            <w:vAlign w:val="center"/>
          </w:tcPr>
          <w:p w14:paraId="2FA7B2A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一般</w:t>
            </w:r>
          </w:p>
        </w:tc>
        <w:tc>
          <w:tcPr>
            <w:tcW w:w="1303" w:type="pct"/>
            <w:noWrap w:val="0"/>
            <w:vAlign w:val="center"/>
          </w:tcPr>
          <w:p w14:paraId="576A87B2">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铅（以Pb计）、菌落总数、大肠菌群、霉菌、沙门氏菌、金黄色葡萄球菌</w:t>
            </w:r>
          </w:p>
        </w:tc>
        <w:tc>
          <w:tcPr>
            <w:tcW w:w="479" w:type="pct"/>
            <w:noWrap w:val="0"/>
            <w:vAlign w:val="center"/>
          </w:tcPr>
          <w:p w14:paraId="560F4D11">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镉（以Cd计）</w:t>
            </w:r>
          </w:p>
        </w:tc>
        <w:tc>
          <w:tcPr>
            <w:tcW w:w="555" w:type="pct"/>
            <w:noWrap w:val="0"/>
            <w:vAlign w:val="center"/>
          </w:tcPr>
          <w:p w14:paraId="386876E6">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ECE7DE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8C1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10" w:type="pct"/>
            <w:vMerge w:val="restart"/>
            <w:noWrap w:val="0"/>
            <w:vAlign w:val="center"/>
          </w:tcPr>
          <w:p w14:paraId="169CE7EF">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12</w:t>
            </w:r>
          </w:p>
        </w:tc>
        <w:tc>
          <w:tcPr>
            <w:tcW w:w="320" w:type="pct"/>
            <w:vMerge w:val="restart"/>
            <w:noWrap w:val="0"/>
            <w:vAlign w:val="center"/>
          </w:tcPr>
          <w:p w14:paraId="04FBBA9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薯类和膨化食品</w:t>
            </w:r>
          </w:p>
        </w:tc>
        <w:tc>
          <w:tcPr>
            <w:tcW w:w="324" w:type="pct"/>
            <w:vMerge w:val="restart"/>
            <w:noWrap w:val="0"/>
            <w:vAlign w:val="center"/>
          </w:tcPr>
          <w:p w14:paraId="1B87F21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薯类和膨化食品</w:t>
            </w:r>
          </w:p>
        </w:tc>
        <w:tc>
          <w:tcPr>
            <w:tcW w:w="346" w:type="pct"/>
            <w:noWrap w:val="0"/>
            <w:vAlign w:val="center"/>
          </w:tcPr>
          <w:p w14:paraId="55DCF02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膨化食品</w:t>
            </w:r>
          </w:p>
        </w:tc>
        <w:tc>
          <w:tcPr>
            <w:tcW w:w="499" w:type="pct"/>
            <w:noWrap w:val="0"/>
            <w:vAlign w:val="center"/>
          </w:tcPr>
          <w:p w14:paraId="69509EC1">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含油型膨化食品和非含油型膨化食品</w:t>
            </w:r>
          </w:p>
        </w:tc>
        <w:tc>
          <w:tcPr>
            <w:tcW w:w="276" w:type="pct"/>
            <w:noWrap w:val="0"/>
            <w:vAlign w:val="center"/>
          </w:tcPr>
          <w:p w14:paraId="67FEB67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较高</w:t>
            </w:r>
          </w:p>
        </w:tc>
        <w:tc>
          <w:tcPr>
            <w:tcW w:w="1303" w:type="pct"/>
            <w:noWrap w:val="0"/>
            <w:vAlign w:val="center"/>
          </w:tcPr>
          <w:p w14:paraId="7851114D">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水分、酸价（以脂肪计）（KOH）、过氧化值（以脂肪计）、糖精钠（以糖精计）、纽甜、三氯蔗糖、合成着色剂（新红、苋菜红、酸性红、喹啉黄）</w:t>
            </w:r>
          </w:p>
        </w:tc>
        <w:tc>
          <w:tcPr>
            <w:tcW w:w="479" w:type="pct"/>
            <w:noWrap w:val="0"/>
            <w:vAlign w:val="center"/>
          </w:tcPr>
          <w:p w14:paraId="3061939B">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菌落总数、苯甲酸及其钠盐（以苯甲酸计）、山梨酸及其钾盐（以山梨酸计）、甜蜜素（以环己基氨基磺酸计）、黄曲霉毒素B1、大肠菌群、沙门氏菌、金黄色葡萄球菌</w:t>
            </w:r>
          </w:p>
        </w:tc>
        <w:tc>
          <w:tcPr>
            <w:tcW w:w="555" w:type="pct"/>
            <w:noWrap w:val="0"/>
            <w:vAlign w:val="center"/>
          </w:tcPr>
          <w:p w14:paraId="2EC973F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D83E6F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eastAsia="zh-CN"/>
              </w:rPr>
              <w:t>附表X，第XXX页，序号XXX</w:t>
            </w:r>
          </w:p>
        </w:tc>
      </w:tr>
      <w:tr w14:paraId="4C5F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75015FB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D50C24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3AF39F0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restart"/>
            <w:noWrap w:val="0"/>
            <w:vAlign w:val="center"/>
          </w:tcPr>
          <w:p w14:paraId="7782E260">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薯类食品</w:t>
            </w:r>
          </w:p>
        </w:tc>
        <w:tc>
          <w:tcPr>
            <w:tcW w:w="499" w:type="pct"/>
            <w:noWrap w:val="0"/>
            <w:vAlign w:val="center"/>
          </w:tcPr>
          <w:p w14:paraId="5139A368">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干制薯类</w:t>
            </w:r>
          </w:p>
        </w:tc>
        <w:tc>
          <w:tcPr>
            <w:tcW w:w="276" w:type="pct"/>
            <w:noWrap w:val="0"/>
            <w:vAlign w:val="center"/>
          </w:tcPr>
          <w:p w14:paraId="71FE61D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4998357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酸价（以脂肪计）（KOH）、过氧化值（以脂肪计）、铅（以Pb计）、二氧化硫残留量、菌落总数、大肠菌群</w:t>
            </w:r>
          </w:p>
        </w:tc>
        <w:tc>
          <w:tcPr>
            <w:tcW w:w="479" w:type="pct"/>
            <w:noWrap w:val="0"/>
            <w:vAlign w:val="center"/>
          </w:tcPr>
          <w:p w14:paraId="08734184">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沙门氏菌、金黄色葡萄球菌</w:t>
            </w:r>
          </w:p>
        </w:tc>
        <w:tc>
          <w:tcPr>
            <w:tcW w:w="555" w:type="pct"/>
            <w:noWrap w:val="0"/>
            <w:vAlign w:val="center"/>
          </w:tcPr>
          <w:p w14:paraId="011510E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5EEBD1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AEE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4EB918A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594771F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56486E1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0DB3138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3829421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冷冻薯类</w:t>
            </w:r>
          </w:p>
        </w:tc>
        <w:tc>
          <w:tcPr>
            <w:tcW w:w="276" w:type="pct"/>
            <w:noWrap w:val="0"/>
            <w:vAlign w:val="center"/>
          </w:tcPr>
          <w:p w14:paraId="1856DB9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BDE9A7D">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w:t>
            </w:r>
          </w:p>
        </w:tc>
        <w:tc>
          <w:tcPr>
            <w:tcW w:w="479" w:type="pct"/>
            <w:noWrap w:val="0"/>
            <w:vAlign w:val="center"/>
          </w:tcPr>
          <w:p w14:paraId="1F93F773">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756338B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35B21C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E52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0" w:type="pct"/>
            <w:vMerge w:val="continue"/>
            <w:noWrap w:val="0"/>
            <w:vAlign w:val="center"/>
          </w:tcPr>
          <w:p w14:paraId="3586432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DC243D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39E0E82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2413578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7AAFAE2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薯泥（酱）类</w:t>
            </w:r>
          </w:p>
        </w:tc>
        <w:tc>
          <w:tcPr>
            <w:tcW w:w="276" w:type="pct"/>
            <w:noWrap w:val="0"/>
            <w:vAlign w:val="center"/>
          </w:tcPr>
          <w:p w14:paraId="26618C4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1E3312DA">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铅（以Pb计）、苯甲酸及其钠盐（以苯甲酸计）、山梨酸及其钾盐（以山梨酸计）、商业无菌、沙门氏菌、金黄色葡萄球菌</w:t>
            </w:r>
          </w:p>
        </w:tc>
        <w:tc>
          <w:tcPr>
            <w:tcW w:w="479" w:type="pct"/>
            <w:noWrap w:val="0"/>
            <w:vAlign w:val="center"/>
          </w:tcPr>
          <w:p w14:paraId="25497812">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3FF2DB2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8A645B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FCD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1EB8573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378DB6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36E0141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0CE261D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0005328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薯粉类</w:t>
            </w:r>
          </w:p>
        </w:tc>
        <w:tc>
          <w:tcPr>
            <w:tcW w:w="276" w:type="pct"/>
            <w:noWrap w:val="0"/>
            <w:vAlign w:val="center"/>
          </w:tcPr>
          <w:p w14:paraId="7BDE7E3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4DF94AA">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铅（以Pb计）、二氧化硫残留量</w:t>
            </w:r>
          </w:p>
        </w:tc>
        <w:tc>
          <w:tcPr>
            <w:tcW w:w="479" w:type="pct"/>
            <w:noWrap w:val="0"/>
            <w:vAlign w:val="center"/>
          </w:tcPr>
          <w:p w14:paraId="791A40F8">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1C9ACA9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57FC565">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66F1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0B109596">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79E0596">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978C0D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7CDCC686">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7178AA4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其他薯类食品</w:t>
            </w:r>
          </w:p>
        </w:tc>
        <w:tc>
          <w:tcPr>
            <w:tcW w:w="276" w:type="pct"/>
            <w:noWrap w:val="0"/>
            <w:vAlign w:val="center"/>
          </w:tcPr>
          <w:p w14:paraId="5845758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5CDEBA65">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铅（以Pb计）、沙门氏菌、金黄色葡萄球菌</w:t>
            </w:r>
          </w:p>
        </w:tc>
        <w:tc>
          <w:tcPr>
            <w:tcW w:w="479" w:type="pct"/>
            <w:noWrap w:val="0"/>
            <w:vAlign w:val="center"/>
          </w:tcPr>
          <w:p w14:paraId="0BEEF8CB">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3D85CCD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9B3E0E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154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210" w:type="pct"/>
            <w:vMerge w:val="restart"/>
            <w:noWrap w:val="0"/>
            <w:vAlign w:val="center"/>
          </w:tcPr>
          <w:p w14:paraId="0F6C621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13</w:t>
            </w:r>
          </w:p>
        </w:tc>
        <w:tc>
          <w:tcPr>
            <w:tcW w:w="320" w:type="pct"/>
            <w:vMerge w:val="restart"/>
            <w:noWrap w:val="0"/>
            <w:vAlign w:val="center"/>
          </w:tcPr>
          <w:p w14:paraId="24B19D0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糖果制品</w:t>
            </w:r>
          </w:p>
        </w:tc>
        <w:tc>
          <w:tcPr>
            <w:tcW w:w="324" w:type="pct"/>
            <w:vMerge w:val="restart"/>
            <w:noWrap w:val="0"/>
            <w:vAlign w:val="center"/>
          </w:tcPr>
          <w:p w14:paraId="5566D93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糖果制品(含巧克力及制品)</w:t>
            </w:r>
          </w:p>
        </w:tc>
        <w:tc>
          <w:tcPr>
            <w:tcW w:w="346" w:type="pct"/>
            <w:noWrap w:val="0"/>
            <w:vAlign w:val="center"/>
          </w:tcPr>
          <w:p w14:paraId="584B2E2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糖果</w:t>
            </w:r>
          </w:p>
        </w:tc>
        <w:tc>
          <w:tcPr>
            <w:tcW w:w="499" w:type="pct"/>
            <w:noWrap w:val="0"/>
            <w:vAlign w:val="center"/>
          </w:tcPr>
          <w:p w14:paraId="7846F47D">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糖果</w:t>
            </w:r>
          </w:p>
        </w:tc>
        <w:tc>
          <w:tcPr>
            <w:tcW w:w="276" w:type="pct"/>
            <w:noWrap w:val="0"/>
            <w:vAlign w:val="center"/>
          </w:tcPr>
          <w:p w14:paraId="6915C312">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136ED54A">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w:t>
            </w:r>
            <w:r>
              <w:rPr>
                <w:rFonts w:hint="default" w:ascii="Times New Roman" w:hAnsi="Times New Roman" w:eastAsia="仿宋_GB2312" w:cs="Times New Roman"/>
                <w:color w:val="auto"/>
                <w:kern w:val="0"/>
                <w:sz w:val="21"/>
                <w:szCs w:val="21"/>
                <w:highlight w:val="none"/>
                <w:lang w:eastAsia="zh-CN"/>
              </w:rPr>
              <w:t>、西地那非、他达拉非、酚丁、双酚沙丁、双丙酚丁、脱乙酰比沙可啶</w:t>
            </w:r>
          </w:p>
        </w:tc>
        <w:tc>
          <w:tcPr>
            <w:tcW w:w="479" w:type="pct"/>
            <w:noWrap w:val="0"/>
            <w:vAlign w:val="center"/>
          </w:tcPr>
          <w:p w14:paraId="7D2E2D2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w:t>
            </w:r>
          </w:p>
        </w:tc>
        <w:tc>
          <w:tcPr>
            <w:tcW w:w="555" w:type="pct"/>
            <w:noWrap w:val="0"/>
            <w:vAlign w:val="center"/>
          </w:tcPr>
          <w:p w14:paraId="2FEB271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80CEB2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D24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vMerge w:val="continue"/>
            <w:noWrap w:val="0"/>
            <w:vAlign w:val="center"/>
          </w:tcPr>
          <w:p w14:paraId="7DE79B6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40D98A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B52E99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5625D66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巧克力及巧克力制品</w:t>
            </w:r>
          </w:p>
        </w:tc>
        <w:tc>
          <w:tcPr>
            <w:tcW w:w="499" w:type="pct"/>
            <w:noWrap w:val="0"/>
            <w:vAlign w:val="center"/>
          </w:tcPr>
          <w:p w14:paraId="72A7705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巧克力、巧克力制品、代可可脂巧克力及代可可脂巧克力制品</w:t>
            </w:r>
          </w:p>
        </w:tc>
        <w:tc>
          <w:tcPr>
            <w:tcW w:w="276" w:type="pct"/>
            <w:noWrap w:val="0"/>
            <w:vAlign w:val="center"/>
          </w:tcPr>
          <w:p w14:paraId="53AC149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67592CAD">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铅（以Pb计）、沙门氏菌</w:t>
            </w:r>
          </w:p>
        </w:tc>
        <w:tc>
          <w:tcPr>
            <w:tcW w:w="479" w:type="pct"/>
            <w:noWrap w:val="0"/>
            <w:vAlign w:val="center"/>
          </w:tcPr>
          <w:p w14:paraId="151245B9">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bidi="ar-SA"/>
              </w:rPr>
              <w:t>/</w:t>
            </w:r>
          </w:p>
        </w:tc>
        <w:tc>
          <w:tcPr>
            <w:tcW w:w="555" w:type="pct"/>
            <w:noWrap w:val="0"/>
            <w:vAlign w:val="center"/>
          </w:tcPr>
          <w:p w14:paraId="30646504">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B48B1F2">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690E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210" w:type="pct"/>
            <w:vMerge w:val="continue"/>
            <w:noWrap w:val="0"/>
            <w:vAlign w:val="center"/>
          </w:tcPr>
          <w:p w14:paraId="598FF7C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00F131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04FA61E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4E54DFF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果冻</w:t>
            </w:r>
          </w:p>
        </w:tc>
        <w:tc>
          <w:tcPr>
            <w:tcW w:w="499" w:type="pct"/>
            <w:noWrap w:val="0"/>
            <w:vAlign w:val="center"/>
          </w:tcPr>
          <w:p w14:paraId="2DDAD48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果冻</w:t>
            </w:r>
          </w:p>
        </w:tc>
        <w:tc>
          <w:tcPr>
            <w:tcW w:w="276" w:type="pct"/>
            <w:noWrap w:val="0"/>
            <w:vAlign w:val="center"/>
          </w:tcPr>
          <w:p w14:paraId="077E13D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74147662">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合成着色剂（柠檬黄、新红、苋菜红、靛蓝、胭脂红、日落黄、诱惑红、亮蓝、酸性红、喹啉黄、赤藓红）、相同色泽着色剂混合使用时各自用量占其最大使用量的比例之和、安赛蜜、甜蜜素（以环己基氨基磺酸计）、菌落总数、霉菌</w:t>
            </w:r>
            <w:r>
              <w:rPr>
                <w:rFonts w:hint="default" w:ascii="Times New Roman" w:hAnsi="Times New Roman" w:eastAsia="仿宋_GB2312" w:cs="Times New Roman"/>
                <w:color w:val="auto"/>
                <w:kern w:val="0"/>
                <w:sz w:val="21"/>
                <w:szCs w:val="21"/>
                <w:highlight w:val="none"/>
                <w:lang w:eastAsia="zh-CN"/>
              </w:rPr>
              <w:t>、双丙酚丁、脱乙酰比沙可啶</w:t>
            </w:r>
          </w:p>
        </w:tc>
        <w:tc>
          <w:tcPr>
            <w:tcW w:w="479" w:type="pct"/>
            <w:noWrap w:val="0"/>
            <w:vAlign w:val="center"/>
          </w:tcPr>
          <w:p w14:paraId="0C1FA4F8">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山梨酸及其钾盐（以山梨酸计）、苯甲酸及其钠盐（以苯甲酸计）、糖精钠（以糖精计）、大肠菌群、酵母</w:t>
            </w:r>
          </w:p>
        </w:tc>
        <w:tc>
          <w:tcPr>
            <w:tcW w:w="555" w:type="pct"/>
            <w:noWrap w:val="0"/>
            <w:vAlign w:val="center"/>
          </w:tcPr>
          <w:p w14:paraId="1CCDAFB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110BB6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B5D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10" w:type="pct"/>
            <w:vMerge w:val="restart"/>
            <w:noWrap w:val="0"/>
            <w:vAlign w:val="center"/>
          </w:tcPr>
          <w:p w14:paraId="4CCFC3A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6"/>
                <w:kern w:val="0"/>
                <w:sz w:val="21"/>
                <w:szCs w:val="21"/>
                <w:highlight w:val="none"/>
              </w:rPr>
              <w:t>14</w:t>
            </w:r>
          </w:p>
        </w:tc>
        <w:tc>
          <w:tcPr>
            <w:tcW w:w="320" w:type="pct"/>
            <w:vMerge w:val="restart"/>
            <w:noWrap w:val="0"/>
            <w:vAlign w:val="center"/>
          </w:tcPr>
          <w:p w14:paraId="66B1822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rPr>
              <w:t>茶叶及相关</w:t>
            </w:r>
            <w:r>
              <w:rPr>
                <w:rFonts w:hint="default" w:ascii="Times New Roman" w:hAnsi="Times New Roman" w:eastAsia="仿宋_GB2312" w:cs="Times New Roman"/>
                <w:color w:val="auto"/>
                <w:kern w:val="0"/>
                <w:sz w:val="21"/>
                <w:szCs w:val="21"/>
                <w:highlight w:val="none"/>
              </w:rPr>
              <w:t xml:space="preserve"> </w:t>
            </w:r>
            <w:r>
              <w:rPr>
                <w:rFonts w:hint="default" w:ascii="Times New Roman" w:hAnsi="Times New Roman" w:eastAsia="仿宋_GB2312" w:cs="Times New Roman"/>
                <w:color w:val="auto"/>
                <w:spacing w:val="9"/>
                <w:kern w:val="0"/>
                <w:sz w:val="21"/>
                <w:szCs w:val="21"/>
                <w:highlight w:val="none"/>
              </w:rPr>
              <w:t>制品</w:t>
            </w:r>
          </w:p>
        </w:tc>
        <w:tc>
          <w:tcPr>
            <w:tcW w:w="324" w:type="pct"/>
            <w:noWrap w:val="0"/>
            <w:vAlign w:val="center"/>
          </w:tcPr>
          <w:p w14:paraId="1DCD3F5A">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3"/>
                <w:kern w:val="0"/>
                <w:sz w:val="21"/>
                <w:szCs w:val="21"/>
                <w:highlight w:val="none"/>
              </w:rPr>
              <w:t>茶叶</w:t>
            </w:r>
          </w:p>
        </w:tc>
        <w:tc>
          <w:tcPr>
            <w:tcW w:w="346" w:type="pct"/>
            <w:noWrap w:val="0"/>
            <w:vAlign w:val="center"/>
          </w:tcPr>
          <w:p w14:paraId="4F47D08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3"/>
                <w:kern w:val="0"/>
                <w:sz w:val="21"/>
                <w:szCs w:val="21"/>
                <w:highlight w:val="none"/>
              </w:rPr>
              <w:t>茶叶</w:t>
            </w:r>
          </w:p>
        </w:tc>
        <w:tc>
          <w:tcPr>
            <w:tcW w:w="499" w:type="pct"/>
            <w:noWrap w:val="0"/>
            <w:vAlign w:val="center"/>
          </w:tcPr>
          <w:p w14:paraId="41C7B80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rPr>
              <w:t>绿茶、红茶</w:t>
            </w:r>
            <w:r>
              <w:rPr>
                <w:rFonts w:hint="default" w:ascii="Times New Roman" w:hAnsi="Times New Roman" w:eastAsia="仿宋_GB2312" w:cs="Times New Roman"/>
                <w:color w:val="auto"/>
                <w:spacing w:val="17"/>
                <w:kern w:val="0"/>
                <w:sz w:val="21"/>
                <w:szCs w:val="21"/>
                <w:highlight w:val="none"/>
              </w:rPr>
              <w:t>、乌龙茶、</w:t>
            </w:r>
            <w:r>
              <w:rPr>
                <w:rFonts w:hint="default" w:ascii="Times New Roman" w:hAnsi="Times New Roman" w:eastAsia="仿宋_GB2312" w:cs="Times New Roman"/>
                <w:color w:val="auto"/>
                <w:spacing w:val="-2"/>
                <w:kern w:val="0"/>
                <w:sz w:val="21"/>
                <w:szCs w:val="21"/>
                <w:highlight w:val="none"/>
              </w:rPr>
              <w:t>黄茶、白茶</w:t>
            </w:r>
            <w:r>
              <w:rPr>
                <w:rFonts w:hint="default" w:ascii="Times New Roman" w:hAnsi="Times New Roman" w:eastAsia="仿宋_GB2312" w:cs="Times New Roman"/>
                <w:color w:val="auto"/>
                <w:spacing w:val="-1"/>
                <w:kern w:val="0"/>
                <w:sz w:val="21"/>
                <w:szCs w:val="21"/>
                <w:highlight w:val="none"/>
              </w:rPr>
              <w:t>、黑茶、花</w:t>
            </w:r>
            <w:r>
              <w:rPr>
                <w:rFonts w:hint="default" w:ascii="Times New Roman" w:hAnsi="Times New Roman" w:eastAsia="仿宋_GB2312" w:cs="Times New Roman"/>
                <w:color w:val="auto"/>
                <w:spacing w:val="-2"/>
                <w:kern w:val="0"/>
                <w:sz w:val="21"/>
                <w:szCs w:val="21"/>
                <w:highlight w:val="none"/>
              </w:rPr>
              <w:t>茶、袋泡茶</w:t>
            </w:r>
            <w:r>
              <w:rPr>
                <w:rFonts w:hint="default" w:ascii="Times New Roman" w:hAnsi="Times New Roman" w:eastAsia="仿宋_GB2312" w:cs="Times New Roman"/>
                <w:color w:val="auto"/>
                <w:kern w:val="0"/>
                <w:sz w:val="21"/>
                <w:szCs w:val="21"/>
                <w:highlight w:val="none"/>
              </w:rPr>
              <w:t>、紧压茶</w:t>
            </w:r>
          </w:p>
        </w:tc>
        <w:tc>
          <w:tcPr>
            <w:tcW w:w="276" w:type="pct"/>
            <w:noWrap w:val="0"/>
            <w:vAlign w:val="center"/>
          </w:tcPr>
          <w:p w14:paraId="53A45941">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57D76A8B">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lang w:eastAsia="zh-CN"/>
              </w:rPr>
              <w:t>草甘膦</w:t>
            </w:r>
            <w:r>
              <w:rPr>
                <w:rFonts w:hint="default" w:ascii="Times New Roman" w:hAnsi="Times New Roman" w:eastAsia="仿宋_GB2312" w:cs="Times New Roman"/>
                <w:color w:val="auto"/>
                <w:kern w:val="0"/>
                <w:sz w:val="21"/>
                <w:szCs w:val="21"/>
                <w:highlight w:val="none"/>
              </w:rPr>
              <w:t>、吡虫啉、乙酰甲胺磷、联苯菊酯、灭多威</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三氯杀螨醇</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水胺硫磷</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rPr>
              <w:t>合成着色剂(柠檬黄、日落黄、胭脂红、亮蓝</w:t>
            </w:r>
            <w:r>
              <w:rPr>
                <w:rFonts w:hint="default" w:ascii="Times New Roman" w:hAnsi="Times New Roman" w:eastAsia="仿宋_GB2312" w:cs="Times New Roman"/>
                <w:color w:val="auto"/>
                <w:spacing w:val="-1"/>
                <w:kern w:val="0"/>
                <w:sz w:val="21"/>
                <w:szCs w:val="21"/>
                <w:highlight w:val="none"/>
              </w:rPr>
              <w:t>)</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kern w:val="0"/>
                <w:sz w:val="21"/>
                <w:szCs w:val="21"/>
                <w:highlight w:val="none"/>
                <w:lang w:val="en" w:eastAsia="zh-CN"/>
              </w:rPr>
              <w:t>糖精钠、</w:t>
            </w:r>
            <w:r>
              <w:rPr>
                <w:rFonts w:hint="default" w:ascii="Times New Roman" w:hAnsi="Times New Roman" w:eastAsia="仿宋_GB2312" w:cs="Times New Roman"/>
                <w:color w:val="auto"/>
                <w:kern w:val="0"/>
                <w:sz w:val="21"/>
                <w:szCs w:val="21"/>
                <w:highlight w:val="none"/>
              </w:rPr>
              <w:t>甜蜜素（以环己基氨基磺酸计）</w:t>
            </w:r>
          </w:p>
        </w:tc>
        <w:tc>
          <w:tcPr>
            <w:tcW w:w="479" w:type="pct"/>
            <w:noWrap w:val="0"/>
            <w:vAlign w:val="center"/>
          </w:tcPr>
          <w:p w14:paraId="3A1E904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w:t>
            </w:r>
            <w:r>
              <w:rPr>
                <w:rFonts w:hint="default"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lang w:val="en-US" w:eastAsia="zh-CN"/>
              </w:rPr>
              <w:t>啶虫脒</w:t>
            </w:r>
          </w:p>
        </w:tc>
        <w:tc>
          <w:tcPr>
            <w:tcW w:w="555" w:type="pct"/>
            <w:noWrap w:val="0"/>
            <w:vAlign w:val="center"/>
          </w:tcPr>
          <w:p w14:paraId="62CD41ED">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C2F209C">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6F9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0" w:type="pct"/>
            <w:vMerge w:val="continue"/>
            <w:noWrap w:val="0"/>
            <w:vAlign w:val="center"/>
          </w:tcPr>
          <w:p w14:paraId="3CC6EF0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B51DD3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0F8F5C53">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rPr>
              <w:t>含茶制品和</w:t>
            </w:r>
            <w:r>
              <w:rPr>
                <w:rFonts w:hint="default" w:ascii="Times New Roman" w:hAnsi="Times New Roman" w:eastAsia="仿宋_GB2312" w:cs="Times New Roman"/>
                <w:color w:val="auto"/>
                <w:spacing w:val="-2"/>
                <w:kern w:val="0"/>
                <w:sz w:val="21"/>
                <w:szCs w:val="21"/>
                <w:highlight w:val="none"/>
              </w:rPr>
              <w:t>代用茶</w:t>
            </w:r>
          </w:p>
        </w:tc>
        <w:tc>
          <w:tcPr>
            <w:tcW w:w="346" w:type="pct"/>
            <w:noWrap w:val="0"/>
            <w:vAlign w:val="center"/>
          </w:tcPr>
          <w:p w14:paraId="02E50B8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4"/>
                <w:kern w:val="0"/>
                <w:sz w:val="21"/>
                <w:szCs w:val="21"/>
                <w:highlight w:val="none"/>
              </w:rPr>
              <w:t>含茶制品</w:t>
            </w:r>
          </w:p>
        </w:tc>
        <w:tc>
          <w:tcPr>
            <w:tcW w:w="499" w:type="pct"/>
            <w:noWrap w:val="0"/>
            <w:vAlign w:val="center"/>
          </w:tcPr>
          <w:p w14:paraId="62E6E5D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17"/>
                <w:kern w:val="0"/>
                <w:sz w:val="21"/>
                <w:szCs w:val="21"/>
                <w:highlight w:val="none"/>
              </w:rPr>
              <w:t>速溶茶类、</w:t>
            </w:r>
            <w:r>
              <w:rPr>
                <w:rFonts w:hint="default" w:ascii="Times New Roman" w:hAnsi="Times New Roman" w:eastAsia="仿宋_GB2312" w:cs="Times New Roman"/>
                <w:color w:val="auto"/>
                <w:spacing w:val="3"/>
                <w:kern w:val="0"/>
                <w:sz w:val="21"/>
                <w:szCs w:val="21"/>
                <w:highlight w:val="none"/>
              </w:rPr>
              <w:t>其他含茶制</w:t>
            </w:r>
            <w:r>
              <w:rPr>
                <w:rFonts w:hint="default" w:ascii="Times New Roman" w:hAnsi="Times New Roman" w:eastAsia="仿宋_GB2312" w:cs="Times New Roman"/>
                <w:color w:val="auto"/>
                <w:kern w:val="0"/>
                <w:sz w:val="21"/>
                <w:szCs w:val="21"/>
                <w:highlight w:val="none"/>
              </w:rPr>
              <w:t>品</w:t>
            </w:r>
          </w:p>
        </w:tc>
        <w:tc>
          <w:tcPr>
            <w:tcW w:w="276" w:type="pct"/>
            <w:noWrap w:val="0"/>
            <w:vAlign w:val="center"/>
          </w:tcPr>
          <w:p w14:paraId="03F72A5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56E13B6A">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1"/>
                <w:kern w:val="0"/>
                <w:sz w:val="21"/>
                <w:szCs w:val="21"/>
                <w:highlight w:val="none"/>
              </w:rPr>
              <w:t>铅(以Pb计)、菌落总数</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spacing w:val="-1"/>
                <w:kern w:val="0"/>
                <w:sz w:val="21"/>
                <w:szCs w:val="21"/>
                <w:highlight w:val="none"/>
              </w:rPr>
              <w:t>霉菌、霉菌及酵母</w:t>
            </w:r>
            <w:r>
              <w:rPr>
                <w:rFonts w:hint="default" w:ascii="Times New Roman" w:hAnsi="Times New Roman" w:eastAsia="仿宋_GB2312" w:cs="Times New Roman"/>
                <w:color w:val="auto"/>
                <w:spacing w:val="-1"/>
                <w:kern w:val="0"/>
                <w:sz w:val="21"/>
                <w:szCs w:val="21"/>
                <w:highlight w:val="none"/>
                <w:lang w:eastAsia="zh-CN"/>
              </w:rPr>
              <w:t>、</w:t>
            </w:r>
            <w:r>
              <w:rPr>
                <w:rFonts w:hint="default" w:ascii="Times New Roman" w:hAnsi="Times New Roman" w:eastAsia="仿宋_GB2312" w:cs="Times New Roman"/>
                <w:color w:val="auto"/>
                <w:spacing w:val="-1"/>
                <w:kern w:val="0"/>
                <w:sz w:val="21"/>
                <w:szCs w:val="21"/>
                <w:highlight w:val="none"/>
              </w:rPr>
              <w:t>合成着色剂(柠檬黄、日落黄、胭脂红、亮蓝)</w:t>
            </w:r>
          </w:p>
        </w:tc>
        <w:tc>
          <w:tcPr>
            <w:tcW w:w="479" w:type="pct"/>
            <w:noWrap w:val="0"/>
            <w:vAlign w:val="center"/>
          </w:tcPr>
          <w:p w14:paraId="7752C66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 w:eastAsia="zh-CN"/>
              </w:rPr>
              <w:t>糖精钠、</w:t>
            </w:r>
            <w:r>
              <w:rPr>
                <w:rFonts w:hint="default" w:ascii="Times New Roman" w:hAnsi="Times New Roman" w:eastAsia="仿宋_GB2312" w:cs="Times New Roman"/>
                <w:color w:val="auto"/>
                <w:kern w:val="0"/>
                <w:sz w:val="21"/>
                <w:szCs w:val="21"/>
                <w:highlight w:val="none"/>
              </w:rPr>
              <w:t>甜蜜素（以环己基氨基磺酸计）</w:t>
            </w:r>
          </w:p>
        </w:tc>
        <w:tc>
          <w:tcPr>
            <w:tcW w:w="555" w:type="pct"/>
            <w:noWrap w:val="0"/>
            <w:vAlign w:val="center"/>
          </w:tcPr>
          <w:p w14:paraId="7561037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990D0E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 w:eastAsia="zh-CN" w:bidi="ar-SA"/>
              </w:rPr>
            </w:pPr>
          </w:p>
        </w:tc>
      </w:tr>
      <w:tr w14:paraId="4042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10" w:type="pct"/>
            <w:vMerge w:val="continue"/>
            <w:noWrap w:val="0"/>
            <w:vAlign w:val="center"/>
          </w:tcPr>
          <w:p w14:paraId="1ED5CE4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013FDE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E5060C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restart"/>
            <w:noWrap w:val="0"/>
            <w:vAlign w:val="center"/>
          </w:tcPr>
          <w:p w14:paraId="5FE392C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rPr>
              <w:t>代用茶</w:t>
            </w:r>
          </w:p>
        </w:tc>
        <w:tc>
          <w:tcPr>
            <w:tcW w:w="499" w:type="pct"/>
            <w:noWrap w:val="0"/>
            <w:vAlign w:val="center"/>
          </w:tcPr>
          <w:p w14:paraId="03FA592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lang w:eastAsia="zh-CN"/>
              </w:rPr>
              <w:t>枸杞（干）</w:t>
            </w:r>
          </w:p>
        </w:tc>
        <w:tc>
          <w:tcPr>
            <w:tcW w:w="276" w:type="pct"/>
            <w:noWrap w:val="0"/>
            <w:vAlign w:val="center"/>
          </w:tcPr>
          <w:p w14:paraId="66311EA9">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02DCF77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铅(以Pb计)、二氧化硫残留量、</w:t>
            </w:r>
            <w:r>
              <w:rPr>
                <w:rFonts w:hint="default" w:ascii="Times New Roman" w:hAnsi="Times New Roman" w:eastAsia="仿宋_GB2312" w:cs="Times New Roman"/>
                <w:color w:val="auto"/>
                <w:kern w:val="0"/>
                <w:sz w:val="21"/>
                <w:szCs w:val="21"/>
                <w:highlight w:val="none"/>
                <w:lang w:eastAsia="zh-CN"/>
              </w:rPr>
              <w:t>克百威、</w:t>
            </w:r>
            <w:r>
              <w:rPr>
                <w:rFonts w:hint="default" w:ascii="Times New Roman" w:hAnsi="Times New Roman" w:eastAsia="仿宋_GB2312" w:cs="Times New Roman"/>
                <w:color w:val="auto"/>
                <w:spacing w:val="-5"/>
                <w:kern w:val="0"/>
                <w:sz w:val="21"/>
                <w:szCs w:val="21"/>
                <w:highlight w:val="none"/>
                <w:lang w:eastAsia="zh-CN"/>
              </w:rPr>
              <w:t>啶虫脒</w:t>
            </w:r>
            <w:r>
              <w:rPr>
                <w:rFonts w:hint="default" w:ascii="Times New Roman" w:hAnsi="Times New Roman" w:eastAsia="仿宋_GB2312" w:cs="Times New Roman"/>
                <w:color w:val="auto"/>
                <w:kern w:val="0"/>
                <w:sz w:val="21"/>
                <w:szCs w:val="21"/>
                <w:highlight w:val="none"/>
              </w:rPr>
              <w:t>、氯氟氰菊酯和高效氯氟氰菊酯、三唑磷、霉菌</w:t>
            </w:r>
          </w:p>
        </w:tc>
        <w:tc>
          <w:tcPr>
            <w:tcW w:w="479" w:type="pct"/>
            <w:noWrap w:val="0"/>
            <w:vAlign w:val="center"/>
          </w:tcPr>
          <w:p w14:paraId="574A33D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eastAsia="zh-CN"/>
              </w:rPr>
              <w:t>毒死蜱、</w:t>
            </w:r>
            <w:r>
              <w:rPr>
                <w:rFonts w:hint="default" w:ascii="Times New Roman" w:hAnsi="Times New Roman" w:eastAsia="仿宋_GB2312" w:cs="Times New Roman"/>
                <w:color w:val="auto"/>
                <w:kern w:val="0"/>
                <w:sz w:val="21"/>
                <w:szCs w:val="21"/>
                <w:highlight w:val="none"/>
              </w:rPr>
              <w:t>吡虫啉</w:t>
            </w:r>
          </w:p>
        </w:tc>
        <w:tc>
          <w:tcPr>
            <w:tcW w:w="555" w:type="pct"/>
            <w:noWrap w:val="0"/>
            <w:vAlign w:val="center"/>
          </w:tcPr>
          <w:p w14:paraId="54FE644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40DB44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DD4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0" w:type="pct"/>
            <w:vMerge w:val="continue"/>
            <w:noWrap w:val="0"/>
            <w:vAlign w:val="center"/>
          </w:tcPr>
          <w:p w14:paraId="285A352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96A6C2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3E174054">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48EF53D0">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rPr>
            </w:pPr>
          </w:p>
        </w:tc>
        <w:tc>
          <w:tcPr>
            <w:tcW w:w="499" w:type="pct"/>
            <w:noWrap w:val="0"/>
            <w:vAlign w:val="center"/>
          </w:tcPr>
          <w:p w14:paraId="74356EE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lang w:eastAsia="zh-CN"/>
              </w:rPr>
              <w:t>菊花（干）</w:t>
            </w:r>
          </w:p>
        </w:tc>
        <w:tc>
          <w:tcPr>
            <w:tcW w:w="276" w:type="pct"/>
            <w:noWrap w:val="0"/>
            <w:vAlign w:val="center"/>
          </w:tcPr>
          <w:p w14:paraId="65D8BBEC">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7FA8B6B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铅(以Pb计)、二氧化硫残留量、</w:t>
            </w:r>
            <w:r>
              <w:rPr>
                <w:rFonts w:hint="default" w:ascii="Times New Roman" w:hAnsi="Times New Roman" w:eastAsia="仿宋_GB2312" w:cs="Times New Roman"/>
                <w:color w:val="auto"/>
                <w:kern w:val="0"/>
                <w:sz w:val="21"/>
                <w:szCs w:val="21"/>
                <w:highlight w:val="none"/>
                <w:lang w:eastAsia="zh-CN"/>
              </w:rPr>
              <w:t>克百威、</w:t>
            </w:r>
            <w:r>
              <w:rPr>
                <w:rFonts w:hint="default" w:ascii="Times New Roman" w:hAnsi="Times New Roman" w:eastAsia="仿宋_GB2312" w:cs="Times New Roman"/>
                <w:color w:val="auto"/>
                <w:kern w:val="0"/>
                <w:sz w:val="21"/>
                <w:szCs w:val="21"/>
                <w:highlight w:val="none"/>
              </w:rPr>
              <w:t>氯氟氰菊酯和高效氯氟氰菊酯、三唑磷、霉菌</w:t>
            </w:r>
          </w:p>
        </w:tc>
        <w:tc>
          <w:tcPr>
            <w:tcW w:w="479" w:type="pct"/>
            <w:noWrap w:val="0"/>
            <w:vAlign w:val="center"/>
          </w:tcPr>
          <w:p w14:paraId="46C6178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eastAsia="zh-CN"/>
              </w:rPr>
              <w:t>毒死蜱、</w:t>
            </w:r>
            <w:r>
              <w:rPr>
                <w:rFonts w:hint="default" w:ascii="Times New Roman" w:hAnsi="Times New Roman" w:eastAsia="仿宋_GB2312" w:cs="Times New Roman"/>
                <w:color w:val="auto"/>
                <w:kern w:val="0"/>
                <w:sz w:val="21"/>
                <w:szCs w:val="21"/>
                <w:highlight w:val="none"/>
              </w:rPr>
              <w:t>吡虫啉</w:t>
            </w:r>
          </w:p>
        </w:tc>
        <w:tc>
          <w:tcPr>
            <w:tcW w:w="555" w:type="pct"/>
            <w:noWrap w:val="0"/>
            <w:vAlign w:val="center"/>
          </w:tcPr>
          <w:p w14:paraId="5DFC49F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14799A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5EA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0" w:type="pct"/>
            <w:vMerge w:val="continue"/>
            <w:noWrap w:val="0"/>
            <w:vAlign w:val="center"/>
          </w:tcPr>
          <w:p w14:paraId="4CAA5B0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0721C0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7F83CFE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44B0128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rPr>
            </w:pPr>
          </w:p>
        </w:tc>
        <w:tc>
          <w:tcPr>
            <w:tcW w:w="499" w:type="pct"/>
            <w:noWrap w:val="0"/>
            <w:vAlign w:val="center"/>
          </w:tcPr>
          <w:p w14:paraId="5E26803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lang w:eastAsia="zh-CN"/>
              </w:rPr>
              <w:t>金银花（干）</w:t>
            </w:r>
          </w:p>
        </w:tc>
        <w:tc>
          <w:tcPr>
            <w:tcW w:w="276" w:type="pct"/>
            <w:noWrap w:val="0"/>
            <w:vAlign w:val="center"/>
          </w:tcPr>
          <w:p w14:paraId="30A300DF">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215733E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铅(以Pb计)、二氧化硫残留量、</w:t>
            </w:r>
            <w:r>
              <w:rPr>
                <w:rFonts w:hint="default" w:ascii="Times New Roman" w:hAnsi="Times New Roman" w:eastAsia="仿宋_GB2312" w:cs="Times New Roman"/>
                <w:color w:val="auto"/>
                <w:kern w:val="0"/>
                <w:sz w:val="21"/>
                <w:szCs w:val="21"/>
                <w:highlight w:val="none"/>
                <w:lang w:eastAsia="zh-CN"/>
              </w:rPr>
              <w:t>克百威、</w:t>
            </w:r>
            <w:r>
              <w:rPr>
                <w:rFonts w:hint="default" w:ascii="Times New Roman" w:hAnsi="Times New Roman" w:eastAsia="仿宋_GB2312" w:cs="Times New Roman"/>
                <w:color w:val="auto"/>
                <w:spacing w:val="-5"/>
                <w:kern w:val="0"/>
                <w:sz w:val="21"/>
                <w:szCs w:val="21"/>
                <w:highlight w:val="none"/>
                <w:lang w:eastAsia="zh-CN"/>
              </w:rPr>
              <w:t>啶虫脒</w:t>
            </w:r>
            <w:r>
              <w:rPr>
                <w:rFonts w:hint="default" w:ascii="Times New Roman" w:hAnsi="Times New Roman" w:eastAsia="仿宋_GB2312" w:cs="Times New Roman"/>
                <w:color w:val="auto"/>
                <w:kern w:val="0"/>
                <w:sz w:val="21"/>
                <w:szCs w:val="21"/>
                <w:highlight w:val="none"/>
              </w:rPr>
              <w:t>、氯氟氰菊酯和高效氯氟氰菊酯、三唑磷、霉菌</w:t>
            </w:r>
          </w:p>
        </w:tc>
        <w:tc>
          <w:tcPr>
            <w:tcW w:w="479" w:type="pct"/>
            <w:noWrap w:val="0"/>
            <w:vAlign w:val="center"/>
          </w:tcPr>
          <w:p w14:paraId="045C6D00">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eastAsia="zh-CN"/>
              </w:rPr>
              <w:t>毒死蜱、</w:t>
            </w:r>
            <w:r>
              <w:rPr>
                <w:rFonts w:hint="default" w:ascii="Times New Roman" w:hAnsi="Times New Roman" w:eastAsia="仿宋_GB2312" w:cs="Times New Roman"/>
                <w:color w:val="auto"/>
                <w:kern w:val="0"/>
                <w:sz w:val="21"/>
                <w:szCs w:val="21"/>
                <w:highlight w:val="none"/>
              </w:rPr>
              <w:t>吡虫啉</w:t>
            </w:r>
          </w:p>
        </w:tc>
        <w:tc>
          <w:tcPr>
            <w:tcW w:w="555" w:type="pct"/>
            <w:noWrap w:val="0"/>
            <w:vAlign w:val="center"/>
          </w:tcPr>
          <w:p w14:paraId="561C4D7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A2C9D3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D0B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0" w:type="pct"/>
            <w:vMerge w:val="continue"/>
            <w:noWrap w:val="0"/>
            <w:vAlign w:val="center"/>
          </w:tcPr>
          <w:p w14:paraId="1052882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7ACDA10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3C0C4DA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27731A49">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rPr>
            </w:pPr>
          </w:p>
        </w:tc>
        <w:tc>
          <w:tcPr>
            <w:tcW w:w="499" w:type="pct"/>
            <w:noWrap w:val="0"/>
            <w:vAlign w:val="center"/>
          </w:tcPr>
          <w:p w14:paraId="798D62A2">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lang w:eastAsia="zh-CN"/>
              </w:rPr>
              <w:t>苦丁茶</w:t>
            </w:r>
          </w:p>
        </w:tc>
        <w:tc>
          <w:tcPr>
            <w:tcW w:w="276" w:type="pct"/>
            <w:noWrap w:val="0"/>
            <w:vAlign w:val="center"/>
          </w:tcPr>
          <w:p w14:paraId="1532854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6BD7005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铅(以Pb计)、二氧化硫残留量、</w:t>
            </w:r>
            <w:r>
              <w:rPr>
                <w:rFonts w:hint="default" w:ascii="Times New Roman" w:hAnsi="Times New Roman" w:eastAsia="仿宋_GB2312" w:cs="Times New Roman"/>
                <w:color w:val="auto"/>
                <w:kern w:val="0"/>
                <w:sz w:val="21"/>
                <w:szCs w:val="21"/>
                <w:highlight w:val="none"/>
                <w:lang w:eastAsia="zh-CN"/>
              </w:rPr>
              <w:t>克百威、</w:t>
            </w:r>
            <w:r>
              <w:rPr>
                <w:rFonts w:hint="default" w:ascii="Times New Roman" w:hAnsi="Times New Roman" w:eastAsia="仿宋_GB2312" w:cs="Times New Roman"/>
                <w:color w:val="auto"/>
                <w:spacing w:val="-5"/>
                <w:kern w:val="0"/>
                <w:sz w:val="21"/>
                <w:szCs w:val="21"/>
                <w:highlight w:val="none"/>
                <w:lang w:eastAsia="zh-CN"/>
              </w:rPr>
              <w:t>啶虫脒</w:t>
            </w:r>
            <w:r>
              <w:rPr>
                <w:rFonts w:hint="default" w:ascii="Times New Roman" w:hAnsi="Times New Roman" w:eastAsia="仿宋_GB2312" w:cs="Times New Roman"/>
                <w:color w:val="auto"/>
                <w:kern w:val="0"/>
                <w:sz w:val="21"/>
                <w:szCs w:val="21"/>
                <w:highlight w:val="none"/>
              </w:rPr>
              <w:t>、氯氟氰菊酯和高效氯氟氰菊酯、三唑磷、霉菌</w:t>
            </w:r>
          </w:p>
        </w:tc>
        <w:tc>
          <w:tcPr>
            <w:tcW w:w="479" w:type="pct"/>
            <w:noWrap w:val="0"/>
            <w:vAlign w:val="center"/>
          </w:tcPr>
          <w:p w14:paraId="20CC161E">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eastAsia="zh-CN"/>
              </w:rPr>
              <w:t>毒死蜱、</w:t>
            </w:r>
            <w:r>
              <w:rPr>
                <w:rFonts w:hint="default" w:ascii="Times New Roman" w:hAnsi="Times New Roman" w:eastAsia="仿宋_GB2312" w:cs="Times New Roman"/>
                <w:color w:val="auto"/>
                <w:kern w:val="0"/>
                <w:sz w:val="21"/>
                <w:szCs w:val="21"/>
                <w:highlight w:val="none"/>
              </w:rPr>
              <w:t>吡虫啉</w:t>
            </w:r>
          </w:p>
        </w:tc>
        <w:tc>
          <w:tcPr>
            <w:tcW w:w="555" w:type="pct"/>
            <w:noWrap w:val="0"/>
            <w:vAlign w:val="center"/>
          </w:tcPr>
          <w:p w14:paraId="4EF49390">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BAE8C5A">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71B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0" w:type="pct"/>
            <w:vMerge w:val="continue"/>
            <w:noWrap w:val="0"/>
            <w:vAlign w:val="center"/>
          </w:tcPr>
          <w:p w14:paraId="3DC90F3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9B7BC1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9BAC006">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4494798F">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rPr>
            </w:pPr>
          </w:p>
        </w:tc>
        <w:tc>
          <w:tcPr>
            <w:tcW w:w="499" w:type="pct"/>
            <w:noWrap w:val="0"/>
            <w:vAlign w:val="center"/>
          </w:tcPr>
          <w:p w14:paraId="1FFCE60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2"/>
                <w:kern w:val="0"/>
                <w:sz w:val="21"/>
                <w:szCs w:val="21"/>
                <w:highlight w:val="none"/>
                <w:lang w:eastAsia="zh-CN"/>
              </w:rPr>
              <w:t>其他代用茶</w:t>
            </w:r>
          </w:p>
        </w:tc>
        <w:tc>
          <w:tcPr>
            <w:tcW w:w="276" w:type="pct"/>
            <w:noWrap w:val="0"/>
            <w:vAlign w:val="center"/>
          </w:tcPr>
          <w:p w14:paraId="04659005">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jc w:val="center"/>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pacing w:val="-5"/>
                <w:kern w:val="0"/>
                <w:sz w:val="21"/>
                <w:szCs w:val="21"/>
                <w:highlight w:val="none"/>
              </w:rPr>
              <w:t>一般</w:t>
            </w:r>
          </w:p>
        </w:tc>
        <w:tc>
          <w:tcPr>
            <w:tcW w:w="1303" w:type="pct"/>
            <w:noWrap w:val="0"/>
            <w:vAlign w:val="center"/>
          </w:tcPr>
          <w:p w14:paraId="46B477E6">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kern w:val="0"/>
                <w:sz w:val="21"/>
                <w:szCs w:val="21"/>
                <w:highlight w:val="none"/>
              </w:rPr>
              <w:t>铅(以Pb计)、二氧化硫残留量、</w:t>
            </w:r>
            <w:r>
              <w:rPr>
                <w:rFonts w:hint="default" w:ascii="Times New Roman" w:hAnsi="Times New Roman" w:eastAsia="仿宋_GB2312" w:cs="Times New Roman"/>
                <w:color w:val="auto"/>
                <w:kern w:val="0"/>
                <w:sz w:val="21"/>
                <w:szCs w:val="21"/>
                <w:highlight w:val="none"/>
                <w:lang w:eastAsia="zh-CN"/>
              </w:rPr>
              <w:t>克百威、</w:t>
            </w:r>
            <w:r>
              <w:rPr>
                <w:rFonts w:hint="default" w:ascii="Times New Roman" w:hAnsi="Times New Roman" w:eastAsia="仿宋_GB2312" w:cs="Times New Roman"/>
                <w:color w:val="auto"/>
                <w:spacing w:val="-5"/>
                <w:kern w:val="0"/>
                <w:sz w:val="21"/>
                <w:szCs w:val="21"/>
                <w:highlight w:val="none"/>
                <w:lang w:eastAsia="zh-CN"/>
              </w:rPr>
              <w:t>啶虫脒</w:t>
            </w:r>
            <w:r>
              <w:rPr>
                <w:rFonts w:hint="default" w:ascii="Times New Roman" w:hAnsi="Times New Roman" w:eastAsia="仿宋_GB2312" w:cs="Times New Roman"/>
                <w:color w:val="auto"/>
                <w:kern w:val="0"/>
                <w:sz w:val="21"/>
                <w:szCs w:val="21"/>
                <w:highlight w:val="none"/>
              </w:rPr>
              <w:t>、氯氟氰菊酯和高效氯氟氰菊酯、三唑磷、霉菌</w:t>
            </w:r>
          </w:p>
        </w:tc>
        <w:tc>
          <w:tcPr>
            <w:tcW w:w="479" w:type="pct"/>
            <w:noWrap w:val="0"/>
            <w:vAlign w:val="center"/>
          </w:tcPr>
          <w:p w14:paraId="4F070958">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val="0"/>
              <w:spacing w:before="0" w:line="300" w:lineRule="exact"/>
              <w:ind w:right="0" w:rightChars="0"/>
              <w:jc w:val="left"/>
              <w:textAlignment w:val="baseline"/>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eastAsia="zh-CN"/>
              </w:rPr>
              <w:t>毒死蜱、</w:t>
            </w:r>
            <w:r>
              <w:rPr>
                <w:rFonts w:hint="default" w:ascii="Times New Roman" w:hAnsi="Times New Roman" w:eastAsia="仿宋_GB2312" w:cs="Times New Roman"/>
                <w:color w:val="auto"/>
                <w:kern w:val="0"/>
                <w:sz w:val="21"/>
                <w:szCs w:val="21"/>
                <w:highlight w:val="none"/>
              </w:rPr>
              <w:t>吡虫啉</w:t>
            </w:r>
          </w:p>
        </w:tc>
        <w:tc>
          <w:tcPr>
            <w:tcW w:w="555" w:type="pct"/>
            <w:noWrap w:val="0"/>
            <w:vAlign w:val="center"/>
          </w:tcPr>
          <w:p w14:paraId="36435D5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F53C39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5F5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restart"/>
            <w:noWrap w:val="0"/>
            <w:vAlign w:val="center"/>
          </w:tcPr>
          <w:p w14:paraId="15EBFD3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15</w:t>
            </w:r>
          </w:p>
        </w:tc>
        <w:tc>
          <w:tcPr>
            <w:tcW w:w="320" w:type="pct"/>
            <w:vMerge w:val="restart"/>
            <w:noWrap w:val="0"/>
            <w:vAlign w:val="center"/>
          </w:tcPr>
          <w:p w14:paraId="61F6F79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酒类</w:t>
            </w:r>
          </w:p>
        </w:tc>
        <w:tc>
          <w:tcPr>
            <w:tcW w:w="324" w:type="pct"/>
            <w:noWrap w:val="0"/>
            <w:vAlign w:val="center"/>
          </w:tcPr>
          <w:p w14:paraId="6950F11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蒸馏酒</w:t>
            </w:r>
          </w:p>
        </w:tc>
        <w:tc>
          <w:tcPr>
            <w:tcW w:w="346" w:type="pct"/>
            <w:noWrap w:val="0"/>
            <w:vAlign w:val="center"/>
          </w:tcPr>
          <w:p w14:paraId="7DBA5DB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白酒</w:t>
            </w:r>
          </w:p>
        </w:tc>
        <w:tc>
          <w:tcPr>
            <w:tcW w:w="499" w:type="pct"/>
            <w:noWrap w:val="0"/>
            <w:vAlign w:val="center"/>
          </w:tcPr>
          <w:p w14:paraId="6C48FE6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白酒、白酒（液态）、白酒（原酒）</w:t>
            </w:r>
          </w:p>
        </w:tc>
        <w:tc>
          <w:tcPr>
            <w:tcW w:w="276" w:type="pct"/>
            <w:noWrap w:val="0"/>
            <w:vAlign w:val="center"/>
          </w:tcPr>
          <w:p w14:paraId="756A2A2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004192E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酒精度、甲醇、糖精钠（以糖精计）、甜蜜素（以环己基氨基磺酸计）、三氯蔗糖、安赛蜜、纽甜</w:t>
            </w:r>
          </w:p>
        </w:tc>
        <w:tc>
          <w:tcPr>
            <w:tcW w:w="479" w:type="pct"/>
            <w:noWrap w:val="0"/>
            <w:vAlign w:val="center"/>
          </w:tcPr>
          <w:p w14:paraId="2F6DFF3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氰化物（以 HCN 计）、铅 (以Pb计)、</w:t>
            </w:r>
          </w:p>
        </w:tc>
        <w:tc>
          <w:tcPr>
            <w:tcW w:w="555" w:type="pct"/>
            <w:noWrap w:val="0"/>
            <w:vAlign w:val="center"/>
          </w:tcPr>
          <w:p w14:paraId="61007C1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BD51B2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B33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9CD656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095F86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restart"/>
            <w:noWrap w:val="0"/>
            <w:vAlign w:val="center"/>
          </w:tcPr>
          <w:p w14:paraId="37B2E62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发酵酒</w:t>
            </w:r>
          </w:p>
        </w:tc>
        <w:tc>
          <w:tcPr>
            <w:tcW w:w="346" w:type="pct"/>
            <w:noWrap w:val="0"/>
            <w:vAlign w:val="center"/>
          </w:tcPr>
          <w:p w14:paraId="4DF4DC3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黄酒</w:t>
            </w:r>
          </w:p>
        </w:tc>
        <w:tc>
          <w:tcPr>
            <w:tcW w:w="499" w:type="pct"/>
            <w:noWrap w:val="0"/>
            <w:vAlign w:val="center"/>
          </w:tcPr>
          <w:p w14:paraId="529E2E7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黄酒</w:t>
            </w:r>
          </w:p>
        </w:tc>
        <w:tc>
          <w:tcPr>
            <w:tcW w:w="276" w:type="pct"/>
            <w:noWrap w:val="0"/>
            <w:vAlign w:val="center"/>
          </w:tcPr>
          <w:p w14:paraId="2E2BD4D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098064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酒精度、氨基酸态氮、苯甲酸及其钠盐（以苯甲酸计）、山梨酸及其钾盐 （以山梨酸计）、糖精钠（以糖精计）、甜蜜素（以环己基氨基磺酸计）</w:t>
            </w:r>
          </w:p>
        </w:tc>
        <w:tc>
          <w:tcPr>
            <w:tcW w:w="479" w:type="pct"/>
            <w:noWrap w:val="0"/>
            <w:vAlign w:val="center"/>
          </w:tcPr>
          <w:p w14:paraId="402EC8D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79F5469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558374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F33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0A72B47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A5F2AF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739566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13FC2A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啤酒</w:t>
            </w:r>
          </w:p>
        </w:tc>
        <w:tc>
          <w:tcPr>
            <w:tcW w:w="499" w:type="pct"/>
            <w:noWrap w:val="0"/>
            <w:vAlign w:val="center"/>
          </w:tcPr>
          <w:p w14:paraId="055280D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啤酒</w:t>
            </w:r>
          </w:p>
        </w:tc>
        <w:tc>
          <w:tcPr>
            <w:tcW w:w="276" w:type="pct"/>
            <w:noWrap w:val="0"/>
            <w:vAlign w:val="center"/>
          </w:tcPr>
          <w:p w14:paraId="4A29784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54AFB075">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酒精度、甲醛</w:t>
            </w:r>
          </w:p>
        </w:tc>
        <w:tc>
          <w:tcPr>
            <w:tcW w:w="479" w:type="pct"/>
            <w:noWrap w:val="0"/>
            <w:vAlign w:val="center"/>
          </w:tcPr>
          <w:p w14:paraId="000BB615">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484D2C4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8634A6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FDA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vMerge w:val="continue"/>
            <w:noWrap w:val="0"/>
            <w:vAlign w:val="center"/>
          </w:tcPr>
          <w:p w14:paraId="39A11F5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D82A15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42F4E7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30EA2C0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葡萄酒</w:t>
            </w:r>
          </w:p>
        </w:tc>
        <w:tc>
          <w:tcPr>
            <w:tcW w:w="499" w:type="pct"/>
            <w:noWrap w:val="0"/>
            <w:vAlign w:val="center"/>
          </w:tcPr>
          <w:p w14:paraId="260D2FC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葡萄酒</w:t>
            </w:r>
          </w:p>
        </w:tc>
        <w:tc>
          <w:tcPr>
            <w:tcW w:w="276" w:type="pct"/>
            <w:noWrap w:val="0"/>
            <w:vAlign w:val="center"/>
          </w:tcPr>
          <w:p w14:paraId="143B5CE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4FBF212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酒精度、甲醇、苯甲酸及其钠盐（以苯甲酸计）、山梨酸及其钾盐（以山梨酸计）、糖精钠（以糖精计）、二氧化硫残留量、甜蜜素（以环己基氨基磺酸计）、三氯蔗糖</w:t>
            </w:r>
          </w:p>
        </w:tc>
        <w:tc>
          <w:tcPr>
            <w:tcW w:w="479" w:type="pct"/>
            <w:noWrap w:val="0"/>
            <w:vAlign w:val="center"/>
          </w:tcPr>
          <w:p w14:paraId="5BED995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合成着色剂（柠檬黄、日落黄、新红、胭脂红、赤藓红、苋菜红、诱惑红、酸性红、亮蓝）</w:t>
            </w:r>
          </w:p>
        </w:tc>
        <w:tc>
          <w:tcPr>
            <w:tcW w:w="555" w:type="pct"/>
            <w:noWrap w:val="0"/>
            <w:vAlign w:val="center"/>
          </w:tcPr>
          <w:p w14:paraId="49CDCA4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F18AEAD">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B10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5137290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04343C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1B7DCF7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53B408E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果酒</w:t>
            </w:r>
          </w:p>
        </w:tc>
        <w:tc>
          <w:tcPr>
            <w:tcW w:w="499" w:type="pct"/>
            <w:noWrap w:val="0"/>
            <w:vAlign w:val="center"/>
          </w:tcPr>
          <w:p w14:paraId="552491D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果酒</w:t>
            </w:r>
          </w:p>
        </w:tc>
        <w:tc>
          <w:tcPr>
            <w:tcW w:w="276" w:type="pct"/>
            <w:noWrap w:val="0"/>
            <w:vAlign w:val="center"/>
          </w:tcPr>
          <w:p w14:paraId="2838DF8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879C1D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酒精度、展青霉素、糖精钠（以糖精计）、甜蜜素（以环己基氨基磺酸计）、安赛蜜、二氧化硫残留量</w:t>
            </w:r>
          </w:p>
        </w:tc>
        <w:tc>
          <w:tcPr>
            <w:tcW w:w="479" w:type="pct"/>
            <w:noWrap w:val="0"/>
            <w:vAlign w:val="center"/>
          </w:tcPr>
          <w:p w14:paraId="2F106B8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酸性红</w:t>
            </w:r>
          </w:p>
        </w:tc>
        <w:tc>
          <w:tcPr>
            <w:tcW w:w="555" w:type="pct"/>
            <w:noWrap w:val="0"/>
            <w:vAlign w:val="center"/>
          </w:tcPr>
          <w:p w14:paraId="608E8FD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E27A32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0A8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vMerge w:val="continue"/>
            <w:noWrap w:val="0"/>
            <w:vAlign w:val="center"/>
          </w:tcPr>
          <w:p w14:paraId="01CCC76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2FFA56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restart"/>
            <w:noWrap w:val="0"/>
            <w:vAlign w:val="center"/>
          </w:tcPr>
          <w:p w14:paraId="0C41976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其他酒</w:t>
            </w:r>
          </w:p>
        </w:tc>
        <w:tc>
          <w:tcPr>
            <w:tcW w:w="346" w:type="pct"/>
            <w:vMerge w:val="restart"/>
            <w:noWrap w:val="0"/>
            <w:vAlign w:val="center"/>
          </w:tcPr>
          <w:p w14:paraId="2E7B645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配制酒</w:t>
            </w:r>
          </w:p>
        </w:tc>
        <w:tc>
          <w:tcPr>
            <w:tcW w:w="499" w:type="pct"/>
            <w:noWrap w:val="0"/>
            <w:vAlign w:val="center"/>
          </w:tcPr>
          <w:p w14:paraId="45B21BC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以蒸馏酒及食用酒精为酒基的配制酒</w:t>
            </w:r>
          </w:p>
        </w:tc>
        <w:tc>
          <w:tcPr>
            <w:tcW w:w="276" w:type="pct"/>
            <w:noWrap w:val="0"/>
            <w:vAlign w:val="center"/>
          </w:tcPr>
          <w:p w14:paraId="1BB35AB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59D8F68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酒精度、西地那非、豪莫西地那非、硫代艾地那非、他达拉非、二硫代去甲基卡巴地那非、那非乙酰酸、去甲基卡巴地那非、去甲基他达拉非、羟基豪莫西地那非、伐地那非、育亨宾、</w:t>
            </w:r>
          </w:p>
          <w:p w14:paraId="7D9AFE56">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甜蜜素（以环己基氨基磺酸计）、安赛蜜、纽甜</w:t>
            </w:r>
          </w:p>
        </w:tc>
        <w:tc>
          <w:tcPr>
            <w:tcW w:w="479" w:type="pct"/>
            <w:noWrap w:val="0"/>
            <w:vAlign w:val="center"/>
          </w:tcPr>
          <w:p w14:paraId="1CD1E03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甲醇、氰化物（以HCN计）</w:t>
            </w:r>
          </w:p>
        </w:tc>
        <w:tc>
          <w:tcPr>
            <w:tcW w:w="555" w:type="pct"/>
            <w:noWrap w:val="0"/>
            <w:vAlign w:val="center"/>
          </w:tcPr>
          <w:p w14:paraId="47ECF6F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DEF619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A59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0" w:type="pct"/>
            <w:vMerge w:val="continue"/>
            <w:noWrap w:val="0"/>
            <w:vAlign w:val="center"/>
          </w:tcPr>
          <w:p w14:paraId="4B60566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E5A611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4E1C75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2B0F129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670D1A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以发酵酒为</w:t>
            </w:r>
          </w:p>
          <w:p w14:paraId="0751DCA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酒基的配制酒</w:t>
            </w:r>
          </w:p>
        </w:tc>
        <w:tc>
          <w:tcPr>
            <w:tcW w:w="276" w:type="pct"/>
            <w:noWrap w:val="0"/>
            <w:vAlign w:val="center"/>
          </w:tcPr>
          <w:p w14:paraId="533F85A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5BAEE82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酒精度、苯甲酸及其钠盐（以苯甲酸计）、山梨酸及其钾盐 （以山梨酸计）、甜蜜素（以环己基氨基磺酸计）、防腐剂混合使用时各自用量占其最大使用量的比例之和、安赛蜜</w:t>
            </w:r>
          </w:p>
        </w:tc>
        <w:tc>
          <w:tcPr>
            <w:tcW w:w="479" w:type="pct"/>
            <w:noWrap w:val="0"/>
            <w:vAlign w:val="center"/>
          </w:tcPr>
          <w:p w14:paraId="2F673A56">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5EB9CC9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F9DF69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F49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1BE9E89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4D15A2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746E48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326C39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其他蒸馏酒</w:t>
            </w:r>
          </w:p>
        </w:tc>
        <w:tc>
          <w:tcPr>
            <w:tcW w:w="499" w:type="pct"/>
            <w:noWrap w:val="0"/>
            <w:vAlign w:val="center"/>
          </w:tcPr>
          <w:p w14:paraId="42E4447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其他蒸馏酒</w:t>
            </w:r>
          </w:p>
        </w:tc>
        <w:tc>
          <w:tcPr>
            <w:tcW w:w="276" w:type="pct"/>
            <w:noWrap w:val="0"/>
            <w:vAlign w:val="center"/>
          </w:tcPr>
          <w:p w14:paraId="1A9CE00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1BF074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酒精度、铅（以Pb计）、甲醇、氰化物（以HCN计）、甜蜜素（以环己基氨基磺酸计）、三氯蔗糖</w:t>
            </w:r>
          </w:p>
        </w:tc>
        <w:tc>
          <w:tcPr>
            <w:tcW w:w="479" w:type="pct"/>
            <w:noWrap w:val="0"/>
            <w:vAlign w:val="center"/>
          </w:tcPr>
          <w:p w14:paraId="488441E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01023E6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C5F390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840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C4F862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9D4443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398DBD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2BAD4EF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其他发酵酒</w:t>
            </w:r>
          </w:p>
        </w:tc>
        <w:tc>
          <w:tcPr>
            <w:tcW w:w="499" w:type="pct"/>
            <w:noWrap w:val="0"/>
            <w:vAlign w:val="center"/>
          </w:tcPr>
          <w:p w14:paraId="7522154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其他发酵酒</w:t>
            </w:r>
          </w:p>
        </w:tc>
        <w:tc>
          <w:tcPr>
            <w:tcW w:w="276" w:type="pct"/>
            <w:noWrap w:val="0"/>
            <w:vAlign w:val="center"/>
          </w:tcPr>
          <w:p w14:paraId="1C00F28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01DA9FC2">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酒精度、苯甲酸及其钠盐（以苯甲酸计）、山梨酸及其钾盐（以山梨酸计）、糖精钠（以糖精计）、甜蜜素（以环己基氨基磺酸计）、安赛蜜</w:t>
            </w:r>
          </w:p>
        </w:tc>
        <w:tc>
          <w:tcPr>
            <w:tcW w:w="479" w:type="pct"/>
            <w:noWrap w:val="0"/>
            <w:vAlign w:val="center"/>
          </w:tcPr>
          <w:p w14:paraId="0013405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1689EB70">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01453E8">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0546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210" w:type="pct"/>
            <w:vMerge w:val="restart"/>
            <w:noWrap w:val="0"/>
            <w:vAlign w:val="center"/>
          </w:tcPr>
          <w:p w14:paraId="03116CE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16</w:t>
            </w:r>
          </w:p>
        </w:tc>
        <w:tc>
          <w:tcPr>
            <w:tcW w:w="320" w:type="pct"/>
            <w:vMerge w:val="restart"/>
            <w:noWrap w:val="0"/>
            <w:vAlign w:val="center"/>
          </w:tcPr>
          <w:p w14:paraId="1BB1899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蔬菜制品</w:t>
            </w:r>
          </w:p>
        </w:tc>
        <w:tc>
          <w:tcPr>
            <w:tcW w:w="324" w:type="pct"/>
            <w:vMerge w:val="restart"/>
            <w:noWrap w:val="0"/>
            <w:vAlign w:val="center"/>
          </w:tcPr>
          <w:p w14:paraId="4ADBFC4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蔬菜制品</w:t>
            </w:r>
          </w:p>
        </w:tc>
        <w:tc>
          <w:tcPr>
            <w:tcW w:w="346" w:type="pct"/>
            <w:noWrap w:val="0"/>
            <w:vAlign w:val="center"/>
          </w:tcPr>
          <w:p w14:paraId="0F4D1B8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酱腌菜</w:t>
            </w:r>
          </w:p>
        </w:tc>
        <w:tc>
          <w:tcPr>
            <w:tcW w:w="499" w:type="pct"/>
            <w:noWrap w:val="0"/>
            <w:vAlign w:val="center"/>
          </w:tcPr>
          <w:p w14:paraId="19C2EBE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酱腌菜</w:t>
            </w:r>
          </w:p>
        </w:tc>
        <w:tc>
          <w:tcPr>
            <w:tcW w:w="276" w:type="pct"/>
            <w:noWrap w:val="0"/>
            <w:vAlign w:val="center"/>
          </w:tcPr>
          <w:p w14:paraId="78CE821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较高</w:t>
            </w:r>
          </w:p>
        </w:tc>
        <w:tc>
          <w:tcPr>
            <w:tcW w:w="1303" w:type="pct"/>
            <w:noWrap w:val="0"/>
            <w:vAlign w:val="center"/>
          </w:tcPr>
          <w:p w14:paraId="3B76B0C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铅（以Pb计）、</w:t>
            </w:r>
            <w:r>
              <w:rPr>
                <w:rFonts w:hint="default" w:ascii="Times New Roman" w:hAnsi="Times New Roman" w:eastAsia="仿宋_GB2312" w:cs="Times New Roman"/>
                <w:i w:val="0"/>
                <w:iCs w:val="0"/>
                <w:color w:val="auto"/>
                <w:sz w:val="21"/>
                <w:szCs w:val="21"/>
                <w:highlight w:val="none"/>
              </w:rPr>
              <w:t>苯甲酸及其钠盐（以苯甲酸计）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山梨酸及其钾盐（以山梨酸计）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脱氢乙酸及其钠盐（以脱氢乙酸计）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糖精钠（以糖精计）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甜蜜素（以环己基氨基磺酸计）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安赛蜜</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lang w:val="en-US" w:eastAsia="zh-CN"/>
              </w:rPr>
              <w:t>阿斯巴甜、纽甜、三氯蔗糖、</w:t>
            </w:r>
            <w:r>
              <w:rPr>
                <w:rFonts w:hint="default" w:ascii="Times New Roman" w:hAnsi="Times New Roman" w:eastAsia="仿宋_GB2312" w:cs="Times New Roman"/>
                <w:i w:val="0"/>
                <w:iCs w:val="0"/>
                <w:color w:val="auto"/>
                <w:sz w:val="21"/>
                <w:szCs w:val="21"/>
                <w:highlight w:val="none"/>
              </w:rPr>
              <w:t>二氧化硫残留量</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防腐剂混合使用时各自用量占其最大使用量的比例之和</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合成着色剂（柠檬黄、日落黄、</w:t>
            </w:r>
            <w:r>
              <w:rPr>
                <w:rFonts w:hint="default" w:ascii="Times New Roman" w:hAnsi="Times New Roman" w:eastAsia="仿宋_GB2312" w:cs="Times New Roman"/>
                <w:i w:val="0"/>
                <w:iCs w:val="0"/>
                <w:color w:val="auto"/>
                <w:sz w:val="21"/>
                <w:szCs w:val="21"/>
                <w:highlight w:val="none"/>
                <w:lang w:val="en-US" w:eastAsia="zh-CN"/>
              </w:rPr>
              <w:t>胭脂红、</w:t>
            </w:r>
            <w:r>
              <w:rPr>
                <w:rFonts w:hint="default" w:ascii="Times New Roman" w:hAnsi="Times New Roman" w:eastAsia="仿宋_GB2312" w:cs="Times New Roman"/>
                <w:i w:val="0"/>
                <w:iCs w:val="0"/>
                <w:color w:val="auto"/>
                <w:sz w:val="21"/>
                <w:szCs w:val="21"/>
                <w:highlight w:val="none"/>
              </w:rPr>
              <w:t>诱惑红）</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大肠菌群</w:t>
            </w:r>
          </w:p>
        </w:tc>
        <w:tc>
          <w:tcPr>
            <w:tcW w:w="479" w:type="pct"/>
            <w:noWrap w:val="0"/>
            <w:vAlign w:val="center"/>
          </w:tcPr>
          <w:p w14:paraId="5BC2B05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rPr>
              <w:t>亚硝酸盐（以NaNO</w:t>
            </w:r>
            <w:r>
              <w:rPr>
                <w:rFonts w:hint="default" w:ascii="Times New Roman" w:hAnsi="Times New Roman" w:eastAsia="仿宋_GB2312" w:cs="Times New Roman"/>
                <w:i w:val="0"/>
                <w:iCs w:val="0"/>
                <w:color w:val="auto"/>
                <w:sz w:val="21"/>
                <w:szCs w:val="21"/>
                <w:highlight w:val="none"/>
                <w:vertAlign w:val="subscript"/>
              </w:rPr>
              <w:t>2</w:t>
            </w:r>
            <w:r>
              <w:rPr>
                <w:rFonts w:hint="default" w:ascii="Times New Roman" w:hAnsi="Times New Roman" w:eastAsia="仿宋_GB2312" w:cs="Times New Roman"/>
                <w:i w:val="0"/>
                <w:iCs w:val="0"/>
                <w:color w:val="auto"/>
                <w:sz w:val="21"/>
                <w:szCs w:val="21"/>
                <w:highlight w:val="none"/>
              </w:rPr>
              <w:t>计）</w:t>
            </w:r>
          </w:p>
        </w:tc>
        <w:tc>
          <w:tcPr>
            <w:tcW w:w="555" w:type="pct"/>
            <w:noWrap w:val="0"/>
            <w:vAlign w:val="center"/>
          </w:tcPr>
          <w:p w14:paraId="0402737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C6DF67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9F7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10" w:type="pct"/>
            <w:vMerge w:val="continue"/>
            <w:noWrap w:val="0"/>
            <w:vAlign w:val="center"/>
          </w:tcPr>
          <w:p w14:paraId="6AD763C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620E6C3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7AF1DE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38650B7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蔬菜干制品</w:t>
            </w:r>
          </w:p>
        </w:tc>
        <w:tc>
          <w:tcPr>
            <w:tcW w:w="499" w:type="pct"/>
            <w:noWrap w:val="0"/>
            <w:vAlign w:val="center"/>
          </w:tcPr>
          <w:p w14:paraId="6547DC1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蔬菜干制品</w:t>
            </w:r>
          </w:p>
        </w:tc>
        <w:tc>
          <w:tcPr>
            <w:tcW w:w="276" w:type="pct"/>
            <w:noWrap w:val="0"/>
            <w:vAlign w:val="center"/>
          </w:tcPr>
          <w:p w14:paraId="51884F0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较高</w:t>
            </w:r>
          </w:p>
        </w:tc>
        <w:tc>
          <w:tcPr>
            <w:tcW w:w="1303" w:type="pct"/>
            <w:noWrap w:val="0"/>
            <w:vAlign w:val="center"/>
          </w:tcPr>
          <w:p w14:paraId="67A3D113">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铅（以Pb计）、</w:t>
            </w:r>
            <w:r>
              <w:rPr>
                <w:rFonts w:hint="default" w:ascii="Times New Roman" w:hAnsi="Times New Roman" w:eastAsia="仿宋_GB2312" w:cs="Times New Roman"/>
                <w:i w:val="0"/>
                <w:iCs w:val="0"/>
                <w:color w:val="auto"/>
                <w:sz w:val="21"/>
                <w:szCs w:val="21"/>
                <w:highlight w:val="none"/>
              </w:rPr>
              <w:t>苯甲酸及其钠盐（以苯甲酸计）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山梨酸及其钾盐（以山梨酸计）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二氧化硫残留量</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合成着色剂（柠檬黄、日落黄、</w:t>
            </w:r>
            <w:r>
              <w:rPr>
                <w:rFonts w:hint="default" w:ascii="Times New Roman" w:hAnsi="Times New Roman" w:eastAsia="仿宋_GB2312" w:cs="Times New Roman"/>
                <w:i w:val="0"/>
                <w:iCs w:val="0"/>
                <w:color w:val="auto"/>
                <w:sz w:val="21"/>
                <w:szCs w:val="21"/>
                <w:highlight w:val="none"/>
                <w:lang w:val="en-US" w:eastAsia="zh-CN"/>
              </w:rPr>
              <w:t>胭脂红、苋菜红、亮蓝</w:t>
            </w:r>
            <w:r>
              <w:rPr>
                <w:rFonts w:hint="default" w:ascii="Times New Roman" w:hAnsi="Times New Roman" w:eastAsia="仿宋_GB2312" w:cs="Times New Roman"/>
                <w:i w:val="0"/>
                <w:iCs w:val="0"/>
                <w:color w:val="auto"/>
                <w:sz w:val="21"/>
                <w:szCs w:val="21"/>
                <w:highlight w:val="none"/>
              </w:rPr>
              <w:t>）</w:t>
            </w:r>
          </w:p>
        </w:tc>
        <w:tc>
          <w:tcPr>
            <w:tcW w:w="479" w:type="pct"/>
            <w:noWrap w:val="0"/>
            <w:vAlign w:val="center"/>
          </w:tcPr>
          <w:p w14:paraId="56E7A43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lang w:val="en-US" w:eastAsia="zh-CN"/>
              </w:rPr>
              <w:t>酸价（以脂肪计）、过氧化值（以脂肪计）、阿斯巴甜、</w:t>
            </w:r>
            <w:r>
              <w:rPr>
                <w:rFonts w:hint="default" w:ascii="Times New Roman" w:hAnsi="Times New Roman" w:eastAsia="仿宋_GB2312" w:cs="Times New Roman"/>
                <w:i w:val="0"/>
                <w:iCs w:val="0"/>
                <w:color w:val="auto"/>
                <w:sz w:val="21"/>
                <w:szCs w:val="21"/>
                <w:highlight w:val="none"/>
              </w:rPr>
              <w:t>糖精钠（以糖精计）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lang w:val="en-US" w:eastAsia="zh-CN"/>
              </w:rPr>
              <w:t>三氯蔗糖</w:t>
            </w:r>
          </w:p>
        </w:tc>
        <w:tc>
          <w:tcPr>
            <w:tcW w:w="555" w:type="pct"/>
            <w:noWrap w:val="0"/>
            <w:vAlign w:val="center"/>
          </w:tcPr>
          <w:p w14:paraId="7C6FAC8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13E2EF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E85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0" w:type="pct"/>
            <w:vMerge w:val="continue"/>
            <w:noWrap w:val="0"/>
            <w:vAlign w:val="center"/>
          </w:tcPr>
          <w:p w14:paraId="68E11C7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4BD9CFE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549D776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713077A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其他蔬菜制品</w:t>
            </w:r>
          </w:p>
        </w:tc>
        <w:tc>
          <w:tcPr>
            <w:tcW w:w="499" w:type="pct"/>
            <w:noWrap w:val="0"/>
            <w:vAlign w:val="center"/>
          </w:tcPr>
          <w:p w14:paraId="6B3C4A6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其他蔬菜制品</w:t>
            </w:r>
          </w:p>
        </w:tc>
        <w:tc>
          <w:tcPr>
            <w:tcW w:w="276" w:type="pct"/>
            <w:noWrap w:val="0"/>
            <w:vAlign w:val="center"/>
          </w:tcPr>
          <w:p w14:paraId="5B6FD61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一般</w:t>
            </w:r>
          </w:p>
        </w:tc>
        <w:tc>
          <w:tcPr>
            <w:tcW w:w="1303" w:type="pct"/>
            <w:noWrap w:val="0"/>
            <w:vAlign w:val="center"/>
          </w:tcPr>
          <w:p w14:paraId="4EB90C8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铅（以Pb计）、</w:t>
            </w:r>
            <w:r>
              <w:rPr>
                <w:rFonts w:hint="default" w:ascii="Times New Roman" w:hAnsi="Times New Roman" w:eastAsia="仿宋_GB2312" w:cs="Times New Roman"/>
                <w:i w:val="0"/>
                <w:iCs w:val="0"/>
                <w:color w:val="auto"/>
                <w:sz w:val="21"/>
                <w:szCs w:val="21"/>
                <w:highlight w:val="none"/>
              </w:rPr>
              <w:t>苯甲酸及其钠盐（以苯甲酸计）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山梨酸及其钾盐（以山梨酸计）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脱氢乙酸及其钠盐（以脱氢乙酸计）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二氧化硫残留量</w:t>
            </w:r>
          </w:p>
        </w:tc>
        <w:tc>
          <w:tcPr>
            <w:tcW w:w="479" w:type="pct"/>
            <w:noWrap w:val="0"/>
            <w:vAlign w:val="center"/>
          </w:tcPr>
          <w:p w14:paraId="6ACE563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lang w:val="en-US" w:eastAsia="zh-CN"/>
              </w:rPr>
              <w:t>酸价（以脂肪计）、过氧化值（以脂肪计）</w:t>
            </w:r>
          </w:p>
        </w:tc>
        <w:tc>
          <w:tcPr>
            <w:tcW w:w="555" w:type="pct"/>
            <w:noWrap w:val="0"/>
            <w:vAlign w:val="center"/>
          </w:tcPr>
          <w:p w14:paraId="5EA99CE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9CDEF7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98F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0" w:type="pct"/>
            <w:vMerge w:val="continue"/>
            <w:noWrap w:val="0"/>
            <w:vAlign w:val="center"/>
          </w:tcPr>
          <w:p w14:paraId="27087CA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9A1871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29B8D58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334BE9C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食用菌制品</w:t>
            </w:r>
          </w:p>
        </w:tc>
        <w:tc>
          <w:tcPr>
            <w:tcW w:w="499" w:type="pct"/>
            <w:noWrap w:val="0"/>
            <w:vAlign w:val="center"/>
          </w:tcPr>
          <w:p w14:paraId="0D4DFA0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干制食用菌</w:t>
            </w:r>
          </w:p>
        </w:tc>
        <w:tc>
          <w:tcPr>
            <w:tcW w:w="276" w:type="pct"/>
            <w:noWrap w:val="0"/>
            <w:vAlign w:val="center"/>
          </w:tcPr>
          <w:p w14:paraId="3D401A6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一般</w:t>
            </w:r>
          </w:p>
        </w:tc>
        <w:tc>
          <w:tcPr>
            <w:tcW w:w="1303" w:type="pct"/>
            <w:noWrap w:val="0"/>
            <w:vAlign w:val="center"/>
          </w:tcPr>
          <w:p w14:paraId="286E93A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rPr>
              <w:t>铅（以Pb计）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镉（以Cd计）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甲基汞（以Hg计）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无机砷（以As计）</w:t>
            </w:r>
          </w:p>
        </w:tc>
        <w:tc>
          <w:tcPr>
            <w:tcW w:w="479" w:type="pct"/>
            <w:noWrap w:val="0"/>
            <w:vAlign w:val="center"/>
          </w:tcPr>
          <w:p w14:paraId="203CB7B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555" w:type="pct"/>
            <w:noWrap w:val="0"/>
            <w:vAlign w:val="center"/>
          </w:tcPr>
          <w:p w14:paraId="6B3AD6A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42514E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524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210" w:type="pct"/>
            <w:vMerge w:val="continue"/>
            <w:noWrap w:val="0"/>
            <w:vAlign w:val="center"/>
          </w:tcPr>
          <w:p w14:paraId="1A5B268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522FC0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B9590D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0BD4CAC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食用菌制品</w:t>
            </w:r>
          </w:p>
        </w:tc>
        <w:tc>
          <w:tcPr>
            <w:tcW w:w="499" w:type="pct"/>
            <w:noWrap w:val="0"/>
            <w:vAlign w:val="center"/>
          </w:tcPr>
          <w:p w14:paraId="7EB345D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腌渍食用菌</w:t>
            </w:r>
          </w:p>
        </w:tc>
        <w:tc>
          <w:tcPr>
            <w:tcW w:w="276" w:type="pct"/>
            <w:noWrap w:val="0"/>
            <w:vAlign w:val="center"/>
          </w:tcPr>
          <w:p w14:paraId="22B91E9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一般</w:t>
            </w:r>
          </w:p>
        </w:tc>
        <w:tc>
          <w:tcPr>
            <w:tcW w:w="1303" w:type="pct"/>
            <w:noWrap w:val="0"/>
            <w:vAlign w:val="center"/>
          </w:tcPr>
          <w:p w14:paraId="062A831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rPr>
              <w:t>苯甲酸及其钠盐（以苯甲酸计）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山梨酸及其钾盐（以山梨酸计）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脱氢乙酸及其钠盐（以脱氢乙酸计）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防腐剂混合使用时各自用量占其最大使用量的比例之和</w:t>
            </w:r>
          </w:p>
        </w:tc>
        <w:tc>
          <w:tcPr>
            <w:tcW w:w="479" w:type="pct"/>
            <w:noWrap w:val="0"/>
            <w:vAlign w:val="center"/>
          </w:tcPr>
          <w:p w14:paraId="2C1C0F9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555" w:type="pct"/>
            <w:noWrap w:val="0"/>
            <w:vAlign w:val="center"/>
          </w:tcPr>
          <w:p w14:paraId="6462201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7F831D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479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10" w:type="pct"/>
            <w:vMerge w:val="restart"/>
            <w:noWrap w:val="0"/>
            <w:vAlign w:val="center"/>
          </w:tcPr>
          <w:p w14:paraId="375C7FD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17</w:t>
            </w:r>
          </w:p>
        </w:tc>
        <w:tc>
          <w:tcPr>
            <w:tcW w:w="320" w:type="pct"/>
            <w:vMerge w:val="restart"/>
            <w:noWrap w:val="0"/>
            <w:vAlign w:val="center"/>
          </w:tcPr>
          <w:p w14:paraId="7EB7E50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水果制品</w:t>
            </w:r>
          </w:p>
        </w:tc>
        <w:tc>
          <w:tcPr>
            <w:tcW w:w="324" w:type="pct"/>
            <w:vMerge w:val="restart"/>
            <w:noWrap w:val="0"/>
            <w:vAlign w:val="center"/>
          </w:tcPr>
          <w:p w14:paraId="30737E5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水果制品</w:t>
            </w:r>
          </w:p>
        </w:tc>
        <w:tc>
          <w:tcPr>
            <w:tcW w:w="346" w:type="pct"/>
            <w:noWrap w:val="0"/>
            <w:vAlign w:val="center"/>
          </w:tcPr>
          <w:p w14:paraId="6A2A957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蜜饯</w:t>
            </w:r>
          </w:p>
        </w:tc>
        <w:tc>
          <w:tcPr>
            <w:tcW w:w="499" w:type="pct"/>
            <w:noWrap w:val="0"/>
            <w:vAlign w:val="center"/>
          </w:tcPr>
          <w:p w14:paraId="091AFFD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蜜饯类、凉果类、果脯类、话化类、果糕类</w:t>
            </w:r>
          </w:p>
        </w:tc>
        <w:tc>
          <w:tcPr>
            <w:tcW w:w="276" w:type="pct"/>
            <w:noWrap w:val="0"/>
            <w:vAlign w:val="center"/>
          </w:tcPr>
          <w:p w14:paraId="7B63C08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较高</w:t>
            </w:r>
          </w:p>
        </w:tc>
        <w:tc>
          <w:tcPr>
            <w:tcW w:w="1303" w:type="pct"/>
            <w:noWrap w:val="0"/>
            <w:vAlign w:val="center"/>
          </w:tcPr>
          <w:p w14:paraId="1DC2A805">
            <w:pPr>
              <w:pStyle w:val="180"/>
              <w:keepNext w:val="0"/>
              <w:keepLines w:val="0"/>
              <w:pageBreakBefore w:val="0"/>
              <w:widowControl/>
              <w:kinsoku/>
              <w:wordWrap/>
              <w:overflowPunct/>
              <w:topLinePunct w:val="0"/>
              <w:autoSpaceDE/>
              <w:autoSpaceDN/>
              <w:bidi w:val="0"/>
              <w:adjustRightInd/>
              <w:snapToGrid w:val="0"/>
              <w:spacing w:before="0" w:after="0" w:line="300" w:lineRule="exact"/>
              <w:ind w:firstLine="0" w:firstLineChars="0"/>
              <w:jc w:val="left"/>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铅（以Pb计）、</w:t>
            </w:r>
            <w:r>
              <w:rPr>
                <w:rFonts w:hint="default" w:ascii="Times New Roman" w:hAnsi="Times New Roman" w:eastAsia="仿宋_GB2312" w:cs="Times New Roman"/>
                <w:i w:val="0"/>
                <w:iCs w:val="0"/>
                <w:color w:val="auto"/>
                <w:sz w:val="21"/>
                <w:szCs w:val="21"/>
                <w:highlight w:val="none"/>
              </w:rPr>
              <w:t>苯甲酸及其钠盐（以苯甲酸计）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山梨酸及其钾盐（以山梨酸计）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脱氢乙酸及其钠盐（以脱氢乙酸计）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防腐剂混合使用时各自用量占其最大使用量的比例之和</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糖精钠（以糖精计）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甜蜜素（以环己基氨基磺酸计）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安赛蜜</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二氧化硫残留量</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合成着色剂（亮蓝、柠檬黄、日落黄、苋菜红、胭脂红、诱惑红、喹啉黄</w:t>
            </w:r>
            <w:r>
              <w:rPr>
                <w:rFonts w:hint="default" w:ascii="Times New Roman" w:hAnsi="Times New Roman" w:eastAsia="仿宋_GB2312" w:cs="Times New Roman"/>
                <w:i w:val="0"/>
                <w:iCs w:val="0"/>
                <w:color w:val="auto"/>
                <w:sz w:val="21"/>
                <w:szCs w:val="21"/>
                <w:highlight w:val="none"/>
                <w:lang w:eastAsia="zh-CN"/>
              </w:rPr>
              <w:t>、赤藓红</w:t>
            </w:r>
            <w:r>
              <w:rPr>
                <w:rFonts w:hint="default" w:ascii="Times New Roman" w:hAnsi="Times New Roman" w:eastAsia="仿宋_GB2312" w:cs="Times New Roman"/>
                <w:i w:val="0"/>
                <w:iCs w:val="0"/>
                <w:color w:val="auto"/>
                <w:sz w:val="21"/>
                <w:szCs w:val="21"/>
                <w:highlight w:val="none"/>
              </w:rPr>
              <w:t>）</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相同色泽着色剂混合使用时各自用量占其最大使用量的比例之和</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乙二胺四乙酸二钠</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lang w:val="en-US" w:eastAsia="zh-CN"/>
              </w:rPr>
              <w:t>菌落总数、大肠菌群、霉菌</w:t>
            </w:r>
          </w:p>
        </w:tc>
        <w:tc>
          <w:tcPr>
            <w:tcW w:w="479" w:type="pct"/>
            <w:noWrap w:val="0"/>
            <w:vAlign w:val="center"/>
          </w:tcPr>
          <w:p w14:paraId="27EF92D6">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lang w:val="en-US" w:eastAsia="zh-CN"/>
              </w:rPr>
              <w:t>二氧化钛</w:t>
            </w:r>
          </w:p>
        </w:tc>
        <w:tc>
          <w:tcPr>
            <w:tcW w:w="555" w:type="pct"/>
            <w:noWrap w:val="0"/>
            <w:vAlign w:val="center"/>
          </w:tcPr>
          <w:p w14:paraId="40DE82D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37DC9B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E2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0A4C18E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F29CB7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F86FAD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1DBA69D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水果干制品</w:t>
            </w:r>
          </w:p>
        </w:tc>
        <w:tc>
          <w:tcPr>
            <w:tcW w:w="499" w:type="pct"/>
            <w:noWrap w:val="0"/>
            <w:vAlign w:val="center"/>
          </w:tcPr>
          <w:p w14:paraId="649BB02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水果干制品(含干枸杞)</w:t>
            </w:r>
          </w:p>
        </w:tc>
        <w:tc>
          <w:tcPr>
            <w:tcW w:w="276" w:type="pct"/>
            <w:noWrap w:val="0"/>
            <w:vAlign w:val="center"/>
          </w:tcPr>
          <w:p w14:paraId="00D6941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一般</w:t>
            </w:r>
          </w:p>
        </w:tc>
        <w:tc>
          <w:tcPr>
            <w:tcW w:w="1303" w:type="pct"/>
            <w:noWrap w:val="0"/>
            <w:vAlign w:val="center"/>
          </w:tcPr>
          <w:p w14:paraId="51A3B208">
            <w:pPr>
              <w:pStyle w:val="180"/>
              <w:keepNext w:val="0"/>
              <w:keepLines w:val="0"/>
              <w:pageBreakBefore w:val="0"/>
              <w:widowControl/>
              <w:kinsoku/>
              <w:wordWrap/>
              <w:overflowPunct/>
              <w:topLinePunct w:val="0"/>
              <w:autoSpaceDE/>
              <w:autoSpaceDN/>
              <w:bidi w:val="0"/>
              <w:adjustRightInd/>
              <w:snapToGrid w:val="0"/>
              <w:spacing w:before="0" w:after="0" w:line="300" w:lineRule="exact"/>
              <w:ind w:firstLine="0" w:firstLineChars="0"/>
              <w:jc w:val="left"/>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w:t>
            </w:r>
            <w:r>
              <w:rPr>
                <w:rFonts w:hint="default" w:ascii="Times New Roman" w:hAnsi="Times New Roman" w:eastAsia="仿宋_GB2312" w:cs="Times New Roman"/>
                <w:i w:val="0"/>
                <w:iCs w:val="0"/>
                <w:color w:val="auto"/>
                <w:sz w:val="21"/>
                <w:szCs w:val="21"/>
                <w:highlight w:val="none"/>
              </w:rPr>
              <w:t>相同色泽着色剂混合使用时各自用量占其最大使用量的比例之和</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color w:val="auto"/>
                <w:sz w:val="21"/>
                <w:szCs w:val="21"/>
                <w:highlight w:val="none"/>
                <w:vertAlign w:val="baseline"/>
                <w:lang w:val="en-US" w:eastAsia="zh-CN"/>
              </w:rPr>
              <w:t>菌落总数、大肠菌群</w:t>
            </w:r>
          </w:p>
        </w:tc>
        <w:tc>
          <w:tcPr>
            <w:tcW w:w="479" w:type="pct"/>
            <w:noWrap w:val="0"/>
            <w:vAlign w:val="center"/>
          </w:tcPr>
          <w:p w14:paraId="4F321DE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霉菌、展青霉素</w:t>
            </w:r>
          </w:p>
        </w:tc>
        <w:tc>
          <w:tcPr>
            <w:tcW w:w="555" w:type="pct"/>
            <w:noWrap w:val="0"/>
            <w:vAlign w:val="center"/>
          </w:tcPr>
          <w:p w14:paraId="49C8330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DEB077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D09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10" w:type="pct"/>
            <w:vMerge w:val="continue"/>
            <w:noWrap w:val="0"/>
            <w:vAlign w:val="center"/>
          </w:tcPr>
          <w:p w14:paraId="5B00BD7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6E97D37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6C06367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7A907C8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果酱</w:t>
            </w:r>
          </w:p>
        </w:tc>
        <w:tc>
          <w:tcPr>
            <w:tcW w:w="499" w:type="pct"/>
            <w:noWrap w:val="0"/>
            <w:vAlign w:val="center"/>
          </w:tcPr>
          <w:p w14:paraId="1B7C1CE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果酱</w:t>
            </w:r>
          </w:p>
        </w:tc>
        <w:tc>
          <w:tcPr>
            <w:tcW w:w="276" w:type="pct"/>
            <w:noWrap w:val="0"/>
            <w:vAlign w:val="center"/>
          </w:tcPr>
          <w:p w14:paraId="7218C29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一般</w:t>
            </w:r>
          </w:p>
        </w:tc>
        <w:tc>
          <w:tcPr>
            <w:tcW w:w="1303" w:type="pct"/>
            <w:noWrap w:val="0"/>
            <w:vAlign w:val="center"/>
          </w:tcPr>
          <w:p w14:paraId="35F56713">
            <w:pPr>
              <w:pStyle w:val="180"/>
              <w:keepNext w:val="0"/>
              <w:keepLines w:val="0"/>
              <w:pageBreakBefore w:val="0"/>
              <w:widowControl/>
              <w:kinsoku/>
              <w:wordWrap/>
              <w:overflowPunct/>
              <w:topLinePunct w:val="0"/>
              <w:autoSpaceDE/>
              <w:autoSpaceDN/>
              <w:bidi w:val="0"/>
              <w:adjustRightInd/>
              <w:snapToGrid w:val="0"/>
              <w:spacing w:before="0" w:after="0" w:line="300" w:lineRule="exact"/>
              <w:ind w:firstLine="0" w:firstLineChars="0"/>
              <w:jc w:val="left"/>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rPr>
              <w:t>脱氢乙酸及其钠盐（以脱氢乙酸计）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二氧化硫残留量</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菌落总数</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大肠菌群</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霉菌</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sz w:val="21"/>
                <w:szCs w:val="21"/>
                <w:highlight w:val="none"/>
              </w:rPr>
              <w:t>商业无菌</w:t>
            </w:r>
          </w:p>
        </w:tc>
        <w:tc>
          <w:tcPr>
            <w:tcW w:w="479" w:type="pct"/>
            <w:noWrap w:val="0"/>
            <w:vAlign w:val="center"/>
          </w:tcPr>
          <w:p w14:paraId="55343AF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i w:val="0"/>
                <w:iCs w:val="0"/>
                <w:color w:val="auto"/>
                <w:sz w:val="21"/>
                <w:szCs w:val="21"/>
                <w:highlight w:val="none"/>
              </w:rPr>
              <w:t>山梨酸及其钾盐（以山梨酸计）</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i w:val="0"/>
                <w:iCs w:val="0"/>
                <w:color w:val="auto"/>
                <w:kern w:val="0"/>
                <w:sz w:val="21"/>
                <w:szCs w:val="21"/>
                <w:highlight w:val="none"/>
                <w:u w:val="none"/>
                <w:lang w:val="en-US" w:eastAsia="zh-CN" w:bidi="ar"/>
              </w:rPr>
              <w:t>三氯蔗糖、</w:t>
            </w:r>
            <w:r>
              <w:rPr>
                <w:rFonts w:hint="default" w:ascii="Times New Roman" w:hAnsi="Times New Roman" w:eastAsia="仿宋_GB2312" w:cs="Times New Roman"/>
                <w:i w:val="0"/>
                <w:iCs w:val="0"/>
                <w:color w:val="auto"/>
                <w:sz w:val="21"/>
                <w:szCs w:val="21"/>
                <w:highlight w:val="none"/>
              </w:rPr>
              <w:t>合成着色剂（亮蓝、柠檬黄、日落黄、苋菜红、胭脂红、诱惑红、喹啉黄</w:t>
            </w:r>
            <w:r>
              <w:rPr>
                <w:rFonts w:hint="default" w:ascii="Times New Roman" w:hAnsi="Times New Roman" w:eastAsia="仿宋_GB2312" w:cs="Times New Roman"/>
                <w:i w:val="0"/>
                <w:iCs w:val="0"/>
                <w:color w:val="auto"/>
                <w:sz w:val="21"/>
                <w:szCs w:val="21"/>
                <w:highlight w:val="none"/>
                <w:lang w:eastAsia="zh-CN"/>
              </w:rPr>
              <w:t>、赤藓红</w:t>
            </w:r>
            <w:r>
              <w:rPr>
                <w:rFonts w:hint="default" w:ascii="Times New Roman" w:hAnsi="Times New Roman" w:eastAsia="仿宋_GB2312" w:cs="Times New Roman"/>
                <w:i w:val="0"/>
                <w:iCs w:val="0"/>
                <w:color w:val="auto"/>
                <w:sz w:val="21"/>
                <w:szCs w:val="21"/>
                <w:highlight w:val="none"/>
              </w:rPr>
              <w:t>）</w:t>
            </w:r>
          </w:p>
        </w:tc>
        <w:tc>
          <w:tcPr>
            <w:tcW w:w="555" w:type="pct"/>
            <w:noWrap w:val="0"/>
            <w:vAlign w:val="center"/>
          </w:tcPr>
          <w:p w14:paraId="054B6BC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D360EB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A22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restart"/>
            <w:noWrap w:val="0"/>
            <w:vAlign w:val="center"/>
          </w:tcPr>
          <w:p w14:paraId="2FAF110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18</w:t>
            </w:r>
          </w:p>
        </w:tc>
        <w:tc>
          <w:tcPr>
            <w:tcW w:w="320" w:type="pct"/>
            <w:vMerge w:val="restart"/>
            <w:noWrap w:val="0"/>
            <w:vAlign w:val="center"/>
          </w:tcPr>
          <w:p w14:paraId="5E3E0AD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炒货食品及坚果制品</w:t>
            </w:r>
          </w:p>
        </w:tc>
        <w:tc>
          <w:tcPr>
            <w:tcW w:w="324" w:type="pct"/>
            <w:vMerge w:val="restart"/>
            <w:noWrap w:val="0"/>
            <w:vAlign w:val="center"/>
          </w:tcPr>
          <w:p w14:paraId="31B513D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炒货食品及坚果制品</w:t>
            </w:r>
          </w:p>
        </w:tc>
        <w:tc>
          <w:tcPr>
            <w:tcW w:w="346" w:type="pct"/>
            <w:vMerge w:val="restart"/>
            <w:noWrap w:val="0"/>
            <w:vAlign w:val="center"/>
          </w:tcPr>
          <w:p w14:paraId="19FF23DA">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炒货食品及坚果制品（烘炒类、油炸类、其他类）</w:t>
            </w:r>
          </w:p>
        </w:tc>
        <w:tc>
          <w:tcPr>
            <w:tcW w:w="499" w:type="pct"/>
            <w:noWrap w:val="0"/>
            <w:vAlign w:val="center"/>
          </w:tcPr>
          <w:p w14:paraId="19E2A3FE">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瓜子</w:t>
            </w:r>
          </w:p>
        </w:tc>
        <w:tc>
          <w:tcPr>
            <w:tcW w:w="276" w:type="pct"/>
            <w:noWrap w:val="0"/>
            <w:vAlign w:val="center"/>
          </w:tcPr>
          <w:p w14:paraId="5FB22A1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2D3EEB37">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酸价（以脂肪计）（KOH）、过氧化值（以脂肪计）、黄曲霉毒素B</w:t>
            </w:r>
            <w:r>
              <w:rPr>
                <w:rFonts w:hint="default" w:ascii="Times New Roman" w:hAnsi="Times New Roman" w:eastAsia="仿宋_GB2312" w:cs="Times New Roman"/>
                <w:color w:val="auto"/>
                <w:kern w:val="0"/>
                <w:sz w:val="21"/>
                <w:szCs w:val="21"/>
                <w:highlight w:val="none"/>
                <w:vertAlign w:val="subscript"/>
              </w:rPr>
              <w:t>1</w:t>
            </w:r>
            <w:r>
              <w:rPr>
                <w:rFonts w:hint="default" w:ascii="Times New Roman" w:hAnsi="Times New Roman" w:eastAsia="仿宋_GB2312" w:cs="Times New Roman"/>
                <w:color w:val="auto"/>
                <w:kern w:val="0"/>
                <w:sz w:val="21"/>
                <w:szCs w:val="21"/>
                <w:highlight w:val="none"/>
              </w:rPr>
              <w:t>、苯甲酸及其钠盐（以苯甲酸计）、山梨酸及其钾盐（以山梨酸计）、二氧化硫残留量、大肠菌群、霉菌</w:t>
            </w:r>
          </w:p>
        </w:tc>
        <w:tc>
          <w:tcPr>
            <w:tcW w:w="479" w:type="pct"/>
            <w:noWrap w:val="0"/>
            <w:vAlign w:val="center"/>
          </w:tcPr>
          <w:p w14:paraId="0D17775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铅（以Pb计）、脱氢乙酸及其钠盐（以脱氢乙酸计）、糖精钠（以糖精计）、甜蜜素（以环己基氨基磺酸计）、安赛蜜</w:t>
            </w:r>
          </w:p>
        </w:tc>
        <w:tc>
          <w:tcPr>
            <w:tcW w:w="555" w:type="pct"/>
            <w:noWrap w:val="0"/>
            <w:vAlign w:val="center"/>
          </w:tcPr>
          <w:p w14:paraId="0C7C81A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92F0E8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797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10" w:type="pct"/>
            <w:vMerge w:val="continue"/>
            <w:noWrap w:val="0"/>
            <w:vAlign w:val="center"/>
          </w:tcPr>
          <w:p w14:paraId="0806CA3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EF9BE4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4B80B59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1E71681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5CE49C9B">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花生制品</w:t>
            </w:r>
          </w:p>
        </w:tc>
        <w:tc>
          <w:tcPr>
            <w:tcW w:w="276" w:type="pct"/>
            <w:noWrap w:val="0"/>
            <w:vAlign w:val="center"/>
          </w:tcPr>
          <w:p w14:paraId="318292D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05EE14AE">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酸价（以脂肪计）（KOH）、过氧化值（以脂肪计）、黄曲霉毒素B</w:t>
            </w:r>
            <w:r>
              <w:rPr>
                <w:rFonts w:hint="default" w:ascii="Times New Roman" w:hAnsi="Times New Roman" w:eastAsia="仿宋_GB2312" w:cs="Times New Roman"/>
                <w:color w:val="auto"/>
                <w:kern w:val="0"/>
                <w:sz w:val="21"/>
                <w:szCs w:val="21"/>
                <w:highlight w:val="none"/>
                <w:vertAlign w:val="subscript"/>
              </w:rPr>
              <w:t>1</w:t>
            </w:r>
            <w:r>
              <w:rPr>
                <w:rFonts w:hint="default" w:ascii="Times New Roman" w:hAnsi="Times New Roman" w:eastAsia="仿宋_GB2312" w:cs="Times New Roman"/>
                <w:color w:val="auto"/>
                <w:kern w:val="0"/>
                <w:sz w:val="21"/>
                <w:szCs w:val="21"/>
                <w:highlight w:val="none"/>
              </w:rPr>
              <w:t>、苯甲酸及其钠盐（以苯甲酸计）、山梨酸及其钾盐（以山梨酸计）、二氧化硫残留量、大肠菌群、霉菌</w:t>
            </w:r>
          </w:p>
        </w:tc>
        <w:tc>
          <w:tcPr>
            <w:tcW w:w="479" w:type="pct"/>
            <w:noWrap w:val="0"/>
            <w:vAlign w:val="center"/>
          </w:tcPr>
          <w:p w14:paraId="4660959F">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铅（以Pb计）、脱氢乙酸及其钠盐（以脱氢乙酸计）、糖精钠（以糖精计）、甜蜜素（以环己基氨基磺酸计）、安赛蜜</w:t>
            </w:r>
          </w:p>
        </w:tc>
        <w:tc>
          <w:tcPr>
            <w:tcW w:w="555" w:type="pct"/>
            <w:noWrap w:val="0"/>
            <w:vAlign w:val="center"/>
          </w:tcPr>
          <w:p w14:paraId="6D9B2C57">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DDCA824">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737C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10311F0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46564FD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2D06F4E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vMerge w:val="continue"/>
            <w:noWrap w:val="0"/>
            <w:vAlign w:val="center"/>
          </w:tcPr>
          <w:p w14:paraId="700F114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499" w:type="pct"/>
            <w:noWrap w:val="0"/>
            <w:vAlign w:val="center"/>
          </w:tcPr>
          <w:p w14:paraId="12795D9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其他炒货食品及坚果制品</w:t>
            </w:r>
          </w:p>
        </w:tc>
        <w:tc>
          <w:tcPr>
            <w:tcW w:w="276" w:type="pct"/>
            <w:noWrap w:val="0"/>
            <w:vAlign w:val="center"/>
          </w:tcPr>
          <w:p w14:paraId="217E7CE8">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1E4CD3AB">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酸价（以脂肪计）（KOH）、过氧化值（以脂肪计）、黄曲霉毒素B</w:t>
            </w:r>
            <w:r>
              <w:rPr>
                <w:rFonts w:hint="default" w:ascii="Times New Roman" w:hAnsi="Times New Roman" w:eastAsia="仿宋_GB2312" w:cs="Times New Roman"/>
                <w:color w:val="auto"/>
                <w:kern w:val="0"/>
                <w:sz w:val="21"/>
                <w:szCs w:val="21"/>
                <w:highlight w:val="none"/>
                <w:vertAlign w:val="subscript"/>
              </w:rPr>
              <w:t>1</w:t>
            </w:r>
            <w:r>
              <w:rPr>
                <w:rFonts w:hint="default" w:ascii="Times New Roman" w:hAnsi="Times New Roman" w:eastAsia="仿宋_GB2312" w:cs="Times New Roman"/>
                <w:color w:val="auto"/>
                <w:kern w:val="0"/>
                <w:sz w:val="21"/>
                <w:szCs w:val="21"/>
                <w:highlight w:val="none"/>
              </w:rPr>
              <w:t>、二氧化硫残留量、大肠菌群、霉菌</w:t>
            </w:r>
          </w:p>
        </w:tc>
        <w:tc>
          <w:tcPr>
            <w:tcW w:w="479" w:type="pct"/>
            <w:noWrap w:val="0"/>
            <w:vAlign w:val="center"/>
          </w:tcPr>
          <w:p w14:paraId="1B1710D5">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铅（以Pb计）、脱氢乙酸及其钠盐（以脱氢乙酸计）、糖精钠（以糖精计）、甜蜜素（以环己基氨基磺酸计）、安赛蜜</w:t>
            </w:r>
          </w:p>
        </w:tc>
        <w:tc>
          <w:tcPr>
            <w:tcW w:w="555" w:type="pct"/>
            <w:noWrap w:val="0"/>
            <w:vAlign w:val="center"/>
          </w:tcPr>
          <w:p w14:paraId="67C6A3D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F9BFF3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604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0" w:type="pct"/>
            <w:vMerge w:val="restart"/>
            <w:noWrap w:val="0"/>
            <w:vAlign w:val="center"/>
          </w:tcPr>
          <w:p w14:paraId="59799EE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7"/>
                <w:sz w:val="21"/>
                <w:szCs w:val="21"/>
                <w:highlight w:val="none"/>
              </w:rPr>
              <w:t>19</w:t>
            </w:r>
          </w:p>
        </w:tc>
        <w:tc>
          <w:tcPr>
            <w:tcW w:w="320" w:type="pct"/>
            <w:vMerge w:val="restart"/>
            <w:noWrap w:val="0"/>
            <w:vAlign w:val="center"/>
          </w:tcPr>
          <w:p w14:paraId="47BA034C">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7"/>
                <w:sz w:val="21"/>
                <w:szCs w:val="21"/>
                <w:highlight w:val="none"/>
              </w:rPr>
              <w:t>蛋制品</w:t>
            </w:r>
          </w:p>
        </w:tc>
        <w:tc>
          <w:tcPr>
            <w:tcW w:w="324" w:type="pct"/>
            <w:vMerge w:val="restart"/>
            <w:noWrap w:val="0"/>
            <w:vAlign w:val="center"/>
          </w:tcPr>
          <w:p w14:paraId="7FAF22A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7"/>
                <w:sz w:val="21"/>
                <w:szCs w:val="21"/>
                <w:highlight w:val="none"/>
              </w:rPr>
              <w:t>蛋制品</w:t>
            </w:r>
          </w:p>
        </w:tc>
        <w:tc>
          <w:tcPr>
            <w:tcW w:w="346" w:type="pct"/>
            <w:noWrap w:val="0"/>
            <w:vAlign w:val="center"/>
          </w:tcPr>
          <w:p w14:paraId="28C46932">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3"/>
                <w:sz w:val="21"/>
                <w:szCs w:val="21"/>
                <w:highlight w:val="none"/>
              </w:rPr>
              <w:t>再制蛋</w:t>
            </w:r>
          </w:p>
        </w:tc>
        <w:tc>
          <w:tcPr>
            <w:tcW w:w="499" w:type="pct"/>
            <w:noWrap w:val="0"/>
            <w:vAlign w:val="center"/>
          </w:tcPr>
          <w:p w14:paraId="1E6E544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再制蛋</w:t>
            </w:r>
          </w:p>
        </w:tc>
        <w:tc>
          <w:tcPr>
            <w:tcW w:w="276" w:type="pct"/>
            <w:noWrap w:val="0"/>
            <w:vAlign w:val="center"/>
          </w:tcPr>
          <w:p w14:paraId="67B7360C">
            <w:pPr>
              <w:pStyle w:val="132"/>
              <w:pageBreakBefore w:val="0"/>
              <w:wordWrap/>
              <w:overflowPunct/>
              <w:topLinePunct w:val="0"/>
              <w:bidi w:val="0"/>
              <w:spacing w:before="183" w:line="300" w:lineRule="exact"/>
              <w:ind w:left="124" w:leftChars="0"/>
              <w:jc w:val="center"/>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5A604C3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铅（以Pb计）、苯甲酸及其钠盐（以苯甲酸计）、山梨酸及其钾盐（以山梨酸计）、菌落总数、大肠菌群、沙门氏菌</w:t>
            </w:r>
          </w:p>
        </w:tc>
        <w:tc>
          <w:tcPr>
            <w:tcW w:w="479" w:type="pct"/>
            <w:noWrap w:val="0"/>
            <w:vAlign w:val="center"/>
          </w:tcPr>
          <w:p w14:paraId="24FE16A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p>
        </w:tc>
        <w:tc>
          <w:tcPr>
            <w:tcW w:w="555" w:type="pct"/>
            <w:noWrap w:val="0"/>
            <w:vAlign w:val="center"/>
          </w:tcPr>
          <w:p w14:paraId="552660D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FCE4E8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en-US" w:bidi="ar-SA"/>
              </w:rPr>
            </w:pPr>
          </w:p>
        </w:tc>
      </w:tr>
      <w:tr w14:paraId="46DA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10" w:type="pct"/>
            <w:vMerge w:val="continue"/>
            <w:noWrap w:val="0"/>
            <w:vAlign w:val="center"/>
          </w:tcPr>
          <w:p w14:paraId="22115E0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79D3393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15F55FF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293ACB7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2"/>
                <w:sz w:val="21"/>
                <w:szCs w:val="21"/>
                <w:highlight w:val="none"/>
              </w:rPr>
              <w:t>干蛋类</w:t>
            </w:r>
          </w:p>
        </w:tc>
        <w:tc>
          <w:tcPr>
            <w:tcW w:w="499" w:type="pct"/>
            <w:noWrap w:val="0"/>
            <w:vAlign w:val="center"/>
          </w:tcPr>
          <w:p w14:paraId="34CA60EB">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2"/>
                <w:sz w:val="21"/>
                <w:szCs w:val="21"/>
                <w:highlight w:val="none"/>
              </w:rPr>
              <w:t>干蛋类</w:t>
            </w:r>
          </w:p>
        </w:tc>
        <w:tc>
          <w:tcPr>
            <w:tcW w:w="276" w:type="pct"/>
            <w:noWrap w:val="0"/>
            <w:vAlign w:val="center"/>
          </w:tcPr>
          <w:p w14:paraId="4EB9371B">
            <w:pPr>
              <w:pStyle w:val="132"/>
              <w:pageBreakBefore w:val="0"/>
              <w:wordWrap/>
              <w:overflowPunct/>
              <w:topLinePunct w:val="0"/>
              <w:bidi w:val="0"/>
              <w:spacing w:before="214" w:line="300" w:lineRule="exact"/>
              <w:ind w:left="124" w:leftChars="0"/>
              <w:jc w:val="center"/>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79FC613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z w:val="21"/>
                <w:szCs w:val="21"/>
                <w:highlight w:val="none"/>
              </w:rPr>
              <w:t>菌落总数</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大肠菌群</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沙门氏菌</w:t>
            </w:r>
          </w:p>
        </w:tc>
        <w:tc>
          <w:tcPr>
            <w:tcW w:w="479" w:type="pct"/>
            <w:noWrap w:val="0"/>
            <w:vAlign w:val="center"/>
          </w:tcPr>
          <w:p w14:paraId="5B965D39">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p>
        </w:tc>
        <w:tc>
          <w:tcPr>
            <w:tcW w:w="555" w:type="pct"/>
            <w:noWrap w:val="0"/>
            <w:vAlign w:val="center"/>
          </w:tcPr>
          <w:p w14:paraId="676C2F7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AAD350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en-US" w:bidi="ar-SA"/>
              </w:rPr>
            </w:pPr>
          </w:p>
        </w:tc>
      </w:tr>
      <w:tr w14:paraId="06BC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10" w:type="pct"/>
            <w:vMerge w:val="continue"/>
            <w:noWrap w:val="0"/>
            <w:vAlign w:val="center"/>
          </w:tcPr>
          <w:p w14:paraId="2E40CD7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5A7F01D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5FEDD44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6E878E3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2"/>
                <w:sz w:val="21"/>
                <w:szCs w:val="21"/>
                <w:highlight w:val="none"/>
              </w:rPr>
              <w:t>冰蛋类</w:t>
            </w:r>
          </w:p>
        </w:tc>
        <w:tc>
          <w:tcPr>
            <w:tcW w:w="499" w:type="pct"/>
            <w:noWrap w:val="0"/>
            <w:vAlign w:val="center"/>
          </w:tcPr>
          <w:p w14:paraId="374E3AFB">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2"/>
                <w:sz w:val="21"/>
                <w:szCs w:val="21"/>
                <w:highlight w:val="none"/>
              </w:rPr>
              <w:t>冰蛋类</w:t>
            </w:r>
          </w:p>
        </w:tc>
        <w:tc>
          <w:tcPr>
            <w:tcW w:w="276" w:type="pct"/>
            <w:noWrap w:val="0"/>
            <w:vAlign w:val="center"/>
          </w:tcPr>
          <w:p w14:paraId="2B579817">
            <w:pPr>
              <w:pStyle w:val="132"/>
              <w:pageBreakBefore w:val="0"/>
              <w:wordWrap/>
              <w:overflowPunct/>
              <w:topLinePunct w:val="0"/>
              <w:bidi w:val="0"/>
              <w:spacing w:before="255" w:line="300" w:lineRule="exact"/>
              <w:ind w:left="124" w:leftChars="0"/>
              <w:jc w:val="center"/>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34167AEC">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z w:val="21"/>
                <w:szCs w:val="21"/>
                <w:highlight w:val="none"/>
              </w:rPr>
              <w:t>菌落总数</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大肠菌群</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沙门氏菌</w:t>
            </w:r>
          </w:p>
        </w:tc>
        <w:tc>
          <w:tcPr>
            <w:tcW w:w="479" w:type="pct"/>
            <w:noWrap w:val="0"/>
            <w:vAlign w:val="center"/>
          </w:tcPr>
          <w:p w14:paraId="72F74C02">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p>
        </w:tc>
        <w:tc>
          <w:tcPr>
            <w:tcW w:w="555" w:type="pct"/>
            <w:noWrap w:val="0"/>
            <w:vAlign w:val="center"/>
          </w:tcPr>
          <w:p w14:paraId="337DDCF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7F2EC8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en-US" w:bidi="ar-SA"/>
              </w:rPr>
            </w:pPr>
          </w:p>
        </w:tc>
      </w:tr>
      <w:tr w14:paraId="3A6B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061430B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AC8D1C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0292900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236B7E8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spacing w:val="-3"/>
                <w:kern w:val="2"/>
                <w:sz w:val="21"/>
                <w:szCs w:val="21"/>
                <w:highlight w:val="none"/>
                <w:lang w:val="en-US" w:eastAsia="zh-CN" w:bidi="ar-SA"/>
              </w:rPr>
            </w:pPr>
            <w:r>
              <w:rPr>
                <w:rFonts w:hint="default" w:ascii="Times New Roman" w:hAnsi="Times New Roman" w:eastAsia="仿宋_GB2312" w:cs="Times New Roman"/>
                <w:color w:val="auto"/>
                <w:spacing w:val="-3"/>
                <w:sz w:val="21"/>
                <w:szCs w:val="21"/>
                <w:highlight w:val="none"/>
                <w:lang w:val="en-US" w:eastAsia="zh-CN"/>
              </w:rPr>
              <w:t>液蛋制品</w:t>
            </w:r>
          </w:p>
        </w:tc>
        <w:tc>
          <w:tcPr>
            <w:tcW w:w="499" w:type="pct"/>
            <w:noWrap w:val="0"/>
            <w:vAlign w:val="center"/>
          </w:tcPr>
          <w:p w14:paraId="602D7D43">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spacing w:val="-3"/>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lang w:val="en-US" w:eastAsia="zh-CN"/>
              </w:rPr>
              <w:t>液蛋制品</w:t>
            </w:r>
          </w:p>
        </w:tc>
        <w:tc>
          <w:tcPr>
            <w:tcW w:w="276" w:type="pct"/>
            <w:noWrap w:val="0"/>
            <w:vAlign w:val="center"/>
          </w:tcPr>
          <w:p w14:paraId="0C4CB17E">
            <w:pPr>
              <w:pStyle w:val="132"/>
              <w:pageBreakBefore w:val="0"/>
              <w:wordWrap/>
              <w:overflowPunct/>
              <w:topLinePunct w:val="0"/>
              <w:bidi w:val="0"/>
              <w:spacing w:before="196" w:line="300" w:lineRule="exact"/>
              <w:ind w:left="124" w:leftChars="0"/>
              <w:jc w:val="center"/>
              <w:rPr>
                <w:rFonts w:hint="default" w:ascii="Times New Roman" w:hAnsi="Times New Roman" w:eastAsia="仿宋_GB2312" w:cs="Times New Roman"/>
                <w:color w:val="auto"/>
                <w:spacing w:val="-3"/>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5CD07ACB">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铅（以Pb计）</w:t>
            </w:r>
            <w:r>
              <w:rPr>
                <w:rFonts w:hint="eastAsia" w:ascii="Times New Roman" w:hAnsi="Times New Roman" w:eastAsia="仿宋_GB2312" w:cs="Times New Roman"/>
                <w:color w:val="auto"/>
                <w:sz w:val="21"/>
                <w:szCs w:val="21"/>
                <w:highlight w:val="none"/>
                <w:lang w:val="en-US" w:eastAsia="zh-CN"/>
              </w:rPr>
              <w:t>、</w:t>
            </w:r>
            <w:r>
              <w:rPr>
                <w:rFonts w:hint="default" w:ascii="Times New Roman" w:hAnsi="Times New Roman" w:eastAsia="仿宋_GB2312" w:cs="Times New Roman"/>
                <w:color w:val="auto"/>
                <w:sz w:val="21"/>
                <w:szCs w:val="21"/>
                <w:highlight w:val="none"/>
                <w:lang w:val="en-US" w:eastAsia="zh-CN"/>
              </w:rPr>
              <w:t>苯甲酸及其钠盐（以苯甲酸计）、山梨酸及其钾盐（以山梨酸计）、脱氢乙酸及其钠盐（以脱氢乙酸计）、菌落总数、大肠菌群</w:t>
            </w:r>
          </w:p>
        </w:tc>
        <w:tc>
          <w:tcPr>
            <w:tcW w:w="479" w:type="pct"/>
            <w:noWrap w:val="0"/>
            <w:vAlign w:val="center"/>
          </w:tcPr>
          <w:p w14:paraId="17CD632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沙门氏菌</w:t>
            </w:r>
          </w:p>
        </w:tc>
        <w:tc>
          <w:tcPr>
            <w:tcW w:w="555" w:type="pct"/>
            <w:noWrap w:val="0"/>
            <w:vAlign w:val="center"/>
          </w:tcPr>
          <w:p w14:paraId="12A3EA4C">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661C23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22D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6396CEC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0B01DF5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7C2E130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79AF8118">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spacing w:val="-3"/>
                <w:kern w:val="2"/>
                <w:sz w:val="21"/>
                <w:szCs w:val="21"/>
                <w:highlight w:val="none"/>
                <w:lang w:val="en-US" w:eastAsia="zh-CN" w:bidi="ar-SA"/>
              </w:rPr>
            </w:pPr>
            <w:r>
              <w:rPr>
                <w:rFonts w:hint="default" w:ascii="Times New Roman" w:hAnsi="Times New Roman" w:eastAsia="仿宋_GB2312" w:cs="Times New Roman"/>
                <w:color w:val="auto"/>
                <w:spacing w:val="-3"/>
                <w:sz w:val="21"/>
                <w:szCs w:val="21"/>
                <w:highlight w:val="none"/>
                <w:lang w:val="en-US" w:eastAsia="zh-CN"/>
              </w:rPr>
              <w:t>热凝固蛋制品</w:t>
            </w:r>
          </w:p>
        </w:tc>
        <w:tc>
          <w:tcPr>
            <w:tcW w:w="499" w:type="pct"/>
            <w:noWrap w:val="0"/>
            <w:vAlign w:val="center"/>
          </w:tcPr>
          <w:p w14:paraId="0B70CDA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spacing w:val="-3"/>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lang w:val="en-US" w:eastAsia="zh-CN"/>
              </w:rPr>
              <w:t>热凝固蛋制品</w:t>
            </w:r>
          </w:p>
        </w:tc>
        <w:tc>
          <w:tcPr>
            <w:tcW w:w="276" w:type="pct"/>
            <w:noWrap w:val="0"/>
            <w:vAlign w:val="center"/>
          </w:tcPr>
          <w:p w14:paraId="365F329F">
            <w:pPr>
              <w:pStyle w:val="132"/>
              <w:pageBreakBefore w:val="0"/>
              <w:wordWrap/>
              <w:overflowPunct/>
              <w:topLinePunct w:val="0"/>
              <w:bidi w:val="0"/>
              <w:spacing w:before="196" w:line="300" w:lineRule="exact"/>
              <w:ind w:left="124" w:leftChars="0"/>
              <w:jc w:val="center"/>
              <w:rPr>
                <w:rFonts w:hint="default" w:ascii="Times New Roman" w:hAnsi="Times New Roman" w:eastAsia="仿宋_GB2312" w:cs="Times New Roman"/>
                <w:color w:val="auto"/>
                <w:spacing w:val="-3"/>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0E520BAC">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铅（以Pb计）、苯甲酸及其钠盐（以苯甲酸计）、山梨酸及其钾盐（以山梨酸计）、脱氢乙酸及其钠盐（以脱氢乙酸计）、菌落总数、大肠菌群</w:t>
            </w:r>
          </w:p>
        </w:tc>
        <w:tc>
          <w:tcPr>
            <w:tcW w:w="479" w:type="pct"/>
            <w:noWrap w:val="0"/>
            <w:vAlign w:val="center"/>
          </w:tcPr>
          <w:p w14:paraId="5727ECB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沙门氏菌</w:t>
            </w:r>
          </w:p>
        </w:tc>
        <w:tc>
          <w:tcPr>
            <w:tcW w:w="555" w:type="pct"/>
            <w:noWrap w:val="0"/>
            <w:vAlign w:val="center"/>
          </w:tcPr>
          <w:p w14:paraId="7EE947E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566064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478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0" w:type="pct"/>
            <w:vMerge w:val="continue"/>
            <w:noWrap w:val="0"/>
            <w:vAlign w:val="center"/>
          </w:tcPr>
          <w:p w14:paraId="1FB8D83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31CED04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vMerge w:val="continue"/>
            <w:noWrap w:val="0"/>
            <w:vAlign w:val="center"/>
          </w:tcPr>
          <w:p w14:paraId="340D290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46" w:type="pct"/>
            <w:noWrap w:val="0"/>
            <w:vAlign w:val="center"/>
          </w:tcPr>
          <w:p w14:paraId="1B747948">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pacing w:val="-3"/>
                <w:sz w:val="21"/>
                <w:szCs w:val="21"/>
                <w:highlight w:val="none"/>
              </w:rPr>
              <w:t>其他类</w:t>
            </w:r>
          </w:p>
        </w:tc>
        <w:tc>
          <w:tcPr>
            <w:tcW w:w="499" w:type="pct"/>
            <w:noWrap w:val="0"/>
            <w:vAlign w:val="center"/>
          </w:tcPr>
          <w:p w14:paraId="25565235">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其他类</w:t>
            </w:r>
          </w:p>
        </w:tc>
        <w:tc>
          <w:tcPr>
            <w:tcW w:w="276" w:type="pct"/>
            <w:noWrap w:val="0"/>
            <w:vAlign w:val="center"/>
          </w:tcPr>
          <w:p w14:paraId="41E39ED4">
            <w:pPr>
              <w:pStyle w:val="132"/>
              <w:pageBreakBefore w:val="0"/>
              <w:wordWrap/>
              <w:overflowPunct/>
              <w:topLinePunct w:val="0"/>
              <w:bidi w:val="0"/>
              <w:spacing w:before="196" w:line="300" w:lineRule="exact"/>
              <w:ind w:left="124" w:leftChars="0"/>
              <w:jc w:val="center"/>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71BC86B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铅（以Pb计）、苯甲酸及其钠盐（以苯甲酸计）、山梨酸及其钾盐（以山梨酸计）、脱氢乙酸及其钠盐（以脱氢乙酸计）、菌落总数、大肠菌群</w:t>
            </w:r>
          </w:p>
        </w:tc>
        <w:tc>
          <w:tcPr>
            <w:tcW w:w="479" w:type="pct"/>
            <w:noWrap w:val="0"/>
            <w:vAlign w:val="center"/>
          </w:tcPr>
          <w:p w14:paraId="2BA2BE58">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沙门氏菌</w:t>
            </w:r>
          </w:p>
        </w:tc>
        <w:tc>
          <w:tcPr>
            <w:tcW w:w="555" w:type="pct"/>
            <w:noWrap w:val="0"/>
            <w:vAlign w:val="center"/>
          </w:tcPr>
          <w:p w14:paraId="290EED9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15E89D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5F0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0" w:type="pct"/>
            <w:vMerge w:val="restart"/>
            <w:noWrap w:val="0"/>
            <w:vAlign w:val="center"/>
          </w:tcPr>
          <w:p w14:paraId="3BF90F25">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20</w:t>
            </w:r>
          </w:p>
        </w:tc>
        <w:tc>
          <w:tcPr>
            <w:tcW w:w="320" w:type="pct"/>
            <w:vMerge w:val="restart"/>
            <w:noWrap w:val="0"/>
            <w:vAlign w:val="center"/>
          </w:tcPr>
          <w:p w14:paraId="089866B1">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可可及焙烤咖啡产品</w:t>
            </w:r>
          </w:p>
        </w:tc>
        <w:tc>
          <w:tcPr>
            <w:tcW w:w="324" w:type="pct"/>
            <w:noWrap w:val="0"/>
            <w:vAlign w:val="center"/>
          </w:tcPr>
          <w:p w14:paraId="4EB21ED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焙炒咖啡</w:t>
            </w:r>
          </w:p>
        </w:tc>
        <w:tc>
          <w:tcPr>
            <w:tcW w:w="346" w:type="pct"/>
            <w:noWrap w:val="0"/>
            <w:vAlign w:val="center"/>
          </w:tcPr>
          <w:p w14:paraId="265CF202">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焙炒咖啡</w:t>
            </w:r>
          </w:p>
        </w:tc>
        <w:tc>
          <w:tcPr>
            <w:tcW w:w="499" w:type="pct"/>
            <w:noWrap w:val="0"/>
            <w:vAlign w:val="center"/>
          </w:tcPr>
          <w:p w14:paraId="26FD8717">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焙炒咖啡</w:t>
            </w:r>
          </w:p>
        </w:tc>
        <w:tc>
          <w:tcPr>
            <w:tcW w:w="276" w:type="pct"/>
            <w:noWrap w:val="0"/>
            <w:vAlign w:val="center"/>
          </w:tcPr>
          <w:p w14:paraId="0FB4F30C">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2AEDC0B3">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咖啡因、铅（以Pb计）、赭曲霉毒素A</w:t>
            </w:r>
          </w:p>
        </w:tc>
        <w:tc>
          <w:tcPr>
            <w:tcW w:w="479" w:type="pct"/>
            <w:noWrap w:val="0"/>
            <w:vAlign w:val="center"/>
          </w:tcPr>
          <w:p w14:paraId="0DF6E168">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12444EE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C159A6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979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0" w:type="pct"/>
            <w:vMerge w:val="continue"/>
            <w:noWrap w:val="0"/>
            <w:vAlign w:val="center"/>
          </w:tcPr>
          <w:p w14:paraId="11A2F0F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0" w:type="pct"/>
            <w:vMerge w:val="continue"/>
            <w:noWrap w:val="0"/>
            <w:vAlign w:val="center"/>
          </w:tcPr>
          <w:p w14:paraId="2A57409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vertAlign w:val="baseline"/>
                <w:lang w:val="en-US" w:eastAsia="zh-CN"/>
              </w:rPr>
            </w:pPr>
          </w:p>
        </w:tc>
        <w:tc>
          <w:tcPr>
            <w:tcW w:w="324" w:type="pct"/>
            <w:noWrap w:val="0"/>
            <w:vAlign w:val="center"/>
          </w:tcPr>
          <w:p w14:paraId="3E0F98E1">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可可制品</w:t>
            </w:r>
          </w:p>
        </w:tc>
        <w:tc>
          <w:tcPr>
            <w:tcW w:w="346" w:type="pct"/>
            <w:noWrap w:val="0"/>
            <w:vAlign w:val="center"/>
          </w:tcPr>
          <w:p w14:paraId="1BA44DE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可可制品</w:t>
            </w:r>
          </w:p>
        </w:tc>
        <w:tc>
          <w:tcPr>
            <w:tcW w:w="499" w:type="pct"/>
            <w:noWrap w:val="0"/>
            <w:vAlign w:val="center"/>
          </w:tcPr>
          <w:p w14:paraId="5E8C8A94">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可可制品</w:t>
            </w:r>
          </w:p>
        </w:tc>
        <w:tc>
          <w:tcPr>
            <w:tcW w:w="276" w:type="pct"/>
            <w:noWrap w:val="0"/>
            <w:vAlign w:val="center"/>
          </w:tcPr>
          <w:p w14:paraId="45192113">
            <w:pPr>
              <w:pageBreakBefore w:val="0"/>
              <w:widowControl/>
              <w:wordWrap/>
              <w:overflowPunct/>
              <w:topLinePunct w:val="0"/>
              <w:bidi w:val="0"/>
              <w:spacing w:line="300" w:lineRule="exact"/>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一般</w:t>
            </w:r>
          </w:p>
        </w:tc>
        <w:tc>
          <w:tcPr>
            <w:tcW w:w="1303" w:type="pct"/>
            <w:noWrap w:val="0"/>
            <w:vAlign w:val="center"/>
          </w:tcPr>
          <w:p w14:paraId="0EC689DC">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铅（以Pb计）、沙门氏菌</w:t>
            </w:r>
          </w:p>
        </w:tc>
        <w:tc>
          <w:tcPr>
            <w:tcW w:w="479" w:type="pct"/>
            <w:noWrap w:val="0"/>
            <w:vAlign w:val="center"/>
          </w:tcPr>
          <w:p w14:paraId="0A41A8E4">
            <w:pPr>
              <w:pageBreakBefore w:val="0"/>
              <w:widowControl/>
              <w:wordWrap/>
              <w:overflowPunct/>
              <w:topLinePunct w:val="0"/>
              <w:bidi w:val="0"/>
              <w:spacing w:line="300" w:lineRule="exact"/>
              <w:jc w:val="left"/>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w:t>
            </w:r>
          </w:p>
        </w:tc>
        <w:tc>
          <w:tcPr>
            <w:tcW w:w="555" w:type="pct"/>
            <w:noWrap w:val="0"/>
            <w:vAlign w:val="center"/>
          </w:tcPr>
          <w:p w14:paraId="69E2801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3B63FE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A0D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restart"/>
            <w:noWrap w:val="0"/>
            <w:vAlign w:val="center"/>
          </w:tcPr>
          <w:p w14:paraId="3603BE3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21</w:t>
            </w:r>
          </w:p>
        </w:tc>
        <w:tc>
          <w:tcPr>
            <w:tcW w:w="320" w:type="pct"/>
            <w:vMerge w:val="restart"/>
            <w:noWrap w:val="0"/>
            <w:vAlign w:val="center"/>
          </w:tcPr>
          <w:p w14:paraId="412B282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食糖</w:t>
            </w:r>
          </w:p>
        </w:tc>
        <w:tc>
          <w:tcPr>
            <w:tcW w:w="324" w:type="pct"/>
            <w:vMerge w:val="restart"/>
            <w:noWrap w:val="0"/>
            <w:vAlign w:val="center"/>
          </w:tcPr>
          <w:p w14:paraId="469301A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食糖</w:t>
            </w:r>
          </w:p>
        </w:tc>
        <w:tc>
          <w:tcPr>
            <w:tcW w:w="346" w:type="pct"/>
            <w:vMerge w:val="restart"/>
            <w:noWrap w:val="0"/>
            <w:vAlign w:val="center"/>
          </w:tcPr>
          <w:p w14:paraId="0C949EA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食糖</w:t>
            </w:r>
          </w:p>
        </w:tc>
        <w:tc>
          <w:tcPr>
            <w:tcW w:w="499" w:type="pct"/>
            <w:noWrap w:val="0"/>
            <w:vAlign w:val="center"/>
          </w:tcPr>
          <w:p w14:paraId="2E2A41F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白砂糖</w:t>
            </w:r>
          </w:p>
        </w:tc>
        <w:tc>
          <w:tcPr>
            <w:tcW w:w="276" w:type="pct"/>
            <w:noWrap w:val="0"/>
            <w:vAlign w:val="center"/>
          </w:tcPr>
          <w:p w14:paraId="011B841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4785E80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蔗糖分、还原糖分、色值、干燥失重、二氧化硫残留量、螨</w:t>
            </w:r>
          </w:p>
        </w:tc>
        <w:tc>
          <w:tcPr>
            <w:tcW w:w="479" w:type="pct"/>
            <w:noWrap w:val="0"/>
            <w:vAlign w:val="center"/>
          </w:tcPr>
          <w:p w14:paraId="382D59A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439CC5ED">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9EE16DE">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2DF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78E04A5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A1A948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3D182A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7DDE7F1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7807A49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绵白糖</w:t>
            </w:r>
          </w:p>
        </w:tc>
        <w:tc>
          <w:tcPr>
            <w:tcW w:w="276" w:type="pct"/>
            <w:noWrap w:val="0"/>
            <w:vAlign w:val="center"/>
          </w:tcPr>
          <w:p w14:paraId="32F4A87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50658DC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总糖分、还原糖分、色值、干燥失重、二氧化硫残留量、螨</w:t>
            </w:r>
          </w:p>
        </w:tc>
        <w:tc>
          <w:tcPr>
            <w:tcW w:w="479" w:type="pct"/>
            <w:noWrap w:val="0"/>
            <w:vAlign w:val="center"/>
          </w:tcPr>
          <w:p w14:paraId="2030E6A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43482E3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636B63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DC3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1FE76B3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79DA98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AD7465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0BEBE2C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73055A6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赤砂糖</w:t>
            </w:r>
          </w:p>
        </w:tc>
        <w:tc>
          <w:tcPr>
            <w:tcW w:w="276" w:type="pct"/>
            <w:noWrap w:val="0"/>
            <w:vAlign w:val="center"/>
          </w:tcPr>
          <w:p w14:paraId="2A351D7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25E322A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总糖分、不溶于水杂质、干燥失重、二氧化硫残留量、螨、合成着色剂（柠檬黄、新红、苋菜红、胭脂红、日落黄、诱惑红、酸性红、喹啉黄、赤藓红）</w:t>
            </w:r>
          </w:p>
        </w:tc>
        <w:tc>
          <w:tcPr>
            <w:tcW w:w="479" w:type="pct"/>
            <w:noWrap w:val="0"/>
            <w:vAlign w:val="center"/>
          </w:tcPr>
          <w:p w14:paraId="24FFF0A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61510B0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E96ED0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E17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416ED9A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B2E06E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C70F52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61F998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6B629EF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红糖</w:t>
            </w:r>
          </w:p>
        </w:tc>
        <w:tc>
          <w:tcPr>
            <w:tcW w:w="276" w:type="pct"/>
            <w:noWrap w:val="0"/>
            <w:vAlign w:val="center"/>
          </w:tcPr>
          <w:p w14:paraId="616B80E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0C48AAC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总糖分、不溶于水杂质、干燥失重、二氧化硫残留量、螨、合成着色剂（柠檬黄、新红、苋菜红、胭脂红、日落黄、诱惑红、酸性红、喹啉黄、赤藓红）</w:t>
            </w:r>
          </w:p>
        </w:tc>
        <w:tc>
          <w:tcPr>
            <w:tcW w:w="479" w:type="pct"/>
            <w:noWrap w:val="0"/>
            <w:vAlign w:val="center"/>
          </w:tcPr>
          <w:p w14:paraId="6A9A744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1B56A9F6">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ADABD2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D1A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4E6BE7E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26C952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50F505C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3F4D347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EF1FB4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冰糖</w:t>
            </w:r>
          </w:p>
        </w:tc>
        <w:tc>
          <w:tcPr>
            <w:tcW w:w="276" w:type="pct"/>
            <w:noWrap w:val="0"/>
            <w:vAlign w:val="center"/>
          </w:tcPr>
          <w:p w14:paraId="5625796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18D176B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蔗糖分、还原糖分、色值、干燥失重、二氧化硫残留量、螨</w:t>
            </w:r>
          </w:p>
        </w:tc>
        <w:tc>
          <w:tcPr>
            <w:tcW w:w="479" w:type="pct"/>
            <w:noWrap w:val="0"/>
            <w:vAlign w:val="center"/>
          </w:tcPr>
          <w:p w14:paraId="48FF42B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合成着色剂（柠檬黄、新红、苋菜红、胭脂红、日落黄、诱惑红、酸性红、喹啉黄、赤藓红）</w:t>
            </w:r>
          </w:p>
        </w:tc>
        <w:tc>
          <w:tcPr>
            <w:tcW w:w="555" w:type="pct"/>
            <w:noWrap w:val="0"/>
            <w:vAlign w:val="center"/>
          </w:tcPr>
          <w:p w14:paraId="370C04C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B8ACFA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EC6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2142E60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EA82DC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2B3F62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3FB3453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339320D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冰片糖</w:t>
            </w:r>
          </w:p>
        </w:tc>
        <w:tc>
          <w:tcPr>
            <w:tcW w:w="276" w:type="pct"/>
            <w:noWrap w:val="0"/>
            <w:vAlign w:val="center"/>
          </w:tcPr>
          <w:p w14:paraId="3362D65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5EEB915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总糖分、还原糖分、干燥失重、二氧化硫残留量、螨、合成着色剂（柠檬黄、新红、苋菜红、胭脂红、日落黄、诱惑红、酸性红、喹啉黄、赤藓红）</w:t>
            </w:r>
          </w:p>
        </w:tc>
        <w:tc>
          <w:tcPr>
            <w:tcW w:w="479" w:type="pct"/>
            <w:noWrap w:val="0"/>
            <w:vAlign w:val="center"/>
          </w:tcPr>
          <w:p w14:paraId="4D4D3D86">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6E53A687">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5B735A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9E4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35BA03F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CB53C8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AE0B2A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FEAAD2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2D39A2A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方糖</w:t>
            </w:r>
          </w:p>
        </w:tc>
        <w:tc>
          <w:tcPr>
            <w:tcW w:w="276" w:type="pct"/>
            <w:noWrap w:val="0"/>
            <w:vAlign w:val="center"/>
          </w:tcPr>
          <w:p w14:paraId="0114D35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3E000F4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蔗糖分、还原糖分、色值、干燥失重、二氧化硫残留量、螨</w:t>
            </w:r>
          </w:p>
        </w:tc>
        <w:tc>
          <w:tcPr>
            <w:tcW w:w="479" w:type="pct"/>
            <w:noWrap w:val="0"/>
            <w:vAlign w:val="center"/>
          </w:tcPr>
          <w:p w14:paraId="5FF0AA1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38938BD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947181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45A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6027D35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D9A347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4ABD7C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257B00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3E51673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其他糖</w:t>
            </w:r>
          </w:p>
        </w:tc>
        <w:tc>
          <w:tcPr>
            <w:tcW w:w="276" w:type="pct"/>
            <w:noWrap w:val="0"/>
            <w:vAlign w:val="center"/>
          </w:tcPr>
          <w:p w14:paraId="66E1719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1328403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蔗糖分、总糖分、色值、还原糖分、干燥失重、二氧化硫残留量、螨、合成着色剂（柠檬黄、新红、苋菜红、胭脂红、日落黄、诱惑红、酸性红、喹啉黄、赤藓红）、菌落总数、大肠菌群、霉菌、酵母菌</w:t>
            </w:r>
          </w:p>
        </w:tc>
        <w:tc>
          <w:tcPr>
            <w:tcW w:w="479" w:type="pct"/>
            <w:noWrap w:val="0"/>
            <w:vAlign w:val="center"/>
          </w:tcPr>
          <w:p w14:paraId="4D08376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23F640C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E1D718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9E8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restart"/>
            <w:noWrap w:val="0"/>
            <w:vAlign w:val="center"/>
          </w:tcPr>
          <w:p w14:paraId="78359EB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22</w:t>
            </w:r>
          </w:p>
        </w:tc>
        <w:tc>
          <w:tcPr>
            <w:tcW w:w="320" w:type="pct"/>
            <w:vMerge w:val="restart"/>
            <w:noWrap w:val="0"/>
            <w:vAlign w:val="center"/>
          </w:tcPr>
          <w:p w14:paraId="0E67986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水产制品</w:t>
            </w:r>
          </w:p>
        </w:tc>
        <w:tc>
          <w:tcPr>
            <w:tcW w:w="324" w:type="pct"/>
            <w:vMerge w:val="restart"/>
            <w:noWrap w:val="0"/>
            <w:vAlign w:val="center"/>
          </w:tcPr>
          <w:p w14:paraId="39A6399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水产制品</w:t>
            </w:r>
          </w:p>
        </w:tc>
        <w:tc>
          <w:tcPr>
            <w:tcW w:w="346" w:type="pct"/>
            <w:vMerge w:val="restart"/>
            <w:noWrap w:val="0"/>
            <w:vAlign w:val="center"/>
          </w:tcPr>
          <w:p w14:paraId="7C71EC6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干制水产品</w:t>
            </w:r>
          </w:p>
        </w:tc>
        <w:tc>
          <w:tcPr>
            <w:tcW w:w="499" w:type="pct"/>
            <w:noWrap w:val="0"/>
            <w:vAlign w:val="center"/>
          </w:tcPr>
          <w:p w14:paraId="6E006C9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藻类干制品</w:t>
            </w:r>
          </w:p>
        </w:tc>
        <w:tc>
          <w:tcPr>
            <w:tcW w:w="276" w:type="pct"/>
            <w:noWrap w:val="0"/>
            <w:vAlign w:val="center"/>
          </w:tcPr>
          <w:p w14:paraId="5274CAD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F91A63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(以Pb计)、菌落总数、大肠菌群</w:t>
            </w:r>
          </w:p>
        </w:tc>
        <w:tc>
          <w:tcPr>
            <w:tcW w:w="479" w:type="pct"/>
            <w:noWrap w:val="0"/>
            <w:vAlign w:val="center"/>
          </w:tcPr>
          <w:p w14:paraId="1887C20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3889F18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37BE44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37E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3BE2ED9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D66C16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104385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0689BFE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0047ADD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预制动物性水产干制品</w:t>
            </w:r>
          </w:p>
        </w:tc>
        <w:tc>
          <w:tcPr>
            <w:tcW w:w="276" w:type="pct"/>
            <w:noWrap w:val="0"/>
            <w:vAlign w:val="center"/>
          </w:tcPr>
          <w:p w14:paraId="677C66C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3C9A760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过氧化值(以脂肪计)、铅(以Pb计)、镉(以Cd计)、苯甲酸及其钠盐 (以苯甲酸计)、山梨酸及其钾盐(以山梨酸计)、合成着色剂(柠檬黄、胭脂红、日落黄、诱惑红)</w:t>
            </w:r>
          </w:p>
        </w:tc>
        <w:tc>
          <w:tcPr>
            <w:tcW w:w="479" w:type="pct"/>
            <w:noWrap w:val="0"/>
            <w:vAlign w:val="center"/>
          </w:tcPr>
          <w:p w14:paraId="24A3990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1882EC0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015078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04A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401D896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2E2279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F43115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restart"/>
            <w:noWrap w:val="0"/>
            <w:vAlign w:val="center"/>
          </w:tcPr>
          <w:p w14:paraId="0FE4AF8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盐渍水产品</w:t>
            </w:r>
          </w:p>
        </w:tc>
        <w:tc>
          <w:tcPr>
            <w:tcW w:w="499" w:type="pct"/>
            <w:noWrap w:val="0"/>
            <w:vAlign w:val="center"/>
          </w:tcPr>
          <w:p w14:paraId="17C45C5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盐渍鱼</w:t>
            </w:r>
          </w:p>
        </w:tc>
        <w:tc>
          <w:tcPr>
            <w:tcW w:w="276" w:type="pct"/>
            <w:noWrap w:val="0"/>
            <w:vAlign w:val="center"/>
          </w:tcPr>
          <w:p w14:paraId="436A894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D35AA9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过氧化值(以脂肪计)、组胺、镉(以Cd计)、苯甲酸及其钠盐 (以苯甲酸计)、山梨酸及其钾盐 (以山梨酸计)</w:t>
            </w:r>
          </w:p>
        </w:tc>
        <w:tc>
          <w:tcPr>
            <w:tcW w:w="479" w:type="pct"/>
            <w:noWrap w:val="0"/>
            <w:vAlign w:val="center"/>
          </w:tcPr>
          <w:p w14:paraId="2510071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3E01C518">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A2D486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219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721774B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C9FBFB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8B3EE7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63EB099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DF03D4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盐渍藻</w:t>
            </w:r>
          </w:p>
        </w:tc>
        <w:tc>
          <w:tcPr>
            <w:tcW w:w="276" w:type="pct"/>
            <w:noWrap w:val="0"/>
            <w:vAlign w:val="center"/>
          </w:tcPr>
          <w:p w14:paraId="612FDC1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395F338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(以Pb计)、苯甲酸及其钠盐 (以苯甲酸计)、山梨酸及其钾盐(以山梨酸计)</w:t>
            </w:r>
          </w:p>
        </w:tc>
        <w:tc>
          <w:tcPr>
            <w:tcW w:w="479" w:type="pct"/>
            <w:noWrap w:val="0"/>
            <w:vAlign w:val="center"/>
          </w:tcPr>
          <w:p w14:paraId="5857285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2C6F558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1CD14A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E47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2BD9A4E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F5711D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1824BF4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7A801A6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7367E1C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其他盐渍水产品</w:t>
            </w:r>
          </w:p>
        </w:tc>
        <w:tc>
          <w:tcPr>
            <w:tcW w:w="276" w:type="pct"/>
            <w:noWrap w:val="0"/>
            <w:vAlign w:val="center"/>
          </w:tcPr>
          <w:p w14:paraId="6A0549B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4329350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 (以苯甲酸计)、山梨酸及其钾盐(以山梨酸计)</w:t>
            </w:r>
          </w:p>
        </w:tc>
        <w:tc>
          <w:tcPr>
            <w:tcW w:w="479" w:type="pct"/>
            <w:noWrap w:val="0"/>
            <w:vAlign w:val="center"/>
          </w:tcPr>
          <w:p w14:paraId="29D5B202">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6426680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5F6FCA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F83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3AA5457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305F3E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4554F2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6FC3154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鱼糜制品</w:t>
            </w:r>
          </w:p>
        </w:tc>
        <w:tc>
          <w:tcPr>
            <w:tcW w:w="499" w:type="pct"/>
            <w:noWrap w:val="0"/>
            <w:vAlign w:val="center"/>
          </w:tcPr>
          <w:p w14:paraId="2089794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预制鱼糜制品</w:t>
            </w:r>
          </w:p>
        </w:tc>
        <w:tc>
          <w:tcPr>
            <w:tcW w:w="276" w:type="pct"/>
            <w:noWrap w:val="0"/>
            <w:vAlign w:val="center"/>
          </w:tcPr>
          <w:p w14:paraId="4103ED3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1D40DA6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(以Pb计)、苯甲酸及其钠盐 (以苯甲酸计)、山梨酸及其钾盐 (以山梨酸计)、脱氢乙酸及其钠盐(以脱氢乙酸计)、合成着色剂(诱惑红、柠檬黄、日落黄)</w:t>
            </w:r>
          </w:p>
        </w:tc>
        <w:tc>
          <w:tcPr>
            <w:tcW w:w="479" w:type="pct"/>
            <w:noWrap w:val="0"/>
            <w:vAlign w:val="center"/>
          </w:tcPr>
          <w:p w14:paraId="3F1C639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35849FB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6953C2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829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4EC7867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9F2A65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114999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4976E18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熟制动物性水产制品</w:t>
            </w:r>
          </w:p>
        </w:tc>
        <w:tc>
          <w:tcPr>
            <w:tcW w:w="499" w:type="pct"/>
            <w:noWrap w:val="0"/>
            <w:vAlign w:val="center"/>
          </w:tcPr>
          <w:p w14:paraId="0BBFD94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熟制动物性水产制品</w:t>
            </w:r>
          </w:p>
        </w:tc>
        <w:tc>
          <w:tcPr>
            <w:tcW w:w="276" w:type="pct"/>
            <w:noWrap w:val="0"/>
            <w:vAlign w:val="center"/>
          </w:tcPr>
          <w:p w14:paraId="35E9157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31CE27C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 、镉(以Cd计)</w:t>
            </w:r>
            <w:r>
              <w:rPr>
                <w:rFonts w:hint="default" w:ascii="Times New Roman" w:hAnsi="Times New Roman" w:eastAsia="仿宋_GB2312" w:cs="Times New Roman"/>
                <w:color w:val="auto"/>
                <w:sz w:val="21"/>
                <w:szCs w:val="21"/>
                <w:highlight w:val="none"/>
                <w:vertAlign w:val="superscript"/>
              </w:rPr>
              <w:t xml:space="preserve"> </w:t>
            </w:r>
            <w:r>
              <w:rPr>
                <w:rFonts w:hint="default" w:ascii="Times New Roman" w:hAnsi="Times New Roman" w:eastAsia="仿宋_GB2312" w:cs="Times New Roman"/>
                <w:color w:val="auto"/>
                <w:sz w:val="21"/>
                <w:szCs w:val="21"/>
                <w:highlight w:val="none"/>
              </w:rPr>
              <w:t>、苯甲酸及其钠盐(以苯甲酸计)、山梨酸及其钾盐 (以山梨酸计)、甜蜜素(以环己基氨基磺酸计)、脱氢乙酸及其钠盐(以脱氢乙酸计)</w:t>
            </w:r>
          </w:p>
        </w:tc>
        <w:tc>
          <w:tcPr>
            <w:tcW w:w="479" w:type="pct"/>
            <w:noWrap w:val="0"/>
            <w:vAlign w:val="center"/>
          </w:tcPr>
          <w:p w14:paraId="3DA74D9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06EBBED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A7E777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75A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52A571C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6ABAEE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B6BC1E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3CB0952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生食水产品</w:t>
            </w:r>
          </w:p>
        </w:tc>
        <w:tc>
          <w:tcPr>
            <w:tcW w:w="499" w:type="pct"/>
            <w:noWrap w:val="0"/>
            <w:vAlign w:val="center"/>
          </w:tcPr>
          <w:p w14:paraId="65BA21D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生食动物性水产品</w:t>
            </w:r>
          </w:p>
        </w:tc>
        <w:tc>
          <w:tcPr>
            <w:tcW w:w="276" w:type="pct"/>
            <w:noWrap w:val="0"/>
            <w:vAlign w:val="center"/>
          </w:tcPr>
          <w:p w14:paraId="78D3133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7B0A6D0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挥发性盐基氮、苯甲酸及其钠盐(以苯甲酸计)、山梨酸及其钾盐 (以山梨酸计)、铝的残留量(以即食海蜇中Al计)、菌落总数、大肠菌群、沙门氏菌、副溶血性弧菌、单核细胞增生李斯特氏菌</w:t>
            </w:r>
          </w:p>
        </w:tc>
        <w:tc>
          <w:tcPr>
            <w:tcW w:w="479" w:type="pct"/>
            <w:noWrap w:val="0"/>
            <w:vAlign w:val="center"/>
          </w:tcPr>
          <w:p w14:paraId="5F951743">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4A784DA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BCC3E51">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175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144C2F2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51CE35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0B4994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E0BAB5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其他水产制品</w:t>
            </w:r>
          </w:p>
        </w:tc>
        <w:tc>
          <w:tcPr>
            <w:tcW w:w="499" w:type="pct"/>
            <w:noWrap w:val="0"/>
            <w:vAlign w:val="center"/>
          </w:tcPr>
          <w:p w14:paraId="7C57FDF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其他水产制品</w:t>
            </w:r>
          </w:p>
        </w:tc>
        <w:tc>
          <w:tcPr>
            <w:tcW w:w="276" w:type="pct"/>
            <w:noWrap w:val="0"/>
            <w:vAlign w:val="center"/>
          </w:tcPr>
          <w:p w14:paraId="3972434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26D2BC5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 (以Pb计)、苯甲酸及其钠盐(以苯甲酸计)、山梨酸及其钾盐 (以山梨酸计)、糖精钠（以糖精计）、脱氢乙酸及其钠盐(以脱氢乙酸计)、甜蜜素(以环己基氨基磺酸计)、防腐剂混合使用时各自用量占其最大使用量的比例之和、菌落总数</w:t>
            </w:r>
          </w:p>
        </w:tc>
        <w:tc>
          <w:tcPr>
            <w:tcW w:w="479" w:type="pct"/>
            <w:noWrap w:val="0"/>
            <w:vAlign w:val="center"/>
          </w:tcPr>
          <w:p w14:paraId="1B24D05B">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合成着色剂（柠檬黄）</w:t>
            </w:r>
          </w:p>
        </w:tc>
        <w:tc>
          <w:tcPr>
            <w:tcW w:w="555" w:type="pct"/>
            <w:noWrap w:val="0"/>
            <w:vAlign w:val="center"/>
          </w:tcPr>
          <w:p w14:paraId="4E0092B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BD8FD6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EFD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restart"/>
            <w:noWrap w:val="0"/>
            <w:vAlign w:val="center"/>
          </w:tcPr>
          <w:p w14:paraId="2927639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23</w:t>
            </w:r>
          </w:p>
        </w:tc>
        <w:tc>
          <w:tcPr>
            <w:tcW w:w="320" w:type="pct"/>
            <w:vMerge w:val="restart"/>
            <w:noWrap w:val="0"/>
            <w:vAlign w:val="center"/>
          </w:tcPr>
          <w:p w14:paraId="63280B6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淀粉及淀粉制品</w:t>
            </w:r>
          </w:p>
        </w:tc>
        <w:tc>
          <w:tcPr>
            <w:tcW w:w="324" w:type="pct"/>
            <w:vMerge w:val="restart"/>
            <w:noWrap w:val="0"/>
            <w:vAlign w:val="center"/>
          </w:tcPr>
          <w:p w14:paraId="05C01B6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淀粉及淀粉制品</w:t>
            </w:r>
          </w:p>
        </w:tc>
        <w:tc>
          <w:tcPr>
            <w:tcW w:w="346" w:type="pct"/>
            <w:noWrap w:val="0"/>
            <w:vAlign w:val="center"/>
          </w:tcPr>
          <w:p w14:paraId="47014E4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w:t>
            </w:r>
          </w:p>
        </w:tc>
        <w:tc>
          <w:tcPr>
            <w:tcW w:w="499" w:type="pct"/>
            <w:noWrap w:val="0"/>
            <w:vAlign w:val="center"/>
          </w:tcPr>
          <w:p w14:paraId="0ADBB66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w:t>
            </w:r>
          </w:p>
        </w:tc>
        <w:tc>
          <w:tcPr>
            <w:tcW w:w="276" w:type="pct"/>
            <w:noWrap w:val="0"/>
            <w:vAlign w:val="center"/>
          </w:tcPr>
          <w:p w14:paraId="60114DD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0AC9A21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 Pb 计）、霉菌和酵母、二氧化硫残留量、脱氢乙酸及其钠盐 (以脱氢乙酸计)、葛根素、氢氰酸</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水分</w:t>
            </w:r>
          </w:p>
        </w:tc>
        <w:tc>
          <w:tcPr>
            <w:tcW w:w="479" w:type="pct"/>
            <w:noWrap w:val="0"/>
            <w:vAlign w:val="center"/>
          </w:tcPr>
          <w:p w14:paraId="5F19AE5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46FEF5D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8AA1F0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D65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1652D65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FE0C29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39085D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restart"/>
            <w:noWrap w:val="0"/>
            <w:vAlign w:val="center"/>
          </w:tcPr>
          <w:p w14:paraId="725E41B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淀粉制品</w:t>
            </w:r>
          </w:p>
        </w:tc>
        <w:tc>
          <w:tcPr>
            <w:tcW w:w="499" w:type="pct"/>
            <w:noWrap w:val="0"/>
            <w:vAlign w:val="center"/>
          </w:tcPr>
          <w:p w14:paraId="6BE8C9E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粉丝粉条</w:t>
            </w:r>
          </w:p>
        </w:tc>
        <w:tc>
          <w:tcPr>
            <w:tcW w:w="276" w:type="pct"/>
            <w:noWrap w:val="0"/>
            <w:vAlign w:val="center"/>
          </w:tcPr>
          <w:p w14:paraId="5330C61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594F147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苯甲酸及其钠盐(以苯甲酸计)、山梨酸及其钾盐(以山梨酸计)、脱氢乙酸及其钠盐(以脱氢乙酸计)、铝的残留量(干样品,以Al 计)、二氧化硫残留量、合成着色剂(柠檬黄、新红、苋菜红、靛蓝、胭脂红、日落黄、诱惑红、亮蓝、酸性红、喹啉黄、赤藓红)</w:t>
            </w:r>
          </w:p>
        </w:tc>
        <w:tc>
          <w:tcPr>
            <w:tcW w:w="479" w:type="pct"/>
            <w:noWrap w:val="0"/>
            <w:vAlign w:val="center"/>
          </w:tcPr>
          <w:p w14:paraId="2BCD7E0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铅（以Pb计）</w:t>
            </w:r>
          </w:p>
        </w:tc>
        <w:tc>
          <w:tcPr>
            <w:tcW w:w="555" w:type="pct"/>
            <w:noWrap w:val="0"/>
            <w:vAlign w:val="center"/>
          </w:tcPr>
          <w:p w14:paraId="4FD8E3B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E6A580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98D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053FF4C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240B06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57F8C9E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42D7D79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09DD26C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其他淀粉制品</w:t>
            </w:r>
          </w:p>
        </w:tc>
        <w:tc>
          <w:tcPr>
            <w:tcW w:w="276" w:type="pct"/>
            <w:noWrap w:val="0"/>
            <w:vAlign w:val="center"/>
          </w:tcPr>
          <w:p w14:paraId="3495AD1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4AC009B2">
            <w:pPr>
              <w:pStyle w:val="180"/>
              <w:pageBreakBefore w:val="0"/>
              <w:widowControl/>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479" w:type="pct"/>
            <w:noWrap w:val="0"/>
            <w:vAlign w:val="center"/>
          </w:tcPr>
          <w:p w14:paraId="548B7BE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390C7EF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46216A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595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210" w:type="pct"/>
            <w:vMerge w:val="continue"/>
            <w:noWrap w:val="0"/>
            <w:vAlign w:val="center"/>
          </w:tcPr>
          <w:p w14:paraId="23DD67D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ADD2CF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B99D4E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6AE1003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淀粉糖</w:t>
            </w:r>
          </w:p>
        </w:tc>
        <w:tc>
          <w:tcPr>
            <w:tcW w:w="499" w:type="pct"/>
            <w:noWrap w:val="0"/>
            <w:vAlign w:val="center"/>
          </w:tcPr>
          <w:p w14:paraId="2507F6E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淀粉糖</w:t>
            </w:r>
          </w:p>
        </w:tc>
        <w:tc>
          <w:tcPr>
            <w:tcW w:w="276" w:type="pct"/>
            <w:noWrap w:val="0"/>
            <w:vAlign w:val="center"/>
          </w:tcPr>
          <w:p w14:paraId="22A9003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16A349C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葡萄糖含量 (以干基计,质量分数)、IMO含量(占干物质,质量分数)、IG</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rPr>
              <w:t>+P+IG</w:t>
            </w:r>
            <w:r>
              <w:rPr>
                <w:rFonts w:hint="default" w:ascii="Times New Roman" w:hAnsi="Times New Roman" w:eastAsia="仿宋_GB2312" w:cs="Times New Roman"/>
                <w:color w:val="auto"/>
                <w:sz w:val="21"/>
                <w:szCs w:val="21"/>
                <w:highlight w:val="none"/>
                <w:vertAlign w:val="subscript"/>
              </w:rPr>
              <w:t>3</w:t>
            </w:r>
            <w:r>
              <w:rPr>
                <w:rFonts w:hint="default" w:ascii="Times New Roman" w:hAnsi="Times New Roman" w:eastAsia="仿宋_GB2312" w:cs="Times New Roman"/>
                <w:color w:val="auto"/>
                <w:sz w:val="21"/>
                <w:szCs w:val="21"/>
                <w:highlight w:val="none"/>
              </w:rPr>
              <w:t>含量(占干物质,质量分数)、果糖(占干基比)、果糖+葡萄糖 (占干基比)、5-羟甲基糠醛 (以吸光度计)、果糖+葡萄糖含量(以干物质计)、果糖含量(以干物质计)、麦芽糖含量(以干物质计,质量分数)、干物质（固形物）、硫酸灰分</w:t>
            </w:r>
          </w:p>
        </w:tc>
        <w:tc>
          <w:tcPr>
            <w:tcW w:w="479" w:type="pct"/>
            <w:noWrap w:val="0"/>
            <w:vAlign w:val="center"/>
          </w:tcPr>
          <w:p w14:paraId="05FDEE0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铅（以Pb计）、总砷（以As计）</w:t>
            </w:r>
          </w:p>
        </w:tc>
        <w:tc>
          <w:tcPr>
            <w:tcW w:w="555" w:type="pct"/>
            <w:noWrap w:val="0"/>
            <w:vAlign w:val="center"/>
          </w:tcPr>
          <w:p w14:paraId="5821868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D691B7E">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0123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restart"/>
            <w:noWrap w:val="0"/>
            <w:vAlign w:val="center"/>
          </w:tcPr>
          <w:p w14:paraId="09EB159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24</w:t>
            </w:r>
          </w:p>
        </w:tc>
        <w:tc>
          <w:tcPr>
            <w:tcW w:w="320" w:type="pct"/>
            <w:vMerge w:val="restart"/>
            <w:noWrap w:val="0"/>
            <w:vAlign w:val="center"/>
          </w:tcPr>
          <w:p w14:paraId="52827E1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糕点</w:t>
            </w:r>
          </w:p>
        </w:tc>
        <w:tc>
          <w:tcPr>
            <w:tcW w:w="324" w:type="pct"/>
            <w:vMerge w:val="restart"/>
            <w:noWrap w:val="0"/>
            <w:vAlign w:val="center"/>
          </w:tcPr>
          <w:p w14:paraId="39E9093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糕点</w:t>
            </w:r>
          </w:p>
        </w:tc>
        <w:tc>
          <w:tcPr>
            <w:tcW w:w="346" w:type="pct"/>
            <w:noWrap w:val="0"/>
            <w:vAlign w:val="center"/>
          </w:tcPr>
          <w:p w14:paraId="24E3254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面包</w:t>
            </w:r>
          </w:p>
        </w:tc>
        <w:tc>
          <w:tcPr>
            <w:tcW w:w="499" w:type="pct"/>
            <w:noWrap w:val="0"/>
            <w:vAlign w:val="center"/>
          </w:tcPr>
          <w:p w14:paraId="1175F90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面包</w:t>
            </w:r>
          </w:p>
        </w:tc>
        <w:tc>
          <w:tcPr>
            <w:tcW w:w="276" w:type="pct"/>
            <w:noWrap w:val="0"/>
            <w:vAlign w:val="center"/>
          </w:tcPr>
          <w:p w14:paraId="7D82EBF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3632B3D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酸价(以脂肪计)(KOH) 、过氧化值(以脂肪计)、富马酸二甲酯、脱氢乙酸及其钠盐(以脱氢乙酸计)、合成着色剂(柠檬黄、日落黄、胭脂红、苋菜红、亮蓝、诱惑红</w:t>
            </w:r>
            <w:r>
              <w:rPr>
                <w:rFonts w:hint="default" w:ascii="Times New Roman" w:hAnsi="Times New Roman" w:eastAsia="仿宋_GB2312" w:cs="Times New Roman"/>
                <w:color w:val="auto"/>
                <w:sz w:val="21"/>
                <w:szCs w:val="21"/>
                <w:highlight w:val="none"/>
                <w:lang w:eastAsia="zh-CN"/>
              </w:rPr>
              <w:t>、酸性红</w:t>
            </w:r>
            <w:r>
              <w:rPr>
                <w:rFonts w:hint="default" w:ascii="Times New Roman" w:hAnsi="Times New Roman" w:eastAsia="仿宋_GB2312" w:cs="Times New Roman"/>
                <w:color w:val="auto"/>
                <w:sz w:val="21"/>
                <w:szCs w:val="21"/>
                <w:highlight w:val="none"/>
              </w:rPr>
              <w:t>)、菌落总数、霉菌、大肠菌群、金黄色葡萄球菌、沙门氏菌</w:t>
            </w:r>
          </w:p>
        </w:tc>
        <w:tc>
          <w:tcPr>
            <w:tcW w:w="479" w:type="pct"/>
            <w:noWrap w:val="0"/>
            <w:vAlign w:val="center"/>
          </w:tcPr>
          <w:p w14:paraId="110AC38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苯甲酸及其钠盐（以苯甲酸计）、山梨酸及其钾盐（以山梨酸计）、糖精钠（以糖精计）</w:t>
            </w:r>
          </w:p>
        </w:tc>
        <w:tc>
          <w:tcPr>
            <w:tcW w:w="555" w:type="pct"/>
            <w:noWrap w:val="0"/>
            <w:vAlign w:val="center"/>
          </w:tcPr>
          <w:p w14:paraId="164E622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2DCB7E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4B2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7111BB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77F9661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CD733C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20EDCF5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月饼</w:t>
            </w:r>
          </w:p>
        </w:tc>
        <w:tc>
          <w:tcPr>
            <w:tcW w:w="499" w:type="pct"/>
            <w:noWrap w:val="0"/>
            <w:vAlign w:val="center"/>
          </w:tcPr>
          <w:p w14:paraId="46F4A88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月饼</w:t>
            </w:r>
          </w:p>
        </w:tc>
        <w:tc>
          <w:tcPr>
            <w:tcW w:w="276" w:type="pct"/>
            <w:noWrap w:val="0"/>
            <w:vAlign w:val="center"/>
          </w:tcPr>
          <w:p w14:paraId="1CB414F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59A8AB9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酸价(以脂肪计)(KOH)、过氧化值(以脂肪计)、富马酸二甲酯、苯甲酸及其钠盐(以苯甲酸计)、山梨酸及其钾盐(以山梨酸计)、脱氢乙酸及其钠盐(以脱氢乙酸计)、丙酸及其钠盐、钙盐（以丙酸计）、纳他霉素、合成着色剂(柠檬黄、日落黄、胭脂红、苋菜红、亮蓝、赤藓红、诱惑红)、防腐剂混合使用时各自用量占其最大使用量的比例之和、菌落总数、大肠菌群、霉菌、金黄色葡萄球菌、沙门氏菌</w:t>
            </w:r>
          </w:p>
        </w:tc>
        <w:tc>
          <w:tcPr>
            <w:tcW w:w="479" w:type="pct"/>
            <w:noWrap w:val="0"/>
            <w:vAlign w:val="center"/>
          </w:tcPr>
          <w:p w14:paraId="0FCC478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糖精钠（以糖精计）、铝的残留量（干样品，以Al计）</w:t>
            </w:r>
          </w:p>
        </w:tc>
        <w:tc>
          <w:tcPr>
            <w:tcW w:w="555" w:type="pct"/>
            <w:noWrap w:val="0"/>
            <w:vAlign w:val="center"/>
          </w:tcPr>
          <w:p w14:paraId="088225C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2DD0AA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6C7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1942D65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0CFA68A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56EDD4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DD1044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粽子</w:t>
            </w:r>
          </w:p>
        </w:tc>
        <w:tc>
          <w:tcPr>
            <w:tcW w:w="499" w:type="pct"/>
            <w:noWrap w:val="0"/>
            <w:vAlign w:val="center"/>
          </w:tcPr>
          <w:p w14:paraId="081A90E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粽子</w:t>
            </w:r>
          </w:p>
        </w:tc>
        <w:tc>
          <w:tcPr>
            <w:tcW w:w="276" w:type="pct"/>
            <w:noWrap w:val="0"/>
            <w:vAlign w:val="center"/>
          </w:tcPr>
          <w:p w14:paraId="2863349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15C0457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甜蜜素(以环己基氨基磺酸计)、山梨酸及其钾盐 ( 以山梨酸计 )、脱氢乙酸及其钠盐(以脱氢乙酸计)、糖精钠(以糖精计)、安赛蜜、菌落总数、大肠菌群、金黄色葡萄球菌、沙门氏菌、霉菌、商业无菌</w:t>
            </w:r>
          </w:p>
        </w:tc>
        <w:tc>
          <w:tcPr>
            <w:tcW w:w="479" w:type="pct"/>
            <w:noWrap w:val="0"/>
            <w:vAlign w:val="center"/>
          </w:tcPr>
          <w:p w14:paraId="0E58F70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过氧化值（以脂肪计）</w:t>
            </w:r>
          </w:p>
        </w:tc>
        <w:tc>
          <w:tcPr>
            <w:tcW w:w="555" w:type="pct"/>
            <w:noWrap w:val="0"/>
            <w:vAlign w:val="center"/>
          </w:tcPr>
          <w:p w14:paraId="0BE6E1C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2B59A9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605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E10E33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AAFEE5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C55A50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9D54FB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糕点</w:t>
            </w:r>
          </w:p>
        </w:tc>
        <w:tc>
          <w:tcPr>
            <w:tcW w:w="499" w:type="pct"/>
            <w:noWrap w:val="0"/>
            <w:vAlign w:val="center"/>
          </w:tcPr>
          <w:p w14:paraId="0251F7A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糕点</w:t>
            </w:r>
          </w:p>
        </w:tc>
        <w:tc>
          <w:tcPr>
            <w:tcW w:w="276" w:type="pct"/>
            <w:noWrap w:val="0"/>
            <w:vAlign w:val="center"/>
          </w:tcPr>
          <w:p w14:paraId="0630C8C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FD58BC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酸价(以脂肪计)(KOH) 、过氧化值(以脂肪计)、富马酸二甲酯、苯甲酸及其钠盐(以苯甲酸计)、山梨酸及其钾盐(以山梨酸计)、糖精钠(以糖精计)、甜蜜素(以环己基氨基磺酸计)、铝的残留量(干样品,以Al计)、脱氢乙酸及其钠盐(以脱氢乙酸计)、丙酸及其钠盐、钙盐（以丙酸计）、纳他霉素</w:t>
            </w:r>
            <w:r>
              <w:rPr>
                <w:rFonts w:hint="eastAsia"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三氯蔗糖、合成着色剂(柠檬黄、日落黄、胭脂红、苋菜红、亮蓝、赤藓红、诱惑红)、防腐剂混合使用时各自用量占其最大使用量的比例之和、菌落总数 、大肠菌群、霉菌、金黄色葡萄球菌、沙门氏菌</w:t>
            </w:r>
          </w:p>
        </w:tc>
        <w:tc>
          <w:tcPr>
            <w:tcW w:w="479" w:type="pct"/>
            <w:noWrap w:val="0"/>
            <w:vAlign w:val="center"/>
          </w:tcPr>
          <w:p w14:paraId="3BC183B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丙二醇、安赛蜜</w:t>
            </w:r>
          </w:p>
        </w:tc>
        <w:tc>
          <w:tcPr>
            <w:tcW w:w="555" w:type="pct"/>
            <w:noWrap w:val="0"/>
            <w:vAlign w:val="center"/>
          </w:tcPr>
          <w:p w14:paraId="5B6787C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30761F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9D4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restart"/>
            <w:noWrap w:val="0"/>
            <w:vAlign w:val="center"/>
          </w:tcPr>
          <w:p w14:paraId="5767E4C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25</w:t>
            </w:r>
          </w:p>
        </w:tc>
        <w:tc>
          <w:tcPr>
            <w:tcW w:w="320" w:type="pct"/>
            <w:vMerge w:val="restart"/>
            <w:noWrap w:val="0"/>
            <w:vAlign w:val="center"/>
          </w:tcPr>
          <w:p w14:paraId="2F26336F">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7"/>
                <w:sz w:val="21"/>
                <w:szCs w:val="21"/>
                <w:highlight w:val="none"/>
              </w:rPr>
              <w:t>豆制品</w:t>
            </w:r>
          </w:p>
        </w:tc>
        <w:tc>
          <w:tcPr>
            <w:tcW w:w="324" w:type="pct"/>
            <w:vMerge w:val="restart"/>
            <w:noWrap w:val="0"/>
            <w:vAlign w:val="center"/>
          </w:tcPr>
          <w:p w14:paraId="2CF2D24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7"/>
                <w:sz w:val="21"/>
                <w:szCs w:val="21"/>
                <w:highlight w:val="none"/>
              </w:rPr>
              <w:t>豆制品</w:t>
            </w:r>
          </w:p>
        </w:tc>
        <w:tc>
          <w:tcPr>
            <w:tcW w:w="346" w:type="pct"/>
            <w:noWrap w:val="0"/>
            <w:vAlign w:val="center"/>
          </w:tcPr>
          <w:p w14:paraId="624B2F8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发酵性豆制品</w:t>
            </w:r>
          </w:p>
        </w:tc>
        <w:tc>
          <w:tcPr>
            <w:tcW w:w="499" w:type="pct"/>
            <w:noWrap w:val="0"/>
            <w:vAlign w:val="center"/>
          </w:tcPr>
          <w:p w14:paraId="5B0A3DD3">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hanging="717" w:firstLine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11"/>
                <w:sz w:val="21"/>
                <w:szCs w:val="21"/>
                <w:highlight w:val="none"/>
              </w:rPr>
              <w:t>腐乳</w:t>
            </w:r>
            <w:r>
              <w:rPr>
                <w:rFonts w:hint="eastAsia" w:ascii="Times New Roman" w:hAnsi="Times New Roman" w:eastAsia="仿宋_GB2312" w:cs="Times New Roman"/>
                <w:color w:val="auto"/>
                <w:spacing w:val="-11"/>
                <w:sz w:val="21"/>
                <w:szCs w:val="21"/>
                <w:highlight w:val="none"/>
                <w:lang w:val="en-US" w:eastAsia="zh-CN"/>
              </w:rPr>
              <w:t xml:space="preserve">   </w:t>
            </w:r>
            <w:r>
              <w:rPr>
                <w:rFonts w:hint="eastAsia" w:ascii="Times New Roman" w:hAnsi="Times New Roman" w:eastAsia="仿宋_GB2312" w:cs="Times New Roman"/>
                <w:color w:val="auto"/>
                <w:spacing w:val="-11"/>
                <w:sz w:val="21"/>
                <w:szCs w:val="21"/>
                <w:highlight w:val="none"/>
                <w:lang w:eastAsia="zh-CN"/>
              </w:rPr>
              <w:t>腐乳</w:t>
            </w:r>
            <w:r>
              <w:rPr>
                <w:rFonts w:hint="default" w:ascii="Times New Roman" w:hAnsi="Times New Roman" w:eastAsia="仿宋_GB2312" w:cs="Times New Roman"/>
                <w:color w:val="auto"/>
                <w:spacing w:val="-11"/>
                <w:sz w:val="21"/>
                <w:szCs w:val="21"/>
                <w:highlight w:val="none"/>
                <w:lang w:val="en-US" w:eastAsia="zh-CN"/>
              </w:rPr>
              <w:t>、</w:t>
            </w:r>
            <w:r>
              <w:rPr>
                <w:rFonts w:hint="default" w:ascii="Times New Roman" w:hAnsi="Times New Roman" w:eastAsia="仿宋_GB2312" w:cs="Times New Roman"/>
                <w:color w:val="auto"/>
                <w:spacing w:val="-11"/>
                <w:sz w:val="21"/>
                <w:szCs w:val="21"/>
                <w:highlight w:val="none"/>
              </w:rPr>
              <w:t>豆豉、纳豆</w:t>
            </w:r>
            <w:r>
              <w:rPr>
                <w:rFonts w:hint="default" w:ascii="Times New Roman" w:hAnsi="Times New Roman" w:eastAsia="仿宋_GB2312" w:cs="Times New Roman"/>
                <w:color w:val="auto"/>
                <w:sz w:val="21"/>
                <w:szCs w:val="21"/>
                <w:highlight w:val="none"/>
              </w:rPr>
              <w:t>等</w:t>
            </w:r>
          </w:p>
        </w:tc>
        <w:tc>
          <w:tcPr>
            <w:tcW w:w="276" w:type="pct"/>
            <w:noWrap w:val="0"/>
            <w:vAlign w:val="center"/>
          </w:tcPr>
          <w:p w14:paraId="297407F5">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435C0F88">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苯甲酸及其钠盐（以苯甲酸计）、山梨酸及其钾盐（以山梨酸计）、脱氢乙酸及其钠盐（以脱氢乙酸计）、糖精钠（以糖精计）、甜蜜素（以环己基氨基磺酸计）、大肠菌群、铅（以Pb计）</w:t>
            </w:r>
          </w:p>
        </w:tc>
        <w:tc>
          <w:tcPr>
            <w:tcW w:w="479" w:type="pct"/>
            <w:noWrap w:val="0"/>
            <w:vAlign w:val="center"/>
          </w:tcPr>
          <w:p w14:paraId="29EF35FE">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黄曲霉毒素B</w:t>
            </w:r>
            <w:r>
              <w:rPr>
                <w:rFonts w:hint="default" w:ascii="Times New Roman" w:hAnsi="Times New Roman" w:eastAsia="仿宋_GB2312" w:cs="Times New Roman"/>
                <w:color w:val="auto"/>
                <w:sz w:val="21"/>
                <w:szCs w:val="21"/>
                <w:highlight w:val="none"/>
                <w:vertAlign w:val="subscript"/>
                <w:lang w:val="en-US" w:eastAsia="zh-CN"/>
              </w:rPr>
              <w:t>1</w:t>
            </w:r>
            <w:r>
              <w:rPr>
                <w:rFonts w:hint="default" w:ascii="Times New Roman" w:hAnsi="Times New Roman" w:eastAsia="仿宋_GB2312" w:cs="Times New Roman"/>
                <w:color w:val="auto"/>
                <w:sz w:val="21"/>
                <w:szCs w:val="21"/>
                <w:highlight w:val="none"/>
                <w:lang w:val="en-US" w:eastAsia="zh-CN"/>
              </w:rPr>
              <w:t>、铝的残留量（干样品，以Al计）</w:t>
            </w:r>
          </w:p>
        </w:tc>
        <w:tc>
          <w:tcPr>
            <w:tcW w:w="555" w:type="pct"/>
            <w:noWrap w:val="0"/>
            <w:vAlign w:val="center"/>
          </w:tcPr>
          <w:p w14:paraId="7967209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7CB958F">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F51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7DD587A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B2F9AC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35589C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77F72C55">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非发酵性豆制</w:t>
            </w:r>
            <w:r>
              <w:rPr>
                <w:rFonts w:hint="default" w:ascii="Times New Roman" w:hAnsi="Times New Roman" w:eastAsia="仿宋_GB2312" w:cs="Times New Roman"/>
                <w:color w:val="auto"/>
                <w:sz w:val="21"/>
                <w:szCs w:val="21"/>
                <w:highlight w:val="none"/>
              </w:rPr>
              <w:t>品</w:t>
            </w:r>
          </w:p>
        </w:tc>
        <w:tc>
          <w:tcPr>
            <w:tcW w:w="499" w:type="pct"/>
            <w:noWrap w:val="0"/>
            <w:vAlign w:val="center"/>
          </w:tcPr>
          <w:p w14:paraId="5AC96F5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hanging="608" w:firstLine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12"/>
                <w:sz w:val="21"/>
                <w:szCs w:val="21"/>
                <w:highlight w:val="none"/>
              </w:rPr>
              <w:t>腐</w:t>
            </w:r>
            <w:r>
              <w:rPr>
                <w:rFonts w:hint="default" w:ascii="Times New Roman" w:hAnsi="Times New Roman" w:eastAsia="仿宋_GB2312" w:cs="Times New Roman"/>
                <w:color w:val="auto"/>
                <w:spacing w:val="-11"/>
                <w:sz w:val="21"/>
                <w:szCs w:val="21"/>
                <w:highlight w:val="none"/>
              </w:rPr>
              <w:t>竹、</w:t>
            </w:r>
            <w:r>
              <w:rPr>
                <w:rFonts w:hint="default" w:ascii="Times New Roman" w:hAnsi="Times New Roman" w:eastAsia="仿宋_GB2312" w:cs="Times New Roman"/>
                <w:color w:val="auto"/>
                <w:spacing w:val="-11"/>
                <w:sz w:val="21"/>
                <w:szCs w:val="21"/>
                <w:highlight w:val="none"/>
                <w:lang w:val="en-US" w:eastAsia="zh-CN"/>
              </w:rPr>
              <w:t>腐竹、</w:t>
            </w:r>
            <w:r>
              <w:rPr>
                <w:rFonts w:hint="default" w:ascii="Times New Roman" w:hAnsi="Times New Roman" w:eastAsia="仿宋_GB2312" w:cs="Times New Roman"/>
                <w:color w:val="auto"/>
                <w:spacing w:val="-11"/>
                <w:sz w:val="21"/>
                <w:szCs w:val="21"/>
                <w:highlight w:val="none"/>
              </w:rPr>
              <w:t>油皮及其</w:t>
            </w:r>
            <w:r>
              <w:rPr>
                <w:rFonts w:hint="default" w:ascii="Times New Roman" w:hAnsi="Times New Roman" w:eastAsia="仿宋_GB2312" w:cs="Times New Roman"/>
                <w:color w:val="auto"/>
                <w:spacing w:val="-10"/>
                <w:sz w:val="21"/>
                <w:szCs w:val="21"/>
                <w:highlight w:val="none"/>
              </w:rPr>
              <w:t>再</w:t>
            </w:r>
            <w:r>
              <w:rPr>
                <w:rFonts w:hint="default" w:ascii="Times New Roman" w:hAnsi="Times New Roman" w:eastAsia="仿宋_GB2312" w:cs="Times New Roman"/>
                <w:color w:val="auto"/>
                <w:spacing w:val="10"/>
                <w:sz w:val="21"/>
                <w:szCs w:val="21"/>
                <w:highlight w:val="none"/>
              </w:rPr>
              <w:t>制品</w:t>
            </w:r>
          </w:p>
        </w:tc>
        <w:tc>
          <w:tcPr>
            <w:tcW w:w="276" w:type="pct"/>
            <w:noWrap w:val="0"/>
            <w:vAlign w:val="center"/>
          </w:tcPr>
          <w:p w14:paraId="1BCEDF2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150F5B3C">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eastAsia="zh-CN"/>
              </w:rPr>
              <w:t>蛋白质、苯甲酸及其钠盐(以苯甲酸计)、山梨酸及其钾盐(以山梨酸计)、脱氢乙酸及其钠盐(以脱氢乙酸计)、二氧化硫残留量、铝的残留量(干样品，以Al计)</w:t>
            </w:r>
          </w:p>
        </w:tc>
        <w:tc>
          <w:tcPr>
            <w:tcW w:w="479" w:type="pct"/>
            <w:noWrap w:val="0"/>
            <w:vAlign w:val="center"/>
          </w:tcPr>
          <w:p w14:paraId="78E59B9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spacing w:val="1"/>
                <w:kern w:val="2"/>
                <w:sz w:val="21"/>
                <w:szCs w:val="21"/>
                <w:highlight w:val="none"/>
                <w:lang w:val="en-US" w:eastAsia="zh-CN" w:bidi="ar-SA"/>
              </w:rPr>
            </w:pPr>
            <w:r>
              <w:rPr>
                <w:rFonts w:hint="default" w:ascii="Times New Roman" w:hAnsi="Times New Roman" w:eastAsia="仿宋_GB2312" w:cs="Times New Roman"/>
                <w:color w:val="auto"/>
                <w:spacing w:val="1"/>
                <w:sz w:val="21"/>
                <w:szCs w:val="21"/>
                <w:highlight w:val="none"/>
                <w:lang w:val="en-US" w:eastAsia="zh-CN"/>
              </w:rPr>
              <w:t>铅（以Pb计）、合成着色剂(柠檬黄、日落黄)、二甲基黄、二乙基黄</w:t>
            </w:r>
          </w:p>
        </w:tc>
        <w:tc>
          <w:tcPr>
            <w:tcW w:w="555" w:type="pct"/>
            <w:noWrap w:val="0"/>
            <w:vAlign w:val="center"/>
          </w:tcPr>
          <w:p w14:paraId="056CB4D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1C8D76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F96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72CB01E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802F7B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567B171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0FDA907">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非发酵性豆制</w:t>
            </w:r>
            <w:r>
              <w:rPr>
                <w:rFonts w:hint="default" w:ascii="Times New Roman" w:hAnsi="Times New Roman" w:eastAsia="仿宋_GB2312" w:cs="Times New Roman"/>
                <w:color w:val="auto"/>
                <w:sz w:val="21"/>
                <w:szCs w:val="21"/>
                <w:highlight w:val="none"/>
              </w:rPr>
              <w:t>品</w:t>
            </w:r>
          </w:p>
        </w:tc>
        <w:tc>
          <w:tcPr>
            <w:tcW w:w="499" w:type="pct"/>
            <w:noWrap w:val="0"/>
            <w:vAlign w:val="center"/>
          </w:tcPr>
          <w:p w14:paraId="7B4CCF2F">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2"/>
                <w:sz w:val="21"/>
                <w:szCs w:val="21"/>
                <w:highlight w:val="none"/>
              </w:rPr>
              <w:t>豆干、豆腐</w:t>
            </w:r>
            <w:r>
              <w:rPr>
                <w:rFonts w:hint="default" w:ascii="Times New Roman" w:hAnsi="Times New Roman" w:eastAsia="仿宋_GB2312" w:cs="Times New Roman"/>
                <w:color w:val="auto"/>
                <w:sz w:val="21"/>
                <w:szCs w:val="21"/>
                <w:highlight w:val="none"/>
              </w:rPr>
              <w:t>、豆皮等</w:t>
            </w:r>
          </w:p>
        </w:tc>
        <w:tc>
          <w:tcPr>
            <w:tcW w:w="276" w:type="pct"/>
            <w:noWrap w:val="0"/>
            <w:vAlign w:val="center"/>
          </w:tcPr>
          <w:p w14:paraId="405573D1">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5DEC3693">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苯甲酸及其钠盐（以苯甲酸计）、山梨酸及其钾盐（以山梨酸计）、脱氢乙酸及其钠盐（以脱氢乙酸计）、防腐剂混合使用时各自用量占其最大使用量的比例之和、铝的残留量（干样品，以Al计）、合成着色剂（柠檬黄、日落黄）、大肠菌群</w:t>
            </w:r>
          </w:p>
        </w:tc>
        <w:tc>
          <w:tcPr>
            <w:tcW w:w="479" w:type="pct"/>
            <w:noWrap w:val="0"/>
            <w:vAlign w:val="center"/>
          </w:tcPr>
          <w:p w14:paraId="3CA9177D">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铅（以Pb计）、丙酸及其钠盐、钙盐（以丙酸计）、糖精钠（以糖精计）、三氯蔗糖、甜蜜素（以环己基氨基磺酸计）</w:t>
            </w:r>
          </w:p>
        </w:tc>
        <w:tc>
          <w:tcPr>
            <w:tcW w:w="555" w:type="pct"/>
            <w:noWrap w:val="0"/>
            <w:vAlign w:val="center"/>
          </w:tcPr>
          <w:p w14:paraId="1F25A19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A7E9B8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C97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5129D4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9BEE6A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2178BC1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4212C6F4">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4"/>
                <w:sz w:val="21"/>
                <w:szCs w:val="21"/>
                <w:highlight w:val="none"/>
              </w:rPr>
              <w:t>其他豆制品</w:t>
            </w:r>
          </w:p>
        </w:tc>
        <w:tc>
          <w:tcPr>
            <w:tcW w:w="499" w:type="pct"/>
            <w:noWrap w:val="0"/>
            <w:vAlign w:val="center"/>
          </w:tcPr>
          <w:p w14:paraId="286B6D13">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11"/>
                <w:sz w:val="21"/>
                <w:szCs w:val="21"/>
                <w:highlight w:val="none"/>
              </w:rPr>
              <w:t>大豆蛋白类制品等</w:t>
            </w:r>
          </w:p>
        </w:tc>
        <w:tc>
          <w:tcPr>
            <w:tcW w:w="276" w:type="pct"/>
            <w:noWrap w:val="0"/>
            <w:vAlign w:val="center"/>
          </w:tcPr>
          <w:p w14:paraId="05B36B1A">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jc w:val="center"/>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pacing w:val="-3"/>
                <w:sz w:val="21"/>
                <w:szCs w:val="21"/>
                <w:highlight w:val="none"/>
              </w:rPr>
              <w:t>较高</w:t>
            </w:r>
          </w:p>
        </w:tc>
        <w:tc>
          <w:tcPr>
            <w:tcW w:w="1303" w:type="pct"/>
            <w:noWrap w:val="0"/>
            <w:vAlign w:val="center"/>
          </w:tcPr>
          <w:p w14:paraId="184953A0">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eastAsia="zh-CN"/>
              </w:rPr>
              <w:t>苯甲酸及其钠盐（以苯甲酸计）、山梨酸及其钾盐（以山梨酸计）、脱氢乙酸及其钠盐（以脱氢乙酸计）、糖精钠（以糖精计）、三氯蔗糖、铝的残留量（干样品，以Al计）、大肠菌群</w:t>
            </w:r>
          </w:p>
        </w:tc>
        <w:tc>
          <w:tcPr>
            <w:tcW w:w="479" w:type="pct"/>
            <w:noWrap w:val="0"/>
            <w:vAlign w:val="center"/>
          </w:tcPr>
          <w:p w14:paraId="403CAE9C">
            <w:pPr>
              <w:pStyle w:val="132"/>
              <w:keepNext w:val="0"/>
              <w:keepLines w:val="0"/>
              <w:pageBreakBefore w:val="0"/>
              <w:widowControl/>
              <w:kinsoku w:val="0"/>
              <w:wordWrap/>
              <w:overflowPunct/>
              <w:topLinePunct w:val="0"/>
              <w:autoSpaceDE w:val="0"/>
              <w:autoSpaceDN w:val="0"/>
              <w:bidi w:val="0"/>
              <w:adjustRightInd w:val="0"/>
              <w:snapToGrid w:val="0"/>
              <w:spacing w:line="300" w:lineRule="exact"/>
              <w:ind w:left="0" w:leftChars="0" w:right="0" w:rightChars="0" w:firstLine="0" w:firstLineChars="0"/>
              <w:jc w:val="left"/>
              <w:textAlignment w:val="baseline"/>
              <w:rPr>
                <w:rFonts w:hint="default" w:ascii="Times New Roman" w:hAnsi="Times New Roman" w:eastAsia="仿宋_GB2312" w:cs="Times New Roman"/>
                <w:color w:val="auto"/>
                <w:kern w:val="2"/>
                <w:sz w:val="21"/>
                <w:szCs w:val="21"/>
                <w:highlight w:val="none"/>
                <w:lang w:val="en-US" w:eastAsia="en-US" w:bidi="ar-SA"/>
              </w:rPr>
            </w:pPr>
            <w:r>
              <w:rPr>
                <w:rFonts w:hint="default" w:ascii="Times New Roman" w:hAnsi="Times New Roman" w:eastAsia="仿宋_GB2312" w:cs="Times New Roman"/>
                <w:color w:val="auto"/>
                <w:sz w:val="21"/>
                <w:szCs w:val="21"/>
                <w:highlight w:val="none"/>
              </w:rPr>
              <w:t>铅（以Pb计）</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合成着色剂（柠檬黄、日落黄）</w:t>
            </w:r>
          </w:p>
        </w:tc>
        <w:tc>
          <w:tcPr>
            <w:tcW w:w="555" w:type="pct"/>
            <w:noWrap w:val="0"/>
            <w:vAlign w:val="center"/>
          </w:tcPr>
          <w:p w14:paraId="2C2844B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79CEB1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E83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restart"/>
            <w:noWrap w:val="0"/>
            <w:vAlign w:val="center"/>
          </w:tcPr>
          <w:p w14:paraId="0E10FDD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26</w:t>
            </w:r>
          </w:p>
        </w:tc>
        <w:tc>
          <w:tcPr>
            <w:tcW w:w="320" w:type="pct"/>
            <w:vMerge w:val="restart"/>
            <w:noWrap w:val="0"/>
            <w:vAlign w:val="center"/>
          </w:tcPr>
          <w:p w14:paraId="544B3EF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蜂产品</w:t>
            </w:r>
          </w:p>
        </w:tc>
        <w:tc>
          <w:tcPr>
            <w:tcW w:w="324" w:type="pct"/>
            <w:vMerge w:val="restart"/>
            <w:noWrap w:val="0"/>
            <w:vAlign w:val="center"/>
          </w:tcPr>
          <w:p w14:paraId="57875A2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蜂产品</w:t>
            </w:r>
          </w:p>
        </w:tc>
        <w:tc>
          <w:tcPr>
            <w:tcW w:w="346" w:type="pct"/>
            <w:noWrap w:val="0"/>
            <w:vAlign w:val="center"/>
          </w:tcPr>
          <w:p w14:paraId="65CED2E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蜂蜜</w:t>
            </w:r>
          </w:p>
        </w:tc>
        <w:tc>
          <w:tcPr>
            <w:tcW w:w="499" w:type="pct"/>
            <w:noWrap w:val="0"/>
            <w:vAlign w:val="center"/>
          </w:tcPr>
          <w:p w14:paraId="4AB6058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蜂蜜</w:t>
            </w:r>
          </w:p>
        </w:tc>
        <w:tc>
          <w:tcPr>
            <w:tcW w:w="276" w:type="pct"/>
            <w:noWrap w:val="0"/>
            <w:vAlign w:val="center"/>
          </w:tcPr>
          <w:p w14:paraId="090646C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高</w:t>
            </w:r>
          </w:p>
        </w:tc>
        <w:tc>
          <w:tcPr>
            <w:tcW w:w="1303" w:type="pct"/>
            <w:noWrap w:val="0"/>
            <w:vAlign w:val="center"/>
          </w:tcPr>
          <w:p w14:paraId="3FFC8D2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rPr>
              <w:t>果糖和葡萄糖、呋喃西林代谢物、菌落总数、嗜渗酵母计数、蔗糖、呋喃唑酮代谢物、甲硝唑</w:t>
            </w:r>
            <w:r>
              <w:rPr>
                <w:rFonts w:hint="default" w:ascii="Times New Roman" w:hAnsi="Times New Roman" w:eastAsia="仿宋_GB2312" w:cs="Times New Roman"/>
                <w:color w:val="auto"/>
                <w:sz w:val="21"/>
                <w:szCs w:val="21"/>
                <w:highlight w:val="none"/>
                <w:lang w:eastAsia="zh-CN"/>
              </w:rPr>
              <w:t>、氟胺氰菊酯</w:t>
            </w:r>
          </w:p>
        </w:tc>
        <w:tc>
          <w:tcPr>
            <w:tcW w:w="479" w:type="pct"/>
            <w:noWrap w:val="0"/>
            <w:vAlign w:val="center"/>
          </w:tcPr>
          <w:p w14:paraId="709F64C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霉菌计数、氯霉素</w:t>
            </w:r>
          </w:p>
        </w:tc>
        <w:tc>
          <w:tcPr>
            <w:tcW w:w="555" w:type="pct"/>
            <w:noWrap w:val="0"/>
            <w:vAlign w:val="center"/>
          </w:tcPr>
          <w:p w14:paraId="515A11B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96F119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53E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3AD7511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29ED1F6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BA6A0C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27DC4AAF">
            <w:pPr>
              <w:pStyle w:val="4"/>
              <w:pageBreakBefore w:val="0"/>
              <w:widowControl/>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z w:val="21"/>
                <w:szCs w:val="21"/>
                <w:highlight w:val="none"/>
              </w:rPr>
              <w:t>蜂王浆(含蜂王浆冻干品)</w:t>
            </w:r>
          </w:p>
        </w:tc>
        <w:tc>
          <w:tcPr>
            <w:tcW w:w="499" w:type="pct"/>
            <w:noWrap w:val="0"/>
            <w:vAlign w:val="center"/>
          </w:tcPr>
          <w:p w14:paraId="477040BC">
            <w:pPr>
              <w:pStyle w:val="4"/>
              <w:pageBreakBefore w:val="0"/>
              <w:widowControl/>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z w:val="21"/>
                <w:szCs w:val="21"/>
                <w:highlight w:val="none"/>
              </w:rPr>
              <w:t>蜂王浆(含蜂王浆冻干品)</w:t>
            </w:r>
          </w:p>
        </w:tc>
        <w:tc>
          <w:tcPr>
            <w:tcW w:w="276" w:type="pct"/>
            <w:noWrap w:val="0"/>
            <w:vAlign w:val="center"/>
          </w:tcPr>
          <w:p w14:paraId="4A4CA0C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67AD9E1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10-羟基-2-癸烯酸、酸度、蛋白质、呋喃西林代谢物</w:t>
            </w:r>
          </w:p>
        </w:tc>
        <w:tc>
          <w:tcPr>
            <w:tcW w:w="479" w:type="pct"/>
            <w:noWrap w:val="0"/>
            <w:vAlign w:val="center"/>
          </w:tcPr>
          <w:p w14:paraId="23F5477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17AEAB1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579576C">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1025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4627594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F1FB9F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B7BD2B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866F45E">
            <w:pPr>
              <w:pStyle w:val="4"/>
              <w:pageBreakBefore w:val="0"/>
              <w:widowControl/>
              <w:wordWrap/>
              <w:overflowPunct/>
              <w:topLinePunct w:val="0"/>
              <w:bidi w:val="0"/>
              <w:spacing w:line="300" w:lineRule="exact"/>
              <w:jc w:val="both"/>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z w:val="21"/>
                <w:szCs w:val="21"/>
                <w:highlight w:val="none"/>
              </w:rPr>
              <w:t>蜂花粉</w:t>
            </w:r>
          </w:p>
        </w:tc>
        <w:tc>
          <w:tcPr>
            <w:tcW w:w="499" w:type="pct"/>
            <w:noWrap w:val="0"/>
            <w:vAlign w:val="center"/>
          </w:tcPr>
          <w:p w14:paraId="0CB1EB40">
            <w:pPr>
              <w:pStyle w:val="4"/>
              <w:pageBreakBefore w:val="0"/>
              <w:widowControl/>
              <w:wordWrap/>
              <w:overflowPunct/>
              <w:topLinePunct w:val="0"/>
              <w:bidi w:val="0"/>
              <w:spacing w:line="300" w:lineRule="exact"/>
              <w:ind w:firstLine="420" w:firstLineChars="200"/>
              <w:jc w:val="both"/>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z w:val="21"/>
                <w:szCs w:val="21"/>
                <w:highlight w:val="none"/>
              </w:rPr>
              <w:t>蜂花粉</w:t>
            </w:r>
          </w:p>
        </w:tc>
        <w:tc>
          <w:tcPr>
            <w:tcW w:w="276" w:type="pct"/>
            <w:noWrap w:val="0"/>
            <w:vAlign w:val="center"/>
          </w:tcPr>
          <w:p w14:paraId="32B447F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70B02A78">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菌落总数、大肠菌群、霉菌、铅(Pb)</w:t>
            </w:r>
          </w:p>
        </w:tc>
        <w:tc>
          <w:tcPr>
            <w:tcW w:w="479" w:type="pct"/>
            <w:noWrap w:val="0"/>
            <w:vAlign w:val="center"/>
          </w:tcPr>
          <w:p w14:paraId="69A31899">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3186F1E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2E4BB7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48C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75C6429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AE343C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53551C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0D91CEF3">
            <w:pPr>
              <w:pageBreakBefore w:val="0"/>
              <w:wordWrap/>
              <w:overflowPunct/>
              <w:topLinePunct w:val="0"/>
              <w:bidi w:val="0"/>
              <w:spacing w:line="300" w:lineRule="exact"/>
              <w:jc w:val="both"/>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蜂产品制品</w:t>
            </w:r>
          </w:p>
        </w:tc>
        <w:tc>
          <w:tcPr>
            <w:tcW w:w="499" w:type="pct"/>
            <w:noWrap w:val="0"/>
            <w:vAlign w:val="center"/>
          </w:tcPr>
          <w:p w14:paraId="04EC6CF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蜂产品制品</w:t>
            </w:r>
          </w:p>
        </w:tc>
        <w:tc>
          <w:tcPr>
            <w:tcW w:w="276" w:type="pct"/>
            <w:noWrap w:val="0"/>
            <w:vAlign w:val="center"/>
          </w:tcPr>
          <w:p w14:paraId="6D08385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1CAA272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山梨酸及其钾盐(以山梨酸计)、合成着色剂(柠檬黄、日落黄)、菌落总数</w:t>
            </w:r>
          </w:p>
        </w:tc>
        <w:tc>
          <w:tcPr>
            <w:tcW w:w="479" w:type="pct"/>
            <w:noWrap w:val="0"/>
            <w:vAlign w:val="center"/>
          </w:tcPr>
          <w:p w14:paraId="4805BCA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259B3B6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986851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C78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noWrap w:val="0"/>
            <w:vAlign w:val="center"/>
          </w:tcPr>
          <w:p w14:paraId="43A79C9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27</w:t>
            </w:r>
          </w:p>
        </w:tc>
        <w:tc>
          <w:tcPr>
            <w:tcW w:w="320" w:type="pct"/>
            <w:noWrap w:val="0"/>
            <w:vAlign w:val="center"/>
          </w:tcPr>
          <w:p w14:paraId="61206F7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保健食品</w:t>
            </w:r>
          </w:p>
        </w:tc>
        <w:tc>
          <w:tcPr>
            <w:tcW w:w="324" w:type="pct"/>
            <w:noWrap w:val="0"/>
            <w:vAlign w:val="center"/>
          </w:tcPr>
          <w:p w14:paraId="7DACF7B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保健食品</w:t>
            </w:r>
          </w:p>
        </w:tc>
        <w:tc>
          <w:tcPr>
            <w:tcW w:w="346" w:type="pct"/>
            <w:noWrap w:val="0"/>
            <w:vAlign w:val="center"/>
          </w:tcPr>
          <w:p w14:paraId="7C06A3E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保健食品</w:t>
            </w:r>
          </w:p>
        </w:tc>
        <w:tc>
          <w:tcPr>
            <w:tcW w:w="499" w:type="pct"/>
            <w:noWrap w:val="0"/>
            <w:vAlign w:val="center"/>
          </w:tcPr>
          <w:p w14:paraId="3E853D1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保健食品</w:t>
            </w:r>
          </w:p>
        </w:tc>
        <w:tc>
          <w:tcPr>
            <w:tcW w:w="276" w:type="pct"/>
            <w:noWrap w:val="0"/>
            <w:vAlign w:val="center"/>
          </w:tcPr>
          <w:p w14:paraId="0D3D0D86">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较高</w:t>
            </w:r>
          </w:p>
        </w:tc>
        <w:tc>
          <w:tcPr>
            <w:tcW w:w="1303" w:type="pct"/>
            <w:noWrap w:val="0"/>
            <w:vAlign w:val="center"/>
          </w:tcPr>
          <w:p w14:paraId="06D9AB15">
            <w:pPr>
              <w:keepNext w:val="0"/>
              <w:keepLines w:val="0"/>
              <w:pageBreakBefore w:val="0"/>
              <w:widowControl/>
              <w:suppressLineNumbers w:val="0"/>
              <w:wordWrap/>
              <w:overflowPunct/>
              <w:topLinePunct w:val="0"/>
              <w:bidi w:val="0"/>
              <w:spacing w:line="300" w:lineRule="exact"/>
              <w:jc w:val="left"/>
              <w:textAlignment w:val="center"/>
              <w:rPr>
                <w:rFonts w:hint="eastAsia" w:eastAsia="仿宋_GB2312" w:cs="Times New Roman"/>
                <w:b/>
                <w:bCs/>
                <w:i w:val="0"/>
                <w:iCs w:val="0"/>
                <w:color w:val="000000"/>
                <w:kern w:val="0"/>
                <w:sz w:val="21"/>
                <w:szCs w:val="21"/>
                <w:highlight w:val="none"/>
                <w:u w:val="single"/>
                <w:lang w:val="en-US" w:eastAsia="zh-CN" w:bidi="ar"/>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氨基酸、10-羟基-2-癸烯酸、蛋白质、二十二碳六烯酸、二十碳五烯酸、泛酸、钙、还原糖</w:t>
            </w:r>
            <w:r>
              <w:rPr>
                <w:rFonts w:hint="eastAsia" w:ascii="Times New Roman" w:hAnsi="Times New Roman" w:eastAsia="仿宋_GB2312" w:cs="Times New Roman"/>
                <w:b/>
                <w:bCs/>
                <w:i w:val="0"/>
                <w:iCs w:val="0"/>
                <w:color w:val="000000"/>
                <w:kern w:val="0"/>
                <w:sz w:val="21"/>
                <w:szCs w:val="21"/>
                <w:highlight w:val="none"/>
                <w:u w:val="none"/>
                <w:lang w:val="en-US" w:eastAsia="zh-CN" w:bidi="ar"/>
              </w:rPr>
              <w:t>、</w:t>
            </w:r>
            <w:r>
              <w:rPr>
                <w:rFonts w:hint="default" w:ascii="Times New Roman" w:hAnsi="Times New Roman" w:eastAsia="仿宋_GB2312" w:cs="Times New Roman"/>
                <w:b/>
                <w:bCs/>
                <w:i w:val="0"/>
                <w:iCs w:val="0"/>
                <w:color w:val="000000"/>
                <w:kern w:val="0"/>
                <w:sz w:val="21"/>
                <w:szCs w:val="21"/>
                <w:highlight w:val="none"/>
                <w:u w:val="none"/>
                <w:lang w:val="en-US" w:eastAsia="zh-CN" w:bidi="ar"/>
              </w:rPr>
              <w:t>肌醇、赖氨酸、绿原酸、铁、维生素A、维生素B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1</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12</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2</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6</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、维生素C、维生素D、维生素D</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3</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、维生素E、硒、锌、烟酰胺、叶酸、免疫球蛋白IgG、总黄酮</w:t>
            </w:r>
            <w:r>
              <w:rPr>
                <w:rFonts w:hint="eastAsia" w:ascii="Times New Roman" w:hAnsi="Times New Roman" w:eastAsia="仿宋_GB2312" w:cs="Times New Roman"/>
                <w:b/>
                <w:bCs/>
                <w:i w:val="0"/>
                <w:iCs w:val="0"/>
                <w:color w:val="000000"/>
                <w:kern w:val="0"/>
                <w:sz w:val="21"/>
                <w:szCs w:val="21"/>
                <w:highlight w:val="none"/>
                <w:u w:val="none"/>
                <w:lang w:val="en-US" w:eastAsia="zh-CN" w:bidi="ar"/>
              </w:rPr>
              <w:t>、</w:t>
            </w:r>
            <w:r>
              <w:rPr>
                <w:rFonts w:hint="default" w:ascii="Times New Roman" w:hAnsi="Times New Roman" w:eastAsia="仿宋_GB2312" w:cs="Times New Roman"/>
                <w:b/>
                <w:bCs/>
                <w:i w:val="0"/>
                <w:iCs w:val="0"/>
                <w:color w:val="000000"/>
                <w:kern w:val="0"/>
                <w:sz w:val="21"/>
                <w:szCs w:val="21"/>
                <w:highlight w:val="none"/>
                <w:u w:val="none"/>
                <w:lang w:val="en-US" w:eastAsia="zh-CN" w:bidi="ar"/>
              </w:rPr>
              <w:t>总皂苷、总蒽醒、吡啶甲酸铬、芦荟苷、总三萜、嗜酸乳杆菌、双歧杆菌、水分、可溶性固形物、酸价、过氧化值、崩解时限、灰分</w:t>
            </w:r>
            <w:r>
              <w:rPr>
                <w:rFonts w:hint="eastAsia" w:eastAsia="仿宋_GB2312" w:cs="Times New Roman"/>
                <w:b/>
                <w:bCs/>
                <w:i w:val="0"/>
                <w:iCs w:val="0"/>
                <w:color w:val="000000"/>
                <w:kern w:val="0"/>
                <w:sz w:val="21"/>
                <w:szCs w:val="21"/>
                <w:highlight w:val="none"/>
                <w:u w:val="single"/>
                <w:lang w:val="en-US" w:eastAsia="zh-CN" w:bidi="ar"/>
              </w:rPr>
              <w:t>（以上部分无需资质，承诺覆盖，可出具风险监测报告。）</w:t>
            </w:r>
          </w:p>
          <w:p w14:paraId="344606B7">
            <w:pPr>
              <w:pStyle w:val="2"/>
              <w:ind w:left="0" w:leftChars="0" w:firstLine="0" w:firstLineChars="0"/>
              <w:rPr>
                <w:rFonts w:hint="eastAsia"/>
                <w:lang w:val="en-US" w:eastAsia="zh-CN"/>
              </w:rPr>
            </w:pPr>
          </w:p>
          <w:p w14:paraId="5BAC1544">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铅(Pb)、总砷(As)、总汞(Hg)、硬胶囊壳中的铬、菌落总数、大肠菌群、霉菌和酵母、金黄色葡萄球菌、沙门氏菌、褪黑素、甘草酸、咖啡因、淫羊藿苷、葛根素、辅酶Q</w:t>
            </w:r>
            <w:r>
              <w:rPr>
                <w:rFonts w:hint="eastAsia" w:ascii="Times New Roman" w:hAnsi="Times New Roman" w:eastAsia="仿宋_GB2312" w:cs="Times New Roman"/>
                <w:i w:val="0"/>
                <w:iCs w:val="0"/>
                <w:color w:val="auto"/>
                <w:kern w:val="0"/>
                <w:sz w:val="21"/>
                <w:szCs w:val="21"/>
                <w:highlight w:val="none"/>
                <w:u w:val="none"/>
                <w:vertAlign w:val="subscript"/>
                <w:lang w:val="en-US" w:eastAsia="zh-CN" w:bidi="ar"/>
              </w:rPr>
              <w:t>10</w:t>
            </w:r>
            <w:r>
              <w:rPr>
                <w:rFonts w:hint="default" w:ascii="Times New Roman" w:hAnsi="Times New Roman" w:eastAsia="仿宋_GB2312" w:cs="Times New Roman"/>
                <w:i w:val="0"/>
                <w:iCs w:val="0"/>
                <w:color w:val="auto"/>
                <w:kern w:val="0"/>
                <w:sz w:val="21"/>
                <w:szCs w:val="21"/>
                <w:highlight w:val="none"/>
                <w:u w:val="none"/>
                <w:lang w:val="en-US" w:eastAsia="zh-CN" w:bidi="ar"/>
              </w:rPr>
              <w:t>、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479" w:type="pct"/>
            <w:noWrap w:val="0"/>
            <w:vAlign w:val="center"/>
          </w:tcPr>
          <w:p w14:paraId="3763325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p>
        </w:tc>
        <w:tc>
          <w:tcPr>
            <w:tcW w:w="555" w:type="pct"/>
            <w:noWrap w:val="0"/>
            <w:vAlign w:val="center"/>
          </w:tcPr>
          <w:p w14:paraId="115BA76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0D4404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852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restart"/>
            <w:noWrap w:val="0"/>
            <w:vAlign w:val="center"/>
          </w:tcPr>
          <w:p w14:paraId="6E0F7B83">
            <w:pPr>
              <w:pageBreakBefore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28</w:t>
            </w:r>
          </w:p>
        </w:tc>
        <w:tc>
          <w:tcPr>
            <w:tcW w:w="320" w:type="pct"/>
            <w:vMerge w:val="restart"/>
            <w:noWrap w:val="0"/>
            <w:vAlign w:val="center"/>
          </w:tcPr>
          <w:p w14:paraId="5BA29757">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餐饮食品</w:t>
            </w:r>
          </w:p>
        </w:tc>
        <w:tc>
          <w:tcPr>
            <w:tcW w:w="324" w:type="pct"/>
            <w:vMerge w:val="restart"/>
            <w:noWrap w:val="0"/>
            <w:vAlign w:val="center"/>
          </w:tcPr>
          <w:p w14:paraId="593D9C87">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米面及其制品(自制)</w:t>
            </w:r>
          </w:p>
        </w:tc>
        <w:tc>
          <w:tcPr>
            <w:tcW w:w="346" w:type="pct"/>
            <w:vMerge w:val="restart"/>
            <w:noWrap w:val="0"/>
            <w:vAlign w:val="center"/>
          </w:tcPr>
          <w:p w14:paraId="5FA66C5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小麦粉制品(自制)</w:t>
            </w:r>
          </w:p>
        </w:tc>
        <w:tc>
          <w:tcPr>
            <w:tcW w:w="499" w:type="pct"/>
            <w:noWrap w:val="0"/>
            <w:vAlign w:val="center"/>
          </w:tcPr>
          <w:p w14:paraId="0EBC704F">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馒头花卷</w:t>
            </w:r>
          </w:p>
          <w:p w14:paraId="2523819F">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37F4F1C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9DA21F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苯甲酸及其钠盐(以苯甲酸计)、山梨酸及其钾盐(以山梨酸计)、糖精钠(以糖精计)、脱氢乙酸及其钠盐(以脱氢乙酸计)、甜蜜素(以环己基氨基磺酸计)、合成着色剂（柠檬黄、日落黄、胭脂红、苋菜红、亮蓝）</w:t>
            </w:r>
          </w:p>
        </w:tc>
        <w:tc>
          <w:tcPr>
            <w:tcW w:w="479" w:type="pct"/>
            <w:noWrap w:val="0"/>
            <w:vAlign w:val="center"/>
          </w:tcPr>
          <w:p w14:paraId="50B67BB2">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铅(以Pb计)</w:t>
            </w:r>
          </w:p>
          <w:p w14:paraId="7B122C51">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sz w:val="21"/>
                <w:szCs w:val="21"/>
                <w:highlight w:val="none"/>
                <w:lang w:eastAsia="zh-CN"/>
              </w:rPr>
            </w:pPr>
          </w:p>
          <w:p w14:paraId="56686D5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p>
        </w:tc>
        <w:tc>
          <w:tcPr>
            <w:tcW w:w="555" w:type="pct"/>
            <w:noWrap w:val="0"/>
            <w:vAlign w:val="center"/>
          </w:tcPr>
          <w:p w14:paraId="4A8BED9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B95788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0FC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892349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6BBD79D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115BA59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27D5264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6E1D9963">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包子（自制）</w:t>
            </w:r>
          </w:p>
        </w:tc>
        <w:tc>
          <w:tcPr>
            <w:tcW w:w="276" w:type="pct"/>
            <w:noWrap w:val="0"/>
            <w:vAlign w:val="center"/>
          </w:tcPr>
          <w:p w14:paraId="1738697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31C9F6E9">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苯甲酸及其钠盐(以苯甲酸计)、山梨酸及其钾盐(以山梨酸计)、糖精钠(以糖精计)、脱氢乙酸及其钠盐(以脱氢乙酸计)、甜蜜素(以环己基氨基磺酸计)</w:t>
            </w:r>
          </w:p>
        </w:tc>
        <w:tc>
          <w:tcPr>
            <w:tcW w:w="479" w:type="pct"/>
            <w:noWrap w:val="0"/>
            <w:vAlign w:val="center"/>
          </w:tcPr>
          <w:p w14:paraId="5021695F">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496A559E">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21F269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5CC1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0BDB201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009FC1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3A3664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547F109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69266DEE">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油饼油条</w:t>
            </w:r>
          </w:p>
          <w:p w14:paraId="6DD9F3F6">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0E523E4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407279A5">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铝的残留量(干样品,以Al计)</w:t>
            </w:r>
          </w:p>
        </w:tc>
        <w:tc>
          <w:tcPr>
            <w:tcW w:w="479" w:type="pct"/>
            <w:noWrap w:val="0"/>
            <w:vAlign w:val="center"/>
          </w:tcPr>
          <w:p w14:paraId="78598A41">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6775C7C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1C4D3B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6A3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0725DAB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54384D6">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47BA1B9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524561F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7F3AECA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凉皮（自制）</w:t>
            </w:r>
          </w:p>
        </w:tc>
        <w:tc>
          <w:tcPr>
            <w:tcW w:w="276" w:type="pct"/>
            <w:noWrap w:val="0"/>
            <w:vAlign w:val="center"/>
          </w:tcPr>
          <w:p w14:paraId="79BA5E2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78C476B4">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脱氢乙酸及其钠盐(以脱氢乙酸计)、合成着色剂（柠檬黄、日落黄）</w:t>
            </w:r>
          </w:p>
        </w:tc>
        <w:tc>
          <w:tcPr>
            <w:tcW w:w="479" w:type="pct"/>
            <w:noWrap w:val="0"/>
            <w:vAlign w:val="center"/>
          </w:tcPr>
          <w:p w14:paraId="6A02EE7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p>
        </w:tc>
        <w:tc>
          <w:tcPr>
            <w:tcW w:w="555" w:type="pct"/>
            <w:noWrap w:val="0"/>
            <w:vAlign w:val="center"/>
          </w:tcPr>
          <w:p w14:paraId="3198714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446272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5C3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0CFAC2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75D3720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7C263BE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482093F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4F6CD26D">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其他油炸面制品（自制）</w:t>
            </w:r>
          </w:p>
        </w:tc>
        <w:tc>
          <w:tcPr>
            <w:tcW w:w="276" w:type="pct"/>
            <w:noWrap w:val="0"/>
            <w:vAlign w:val="center"/>
          </w:tcPr>
          <w:p w14:paraId="5ED50090">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DB91B24">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铝的残留量(干样品,以Al计)</w:t>
            </w:r>
          </w:p>
        </w:tc>
        <w:tc>
          <w:tcPr>
            <w:tcW w:w="479" w:type="pct"/>
            <w:noWrap w:val="0"/>
            <w:vAlign w:val="center"/>
          </w:tcPr>
          <w:p w14:paraId="7D6D30AE">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7D0DA7B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3052EF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9FD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AD4445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B29918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02D5B51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3A24597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029044D1">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水饺馄饨</w:t>
            </w:r>
          </w:p>
          <w:p w14:paraId="68EB7DF9">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1672C9D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168D2A23">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苯甲酸及其钠盐(以苯甲酸计)、山梨酸及其钾盐(以山梨酸计)、脱氢乙酸及其钠盐(以脱氢乙酸计)、</w:t>
            </w:r>
            <w:r>
              <w:rPr>
                <w:rFonts w:hint="default" w:ascii="Times New Roman" w:hAnsi="Times New Roman" w:eastAsia="仿宋_GB2312" w:cs="Times New Roman"/>
                <w:color w:val="auto"/>
                <w:spacing w:val="5"/>
                <w:sz w:val="21"/>
                <w:szCs w:val="21"/>
                <w:highlight w:val="none"/>
                <w:lang w:val="en-US" w:eastAsia="en-US"/>
              </w:rPr>
              <w:t>合成着色剂（柠檬黄、日落黄</w:t>
            </w:r>
            <w:r>
              <w:rPr>
                <w:rFonts w:hint="default" w:ascii="Times New Roman" w:hAnsi="Times New Roman" w:eastAsia="仿宋_GB2312" w:cs="Times New Roman"/>
                <w:color w:val="auto"/>
                <w:spacing w:val="5"/>
                <w:sz w:val="21"/>
                <w:szCs w:val="21"/>
                <w:highlight w:val="none"/>
                <w:lang w:val="en-US" w:eastAsia="zh-CN"/>
              </w:rPr>
              <w:t>、胭脂红、苋菜红、亮蓝</w:t>
            </w:r>
            <w:r>
              <w:rPr>
                <w:rFonts w:hint="default" w:ascii="Times New Roman" w:hAnsi="Times New Roman" w:eastAsia="仿宋_GB2312" w:cs="Times New Roman"/>
                <w:color w:val="auto"/>
                <w:spacing w:val="5"/>
                <w:sz w:val="21"/>
                <w:szCs w:val="21"/>
                <w:highlight w:val="none"/>
                <w:lang w:val="en-US" w:eastAsia="en-US"/>
              </w:rPr>
              <w:t>）</w:t>
            </w:r>
          </w:p>
        </w:tc>
        <w:tc>
          <w:tcPr>
            <w:tcW w:w="479" w:type="pct"/>
            <w:noWrap w:val="0"/>
            <w:vAlign w:val="center"/>
          </w:tcPr>
          <w:p w14:paraId="65E2CD5D">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51098E4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97E526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001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0113AA6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A911094">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6D4CB2A3">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p>
        </w:tc>
        <w:tc>
          <w:tcPr>
            <w:tcW w:w="346" w:type="pct"/>
            <w:vMerge w:val="continue"/>
            <w:noWrap w:val="0"/>
            <w:vAlign w:val="center"/>
          </w:tcPr>
          <w:p w14:paraId="3A9D7FEA">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p>
        </w:tc>
        <w:tc>
          <w:tcPr>
            <w:tcW w:w="499" w:type="pct"/>
            <w:noWrap w:val="0"/>
            <w:vAlign w:val="center"/>
          </w:tcPr>
          <w:p w14:paraId="4D098912">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其他发酵面制品（自制）</w:t>
            </w:r>
          </w:p>
        </w:tc>
        <w:tc>
          <w:tcPr>
            <w:tcW w:w="276" w:type="pct"/>
            <w:noWrap w:val="0"/>
            <w:vAlign w:val="center"/>
          </w:tcPr>
          <w:p w14:paraId="6EDB7865">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A6444B0">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苯甲酸及其钠盐(以苯甲酸计)、山梨酸及其钾盐(以山梨酸计)、糖精钠(以糖精计)、脱氢乙酸及其钠盐(以脱氢乙酸计)、甜蜜素(以环己基氨基磺酸计)、</w:t>
            </w:r>
            <w:r>
              <w:rPr>
                <w:rFonts w:hint="default" w:ascii="Times New Roman" w:hAnsi="Times New Roman" w:eastAsia="仿宋_GB2312" w:cs="Times New Roman"/>
                <w:color w:val="auto"/>
                <w:spacing w:val="5"/>
                <w:sz w:val="21"/>
                <w:szCs w:val="21"/>
                <w:highlight w:val="none"/>
                <w:lang w:val="en-US" w:eastAsia="en-US"/>
              </w:rPr>
              <w:t>合成着色剂（柠檬黄、日落黄）</w:t>
            </w:r>
          </w:p>
        </w:tc>
        <w:tc>
          <w:tcPr>
            <w:tcW w:w="479" w:type="pct"/>
            <w:noWrap w:val="0"/>
            <w:vAlign w:val="center"/>
          </w:tcPr>
          <w:p w14:paraId="506B8943">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3022FD5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2E108D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3E6B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0147FF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67145C7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1F2E584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肉制品(自制)</w:t>
            </w:r>
          </w:p>
        </w:tc>
        <w:tc>
          <w:tcPr>
            <w:tcW w:w="346" w:type="pct"/>
            <w:vMerge w:val="restart"/>
            <w:noWrap w:val="0"/>
            <w:vAlign w:val="center"/>
          </w:tcPr>
          <w:p w14:paraId="31A2AB4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熟肉制品(自制)</w:t>
            </w:r>
          </w:p>
        </w:tc>
        <w:tc>
          <w:tcPr>
            <w:tcW w:w="499" w:type="pct"/>
            <w:noWrap w:val="0"/>
            <w:vAlign w:val="center"/>
          </w:tcPr>
          <w:p w14:paraId="25127F42">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熏烧烤肉类</w:t>
            </w:r>
          </w:p>
          <w:p w14:paraId="4684C341">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6EB11913">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较高</w:t>
            </w:r>
          </w:p>
        </w:tc>
        <w:tc>
          <w:tcPr>
            <w:tcW w:w="1303" w:type="pct"/>
            <w:noWrap w:val="0"/>
            <w:vAlign w:val="center"/>
          </w:tcPr>
          <w:p w14:paraId="52F660D9">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苯甲酸及其钠盐(以苯甲酸计)、山梨酸及其钾盐(以山梨酸计)、糖精钠(以糖精计)、合成着色剂（柠檬黄</w:t>
            </w:r>
            <w:r>
              <w:rPr>
                <w:rFonts w:hint="eastAsia" w:ascii="Times New Roman" w:hAnsi="Times New Roman" w:eastAsia="仿宋_GB2312" w:cs="Times New Roman"/>
                <w:color w:val="auto"/>
                <w:spacing w:val="5"/>
                <w:sz w:val="21"/>
                <w:szCs w:val="21"/>
                <w:highlight w:val="none"/>
                <w:lang w:eastAsia="zh-CN"/>
              </w:rPr>
              <w:t>、</w:t>
            </w:r>
            <w:r>
              <w:rPr>
                <w:rFonts w:hint="default" w:ascii="Times New Roman" w:hAnsi="Times New Roman" w:eastAsia="仿宋_GB2312" w:cs="Times New Roman"/>
                <w:color w:val="auto"/>
                <w:spacing w:val="5"/>
                <w:sz w:val="21"/>
                <w:szCs w:val="21"/>
                <w:highlight w:val="none"/>
                <w:lang w:eastAsia="zh-CN"/>
              </w:rPr>
              <w:t>日落黄、胭脂红、</w:t>
            </w:r>
            <w:r>
              <w:rPr>
                <w:rFonts w:hint="default" w:ascii="Times New Roman" w:hAnsi="Times New Roman" w:eastAsia="仿宋_GB2312" w:cs="Times New Roman"/>
                <w:color w:val="auto"/>
                <w:spacing w:val="5"/>
                <w:sz w:val="21"/>
                <w:szCs w:val="21"/>
                <w:highlight w:val="none"/>
                <w:lang w:val="en-US" w:eastAsia="zh-CN"/>
              </w:rPr>
              <w:t>苋菜红</w:t>
            </w:r>
            <w:r>
              <w:rPr>
                <w:rFonts w:hint="default" w:ascii="Times New Roman" w:hAnsi="Times New Roman" w:eastAsia="仿宋_GB2312" w:cs="Times New Roman"/>
                <w:color w:val="auto"/>
                <w:spacing w:val="5"/>
                <w:sz w:val="21"/>
                <w:szCs w:val="21"/>
                <w:highlight w:val="none"/>
                <w:lang w:eastAsia="zh-CN"/>
              </w:rPr>
              <w:t>）、苯并[a]芘、</w:t>
            </w:r>
            <w:r>
              <w:rPr>
                <w:rFonts w:hint="default" w:ascii="Times New Roman" w:hAnsi="Times New Roman" w:eastAsia="仿宋_GB2312" w:cs="Times New Roman"/>
                <w:color w:val="auto"/>
                <w:spacing w:val="5"/>
                <w:sz w:val="21"/>
                <w:szCs w:val="21"/>
                <w:highlight w:val="none"/>
                <w:lang w:val="en-US" w:eastAsia="zh-CN"/>
              </w:rPr>
              <w:t>N-二甲基亚硝胺</w:t>
            </w:r>
          </w:p>
        </w:tc>
        <w:tc>
          <w:tcPr>
            <w:tcW w:w="479" w:type="pct"/>
            <w:noWrap w:val="0"/>
            <w:vAlign w:val="center"/>
          </w:tcPr>
          <w:p w14:paraId="0E7AAA1A">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sz w:val="21"/>
                <w:szCs w:val="21"/>
                <w:highlight w:val="none"/>
                <w:lang w:val="en-US" w:eastAsia="zh-CN"/>
              </w:rPr>
            </w:pPr>
          </w:p>
          <w:p w14:paraId="6B89358D">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铅(以Pb计)</w:t>
            </w:r>
          </w:p>
        </w:tc>
        <w:tc>
          <w:tcPr>
            <w:tcW w:w="555" w:type="pct"/>
            <w:noWrap w:val="0"/>
            <w:vAlign w:val="center"/>
          </w:tcPr>
          <w:p w14:paraId="5706C0A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57732F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E18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3D2C622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1BA78C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BF5061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0E7F6D9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4E3EA19E">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酱卤肉制品</w:t>
            </w:r>
          </w:p>
          <w:p w14:paraId="611521FB">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64B207C2">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较高</w:t>
            </w:r>
          </w:p>
        </w:tc>
        <w:tc>
          <w:tcPr>
            <w:tcW w:w="1303" w:type="pct"/>
            <w:noWrap w:val="0"/>
            <w:vAlign w:val="center"/>
          </w:tcPr>
          <w:p w14:paraId="604660E1">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苯甲酸及其钠盐(以苯甲酸计)、山梨酸及其钾盐(以山梨酸计)、脱氢乙酸及其钠盐(以脱氢乙酸计)、</w:t>
            </w:r>
            <w:r>
              <w:rPr>
                <w:rFonts w:hint="default" w:ascii="Times New Roman" w:hAnsi="Times New Roman" w:eastAsia="仿宋_GB2312" w:cs="Times New Roman"/>
                <w:color w:val="auto"/>
                <w:spacing w:val="5"/>
                <w:sz w:val="21"/>
                <w:szCs w:val="21"/>
                <w:highlight w:val="none"/>
                <w:lang w:val="en-US" w:eastAsia="en-US"/>
              </w:rPr>
              <w:t>防腐剂混合使用时各自用量占其最大使用量的比例之和</w:t>
            </w:r>
            <w:r>
              <w:rPr>
                <w:rFonts w:hint="default" w:ascii="Times New Roman" w:hAnsi="Times New Roman" w:eastAsia="仿宋_GB2312" w:cs="Times New Roman"/>
                <w:color w:val="auto"/>
                <w:spacing w:val="5"/>
                <w:sz w:val="21"/>
                <w:szCs w:val="21"/>
                <w:highlight w:val="none"/>
                <w:lang w:val="en-US" w:eastAsia="zh-CN"/>
              </w:rPr>
              <w:t>、</w:t>
            </w:r>
            <w:r>
              <w:rPr>
                <w:rFonts w:hint="default" w:ascii="Times New Roman" w:hAnsi="Times New Roman" w:eastAsia="仿宋_GB2312" w:cs="Times New Roman"/>
                <w:color w:val="auto"/>
                <w:spacing w:val="5"/>
                <w:sz w:val="21"/>
                <w:szCs w:val="21"/>
                <w:highlight w:val="none"/>
                <w:lang w:eastAsia="zh-CN"/>
              </w:rPr>
              <w:t>合成着色剂（柠檬黄、日落黄、胭脂红、</w:t>
            </w:r>
            <w:r>
              <w:rPr>
                <w:rFonts w:hint="default" w:ascii="Times New Roman" w:hAnsi="Times New Roman" w:eastAsia="仿宋_GB2312" w:cs="Times New Roman"/>
                <w:color w:val="auto"/>
                <w:spacing w:val="5"/>
                <w:sz w:val="21"/>
                <w:szCs w:val="21"/>
                <w:highlight w:val="none"/>
                <w:lang w:val="en-US" w:eastAsia="zh-CN"/>
              </w:rPr>
              <w:t>苋菜红</w:t>
            </w:r>
            <w:r>
              <w:rPr>
                <w:rFonts w:hint="default" w:ascii="Times New Roman" w:hAnsi="Times New Roman" w:eastAsia="仿宋_GB2312" w:cs="Times New Roman"/>
                <w:color w:val="auto"/>
                <w:spacing w:val="5"/>
                <w:sz w:val="21"/>
                <w:szCs w:val="21"/>
                <w:highlight w:val="none"/>
                <w:lang w:eastAsia="zh-CN"/>
              </w:rPr>
              <w:t>）</w:t>
            </w:r>
          </w:p>
        </w:tc>
        <w:tc>
          <w:tcPr>
            <w:tcW w:w="479" w:type="pct"/>
            <w:noWrap w:val="0"/>
            <w:vAlign w:val="center"/>
          </w:tcPr>
          <w:p w14:paraId="38C9EE54">
            <w:pPr>
              <w:pageBreakBefore w:val="0"/>
              <w:widowControl w:val="0"/>
              <w:wordWrap/>
              <w:overflowPunct/>
              <w:topLinePunct w:val="0"/>
              <w:bidi w:val="0"/>
              <w:spacing w:before="49" w:line="300" w:lineRule="exact"/>
              <w:ind w:left="124" w:leftChars="0"/>
              <w:jc w:val="left"/>
              <w:rPr>
                <w:rFonts w:hint="default" w:ascii="Times New Roman" w:hAnsi="Times New Roman" w:eastAsia="仿宋_GB2312" w:cs="Times New Roman"/>
                <w:b w:val="0"/>
                <w:bCs w:val="0"/>
                <w:color w:val="auto"/>
                <w:spacing w:val="1"/>
                <w:kern w:val="2"/>
                <w:sz w:val="21"/>
                <w:szCs w:val="21"/>
                <w:highlight w:val="none"/>
                <w:lang w:val="en-US" w:eastAsia="zh-CN" w:bidi="ar-SA"/>
              </w:rPr>
            </w:pPr>
            <w:r>
              <w:rPr>
                <w:rFonts w:hint="default" w:ascii="Times New Roman" w:hAnsi="Times New Roman" w:eastAsia="仿宋_GB2312" w:cs="Times New Roman"/>
                <w:b w:val="0"/>
                <w:bCs w:val="0"/>
                <w:color w:val="auto"/>
                <w:spacing w:val="1"/>
                <w:sz w:val="21"/>
                <w:szCs w:val="21"/>
                <w:highlight w:val="none"/>
                <w:lang w:val="en-US" w:eastAsia="zh-CN"/>
              </w:rPr>
              <w:t>/</w:t>
            </w:r>
          </w:p>
        </w:tc>
        <w:tc>
          <w:tcPr>
            <w:tcW w:w="555" w:type="pct"/>
            <w:noWrap w:val="0"/>
            <w:vAlign w:val="center"/>
          </w:tcPr>
          <w:p w14:paraId="7729651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7BA0E8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A68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3FFD1EF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65AEC4D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1130E9A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0103D4D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46B5E344">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油炸肉制品</w:t>
            </w:r>
          </w:p>
          <w:p w14:paraId="03B7A9DE">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4173665C">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较高</w:t>
            </w:r>
          </w:p>
        </w:tc>
        <w:tc>
          <w:tcPr>
            <w:tcW w:w="1303" w:type="pct"/>
            <w:noWrap w:val="0"/>
            <w:vAlign w:val="center"/>
          </w:tcPr>
          <w:p w14:paraId="0DBD1C3A">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苯甲酸及其钠盐(以苯甲酸计)、山梨酸及其钾盐(以山梨酸计)、脱氢乙酸及其钠盐(以脱氢乙酸计)、合成着色剂（柠檬黄、日落黄、胭脂红、</w:t>
            </w:r>
            <w:r>
              <w:rPr>
                <w:rFonts w:hint="default" w:ascii="Times New Roman" w:hAnsi="Times New Roman" w:eastAsia="仿宋_GB2312" w:cs="Times New Roman"/>
                <w:color w:val="auto"/>
                <w:spacing w:val="5"/>
                <w:sz w:val="21"/>
                <w:szCs w:val="21"/>
                <w:highlight w:val="none"/>
                <w:lang w:val="en-US" w:eastAsia="zh-CN"/>
              </w:rPr>
              <w:t>苋菜红</w:t>
            </w:r>
            <w:r>
              <w:rPr>
                <w:rFonts w:hint="default" w:ascii="Times New Roman" w:hAnsi="Times New Roman" w:eastAsia="仿宋_GB2312" w:cs="Times New Roman"/>
                <w:color w:val="auto"/>
                <w:spacing w:val="5"/>
                <w:sz w:val="21"/>
                <w:szCs w:val="21"/>
                <w:highlight w:val="none"/>
                <w:lang w:eastAsia="zh-CN"/>
              </w:rPr>
              <w:t>）</w:t>
            </w:r>
          </w:p>
        </w:tc>
        <w:tc>
          <w:tcPr>
            <w:tcW w:w="479" w:type="pct"/>
            <w:noWrap w:val="0"/>
            <w:vAlign w:val="center"/>
          </w:tcPr>
          <w:p w14:paraId="23D9BBB1">
            <w:pPr>
              <w:pageBreakBefore w:val="0"/>
              <w:wordWrap/>
              <w:overflowPunct/>
              <w:topLinePunct w:val="0"/>
              <w:bidi w:val="0"/>
              <w:spacing w:before="54" w:line="300" w:lineRule="exact"/>
              <w:jc w:val="left"/>
              <w:rPr>
                <w:rFonts w:hint="default" w:ascii="Times New Roman" w:hAnsi="Times New Roman" w:eastAsia="仿宋_GB2312" w:cs="Times New Roman"/>
                <w:b w:val="0"/>
                <w:bCs w:val="0"/>
                <w:color w:val="auto"/>
                <w:spacing w:val="6"/>
                <w:kern w:val="2"/>
                <w:position w:val="1"/>
                <w:sz w:val="21"/>
                <w:szCs w:val="21"/>
                <w:highlight w:val="none"/>
                <w:lang w:val="en-US" w:eastAsia="zh-CN" w:bidi="ar-SA"/>
              </w:rPr>
            </w:pPr>
            <w:r>
              <w:rPr>
                <w:rFonts w:hint="default" w:ascii="Times New Roman" w:hAnsi="Times New Roman" w:eastAsia="仿宋_GB2312" w:cs="Times New Roman"/>
                <w:b w:val="0"/>
                <w:bCs w:val="0"/>
                <w:color w:val="auto"/>
                <w:spacing w:val="6"/>
                <w:position w:val="1"/>
                <w:sz w:val="21"/>
                <w:szCs w:val="21"/>
                <w:highlight w:val="none"/>
                <w:lang w:val="en-US" w:eastAsia="zh-CN"/>
              </w:rPr>
              <w:t>/</w:t>
            </w:r>
          </w:p>
        </w:tc>
        <w:tc>
          <w:tcPr>
            <w:tcW w:w="555" w:type="pct"/>
            <w:noWrap w:val="0"/>
            <w:vAlign w:val="center"/>
          </w:tcPr>
          <w:p w14:paraId="0604BEA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81EFC6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89D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2F3455D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C6CB07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744DF99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6C453FAF">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预制肉类（自制）</w:t>
            </w:r>
          </w:p>
        </w:tc>
        <w:tc>
          <w:tcPr>
            <w:tcW w:w="499" w:type="pct"/>
            <w:noWrap w:val="0"/>
            <w:vAlign w:val="center"/>
          </w:tcPr>
          <w:p w14:paraId="4DF0A5BF">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en-US"/>
              </w:rPr>
            </w:pPr>
            <w:r>
              <w:rPr>
                <w:rFonts w:hint="default" w:ascii="Times New Roman" w:hAnsi="Times New Roman" w:eastAsia="仿宋_GB2312" w:cs="Times New Roman"/>
                <w:b w:val="0"/>
                <w:bCs w:val="0"/>
                <w:color w:val="auto"/>
                <w:spacing w:val="5"/>
                <w:sz w:val="21"/>
                <w:szCs w:val="21"/>
                <w:highlight w:val="none"/>
                <w:lang w:eastAsia="en-US"/>
              </w:rPr>
              <w:t>肉</w:t>
            </w:r>
            <w:r>
              <w:rPr>
                <w:rFonts w:hint="default" w:ascii="Times New Roman" w:hAnsi="Times New Roman" w:eastAsia="仿宋_GB2312" w:cs="Times New Roman"/>
                <w:b w:val="0"/>
                <w:bCs w:val="0"/>
                <w:color w:val="auto"/>
                <w:spacing w:val="5"/>
                <w:sz w:val="21"/>
                <w:szCs w:val="21"/>
                <w:highlight w:val="none"/>
                <w:lang w:val="en-US" w:eastAsia="zh-CN"/>
              </w:rPr>
              <w:t>糜制品</w:t>
            </w:r>
          </w:p>
          <w:p w14:paraId="48F8C84B">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en-US"/>
              </w:rPr>
              <w:t>（自制）</w:t>
            </w:r>
          </w:p>
        </w:tc>
        <w:tc>
          <w:tcPr>
            <w:tcW w:w="276" w:type="pct"/>
            <w:noWrap w:val="0"/>
            <w:vAlign w:val="center"/>
          </w:tcPr>
          <w:p w14:paraId="751D6CAB">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较高</w:t>
            </w:r>
          </w:p>
        </w:tc>
        <w:tc>
          <w:tcPr>
            <w:tcW w:w="1303" w:type="pct"/>
            <w:noWrap w:val="0"/>
            <w:vAlign w:val="center"/>
          </w:tcPr>
          <w:p w14:paraId="22480AAF">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苯甲酸及其钠盐(以苯甲酸计)、山梨酸及其钾盐(以山梨酸计)、脱氢乙酸及其钠盐(以脱氢乙酸计)、</w:t>
            </w:r>
            <w:r>
              <w:rPr>
                <w:rFonts w:hint="default" w:ascii="Times New Roman" w:hAnsi="Times New Roman" w:eastAsia="仿宋_GB2312" w:cs="Times New Roman"/>
                <w:color w:val="auto"/>
                <w:spacing w:val="5"/>
                <w:sz w:val="21"/>
                <w:szCs w:val="21"/>
                <w:highlight w:val="none"/>
                <w:lang w:val="en-US" w:eastAsia="en-US"/>
              </w:rPr>
              <w:t>防腐剂混合使用时各自用量占其最大使用量的比例之和</w:t>
            </w:r>
            <w:r>
              <w:rPr>
                <w:rFonts w:hint="default" w:ascii="Times New Roman" w:hAnsi="Times New Roman" w:eastAsia="仿宋_GB2312" w:cs="Times New Roman"/>
                <w:color w:val="auto"/>
                <w:spacing w:val="5"/>
                <w:sz w:val="21"/>
                <w:szCs w:val="21"/>
                <w:highlight w:val="none"/>
                <w:lang w:val="en-US" w:eastAsia="zh-CN"/>
              </w:rPr>
              <w:t>、</w:t>
            </w:r>
            <w:r>
              <w:rPr>
                <w:rFonts w:hint="default" w:ascii="Times New Roman" w:hAnsi="Times New Roman" w:eastAsia="仿宋_GB2312" w:cs="Times New Roman"/>
                <w:color w:val="auto"/>
                <w:spacing w:val="5"/>
                <w:sz w:val="21"/>
                <w:szCs w:val="21"/>
                <w:highlight w:val="none"/>
                <w:lang w:eastAsia="zh-CN"/>
              </w:rPr>
              <w:t>合成着色剂（柠檬黄 、日落黄、胭脂红）</w:t>
            </w:r>
          </w:p>
        </w:tc>
        <w:tc>
          <w:tcPr>
            <w:tcW w:w="479" w:type="pct"/>
            <w:noWrap w:val="0"/>
            <w:vAlign w:val="center"/>
          </w:tcPr>
          <w:p w14:paraId="3F73B707">
            <w:pPr>
              <w:pageBreakBefore w:val="0"/>
              <w:wordWrap/>
              <w:overflowPunct/>
              <w:topLinePunct w:val="0"/>
              <w:bidi w:val="0"/>
              <w:spacing w:before="54" w:line="300" w:lineRule="exact"/>
              <w:jc w:val="left"/>
              <w:rPr>
                <w:rFonts w:hint="default" w:ascii="Times New Roman" w:hAnsi="Times New Roman" w:eastAsia="仿宋_GB2312" w:cs="Times New Roman"/>
                <w:b w:val="0"/>
                <w:bCs w:val="0"/>
                <w:color w:val="auto"/>
                <w:spacing w:val="6"/>
                <w:kern w:val="2"/>
                <w:position w:val="1"/>
                <w:sz w:val="21"/>
                <w:szCs w:val="21"/>
                <w:highlight w:val="none"/>
                <w:lang w:val="en-US" w:eastAsia="zh-CN" w:bidi="ar-SA"/>
              </w:rPr>
            </w:pPr>
            <w:r>
              <w:rPr>
                <w:rFonts w:hint="eastAsia" w:ascii="Times New Roman" w:hAnsi="Times New Roman" w:eastAsia="仿宋_GB2312" w:cs="Times New Roman"/>
                <w:b w:val="0"/>
                <w:bCs w:val="0"/>
                <w:color w:val="auto"/>
                <w:spacing w:val="6"/>
                <w:kern w:val="2"/>
                <w:position w:val="1"/>
                <w:sz w:val="21"/>
                <w:szCs w:val="21"/>
                <w:highlight w:val="none"/>
                <w:lang w:val="en-US" w:eastAsia="zh-CN" w:bidi="ar-SA"/>
              </w:rPr>
              <w:t>/</w:t>
            </w:r>
          </w:p>
        </w:tc>
        <w:tc>
          <w:tcPr>
            <w:tcW w:w="555" w:type="pct"/>
            <w:noWrap w:val="0"/>
            <w:vAlign w:val="center"/>
          </w:tcPr>
          <w:p w14:paraId="5CB76398">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3C2B182">
            <w:pPr>
              <w:pageBreakBefore w:val="0"/>
              <w:wordWrap/>
              <w:overflowPunct/>
              <w:topLinePunct w:val="0"/>
              <w:bidi w:val="0"/>
              <w:spacing w:line="300" w:lineRule="exact"/>
              <w:jc w:val="center"/>
              <w:rPr>
                <w:rFonts w:hint="eastAsia" w:ascii="Times New Roman" w:hAnsi="Times New Roman" w:eastAsia="仿宋_GB2312" w:cs="Times New Roman"/>
                <w:color w:val="auto"/>
                <w:kern w:val="2"/>
                <w:sz w:val="21"/>
                <w:szCs w:val="21"/>
                <w:highlight w:val="none"/>
                <w:lang w:val="en-US" w:eastAsia="zh-CN" w:bidi="ar-SA"/>
              </w:rPr>
            </w:pPr>
          </w:p>
        </w:tc>
      </w:tr>
      <w:tr w14:paraId="37DB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6D4FFF9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36BA87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276C4866">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调味料</w:t>
            </w:r>
          </w:p>
          <w:p w14:paraId="4B7B920F">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(自制)</w:t>
            </w:r>
          </w:p>
        </w:tc>
        <w:tc>
          <w:tcPr>
            <w:tcW w:w="346" w:type="pct"/>
            <w:vMerge w:val="restart"/>
            <w:noWrap w:val="0"/>
            <w:vAlign w:val="center"/>
          </w:tcPr>
          <w:p w14:paraId="2EAA049D">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调味料</w:t>
            </w:r>
          </w:p>
          <w:p w14:paraId="44EF4B3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(自制)</w:t>
            </w:r>
          </w:p>
        </w:tc>
        <w:tc>
          <w:tcPr>
            <w:tcW w:w="499" w:type="pct"/>
            <w:noWrap w:val="0"/>
            <w:vAlign w:val="center"/>
          </w:tcPr>
          <w:p w14:paraId="24A8CF69">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火锅麻辣烫底料(自制)</w:t>
            </w:r>
          </w:p>
        </w:tc>
        <w:tc>
          <w:tcPr>
            <w:tcW w:w="276" w:type="pct"/>
            <w:noWrap w:val="0"/>
            <w:vAlign w:val="center"/>
          </w:tcPr>
          <w:p w14:paraId="143DF70F">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C566B67">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罂粟碱、吗啡、可待因、那可丁</w:t>
            </w:r>
          </w:p>
        </w:tc>
        <w:tc>
          <w:tcPr>
            <w:tcW w:w="479" w:type="pct"/>
            <w:noWrap w:val="0"/>
            <w:vAlign w:val="center"/>
          </w:tcPr>
          <w:p w14:paraId="07668662">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66E2B125">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83152E6">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B0B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642F5D2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F5A2AAC">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0E814A8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3EE3536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1D616871">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蘸料(自制)</w:t>
            </w:r>
          </w:p>
        </w:tc>
        <w:tc>
          <w:tcPr>
            <w:tcW w:w="276" w:type="pct"/>
            <w:noWrap w:val="0"/>
            <w:vAlign w:val="center"/>
          </w:tcPr>
          <w:p w14:paraId="4734C350">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0F0D8474">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罂粟碱、吗啡、可待因、那可丁</w:t>
            </w:r>
          </w:p>
        </w:tc>
        <w:tc>
          <w:tcPr>
            <w:tcW w:w="479" w:type="pct"/>
            <w:noWrap w:val="0"/>
            <w:vAlign w:val="center"/>
          </w:tcPr>
          <w:p w14:paraId="52822169">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23F4E20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5FDD2F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A06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7995D03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994B0D4">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120A5A3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2E685FF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1316D786">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其他调味料(自制)</w:t>
            </w:r>
          </w:p>
        </w:tc>
        <w:tc>
          <w:tcPr>
            <w:tcW w:w="276" w:type="pct"/>
            <w:noWrap w:val="0"/>
            <w:vAlign w:val="center"/>
          </w:tcPr>
          <w:p w14:paraId="27F97A35">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6C22B1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罂粟碱、吗啡、可待因、那可丁</w:t>
            </w:r>
          </w:p>
        </w:tc>
        <w:tc>
          <w:tcPr>
            <w:tcW w:w="479" w:type="pct"/>
            <w:noWrap w:val="0"/>
            <w:vAlign w:val="center"/>
          </w:tcPr>
          <w:p w14:paraId="24BA058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6E7BA479">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AE77DD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686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13BC0BA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884191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noWrap w:val="0"/>
            <w:vAlign w:val="center"/>
          </w:tcPr>
          <w:p w14:paraId="7602080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预制水产制品</w:t>
            </w:r>
          </w:p>
          <w:p w14:paraId="17EDFD0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(自制)</w:t>
            </w:r>
          </w:p>
        </w:tc>
        <w:tc>
          <w:tcPr>
            <w:tcW w:w="346" w:type="pct"/>
            <w:noWrap w:val="0"/>
            <w:vAlign w:val="center"/>
          </w:tcPr>
          <w:p w14:paraId="257326DA">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预制水产制品</w:t>
            </w:r>
          </w:p>
          <w:p w14:paraId="3CD0062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(自制)</w:t>
            </w:r>
          </w:p>
        </w:tc>
        <w:tc>
          <w:tcPr>
            <w:tcW w:w="499" w:type="pct"/>
            <w:noWrap w:val="0"/>
            <w:vAlign w:val="center"/>
          </w:tcPr>
          <w:p w14:paraId="251F3E37">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生食动物性水产品(自制)</w:t>
            </w:r>
          </w:p>
        </w:tc>
        <w:tc>
          <w:tcPr>
            <w:tcW w:w="276" w:type="pct"/>
            <w:noWrap w:val="0"/>
            <w:vAlign w:val="center"/>
          </w:tcPr>
          <w:p w14:paraId="54CDB0F7">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7D46D0FE">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铝的残留量(以即食海蜇中Al计)</w:t>
            </w:r>
          </w:p>
        </w:tc>
        <w:tc>
          <w:tcPr>
            <w:tcW w:w="479" w:type="pct"/>
            <w:noWrap w:val="0"/>
            <w:vAlign w:val="center"/>
          </w:tcPr>
          <w:p w14:paraId="3B1046D6">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303C330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086CCC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2459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1C22CD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FC7510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noWrap w:val="0"/>
            <w:vAlign w:val="center"/>
          </w:tcPr>
          <w:p w14:paraId="38958BE7">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坚果及籽类食品</w:t>
            </w:r>
          </w:p>
          <w:p w14:paraId="5530A16D">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(自制)</w:t>
            </w:r>
          </w:p>
        </w:tc>
        <w:tc>
          <w:tcPr>
            <w:tcW w:w="346" w:type="pct"/>
            <w:noWrap w:val="0"/>
            <w:vAlign w:val="center"/>
          </w:tcPr>
          <w:p w14:paraId="4656F8A4">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坚果及籽类食品</w:t>
            </w:r>
          </w:p>
          <w:p w14:paraId="4596B55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(自制)</w:t>
            </w:r>
          </w:p>
        </w:tc>
        <w:tc>
          <w:tcPr>
            <w:tcW w:w="499" w:type="pct"/>
            <w:noWrap w:val="0"/>
            <w:vAlign w:val="center"/>
          </w:tcPr>
          <w:p w14:paraId="31E52471">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花生制品</w:t>
            </w:r>
          </w:p>
          <w:p w14:paraId="37535A8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(自制)</w:t>
            </w:r>
          </w:p>
        </w:tc>
        <w:tc>
          <w:tcPr>
            <w:tcW w:w="276" w:type="pct"/>
            <w:noWrap w:val="0"/>
            <w:vAlign w:val="center"/>
          </w:tcPr>
          <w:p w14:paraId="683141E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79FBB1EE">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黄曲霉毒素B</w:t>
            </w:r>
            <w:r>
              <w:rPr>
                <w:rFonts w:hint="default" w:ascii="Times New Roman" w:hAnsi="Times New Roman" w:eastAsia="仿宋_GB2312" w:cs="Times New Roman"/>
                <w:color w:val="auto"/>
                <w:spacing w:val="5"/>
                <w:sz w:val="21"/>
                <w:szCs w:val="21"/>
                <w:highlight w:val="none"/>
                <w:vertAlign w:val="subscript"/>
                <w:lang w:eastAsia="zh-CN"/>
              </w:rPr>
              <w:t>1</w:t>
            </w: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、苯甲酸及其钠盐(以苯甲酸计)、山梨酸及其钾盐(以山梨酸计)、脱氢乙酸及其钠盐(以脱氢乙酸计)</w:t>
            </w:r>
          </w:p>
        </w:tc>
        <w:tc>
          <w:tcPr>
            <w:tcW w:w="479" w:type="pct"/>
            <w:noWrap w:val="0"/>
            <w:vAlign w:val="center"/>
          </w:tcPr>
          <w:p w14:paraId="66571B1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507A724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68D9C54">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313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6471D55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921C39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noWrap w:val="0"/>
            <w:vAlign w:val="center"/>
          </w:tcPr>
          <w:p w14:paraId="7489799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焙烤食品(自制)</w:t>
            </w:r>
          </w:p>
        </w:tc>
        <w:tc>
          <w:tcPr>
            <w:tcW w:w="346" w:type="pct"/>
            <w:noWrap w:val="0"/>
            <w:vAlign w:val="center"/>
          </w:tcPr>
          <w:p w14:paraId="2CA02A26">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焙烤食品(自制)</w:t>
            </w:r>
          </w:p>
        </w:tc>
        <w:tc>
          <w:tcPr>
            <w:tcW w:w="499" w:type="pct"/>
            <w:noWrap w:val="0"/>
            <w:vAlign w:val="center"/>
          </w:tcPr>
          <w:p w14:paraId="23C940AF">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糕点(自制)</w:t>
            </w:r>
          </w:p>
        </w:tc>
        <w:tc>
          <w:tcPr>
            <w:tcW w:w="276" w:type="pct"/>
            <w:noWrap w:val="0"/>
            <w:vAlign w:val="center"/>
          </w:tcPr>
          <w:p w14:paraId="5F74A3B5">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2188579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酸价(以脂肪计)(KOH)、过氧化值(以脂肪计)、山梨酸及其钾盐(以山梨酸计)、脱氢乙酸及其钠盐(以脱氢乙酸计)、铝的残留量(干样品，以AI计)、防腐剂混合使用时各自用量占其最大使用量的比例之和</w:t>
            </w:r>
          </w:p>
        </w:tc>
        <w:tc>
          <w:tcPr>
            <w:tcW w:w="479" w:type="pct"/>
            <w:noWrap w:val="0"/>
            <w:vAlign w:val="center"/>
          </w:tcPr>
          <w:p w14:paraId="61C170B5">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糖精钠(以糖精计)</w:t>
            </w:r>
          </w:p>
        </w:tc>
        <w:tc>
          <w:tcPr>
            <w:tcW w:w="555" w:type="pct"/>
            <w:noWrap w:val="0"/>
            <w:vAlign w:val="center"/>
          </w:tcPr>
          <w:p w14:paraId="1BBD4DFA">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9A5B11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9DE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2B43C9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A40A76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noWrap w:val="0"/>
            <w:vAlign w:val="center"/>
          </w:tcPr>
          <w:p w14:paraId="5F8108A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食用油、油脂及其制品(自制)</w:t>
            </w:r>
          </w:p>
        </w:tc>
        <w:tc>
          <w:tcPr>
            <w:tcW w:w="346" w:type="pct"/>
            <w:noWrap w:val="0"/>
            <w:vAlign w:val="center"/>
          </w:tcPr>
          <w:p w14:paraId="7C5A30D5">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食用油、油脂及其制品(自制)</w:t>
            </w:r>
          </w:p>
        </w:tc>
        <w:tc>
          <w:tcPr>
            <w:tcW w:w="499" w:type="pct"/>
            <w:noWrap w:val="0"/>
            <w:vAlign w:val="center"/>
          </w:tcPr>
          <w:p w14:paraId="40BB07EA">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煎炸过程用油</w:t>
            </w:r>
          </w:p>
        </w:tc>
        <w:tc>
          <w:tcPr>
            <w:tcW w:w="276" w:type="pct"/>
            <w:noWrap w:val="0"/>
            <w:vAlign w:val="center"/>
          </w:tcPr>
          <w:p w14:paraId="4EE03688">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6104128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极性组分、酸价(以脂肪计)(KOH)</w:t>
            </w:r>
          </w:p>
        </w:tc>
        <w:tc>
          <w:tcPr>
            <w:tcW w:w="479" w:type="pct"/>
            <w:noWrap w:val="0"/>
            <w:vAlign w:val="center"/>
          </w:tcPr>
          <w:p w14:paraId="6F268FA1">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6AADD3A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16270E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E88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7D9A1A1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2149D2B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noWrap w:val="0"/>
            <w:vAlign w:val="center"/>
          </w:tcPr>
          <w:p w14:paraId="39B338A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淀粉制品(自制)</w:t>
            </w:r>
          </w:p>
        </w:tc>
        <w:tc>
          <w:tcPr>
            <w:tcW w:w="346" w:type="pct"/>
            <w:noWrap w:val="0"/>
            <w:vAlign w:val="center"/>
          </w:tcPr>
          <w:p w14:paraId="0FC37FEE">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粉丝粉条(自制)</w:t>
            </w:r>
          </w:p>
        </w:tc>
        <w:tc>
          <w:tcPr>
            <w:tcW w:w="499" w:type="pct"/>
            <w:noWrap w:val="0"/>
            <w:vAlign w:val="center"/>
          </w:tcPr>
          <w:p w14:paraId="6B8DDB4B">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粉丝粉条(自制)</w:t>
            </w:r>
          </w:p>
        </w:tc>
        <w:tc>
          <w:tcPr>
            <w:tcW w:w="276" w:type="pct"/>
            <w:noWrap w:val="0"/>
            <w:vAlign w:val="center"/>
          </w:tcPr>
          <w:p w14:paraId="24DF5FD7">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5C4EBEA4">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铝的残留量(干样品，以Al计)、脱氢乙酸及其钠盐(以脱氢乙酸计)</w:t>
            </w:r>
          </w:p>
        </w:tc>
        <w:tc>
          <w:tcPr>
            <w:tcW w:w="479" w:type="pct"/>
            <w:noWrap w:val="0"/>
            <w:vAlign w:val="center"/>
          </w:tcPr>
          <w:p w14:paraId="14E224E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35A1E57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B35F45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52C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12DC4504">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643AAB0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60BAB09D">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饮料(自制)</w:t>
            </w:r>
          </w:p>
        </w:tc>
        <w:tc>
          <w:tcPr>
            <w:tcW w:w="346" w:type="pct"/>
            <w:vMerge w:val="restart"/>
            <w:noWrap w:val="0"/>
            <w:vAlign w:val="center"/>
          </w:tcPr>
          <w:p w14:paraId="0F7348EB">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饮料(自制)</w:t>
            </w:r>
          </w:p>
        </w:tc>
        <w:tc>
          <w:tcPr>
            <w:tcW w:w="499" w:type="pct"/>
            <w:noWrap w:val="0"/>
            <w:vAlign w:val="center"/>
          </w:tcPr>
          <w:p w14:paraId="34B078A6">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sz w:val="21"/>
                <w:szCs w:val="21"/>
                <w:highlight w:val="none"/>
                <w:lang w:eastAsia="zh-CN"/>
              </w:rPr>
            </w:pPr>
            <w:r>
              <w:rPr>
                <w:rFonts w:hint="default" w:ascii="Times New Roman" w:hAnsi="Times New Roman" w:eastAsia="仿宋_GB2312" w:cs="Times New Roman"/>
                <w:b w:val="0"/>
                <w:bCs w:val="0"/>
                <w:color w:val="auto"/>
                <w:spacing w:val="5"/>
                <w:sz w:val="21"/>
                <w:szCs w:val="21"/>
                <w:highlight w:val="none"/>
                <w:lang w:eastAsia="zh-CN"/>
              </w:rPr>
              <w:t>奶茶(自制)</w:t>
            </w:r>
          </w:p>
          <w:p w14:paraId="2A724AC7">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p>
        </w:tc>
        <w:tc>
          <w:tcPr>
            <w:tcW w:w="276" w:type="pct"/>
            <w:noWrap w:val="0"/>
            <w:vAlign w:val="center"/>
          </w:tcPr>
          <w:p w14:paraId="3C126F4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360546BD">
            <w:pPr>
              <w:pStyle w:val="132"/>
              <w:pageBreakBefore w:val="0"/>
              <w:wordWrap/>
              <w:overflowPunct/>
              <w:topLinePunct w:val="0"/>
              <w:bidi w:val="0"/>
              <w:spacing w:before="84"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脱氢乙酸及其钠盐(以脱氢乙酸计)、糖精钠(以糖精计)、合成着色剂</w:t>
            </w:r>
            <w:r>
              <w:rPr>
                <w:rFonts w:hint="default" w:ascii="Times New Roman" w:hAnsi="Times New Roman" w:eastAsia="仿宋_GB2312" w:cs="Times New Roman"/>
                <w:i w:val="0"/>
                <w:iCs w:val="0"/>
                <w:color w:val="auto"/>
                <w:sz w:val="21"/>
                <w:szCs w:val="21"/>
                <w:highlight w:val="none"/>
              </w:rPr>
              <w:t>（苋菜红、胭脂红、柠檬黄、日落黄、亮蓝）</w:t>
            </w:r>
          </w:p>
        </w:tc>
        <w:tc>
          <w:tcPr>
            <w:tcW w:w="479" w:type="pct"/>
            <w:noWrap w:val="0"/>
            <w:vAlign w:val="center"/>
          </w:tcPr>
          <w:p w14:paraId="6EA47200">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414690F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8003AF2">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157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2C51A8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989727A">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4AE4717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228A42D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181E8B1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豆浆（自制）</w:t>
            </w:r>
          </w:p>
        </w:tc>
        <w:tc>
          <w:tcPr>
            <w:tcW w:w="276" w:type="pct"/>
            <w:noWrap w:val="0"/>
            <w:vAlign w:val="center"/>
          </w:tcPr>
          <w:p w14:paraId="7036607A">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74FC073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糖精钠(以糖精计)、甜蜜素(以环己基氨基磺酸计)、</w:t>
            </w:r>
            <w:r>
              <w:rPr>
                <w:rFonts w:hint="default" w:ascii="Times New Roman" w:hAnsi="Times New Roman" w:eastAsia="仿宋_GB2312" w:cs="Times New Roman"/>
                <w:i w:val="0"/>
                <w:iCs w:val="0"/>
                <w:color w:val="auto"/>
                <w:sz w:val="21"/>
                <w:szCs w:val="21"/>
                <w:highlight w:val="none"/>
                <w:lang w:val="en-US" w:eastAsia="zh-CN"/>
              </w:rPr>
              <w:t>安赛蜜、</w:t>
            </w:r>
            <w:r>
              <w:rPr>
                <w:rFonts w:hint="default" w:ascii="Times New Roman" w:hAnsi="Times New Roman" w:eastAsia="仿宋_GB2312" w:cs="Times New Roman"/>
                <w:i w:val="0"/>
                <w:iCs w:val="0"/>
                <w:color w:val="auto"/>
                <w:sz w:val="21"/>
                <w:szCs w:val="21"/>
                <w:highlight w:val="none"/>
              </w:rPr>
              <w:t>三氯蔗糖</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color w:val="auto"/>
                <w:spacing w:val="5"/>
                <w:sz w:val="21"/>
                <w:szCs w:val="21"/>
                <w:highlight w:val="none"/>
                <w:lang w:eastAsia="zh-CN"/>
              </w:rPr>
              <w:t>苯甲酸及其钠盐（以苯甲酸计）、山梨酸及其钾盐(以山梨酸计)</w:t>
            </w:r>
          </w:p>
        </w:tc>
        <w:tc>
          <w:tcPr>
            <w:tcW w:w="479" w:type="pct"/>
            <w:noWrap w:val="0"/>
            <w:vAlign w:val="center"/>
          </w:tcPr>
          <w:p w14:paraId="0C54576F">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2118FBD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AED3F1C">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37F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36F64DB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4079C88F">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4E6B3F3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7D780934">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37CC091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果蔬汁类及其饮料（自制）</w:t>
            </w:r>
          </w:p>
        </w:tc>
        <w:tc>
          <w:tcPr>
            <w:tcW w:w="276" w:type="pct"/>
            <w:noWrap w:val="0"/>
            <w:vAlign w:val="center"/>
          </w:tcPr>
          <w:p w14:paraId="505E1FE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5CE2A9FB">
            <w:pPr>
              <w:pageBreakBefore w:val="0"/>
              <w:widowControl w:val="0"/>
              <w:wordWrap/>
              <w:overflowPunct/>
              <w:topLinePunct w:val="0"/>
              <w:bidi w:val="0"/>
              <w:spacing w:line="300" w:lineRule="exact"/>
              <w:jc w:val="left"/>
              <w:rPr>
                <w:rFonts w:hint="default" w:ascii="Times New Roman" w:hAnsi="Times New Roman" w:eastAsia="仿宋_GB2312" w:cs="Times New Roman"/>
                <w:i w:val="0"/>
                <w:iCs w:val="0"/>
                <w:color w:val="auto"/>
                <w:kern w:val="2"/>
                <w:sz w:val="21"/>
                <w:szCs w:val="21"/>
                <w:highlight w:val="none"/>
                <w:lang w:val="en-US" w:eastAsia="zh-CN" w:bidi="ar-SA"/>
              </w:rPr>
            </w:pPr>
            <w:r>
              <w:rPr>
                <w:rFonts w:hint="default" w:ascii="Times New Roman" w:hAnsi="Times New Roman" w:eastAsia="仿宋_GB2312" w:cs="Times New Roman"/>
                <w:i w:val="0"/>
                <w:iCs w:val="0"/>
                <w:color w:val="auto"/>
                <w:sz w:val="21"/>
                <w:szCs w:val="21"/>
                <w:highlight w:val="none"/>
                <w:lang w:val="en-US" w:eastAsia="zh-CN"/>
              </w:rPr>
              <w:t>安赛蜜、</w:t>
            </w:r>
            <w:r>
              <w:rPr>
                <w:rFonts w:hint="default" w:ascii="Times New Roman" w:hAnsi="Times New Roman" w:eastAsia="仿宋_GB2312" w:cs="Times New Roman"/>
                <w:i w:val="0"/>
                <w:iCs w:val="0"/>
                <w:color w:val="auto"/>
                <w:sz w:val="21"/>
                <w:szCs w:val="21"/>
                <w:highlight w:val="none"/>
              </w:rPr>
              <w:t>三氯蔗糖</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color w:val="auto"/>
                <w:spacing w:val="5"/>
                <w:sz w:val="21"/>
                <w:szCs w:val="21"/>
                <w:highlight w:val="none"/>
                <w:lang w:eastAsia="zh-CN"/>
              </w:rPr>
              <w:t>糖精钠(以糖精计)、甜蜜素(以环己基氨基磺酸计)、合成着色剂</w:t>
            </w:r>
            <w:r>
              <w:rPr>
                <w:rFonts w:hint="default" w:ascii="Times New Roman" w:hAnsi="Times New Roman" w:eastAsia="仿宋_GB2312" w:cs="Times New Roman"/>
                <w:i w:val="0"/>
                <w:iCs w:val="0"/>
                <w:color w:val="auto"/>
                <w:sz w:val="21"/>
                <w:szCs w:val="21"/>
                <w:highlight w:val="none"/>
              </w:rPr>
              <w:t>（苋菜红、胭脂红、柠檬黄、日落黄、亮蓝）</w:t>
            </w:r>
          </w:p>
        </w:tc>
        <w:tc>
          <w:tcPr>
            <w:tcW w:w="479" w:type="pct"/>
            <w:noWrap w:val="0"/>
            <w:vAlign w:val="center"/>
          </w:tcPr>
          <w:p w14:paraId="174BDD5B">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1E6DEA6B">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E8C8BD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E68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5235A2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35631EE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762C34A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4854C1F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2AB54BC1">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其他饮料(自制)</w:t>
            </w:r>
          </w:p>
        </w:tc>
        <w:tc>
          <w:tcPr>
            <w:tcW w:w="276" w:type="pct"/>
            <w:noWrap w:val="0"/>
            <w:vAlign w:val="center"/>
          </w:tcPr>
          <w:p w14:paraId="51CF9423">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468EA564">
            <w:pPr>
              <w:pageBreakBefore w:val="0"/>
              <w:widowControl w:val="0"/>
              <w:wordWrap/>
              <w:overflowPunct/>
              <w:topLinePunct w:val="0"/>
              <w:bidi w:val="0"/>
              <w:spacing w:line="300" w:lineRule="exact"/>
              <w:jc w:val="left"/>
              <w:rPr>
                <w:rFonts w:hint="default" w:ascii="Times New Roman" w:hAnsi="Times New Roman" w:eastAsia="仿宋_GB2312" w:cs="Times New Roman"/>
                <w:i w:val="0"/>
                <w:iCs w:val="0"/>
                <w:color w:val="auto"/>
                <w:kern w:val="2"/>
                <w:sz w:val="21"/>
                <w:szCs w:val="21"/>
                <w:highlight w:val="none"/>
                <w:lang w:val="en-US" w:eastAsia="zh-CN" w:bidi="ar-SA"/>
              </w:rPr>
            </w:pPr>
            <w:r>
              <w:rPr>
                <w:rFonts w:hint="default" w:ascii="Times New Roman" w:hAnsi="Times New Roman" w:eastAsia="仿宋_GB2312" w:cs="Times New Roman"/>
                <w:i w:val="0"/>
                <w:iCs w:val="0"/>
                <w:color w:val="auto"/>
                <w:sz w:val="21"/>
                <w:szCs w:val="21"/>
                <w:highlight w:val="none"/>
                <w:lang w:val="en-US" w:eastAsia="zh-CN"/>
              </w:rPr>
              <w:t>安赛蜜、</w:t>
            </w:r>
            <w:r>
              <w:rPr>
                <w:rFonts w:hint="default" w:ascii="Times New Roman" w:hAnsi="Times New Roman" w:eastAsia="仿宋_GB2312" w:cs="Times New Roman"/>
                <w:i w:val="0"/>
                <w:iCs w:val="0"/>
                <w:color w:val="auto"/>
                <w:sz w:val="21"/>
                <w:szCs w:val="21"/>
                <w:highlight w:val="none"/>
              </w:rPr>
              <w:t>三氯蔗糖</w:t>
            </w:r>
            <w:r>
              <w:rPr>
                <w:rFonts w:hint="default" w:ascii="Times New Roman" w:hAnsi="Times New Roman" w:eastAsia="仿宋_GB2312" w:cs="Times New Roman"/>
                <w:i w:val="0"/>
                <w:iCs w:val="0"/>
                <w:color w:val="auto"/>
                <w:sz w:val="21"/>
                <w:szCs w:val="21"/>
                <w:highlight w:val="none"/>
                <w:lang w:eastAsia="zh-CN"/>
              </w:rPr>
              <w:t>、</w:t>
            </w:r>
            <w:r>
              <w:rPr>
                <w:rFonts w:hint="default" w:ascii="Times New Roman" w:hAnsi="Times New Roman" w:eastAsia="仿宋_GB2312" w:cs="Times New Roman"/>
                <w:color w:val="auto"/>
                <w:spacing w:val="5"/>
                <w:sz w:val="21"/>
                <w:szCs w:val="21"/>
                <w:highlight w:val="none"/>
                <w:lang w:eastAsia="zh-CN"/>
              </w:rPr>
              <w:t>糖精钠(以糖精计)、甜蜜素(以环己基氨基磺酸计)、合成着色剂</w:t>
            </w:r>
            <w:r>
              <w:rPr>
                <w:rFonts w:hint="default" w:ascii="Times New Roman" w:hAnsi="Times New Roman" w:eastAsia="仿宋_GB2312" w:cs="Times New Roman"/>
                <w:i w:val="0"/>
                <w:iCs w:val="0"/>
                <w:color w:val="auto"/>
                <w:sz w:val="21"/>
                <w:szCs w:val="21"/>
                <w:highlight w:val="none"/>
              </w:rPr>
              <w:t>（苋菜红、胭脂红、柠檬黄、日落黄、亮蓝）</w:t>
            </w:r>
          </w:p>
        </w:tc>
        <w:tc>
          <w:tcPr>
            <w:tcW w:w="479" w:type="pct"/>
            <w:noWrap w:val="0"/>
            <w:vAlign w:val="center"/>
          </w:tcPr>
          <w:p w14:paraId="4A2AB8A2">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56591CF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9DD344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7A05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3D2A670">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0C44A99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72C968C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eastAsia="zh-CN"/>
              </w:rPr>
            </w:pPr>
            <w:r>
              <w:rPr>
                <w:rFonts w:hint="default" w:ascii="Times New Roman" w:hAnsi="Times New Roman" w:eastAsia="仿宋_GB2312" w:cs="Times New Roman"/>
                <w:color w:val="auto"/>
                <w:spacing w:val="5"/>
                <w:sz w:val="21"/>
                <w:szCs w:val="21"/>
                <w:highlight w:val="none"/>
                <w:lang w:eastAsia="zh-CN"/>
              </w:rPr>
              <w:t>餐饮具</w:t>
            </w:r>
          </w:p>
          <w:p w14:paraId="51D9D993">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p>
        </w:tc>
        <w:tc>
          <w:tcPr>
            <w:tcW w:w="346" w:type="pct"/>
            <w:vMerge w:val="restart"/>
            <w:noWrap w:val="0"/>
            <w:vAlign w:val="center"/>
          </w:tcPr>
          <w:p w14:paraId="2A92023D">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sz w:val="21"/>
                <w:szCs w:val="21"/>
                <w:highlight w:val="none"/>
                <w:lang w:val="en-US" w:eastAsia="zh-CN"/>
              </w:rPr>
            </w:pPr>
            <w:r>
              <w:rPr>
                <w:rFonts w:hint="default" w:ascii="Times New Roman" w:hAnsi="Times New Roman" w:eastAsia="仿宋_GB2312" w:cs="Times New Roman"/>
                <w:color w:val="auto"/>
                <w:spacing w:val="5"/>
                <w:sz w:val="21"/>
                <w:szCs w:val="21"/>
                <w:highlight w:val="none"/>
                <w:lang w:val="en-US" w:eastAsia="zh-CN"/>
              </w:rPr>
              <w:t>复用餐饮具</w:t>
            </w:r>
          </w:p>
          <w:p w14:paraId="13952E62">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p>
        </w:tc>
        <w:tc>
          <w:tcPr>
            <w:tcW w:w="499" w:type="pct"/>
            <w:noWrap w:val="0"/>
            <w:vAlign w:val="center"/>
          </w:tcPr>
          <w:p w14:paraId="406649D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复用餐饮具(餐馆自行消毒)</w:t>
            </w:r>
          </w:p>
        </w:tc>
        <w:tc>
          <w:tcPr>
            <w:tcW w:w="276" w:type="pct"/>
            <w:noWrap w:val="0"/>
            <w:vAlign w:val="center"/>
          </w:tcPr>
          <w:p w14:paraId="47BE401A">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较高</w:t>
            </w:r>
          </w:p>
        </w:tc>
        <w:tc>
          <w:tcPr>
            <w:tcW w:w="1303" w:type="pct"/>
            <w:noWrap w:val="0"/>
            <w:vAlign w:val="center"/>
          </w:tcPr>
          <w:p w14:paraId="5854EC48">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阴离子合成洗涤剂(以十二烷基苯酸钠计)、大肠菌群</w:t>
            </w:r>
          </w:p>
        </w:tc>
        <w:tc>
          <w:tcPr>
            <w:tcW w:w="479" w:type="pct"/>
            <w:noWrap w:val="0"/>
            <w:vAlign w:val="center"/>
          </w:tcPr>
          <w:p w14:paraId="5D2BCFF7">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6BD746F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3FB80B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1D7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3CEE73D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18D8C73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2F1CBFC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vMerge w:val="continue"/>
            <w:noWrap w:val="0"/>
            <w:vAlign w:val="center"/>
          </w:tcPr>
          <w:p w14:paraId="60C62DBE">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499" w:type="pct"/>
            <w:noWrap w:val="0"/>
            <w:vAlign w:val="center"/>
          </w:tcPr>
          <w:p w14:paraId="5A89910D">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复用餐饮具(集中清洗消毒服务单位消毒)</w:t>
            </w:r>
          </w:p>
        </w:tc>
        <w:tc>
          <w:tcPr>
            <w:tcW w:w="276" w:type="pct"/>
            <w:noWrap w:val="0"/>
            <w:vAlign w:val="center"/>
          </w:tcPr>
          <w:p w14:paraId="3F3A699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较高</w:t>
            </w:r>
          </w:p>
        </w:tc>
        <w:tc>
          <w:tcPr>
            <w:tcW w:w="1303" w:type="pct"/>
            <w:noWrap w:val="0"/>
            <w:vAlign w:val="center"/>
          </w:tcPr>
          <w:p w14:paraId="2E426030">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阴离子合成洗涤剂(以十二烷基苯酸钠计)、大肠菌群</w:t>
            </w:r>
          </w:p>
        </w:tc>
        <w:tc>
          <w:tcPr>
            <w:tcW w:w="479" w:type="pct"/>
            <w:noWrap w:val="0"/>
            <w:vAlign w:val="center"/>
          </w:tcPr>
          <w:p w14:paraId="2616F326">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val="en-US" w:eastAsia="zh-CN"/>
              </w:rPr>
              <w:t>/</w:t>
            </w:r>
          </w:p>
        </w:tc>
        <w:tc>
          <w:tcPr>
            <w:tcW w:w="555" w:type="pct"/>
            <w:noWrap w:val="0"/>
            <w:vAlign w:val="center"/>
          </w:tcPr>
          <w:p w14:paraId="49368BF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55ED06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3CBA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0" w:type="pct"/>
            <w:vMerge w:val="continue"/>
            <w:noWrap w:val="0"/>
            <w:vAlign w:val="center"/>
          </w:tcPr>
          <w:p w14:paraId="0FB6C723">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vMerge w:val="continue"/>
            <w:noWrap w:val="0"/>
            <w:vAlign w:val="center"/>
          </w:tcPr>
          <w:p w14:paraId="5783BEA7">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restart"/>
            <w:noWrap w:val="0"/>
            <w:vAlign w:val="center"/>
          </w:tcPr>
          <w:p w14:paraId="4AF381B1">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果蔬类</w:t>
            </w:r>
            <w:r>
              <w:rPr>
                <w:rFonts w:hint="default" w:ascii="Times New Roman" w:hAnsi="Times New Roman" w:eastAsia="仿宋_GB2312" w:cs="Times New Roman"/>
                <w:color w:val="auto"/>
                <w:spacing w:val="5"/>
                <w:sz w:val="21"/>
                <w:szCs w:val="21"/>
                <w:highlight w:val="none"/>
                <w:lang w:val="en-US" w:eastAsia="zh-CN"/>
              </w:rPr>
              <w:t>制品</w:t>
            </w:r>
            <w:r>
              <w:rPr>
                <w:rFonts w:hint="default" w:ascii="Times New Roman" w:hAnsi="Times New Roman" w:eastAsia="仿宋_GB2312" w:cs="Times New Roman"/>
                <w:color w:val="auto"/>
                <w:spacing w:val="5"/>
                <w:sz w:val="21"/>
                <w:szCs w:val="21"/>
                <w:highlight w:val="none"/>
                <w:lang w:eastAsia="zh-CN"/>
              </w:rPr>
              <w:t>（自制）</w:t>
            </w:r>
          </w:p>
        </w:tc>
        <w:tc>
          <w:tcPr>
            <w:tcW w:w="346" w:type="pct"/>
            <w:noWrap w:val="0"/>
            <w:vAlign w:val="center"/>
          </w:tcPr>
          <w:p w14:paraId="1348E7E3">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蔬菜类制品（自制）</w:t>
            </w:r>
          </w:p>
        </w:tc>
        <w:tc>
          <w:tcPr>
            <w:tcW w:w="499" w:type="pct"/>
            <w:noWrap w:val="0"/>
            <w:vAlign w:val="center"/>
          </w:tcPr>
          <w:p w14:paraId="34F8AFEE">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eastAsia="zh-CN"/>
              </w:rPr>
              <w:t>酱腌菜（自制）</w:t>
            </w:r>
          </w:p>
        </w:tc>
        <w:tc>
          <w:tcPr>
            <w:tcW w:w="276" w:type="pct"/>
            <w:noWrap w:val="0"/>
            <w:vAlign w:val="center"/>
          </w:tcPr>
          <w:p w14:paraId="3F878E29">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33216050">
            <w:pPr>
              <w:pageBreakBefore w:val="0"/>
              <w:widowControl w:val="0"/>
              <w:wordWrap/>
              <w:overflowPunct/>
              <w:topLinePunct w:val="0"/>
              <w:bidi w:val="0"/>
              <w:spacing w:line="300" w:lineRule="exact"/>
              <w:jc w:val="left"/>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color w:val="auto"/>
                <w:spacing w:val="5"/>
                <w:sz w:val="21"/>
                <w:szCs w:val="21"/>
                <w:highlight w:val="none"/>
                <w:lang w:eastAsia="zh-CN"/>
              </w:rPr>
              <w:t>二氧化硫残留量、甜蜜素(以环己基氨基磺酸计)、糖精钠(以糖精计)、苯甲酸及其钠盐(以苯甲酸计)、山梨酸及其钾盐(以山梨酸计)</w:t>
            </w:r>
            <w:r>
              <w:rPr>
                <w:rFonts w:hint="eastAsia" w:ascii="Times New Roman" w:hAnsi="Times New Roman" w:eastAsia="仿宋_GB2312" w:cs="Times New Roman"/>
                <w:color w:val="auto"/>
                <w:spacing w:val="5"/>
                <w:sz w:val="21"/>
                <w:szCs w:val="21"/>
                <w:highlight w:val="none"/>
                <w:lang w:eastAsia="zh-CN"/>
              </w:rPr>
              <w:t>、</w:t>
            </w:r>
            <w:r>
              <w:rPr>
                <w:rFonts w:hint="default" w:ascii="Times New Roman" w:hAnsi="Times New Roman" w:eastAsia="仿宋_GB2312" w:cs="Times New Roman"/>
                <w:b w:val="0"/>
                <w:bCs w:val="0"/>
                <w:color w:val="auto"/>
                <w:spacing w:val="5"/>
                <w:sz w:val="21"/>
                <w:szCs w:val="21"/>
                <w:highlight w:val="none"/>
                <w:lang w:eastAsia="zh-CN"/>
              </w:rPr>
              <w:t>脱氢乙酸及其钠盐(以脱氢乙酸计)</w:t>
            </w:r>
          </w:p>
        </w:tc>
        <w:tc>
          <w:tcPr>
            <w:tcW w:w="479" w:type="pct"/>
            <w:noWrap w:val="0"/>
            <w:vAlign w:val="center"/>
          </w:tcPr>
          <w:p w14:paraId="7D9D39F0">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pacing w:val="2"/>
                <w:kern w:val="2"/>
                <w:sz w:val="21"/>
                <w:szCs w:val="21"/>
                <w:highlight w:val="none"/>
                <w:lang w:val="en-US" w:eastAsia="zh-CN" w:bidi="ar-SA"/>
              </w:rPr>
            </w:pPr>
          </w:p>
        </w:tc>
        <w:tc>
          <w:tcPr>
            <w:tcW w:w="555" w:type="pct"/>
            <w:noWrap w:val="0"/>
            <w:vAlign w:val="center"/>
          </w:tcPr>
          <w:p w14:paraId="359A43BA">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495D1A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541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noWrap w:val="0"/>
            <w:vAlign w:val="center"/>
          </w:tcPr>
          <w:p w14:paraId="79E28A6D">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0" w:type="pct"/>
            <w:noWrap w:val="0"/>
            <w:vAlign w:val="center"/>
          </w:tcPr>
          <w:p w14:paraId="332F373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24" w:type="pct"/>
            <w:vMerge w:val="continue"/>
            <w:noWrap w:val="0"/>
            <w:vAlign w:val="center"/>
          </w:tcPr>
          <w:p w14:paraId="6AA8509B">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p>
        </w:tc>
        <w:tc>
          <w:tcPr>
            <w:tcW w:w="346" w:type="pct"/>
            <w:noWrap w:val="0"/>
            <w:vAlign w:val="center"/>
          </w:tcPr>
          <w:p w14:paraId="2608C608">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水果类食品（自制）</w:t>
            </w:r>
          </w:p>
        </w:tc>
        <w:tc>
          <w:tcPr>
            <w:tcW w:w="499" w:type="pct"/>
            <w:noWrap w:val="0"/>
            <w:vAlign w:val="center"/>
          </w:tcPr>
          <w:p w14:paraId="4EAED094">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即食鲜切水果（自制）</w:t>
            </w:r>
          </w:p>
        </w:tc>
        <w:tc>
          <w:tcPr>
            <w:tcW w:w="276" w:type="pct"/>
            <w:noWrap w:val="0"/>
            <w:vAlign w:val="center"/>
          </w:tcPr>
          <w:p w14:paraId="08FB1A77">
            <w:pPr>
              <w:pageBreakBefore w:val="0"/>
              <w:widowControl w:val="0"/>
              <w:wordWrap/>
              <w:overflowPunct/>
              <w:topLinePunct w:val="0"/>
              <w:bidi w:val="0"/>
              <w:spacing w:line="300" w:lineRule="exact"/>
              <w:jc w:val="center"/>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较高</w:t>
            </w:r>
          </w:p>
        </w:tc>
        <w:tc>
          <w:tcPr>
            <w:tcW w:w="1303" w:type="pct"/>
            <w:noWrap w:val="0"/>
            <w:vAlign w:val="center"/>
          </w:tcPr>
          <w:p w14:paraId="3513D136">
            <w:pPr>
              <w:pageBreakBefore w:val="0"/>
              <w:widowControl w:val="0"/>
              <w:wordWrap/>
              <w:overflowPunct/>
              <w:topLinePunct w:val="0"/>
              <w:bidi w:val="0"/>
              <w:spacing w:line="300" w:lineRule="exact"/>
              <w:jc w:val="left"/>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苯甲酸及其钠盐(以苯甲酸计)、山梨酸及其钾盐(以山梨酸计)、脱氢乙酸及其钠盐(以脱氢乙酸计)、糖精钠(以糖精计)、甜蜜素(</w:t>
            </w:r>
            <w:r>
              <w:rPr>
                <w:rFonts w:hint="eastAsia" w:ascii="Times New Roman" w:hAnsi="Times New Roman" w:eastAsia="仿宋_GB2312" w:cs="Times New Roman"/>
                <w:b w:val="0"/>
                <w:bCs w:val="0"/>
                <w:color w:val="auto"/>
                <w:spacing w:val="5"/>
                <w:sz w:val="21"/>
                <w:szCs w:val="21"/>
                <w:highlight w:val="none"/>
                <w:lang w:val="en-US" w:eastAsia="zh-CN"/>
              </w:rPr>
              <w:t>以环己基氨基磺酸计</w:t>
            </w:r>
            <w:r>
              <w:rPr>
                <w:rFonts w:hint="default" w:ascii="Times New Roman" w:hAnsi="Times New Roman" w:eastAsia="仿宋_GB2312" w:cs="Times New Roman"/>
                <w:b w:val="0"/>
                <w:bCs w:val="0"/>
                <w:color w:val="auto"/>
                <w:spacing w:val="5"/>
                <w:sz w:val="21"/>
                <w:szCs w:val="21"/>
                <w:highlight w:val="none"/>
                <w:lang w:val="en-US" w:eastAsia="zh-CN"/>
              </w:rPr>
              <w:t>)、合成着色剂（苋菜红、胭脂红、柠檬黄、日落黄、亮蓝）</w:t>
            </w:r>
          </w:p>
        </w:tc>
        <w:tc>
          <w:tcPr>
            <w:tcW w:w="479" w:type="pct"/>
            <w:noWrap w:val="0"/>
            <w:vAlign w:val="center"/>
          </w:tcPr>
          <w:p w14:paraId="3DF7D3D0">
            <w:pPr>
              <w:pageBreakBefore w:val="0"/>
              <w:widowControl w:val="0"/>
              <w:wordWrap/>
              <w:overflowPunct/>
              <w:topLinePunct w:val="0"/>
              <w:bidi w:val="0"/>
              <w:spacing w:line="300" w:lineRule="exact"/>
              <w:jc w:val="left"/>
              <w:rPr>
                <w:rFonts w:hint="default" w:ascii="Times New Roman" w:hAnsi="Times New Roman" w:eastAsia="仿宋_GB2312" w:cs="Times New Roman"/>
                <w:b w:val="0"/>
                <w:bCs w:val="0"/>
                <w:color w:val="auto"/>
                <w:spacing w:val="5"/>
                <w:kern w:val="2"/>
                <w:sz w:val="21"/>
                <w:szCs w:val="21"/>
                <w:highlight w:val="none"/>
                <w:lang w:val="en-US" w:eastAsia="zh-CN" w:bidi="ar-SA"/>
              </w:rPr>
            </w:pPr>
            <w:r>
              <w:rPr>
                <w:rFonts w:hint="default" w:ascii="Times New Roman" w:hAnsi="Times New Roman" w:eastAsia="仿宋_GB2312" w:cs="Times New Roman"/>
                <w:b w:val="0"/>
                <w:bCs w:val="0"/>
                <w:color w:val="auto"/>
                <w:spacing w:val="5"/>
                <w:sz w:val="21"/>
                <w:szCs w:val="21"/>
                <w:highlight w:val="none"/>
                <w:lang w:val="en-US" w:eastAsia="zh-CN"/>
              </w:rPr>
              <w:t>/</w:t>
            </w:r>
          </w:p>
        </w:tc>
        <w:tc>
          <w:tcPr>
            <w:tcW w:w="555" w:type="pct"/>
            <w:noWrap w:val="0"/>
            <w:vAlign w:val="center"/>
          </w:tcPr>
          <w:p w14:paraId="5A02FA20">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5B04177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6599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restart"/>
            <w:noWrap w:val="0"/>
            <w:vAlign w:val="center"/>
          </w:tcPr>
          <w:p w14:paraId="2B61EAD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29</w:t>
            </w:r>
          </w:p>
        </w:tc>
        <w:tc>
          <w:tcPr>
            <w:tcW w:w="320" w:type="pct"/>
            <w:vMerge w:val="restart"/>
            <w:noWrap w:val="0"/>
            <w:vAlign w:val="center"/>
          </w:tcPr>
          <w:p w14:paraId="11C62D0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食品添加剂</w:t>
            </w:r>
          </w:p>
        </w:tc>
        <w:tc>
          <w:tcPr>
            <w:tcW w:w="324" w:type="pct"/>
            <w:vMerge w:val="restart"/>
            <w:noWrap w:val="0"/>
            <w:vAlign w:val="center"/>
          </w:tcPr>
          <w:p w14:paraId="5659594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食品添加剂</w:t>
            </w:r>
          </w:p>
        </w:tc>
        <w:tc>
          <w:tcPr>
            <w:tcW w:w="346" w:type="pct"/>
            <w:noWrap w:val="0"/>
            <w:vAlign w:val="center"/>
          </w:tcPr>
          <w:p w14:paraId="0CD87DD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单一食品添加剂</w:t>
            </w:r>
          </w:p>
        </w:tc>
        <w:tc>
          <w:tcPr>
            <w:tcW w:w="499" w:type="pct"/>
            <w:noWrap w:val="0"/>
            <w:vAlign w:val="center"/>
          </w:tcPr>
          <w:p w14:paraId="0011856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明胶</w:t>
            </w:r>
          </w:p>
        </w:tc>
        <w:tc>
          <w:tcPr>
            <w:tcW w:w="276" w:type="pct"/>
            <w:noWrap w:val="0"/>
            <w:vAlign w:val="center"/>
          </w:tcPr>
          <w:p w14:paraId="7200C9B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31A3F8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铬(Cr)、铅(Pb)、总砷(As)、二氧化硫、过氧化物</w:t>
            </w:r>
          </w:p>
        </w:tc>
        <w:tc>
          <w:tcPr>
            <w:tcW w:w="479" w:type="pct"/>
            <w:noWrap w:val="0"/>
            <w:vAlign w:val="center"/>
          </w:tcPr>
          <w:p w14:paraId="237040F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2C8D02B0">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DE9933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8C7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27241A9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D0BF45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E458A5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6B3F364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复配食品添加剂</w:t>
            </w:r>
          </w:p>
        </w:tc>
        <w:tc>
          <w:tcPr>
            <w:tcW w:w="499" w:type="pct"/>
            <w:noWrap w:val="0"/>
            <w:vAlign w:val="center"/>
          </w:tcPr>
          <w:p w14:paraId="66032EB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复配食品添加剂</w:t>
            </w:r>
          </w:p>
        </w:tc>
        <w:tc>
          <w:tcPr>
            <w:tcW w:w="276" w:type="pct"/>
            <w:noWrap w:val="0"/>
            <w:vAlign w:val="center"/>
          </w:tcPr>
          <w:p w14:paraId="0C0EBFA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较高</w:t>
            </w:r>
          </w:p>
        </w:tc>
        <w:tc>
          <w:tcPr>
            <w:tcW w:w="1303" w:type="pct"/>
            <w:noWrap w:val="0"/>
            <w:vAlign w:val="center"/>
          </w:tcPr>
          <w:p w14:paraId="2F805996">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铅(Pb)、砷(以As计)、致病性微生物</w:t>
            </w:r>
          </w:p>
        </w:tc>
        <w:tc>
          <w:tcPr>
            <w:tcW w:w="479" w:type="pct"/>
            <w:noWrap w:val="0"/>
            <w:vAlign w:val="center"/>
          </w:tcPr>
          <w:p w14:paraId="185AE36B">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3155D7A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7FD566B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184D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6BEA48E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4A63AA7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26DC9D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noWrap w:val="0"/>
            <w:vAlign w:val="center"/>
          </w:tcPr>
          <w:p w14:paraId="19DB9B6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食品用香精</w:t>
            </w:r>
          </w:p>
        </w:tc>
        <w:tc>
          <w:tcPr>
            <w:tcW w:w="499" w:type="pct"/>
            <w:noWrap w:val="0"/>
            <w:vAlign w:val="center"/>
          </w:tcPr>
          <w:p w14:paraId="4586DAE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食品用香精</w:t>
            </w:r>
          </w:p>
        </w:tc>
        <w:tc>
          <w:tcPr>
            <w:tcW w:w="276" w:type="pct"/>
            <w:noWrap w:val="0"/>
            <w:vAlign w:val="center"/>
          </w:tcPr>
          <w:p w14:paraId="5FBC6C4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075BFBFB">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砷(以As计)含量/无机砷含量、菌落总数</w:t>
            </w:r>
          </w:p>
        </w:tc>
        <w:tc>
          <w:tcPr>
            <w:tcW w:w="479" w:type="pct"/>
            <w:noWrap w:val="0"/>
            <w:vAlign w:val="center"/>
          </w:tcPr>
          <w:p w14:paraId="2E464C8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6B5CBA2D">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0048229F">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6220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697046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29617DE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C3328B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restart"/>
            <w:noWrap w:val="0"/>
            <w:vAlign w:val="center"/>
          </w:tcPr>
          <w:p w14:paraId="450C145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单一食品添加剂</w:t>
            </w:r>
          </w:p>
          <w:p w14:paraId="50B9094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37B75F9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糖精钠</w:t>
            </w:r>
          </w:p>
        </w:tc>
        <w:tc>
          <w:tcPr>
            <w:tcW w:w="276" w:type="pct"/>
            <w:noWrap w:val="0"/>
            <w:vAlign w:val="center"/>
          </w:tcPr>
          <w:p w14:paraId="60DE95C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569250A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糖精钠含量、干燥失重、总砷(以 As 计)、铅(Pb)、酸度和碱度、苯甲酸盐和水杨酸盐</w:t>
            </w:r>
          </w:p>
        </w:tc>
        <w:tc>
          <w:tcPr>
            <w:tcW w:w="479" w:type="pct"/>
            <w:noWrap w:val="0"/>
            <w:vAlign w:val="center"/>
          </w:tcPr>
          <w:p w14:paraId="2D805EA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1AD1B36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18E620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5C4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0" w:type="pct"/>
            <w:vMerge w:val="continue"/>
            <w:noWrap w:val="0"/>
            <w:vAlign w:val="center"/>
          </w:tcPr>
          <w:p w14:paraId="6426FE9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25D4B2E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1FF198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698328E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3050E8BE">
            <w:pPr>
              <w:pStyle w:val="4"/>
              <w:keepNext w:val="0"/>
              <w:keepLines w:val="0"/>
              <w:pageBreakBefore w:val="0"/>
              <w:wordWrap/>
              <w:overflowPunct/>
              <w:topLinePunct w:val="0"/>
              <w:bidi w:val="0"/>
              <w:spacing w:before="159" w:beforeLines="50" w:after="159" w:afterLines="50" w:line="300" w:lineRule="exact"/>
              <w:jc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环己基氨基磺酸钠(又名甜蜜素)</w:t>
            </w:r>
          </w:p>
        </w:tc>
        <w:tc>
          <w:tcPr>
            <w:tcW w:w="276" w:type="pct"/>
            <w:noWrap w:val="0"/>
            <w:vAlign w:val="center"/>
          </w:tcPr>
          <w:p w14:paraId="4C77C04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65B3B0F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环己基氨基磺酸钠含量(以干基计)、硫酸盐（以SO</w:t>
            </w:r>
            <w:r>
              <w:rPr>
                <w:rFonts w:hint="default" w:ascii="Times New Roman" w:hAnsi="Times New Roman" w:eastAsia="仿宋_GB2312" w:cs="Times New Roman"/>
                <w:color w:val="auto"/>
                <w:sz w:val="21"/>
                <w:szCs w:val="21"/>
                <w:highlight w:val="none"/>
                <w:vertAlign w:val="subscript"/>
              </w:rPr>
              <w:t>4</w:t>
            </w:r>
            <w:r>
              <w:rPr>
                <w:rFonts w:hint="default" w:ascii="Times New Roman" w:hAnsi="Times New Roman" w:eastAsia="仿宋_GB2312" w:cs="Times New Roman"/>
                <w:color w:val="auto"/>
                <w:sz w:val="21"/>
                <w:szCs w:val="21"/>
                <w:highlight w:val="none"/>
              </w:rPr>
              <w:t>计）、干燥减量、重金属(以Pb计)、砷(As)</w:t>
            </w:r>
          </w:p>
        </w:tc>
        <w:tc>
          <w:tcPr>
            <w:tcW w:w="479" w:type="pct"/>
            <w:noWrap w:val="0"/>
            <w:vAlign w:val="center"/>
          </w:tcPr>
          <w:p w14:paraId="211B5896">
            <w:pPr>
              <w:pageBreakBefore w:val="0"/>
              <w:wordWrap/>
              <w:overflowPunct/>
              <w:topLinePunct w:val="0"/>
              <w:bidi w:val="0"/>
              <w:spacing w:line="300" w:lineRule="exact"/>
              <w:jc w:val="left"/>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w:t>
            </w:r>
          </w:p>
        </w:tc>
        <w:tc>
          <w:tcPr>
            <w:tcW w:w="555" w:type="pct"/>
            <w:noWrap w:val="0"/>
            <w:vAlign w:val="center"/>
          </w:tcPr>
          <w:p w14:paraId="7420211B">
            <w:pPr>
              <w:pageBreakBefore w:val="0"/>
              <w:wordWrap/>
              <w:overflowPunct/>
              <w:topLinePunct w:val="0"/>
              <w:bidi w:val="0"/>
              <w:spacing w:line="300" w:lineRule="exact"/>
              <w:jc w:val="center"/>
              <w:rPr>
                <w:rFonts w:hint="eastAsia"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3E32A66">
            <w:pPr>
              <w:pageBreakBefore w:val="0"/>
              <w:wordWrap/>
              <w:overflowPunct/>
              <w:topLinePunct w:val="0"/>
              <w:bidi w:val="0"/>
              <w:spacing w:line="300" w:lineRule="exact"/>
              <w:jc w:val="center"/>
              <w:rPr>
                <w:rFonts w:hint="eastAsia" w:ascii="宋体" w:hAnsi="Times New Roman" w:eastAsia="仿宋_GB2312" w:cs="Times New Roman"/>
                <w:color w:val="auto"/>
                <w:kern w:val="2"/>
                <w:sz w:val="21"/>
                <w:szCs w:val="21"/>
                <w:highlight w:val="none"/>
                <w:lang w:val="en-US" w:eastAsia="zh-CN" w:bidi="ar-SA"/>
              </w:rPr>
            </w:pPr>
          </w:p>
        </w:tc>
      </w:tr>
      <w:tr w14:paraId="599E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53113BB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8A1DF9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7B76A84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774D26E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5E63021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碳酸钠</w:t>
            </w:r>
          </w:p>
        </w:tc>
        <w:tc>
          <w:tcPr>
            <w:tcW w:w="276" w:type="pct"/>
            <w:noWrap w:val="0"/>
            <w:vAlign w:val="center"/>
          </w:tcPr>
          <w:p w14:paraId="7274C43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7520D653">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总碱量 (以Na</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rPr>
              <w:t>CO</w:t>
            </w:r>
            <w:r>
              <w:rPr>
                <w:rFonts w:hint="default" w:ascii="Times New Roman" w:hAnsi="Times New Roman" w:eastAsia="仿宋_GB2312" w:cs="Times New Roman"/>
                <w:color w:val="auto"/>
                <w:sz w:val="21"/>
                <w:szCs w:val="21"/>
                <w:highlight w:val="none"/>
                <w:vertAlign w:val="subscript"/>
              </w:rPr>
              <w:t>3</w:t>
            </w:r>
            <w:r>
              <w:rPr>
                <w:rFonts w:hint="default" w:ascii="Times New Roman" w:hAnsi="Times New Roman" w:eastAsia="仿宋_GB2312" w:cs="Times New Roman"/>
                <w:color w:val="auto"/>
                <w:sz w:val="21"/>
                <w:szCs w:val="21"/>
                <w:highlight w:val="none"/>
              </w:rPr>
              <w:t>计) (以干基计)、总碱量 (以Na</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rPr>
              <w:t>CO</w:t>
            </w:r>
            <w:r>
              <w:rPr>
                <w:rFonts w:hint="default" w:ascii="Times New Roman" w:hAnsi="Times New Roman" w:eastAsia="仿宋_GB2312" w:cs="Times New Roman"/>
                <w:color w:val="auto"/>
                <w:sz w:val="21"/>
                <w:szCs w:val="21"/>
                <w:highlight w:val="none"/>
                <w:vertAlign w:val="subscript"/>
              </w:rPr>
              <w:t>3</w:t>
            </w:r>
            <w:r>
              <w:rPr>
                <w:rFonts w:hint="default" w:ascii="Times New Roman" w:hAnsi="Times New Roman" w:eastAsia="仿宋_GB2312" w:cs="Times New Roman"/>
                <w:color w:val="auto"/>
                <w:sz w:val="21"/>
                <w:szCs w:val="21"/>
                <w:highlight w:val="none"/>
              </w:rPr>
              <w:t>计) (以湿基计)、水不溶物 (以干基计)、氯化物(以NaCl计)(以干基计)</w:t>
            </w:r>
          </w:p>
        </w:tc>
        <w:tc>
          <w:tcPr>
            <w:tcW w:w="479" w:type="pct"/>
            <w:noWrap w:val="0"/>
            <w:vAlign w:val="center"/>
          </w:tcPr>
          <w:p w14:paraId="43F8310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铅(Pb)(以干基计)、砷(As)(以干基计)</w:t>
            </w:r>
          </w:p>
        </w:tc>
        <w:tc>
          <w:tcPr>
            <w:tcW w:w="555" w:type="pct"/>
            <w:noWrap w:val="0"/>
            <w:vAlign w:val="center"/>
          </w:tcPr>
          <w:p w14:paraId="10A13767">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8923B38">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42B1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1FFC7B6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1F15A9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42669F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056580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320CEC6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碳酸氢钠</w:t>
            </w:r>
          </w:p>
        </w:tc>
        <w:tc>
          <w:tcPr>
            <w:tcW w:w="276" w:type="pct"/>
            <w:noWrap w:val="0"/>
            <w:vAlign w:val="center"/>
          </w:tcPr>
          <w:p w14:paraId="1870E46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7C95F51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总碱量 (以NaHCO</w:t>
            </w:r>
            <w:r>
              <w:rPr>
                <w:rFonts w:hint="default" w:ascii="Times New Roman" w:hAnsi="Times New Roman" w:eastAsia="仿宋_GB2312" w:cs="Times New Roman"/>
                <w:color w:val="auto"/>
                <w:sz w:val="21"/>
                <w:szCs w:val="21"/>
                <w:highlight w:val="none"/>
                <w:vertAlign w:val="subscript"/>
              </w:rPr>
              <w:t>3</w:t>
            </w:r>
            <w:r>
              <w:rPr>
                <w:rFonts w:hint="default" w:ascii="Times New Roman" w:hAnsi="Times New Roman" w:eastAsia="仿宋_GB2312" w:cs="Times New Roman"/>
                <w:color w:val="auto"/>
                <w:sz w:val="21"/>
                <w:szCs w:val="21"/>
                <w:highlight w:val="none"/>
              </w:rPr>
              <w:t>计)、干燥减量、pH(10g/L水溶液)、铵盐、澄清度、氯化物(以Cl 计)</w:t>
            </w:r>
          </w:p>
        </w:tc>
        <w:tc>
          <w:tcPr>
            <w:tcW w:w="479" w:type="pct"/>
            <w:noWrap w:val="0"/>
            <w:vAlign w:val="center"/>
          </w:tcPr>
          <w:p w14:paraId="68577EE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白度、砷(As)、重金属 (以Pb计)</w:t>
            </w:r>
          </w:p>
        </w:tc>
        <w:tc>
          <w:tcPr>
            <w:tcW w:w="555" w:type="pct"/>
            <w:noWrap w:val="0"/>
            <w:vAlign w:val="center"/>
          </w:tcPr>
          <w:p w14:paraId="2E43719B">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B48991E">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57B9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06D9296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2686CC3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36F341B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26615B21">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41C25A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焦糖色</w:t>
            </w:r>
          </w:p>
        </w:tc>
        <w:tc>
          <w:tcPr>
            <w:tcW w:w="276" w:type="pct"/>
            <w:noWrap w:val="0"/>
            <w:vAlign w:val="center"/>
          </w:tcPr>
          <w:p w14:paraId="31C51F6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4E495287">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 xml:space="preserve">吸光度 </w:t>
            </w:r>
            <m:oMath>
              <m:sSubSup>
                <m:sSubSupPr>
                  <m:ctrlPr>
                    <w:rPr>
                      <w:rFonts w:hint="default" w:ascii="Cambria Math" w:hAnsi="Cambria Math" w:eastAsia="仿宋_GB2312" w:cs="Times New Roman"/>
                      <w:color w:val="auto"/>
                      <w:sz w:val="21"/>
                      <w:szCs w:val="21"/>
                      <w:highlight w:val="none"/>
                    </w:rPr>
                  </m:ctrlPr>
                </m:sSubSupPr>
                <m:e>
                  <m:r>
                    <m:rPr>
                      <m:nor/>
                      <m:sty m:val="p"/>
                    </m:rPr>
                    <w:rPr>
                      <w:rFonts w:hint="default" w:ascii="Times New Roman" w:hAnsi="Times New Roman" w:eastAsia="仿宋_GB2312" w:cs="Times New Roman"/>
                      <w:b w:val="0"/>
                      <w:i w:val="0"/>
                      <w:color w:val="auto"/>
                      <w:sz w:val="21"/>
                      <w:szCs w:val="21"/>
                      <w:highlight w:val="none"/>
                    </w:rPr>
                    <m:t>E</m:t>
                  </m:r>
                  <m:ctrlPr>
                    <w:rPr>
                      <w:rFonts w:hint="default" w:ascii="Cambria Math" w:hAnsi="Cambria Math" w:eastAsia="仿宋_GB2312" w:cs="Times New Roman"/>
                      <w:color w:val="auto"/>
                      <w:sz w:val="21"/>
                      <w:szCs w:val="21"/>
                      <w:highlight w:val="none"/>
                    </w:rPr>
                  </m:ctrlPr>
                </m:e>
                <m:sub>
                  <m:r>
                    <m:rPr>
                      <m:nor/>
                      <m:sty m:val="p"/>
                    </m:rPr>
                    <w:rPr>
                      <w:rFonts w:hint="default" w:ascii="Times New Roman" w:hAnsi="Times New Roman" w:eastAsia="仿宋_GB2312" w:cs="Times New Roman"/>
                      <w:b w:val="0"/>
                      <w:i w:val="0"/>
                      <w:color w:val="auto"/>
                      <w:sz w:val="21"/>
                      <w:szCs w:val="21"/>
                      <w:highlight w:val="none"/>
                    </w:rPr>
                    <m:t>lcm</m:t>
                  </m:r>
                  <m:ctrlPr>
                    <w:rPr>
                      <w:rFonts w:hint="default" w:ascii="Cambria Math" w:hAnsi="Cambria Math" w:eastAsia="仿宋_GB2312" w:cs="Times New Roman"/>
                      <w:color w:val="auto"/>
                      <w:sz w:val="21"/>
                      <w:szCs w:val="21"/>
                      <w:highlight w:val="none"/>
                    </w:rPr>
                  </m:ctrlPr>
                </m:sub>
                <m:sup>
                  <m:r>
                    <m:rPr>
                      <m:nor/>
                      <m:sty m:val="p"/>
                    </m:rPr>
                    <w:rPr>
                      <w:rFonts w:hint="default" w:ascii="Times New Roman" w:hAnsi="Times New Roman" w:eastAsia="仿宋_GB2312" w:cs="Times New Roman"/>
                      <w:b w:val="0"/>
                      <w:i w:val="0"/>
                      <w:color w:val="auto"/>
                      <w:sz w:val="21"/>
                      <w:szCs w:val="21"/>
                      <w:highlight w:val="none"/>
                    </w:rPr>
                    <m:t>0.1%</m:t>
                  </m:r>
                  <m:ctrlPr>
                    <w:rPr>
                      <w:rFonts w:hint="default" w:ascii="Cambria Math" w:hAnsi="Cambria Math" w:eastAsia="仿宋_GB2312" w:cs="Times New Roman"/>
                      <w:color w:val="auto"/>
                      <w:sz w:val="21"/>
                      <w:szCs w:val="21"/>
                      <w:highlight w:val="none"/>
                    </w:rPr>
                  </m:ctrlPr>
                </m:sup>
              </m:sSubSup>
              <m:d>
                <m:dPr>
                  <m:ctrlPr>
                    <w:rPr>
                      <w:rFonts w:hint="default" w:ascii="Cambria Math" w:hAnsi="Cambria Math" w:eastAsia="仿宋_GB2312" w:cs="Times New Roman"/>
                      <w:color w:val="auto"/>
                      <w:sz w:val="21"/>
                      <w:szCs w:val="21"/>
                      <w:highlight w:val="none"/>
                    </w:rPr>
                  </m:ctrlPr>
                </m:dPr>
                <m:e>
                  <m:r>
                    <m:rPr>
                      <m:nor/>
                      <m:sty m:val="p"/>
                    </m:rPr>
                    <w:rPr>
                      <w:rFonts w:hint="default" w:ascii="Times New Roman" w:hAnsi="Times New Roman" w:eastAsia="仿宋_GB2312" w:cs="Times New Roman"/>
                      <w:b w:val="0"/>
                      <w:i w:val="0"/>
                      <w:color w:val="auto"/>
                      <w:sz w:val="21"/>
                      <w:szCs w:val="21"/>
                      <w:highlight w:val="none"/>
                    </w:rPr>
                    <m:t>610 nm</m:t>
                  </m:r>
                  <m:ctrlPr>
                    <w:rPr>
                      <w:rFonts w:hint="default" w:ascii="Cambria Math" w:hAnsi="Cambria Math" w:eastAsia="仿宋_GB2312" w:cs="Times New Roman"/>
                      <w:color w:val="auto"/>
                      <w:sz w:val="21"/>
                      <w:szCs w:val="21"/>
                      <w:highlight w:val="none"/>
                    </w:rPr>
                  </m:ctrlPr>
                </m:e>
              </m:d>
            </m:oMath>
            <w:r>
              <w:rPr>
                <w:rFonts w:hint="default" w:ascii="Times New Roman" w:hAnsi="Times New Roman" w:eastAsia="仿宋_GB2312" w:cs="Times New Roman"/>
                <w:color w:val="auto"/>
                <w:sz w:val="21"/>
                <w:szCs w:val="21"/>
                <w:highlight w:val="none"/>
              </w:rPr>
              <w:t>、氨氮(以N计)、二氧化硫(以SO</w:t>
            </w:r>
            <w:r>
              <w:rPr>
                <w:rFonts w:hint="default" w:ascii="Times New Roman" w:hAnsi="Times New Roman" w:eastAsia="仿宋_GB2312" w:cs="Times New Roman"/>
                <w:color w:val="auto"/>
                <w:sz w:val="21"/>
                <w:szCs w:val="21"/>
                <w:highlight w:val="none"/>
                <w:vertAlign w:val="subscript"/>
              </w:rPr>
              <w:t>2</w:t>
            </w:r>
            <w:r>
              <w:rPr>
                <w:rFonts w:hint="default" w:ascii="Times New Roman" w:hAnsi="Times New Roman" w:eastAsia="仿宋_GB2312" w:cs="Times New Roman"/>
                <w:color w:val="auto"/>
                <w:sz w:val="21"/>
                <w:szCs w:val="21"/>
                <w:highlight w:val="none"/>
              </w:rPr>
              <w:t>计)、4-甲基咪唑、总氮(以N计)、总硫(以S计)</w:t>
            </w:r>
          </w:p>
        </w:tc>
        <w:tc>
          <w:tcPr>
            <w:tcW w:w="479" w:type="pct"/>
            <w:noWrap w:val="0"/>
            <w:vAlign w:val="center"/>
          </w:tcPr>
          <w:p w14:paraId="7890995C">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总砷(以As计)、铅(Pb)</w:t>
            </w:r>
          </w:p>
          <w:p w14:paraId="24971DF5">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、总汞 (以Hg计)</w:t>
            </w:r>
          </w:p>
        </w:tc>
        <w:tc>
          <w:tcPr>
            <w:tcW w:w="555" w:type="pct"/>
            <w:noWrap w:val="0"/>
            <w:vAlign w:val="center"/>
          </w:tcPr>
          <w:p w14:paraId="095E5341">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C7FC63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3C1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0AACF7A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E86EA2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82E0D7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76A4D3C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178CE36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蜂蜡</w:t>
            </w:r>
          </w:p>
        </w:tc>
        <w:tc>
          <w:tcPr>
            <w:tcW w:w="276" w:type="pct"/>
            <w:noWrap w:val="0"/>
            <w:vAlign w:val="center"/>
          </w:tcPr>
          <w:p w14:paraId="7B5EB19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381F0BC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过氧化值、酸值(以KOH计)、皂化值(以KOH计)、熔程、甘油和其他多元醇、巴西棕榈蜡、纯白地蜡、石蜡及其他蜡、脂肪、日本蜡、松脂和皂质</w:t>
            </w:r>
          </w:p>
        </w:tc>
        <w:tc>
          <w:tcPr>
            <w:tcW w:w="479" w:type="pct"/>
            <w:noWrap w:val="0"/>
            <w:vAlign w:val="center"/>
          </w:tcPr>
          <w:p w14:paraId="53CF1516">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铅(Pb)</w:t>
            </w:r>
          </w:p>
        </w:tc>
        <w:tc>
          <w:tcPr>
            <w:tcW w:w="555" w:type="pct"/>
            <w:noWrap w:val="0"/>
            <w:vAlign w:val="center"/>
          </w:tcPr>
          <w:p w14:paraId="27AB4F03">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077CBF5">
            <w:pPr>
              <w:pageBreakBefore w:val="0"/>
              <w:wordWrap/>
              <w:overflowPunct/>
              <w:topLinePunct w:val="0"/>
              <w:bidi w:val="0"/>
              <w:spacing w:line="300" w:lineRule="exact"/>
              <w:jc w:val="center"/>
              <w:rPr>
                <w:rFonts w:hint="default" w:ascii="Times New Roman" w:hAnsi="Times New Roman" w:eastAsia="仿宋_GB2312" w:cs="Times New Roman"/>
                <w:color w:val="auto"/>
                <w:kern w:val="2"/>
                <w:sz w:val="21"/>
                <w:szCs w:val="21"/>
                <w:highlight w:val="none"/>
                <w:lang w:val="en-US" w:eastAsia="zh-CN" w:bidi="ar-SA"/>
              </w:rPr>
            </w:pPr>
          </w:p>
        </w:tc>
      </w:tr>
      <w:tr w14:paraId="012C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3D251C9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014604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1E79438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591B8DA5">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568823A2">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红曲米</w:t>
            </w:r>
          </w:p>
        </w:tc>
        <w:tc>
          <w:tcPr>
            <w:tcW w:w="276" w:type="pct"/>
            <w:noWrap w:val="0"/>
            <w:vAlign w:val="center"/>
          </w:tcPr>
          <w:p w14:paraId="48BAB3B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3C5BFA3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水分、黄曲霉毒素B</w:t>
            </w:r>
            <w:r>
              <w:rPr>
                <w:rFonts w:hint="default" w:ascii="Times New Roman" w:hAnsi="Times New Roman" w:eastAsia="仿宋_GB2312" w:cs="Times New Roman"/>
                <w:color w:val="auto"/>
                <w:sz w:val="21"/>
                <w:szCs w:val="21"/>
                <w:highlight w:val="none"/>
                <w:vertAlign w:val="subscript"/>
              </w:rPr>
              <w:t>1</w:t>
            </w:r>
            <w:r>
              <w:rPr>
                <w:rFonts w:hint="default" w:ascii="Times New Roman" w:hAnsi="Times New Roman" w:eastAsia="仿宋_GB2312" w:cs="Times New Roman"/>
                <w:color w:val="auto"/>
                <w:sz w:val="21"/>
                <w:szCs w:val="21"/>
                <w:highlight w:val="none"/>
              </w:rPr>
              <w:t>、色价、细度 150μm ( 100目) 通过率、大肠菌群、沙门氏菌、志贺氏菌、金黄色葡萄球菌</w:t>
            </w:r>
          </w:p>
        </w:tc>
        <w:tc>
          <w:tcPr>
            <w:tcW w:w="479" w:type="pct"/>
            <w:noWrap w:val="0"/>
            <w:vAlign w:val="center"/>
          </w:tcPr>
          <w:p w14:paraId="26EA38C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总砷(以As计)、重金属(以Pb计)</w:t>
            </w:r>
          </w:p>
        </w:tc>
        <w:tc>
          <w:tcPr>
            <w:tcW w:w="555" w:type="pct"/>
            <w:noWrap w:val="0"/>
            <w:vAlign w:val="center"/>
          </w:tcPr>
          <w:p w14:paraId="42224F45">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44B6BB6A">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7847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3A2B056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95B097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79C5C1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760FAB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33E4236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红曲红</w:t>
            </w:r>
          </w:p>
        </w:tc>
        <w:tc>
          <w:tcPr>
            <w:tcW w:w="276" w:type="pct"/>
            <w:noWrap w:val="0"/>
            <w:vAlign w:val="center"/>
          </w:tcPr>
          <w:p w14:paraId="392B570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18380CFB">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色价</w:t>
            </w:r>
            <m:oMath>
              <m:sSubSup>
                <m:sSubSupPr>
                  <m:ctrlPr>
                    <w:rPr>
                      <w:rFonts w:hint="default" w:ascii="Cambria Math" w:hAnsi="Cambria Math" w:eastAsia="仿宋_GB2312" w:cs="Times New Roman"/>
                      <w:color w:val="auto"/>
                      <w:sz w:val="21"/>
                      <w:szCs w:val="21"/>
                      <w:highlight w:val="none"/>
                    </w:rPr>
                  </m:ctrlPr>
                </m:sSubSupPr>
                <m:e>
                  <m:r>
                    <m:rPr>
                      <m:nor/>
                      <m:sty m:val="p"/>
                    </m:rPr>
                    <w:rPr>
                      <w:rFonts w:hint="default" w:ascii="Times New Roman" w:hAnsi="Times New Roman" w:eastAsia="仿宋_GB2312" w:cs="Times New Roman"/>
                      <w:b w:val="0"/>
                      <w:i w:val="0"/>
                      <w:color w:val="auto"/>
                      <w:sz w:val="21"/>
                      <w:szCs w:val="21"/>
                      <w:highlight w:val="none"/>
                    </w:rPr>
                    <m:t>E</m:t>
                  </m:r>
                  <m:ctrlPr>
                    <w:rPr>
                      <w:rFonts w:hint="default" w:ascii="Cambria Math" w:hAnsi="Cambria Math" w:eastAsia="仿宋_GB2312" w:cs="Times New Roman"/>
                      <w:color w:val="auto"/>
                      <w:sz w:val="21"/>
                      <w:szCs w:val="21"/>
                      <w:highlight w:val="none"/>
                    </w:rPr>
                  </m:ctrlPr>
                </m:e>
                <m:sub>
                  <m:r>
                    <m:rPr>
                      <m:nor/>
                      <m:sty m:val="p"/>
                    </m:rPr>
                    <w:rPr>
                      <w:rFonts w:hint="default" w:ascii="Times New Roman" w:hAnsi="Times New Roman" w:eastAsia="仿宋_GB2312" w:cs="Times New Roman"/>
                      <w:b w:val="0"/>
                      <w:i w:val="0"/>
                      <w:color w:val="auto"/>
                      <w:sz w:val="21"/>
                      <w:szCs w:val="21"/>
                      <w:highlight w:val="none"/>
                    </w:rPr>
                    <m:t>1 cm</m:t>
                  </m:r>
                  <m:ctrlPr>
                    <w:rPr>
                      <w:rFonts w:hint="default" w:ascii="Cambria Math" w:hAnsi="Cambria Math" w:eastAsia="仿宋_GB2312" w:cs="Times New Roman"/>
                      <w:color w:val="auto"/>
                      <w:sz w:val="21"/>
                      <w:szCs w:val="21"/>
                      <w:highlight w:val="none"/>
                    </w:rPr>
                  </m:ctrlPr>
                </m:sub>
                <m:sup>
                  <m:r>
                    <m:rPr>
                      <m:nor/>
                      <m:sty m:val="p"/>
                    </m:rPr>
                    <w:rPr>
                      <w:rFonts w:hint="default" w:ascii="Times New Roman" w:hAnsi="Times New Roman" w:eastAsia="仿宋_GB2312" w:cs="Times New Roman"/>
                      <w:b w:val="0"/>
                      <w:i w:val="0"/>
                      <w:color w:val="auto"/>
                      <w:sz w:val="21"/>
                      <w:szCs w:val="21"/>
                      <w:highlight w:val="none"/>
                    </w:rPr>
                    <m:t>1%</m:t>
                  </m:r>
                  <m:ctrlPr>
                    <w:rPr>
                      <w:rFonts w:hint="default" w:ascii="Cambria Math" w:hAnsi="Cambria Math" w:eastAsia="仿宋_GB2312" w:cs="Times New Roman"/>
                      <w:color w:val="auto"/>
                      <w:sz w:val="21"/>
                      <w:szCs w:val="21"/>
                      <w:highlight w:val="none"/>
                    </w:rPr>
                  </m:ctrlPr>
                </m:sup>
              </m:sSubSup>
              <m:d>
                <m:dPr>
                  <m:ctrlPr>
                    <w:rPr>
                      <w:rFonts w:hint="default" w:ascii="Cambria Math" w:hAnsi="Cambria Math" w:eastAsia="仿宋_GB2312" w:cs="Times New Roman"/>
                      <w:color w:val="auto"/>
                      <w:sz w:val="21"/>
                      <w:szCs w:val="21"/>
                      <w:highlight w:val="none"/>
                    </w:rPr>
                  </m:ctrlPr>
                </m:dPr>
                <m:e>
                  <m:r>
                    <m:rPr>
                      <m:nor/>
                      <m:sty m:val="p"/>
                    </m:rPr>
                    <w:rPr>
                      <w:rFonts w:hint="default" w:ascii="Times New Roman" w:hAnsi="Times New Roman" w:eastAsia="仿宋_GB2312" w:cs="Times New Roman"/>
                      <w:b w:val="0"/>
                      <w:i w:val="0"/>
                      <w:color w:val="auto"/>
                      <w:sz w:val="21"/>
                      <w:szCs w:val="21"/>
                      <w:highlight w:val="none"/>
                    </w:rPr>
                    <m:t>495±10</m:t>
                  </m:r>
                  <m:ctrlPr>
                    <w:rPr>
                      <w:rFonts w:hint="default" w:ascii="Cambria Math" w:hAnsi="Cambria Math" w:eastAsia="仿宋_GB2312" w:cs="Times New Roman"/>
                      <w:color w:val="auto"/>
                      <w:sz w:val="21"/>
                      <w:szCs w:val="21"/>
                      <w:highlight w:val="none"/>
                    </w:rPr>
                  </m:ctrlPr>
                </m:e>
              </m:d>
              <m:r>
                <m:rPr>
                  <m:nor/>
                  <m:sty m:val="p"/>
                </m:rPr>
                <w:rPr>
                  <w:rFonts w:hint="default" w:ascii="Times New Roman" w:hAnsi="Times New Roman" w:eastAsia="仿宋_GB2312" w:cs="Times New Roman"/>
                  <w:b w:val="0"/>
                  <w:i w:val="0"/>
                  <w:color w:val="auto"/>
                  <w:sz w:val="21"/>
                  <w:szCs w:val="21"/>
                  <w:highlight w:val="none"/>
                </w:rPr>
                <m:t>nm</m:t>
              </m:r>
            </m:oMath>
            <w:r>
              <w:rPr>
                <w:rFonts w:hint="default" w:ascii="Times New Roman" w:hAnsi="Times New Roman" w:eastAsia="仿宋_GB2312" w:cs="Times New Roman"/>
                <w:color w:val="auto"/>
                <w:sz w:val="21"/>
                <w:szCs w:val="21"/>
                <w:highlight w:val="none"/>
              </w:rPr>
              <w:t>、干燥减量、铅(Pb)、砷(As)</w:t>
            </w:r>
          </w:p>
        </w:tc>
        <w:tc>
          <w:tcPr>
            <w:tcW w:w="479" w:type="pct"/>
            <w:noWrap w:val="0"/>
            <w:vAlign w:val="center"/>
          </w:tcPr>
          <w:p w14:paraId="0A71CA8E">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0A956346">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CC4DD33">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7380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FEFBB5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5F03889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463225FA">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065A7F8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21C03DF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红曲黄色素</w:t>
            </w:r>
          </w:p>
        </w:tc>
        <w:tc>
          <w:tcPr>
            <w:tcW w:w="276" w:type="pct"/>
            <w:noWrap w:val="0"/>
            <w:vAlign w:val="center"/>
          </w:tcPr>
          <w:p w14:paraId="56ABE38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4EAD3474">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色价</w:t>
            </w:r>
            <m:oMath>
              <m:sSubSup>
                <m:sSubSupPr>
                  <m:ctrlPr>
                    <w:rPr>
                      <w:rFonts w:hint="default" w:ascii="Cambria Math" w:hAnsi="Cambria Math" w:eastAsia="仿宋_GB2312" w:cs="Times New Roman"/>
                      <w:color w:val="auto"/>
                      <w:sz w:val="21"/>
                      <w:szCs w:val="21"/>
                      <w:highlight w:val="none"/>
                    </w:rPr>
                  </m:ctrlPr>
                </m:sSubSupPr>
                <m:e>
                  <m:r>
                    <m:rPr>
                      <m:nor/>
                      <m:sty m:val="p"/>
                    </m:rPr>
                    <w:rPr>
                      <w:rFonts w:hint="default" w:ascii="Times New Roman" w:hAnsi="Times New Roman" w:eastAsia="仿宋_GB2312" w:cs="Times New Roman"/>
                      <w:b w:val="0"/>
                      <w:i w:val="0"/>
                      <w:color w:val="auto"/>
                      <w:sz w:val="21"/>
                      <w:szCs w:val="21"/>
                      <w:highlight w:val="none"/>
                    </w:rPr>
                    <m:t>E</m:t>
                  </m:r>
                  <m:ctrlPr>
                    <w:rPr>
                      <w:rFonts w:hint="default" w:ascii="Cambria Math" w:hAnsi="Cambria Math" w:eastAsia="仿宋_GB2312" w:cs="Times New Roman"/>
                      <w:color w:val="auto"/>
                      <w:sz w:val="21"/>
                      <w:szCs w:val="21"/>
                      <w:highlight w:val="none"/>
                    </w:rPr>
                  </m:ctrlPr>
                </m:e>
                <m:sub>
                  <m:r>
                    <m:rPr>
                      <m:nor/>
                      <m:sty m:val="p"/>
                    </m:rPr>
                    <w:rPr>
                      <w:rFonts w:hint="default" w:ascii="Times New Roman" w:hAnsi="Times New Roman" w:eastAsia="仿宋_GB2312" w:cs="Times New Roman"/>
                      <w:b w:val="0"/>
                      <w:i w:val="0"/>
                      <w:color w:val="auto"/>
                      <w:sz w:val="21"/>
                      <w:szCs w:val="21"/>
                      <w:highlight w:val="none"/>
                    </w:rPr>
                    <m:t>1 cm</m:t>
                  </m:r>
                  <m:ctrlPr>
                    <w:rPr>
                      <w:rFonts w:hint="default" w:ascii="Cambria Math" w:hAnsi="Cambria Math" w:eastAsia="仿宋_GB2312" w:cs="Times New Roman"/>
                      <w:color w:val="auto"/>
                      <w:sz w:val="21"/>
                      <w:szCs w:val="21"/>
                      <w:highlight w:val="none"/>
                    </w:rPr>
                  </m:ctrlPr>
                </m:sub>
                <m:sup>
                  <m:r>
                    <m:rPr>
                      <m:nor/>
                      <m:sty m:val="p"/>
                    </m:rPr>
                    <w:rPr>
                      <w:rFonts w:hint="default" w:ascii="Times New Roman" w:hAnsi="Times New Roman" w:eastAsia="仿宋_GB2312" w:cs="Times New Roman"/>
                      <w:b w:val="0"/>
                      <w:i w:val="0"/>
                      <w:color w:val="auto"/>
                      <w:sz w:val="21"/>
                      <w:szCs w:val="21"/>
                      <w:highlight w:val="none"/>
                    </w:rPr>
                    <m:t>1%</m:t>
                  </m:r>
                  <m:ctrlPr>
                    <w:rPr>
                      <w:rFonts w:hint="default" w:ascii="Cambria Math" w:hAnsi="Cambria Math" w:eastAsia="仿宋_GB2312" w:cs="Times New Roman"/>
                      <w:color w:val="auto"/>
                      <w:sz w:val="21"/>
                      <w:szCs w:val="21"/>
                      <w:highlight w:val="none"/>
                    </w:rPr>
                  </m:ctrlPr>
                </m:sup>
              </m:sSubSup>
              <m:d>
                <m:dPr>
                  <m:ctrlPr>
                    <w:rPr>
                      <w:rFonts w:hint="default" w:ascii="Cambria Math" w:hAnsi="Cambria Math" w:eastAsia="仿宋_GB2312" w:cs="Times New Roman"/>
                      <w:color w:val="auto"/>
                      <w:sz w:val="21"/>
                      <w:szCs w:val="21"/>
                      <w:highlight w:val="none"/>
                    </w:rPr>
                  </m:ctrlPr>
                </m:dPr>
                <m:e>
                  <m:r>
                    <m:rPr>
                      <m:nor/>
                      <m:sty m:val="p"/>
                    </m:rPr>
                    <w:rPr>
                      <w:rFonts w:hint="default" w:ascii="Times New Roman" w:hAnsi="Times New Roman" w:eastAsia="仿宋_GB2312" w:cs="Times New Roman"/>
                      <w:b w:val="0"/>
                      <w:i w:val="0"/>
                      <w:color w:val="auto"/>
                      <w:sz w:val="21"/>
                      <w:szCs w:val="21"/>
                      <w:highlight w:val="none"/>
                    </w:rPr>
                    <m:t>476±10</m:t>
                  </m:r>
                  <m:ctrlPr>
                    <w:rPr>
                      <w:rFonts w:hint="default" w:ascii="Cambria Math" w:hAnsi="Cambria Math" w:eastAsia="仿宋_GB2312" w:cs="Times New Roman"/>
                      <w:color w:val="auto"/>
                      <w:sz w:val="21"/>
                      <w:szCs w:val="21"/>
                      <w:highlight w:val="none"/>
                    </w:rPr>
                  </m:ctrlPr>
                </m:e>
              </m:d>
              <m:r>
                <m:rPr>
                  <m:nor/>
                  <m:sty m:val="p"/>
                </m:rPr>
                <w:rPr>
                  <w:rFonts w:hint="default" w:ascii="Times New Roman" w:hAnsi="Times New Roman" w:eastAsia="仿宋_GB2312" w:cs="Times New Roman"/>
                  <w:b w:val="0"/>
                  <w:i w:val="0"/>
                  <w:color w:val="auto"/>
                  <w:sz w:val="21"/>
                  <w:szCs w:val="21"/>
                  <w:highlight w:val="none"/>
                </w:rPr>
                <m:t>nm</m:t>
              </m:r>
            </m:oMath>
            <w:r>
              <w:rPr>
                <w:rFonts w:hint="default" w:ascii="Times New Roman" w:hAnsi="Times New Roman" w:eastAsia="仿宋_GB2312" w:cs="Times New Roman"/>
                <w:color w:val="auto"/>
                <w:sz w:val="21"/>
                <w:szCs w:val="21"/>
                <w:highlight w:val="none"/>
              </w:rPr>
              <w:t>、干燥减量、灼烧残渣、铅(Pb)、总砷(以As计)</w:t>
            </w:r>
          </w:p>
        </w:tc>
        <w:tc>
          <w:tcPr>
            <w:tcW w:w="479" w:type="pct"/>
            <w:noWrap w:val="0"/>
            <w:vAlign w:val="center"/>
          </w:tcPr>
          <w:p w14:paraId="46DF2A6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09808EC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E818B2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0A73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41BC623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627FFB68">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688A0E63">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42CDF9EB">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5DA2FE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胶基</w:t>
            </w:r>
          </w:p>
        </w:tc>
        <w:tc>
          <w:tcPr>
            <w:tcW w:w="276" w:type="pct"/>
            <w:noWrap w:val="0"/>
            <w:vAlign w:val="center"/>
          </w:tcPr>
          <w:p w14:paraId="5215CB7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3A38A0F1">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铅(Pb)、总砷(以As计)</w:t>
            </w:r>
          </w:p>
        </w:tc>
        <w:tc>
          <w:tcPr>
            <w:tcW w:w="479" w:type="pct"/>
            <w:noWrap w:val="0"/>
            <w:vAlign w:val="center"/>
          </w:tcPr>
          <w:p w14:paraId="0A7BA7BF">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5854FDF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29F668E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B63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10CFA58F">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379B075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05D852E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71167436">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5F42B249">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食品工业用酶制剂</w:t>
            </w:r>
          </w:p>
          <w:p w14:paraId="5DBAA77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276" w:type="pct"/>
            <w:noWrap w:val="0"/>
            <w:vAlign w:val="center"/>
          </w:tcPr>
          <w:p w14:paraId="4E29869D">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39CD48DA">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菌落总数、大肠菌群、大肠埃希氏菌、沙门氏菌、抗菌活性</w:t>
            </w:r>
          </w:p>
        </w:tc>
        <w:tc>
          <w:tcPr>
            <w:tcW w:w="479" w:type="pct"/>
            <w:noWrap w:val="0"/>
            <w:vAlign w:val="center"/>
          </w:tcPr>
          <w:p w14:paraId="5DF2A7F5">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铅(Pb)、总砷(以As计)</w:t>
            </w:r>
          </w:p>
        </w:tc>
        <w:tc>
          <w:tcPr>
            <w:tcW w:w="555" w:type="pct"/>
            <w:noWrap w:val="0"/>
            <w:vAlign w:val="center"/>
          </w:tcPr>
          <w:p w14:paraId="522D4B02">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1DAFBB58">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895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vMerge w:val="continue"/>
            <w:noWrap w:val="0"/>
            <w:vAlign w:val="center"/>
          </w:tcPr>
          <w:p w14:paraId="7D342EC4">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0" w:type="pct"/>
            <w:vMerge w:val="continue"/>
            <w:noWrap w:val="0"/>
            <w:vAlign w:val="center"/>
          </w:tcPr>
          <w:p w14:paraId="195C40DC">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24" w:type="pct"/>
            <w:vMerge w:val="continue"/>
            <w:noWrap w:val="0"/>
            <w:vAlign w:val="center"/>
          </w:tcPr>
          <w:p w14:paraId="100665C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346" w:type="pct"/>
            <w:vMerge w:val="continue"/>
            <w:noWrap w:val="0"/>
            <w:vAlign w:val="center"/>
          </w:tcPr>
          <w:p w14:paraId="1C8A84E7">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p>
        </w:tc>
        <w:tc>
          <w:tcPr>
            <w:tcW w:w="499" w:type="pct"/>
            <w:noWrap w:val="0"/>
            <w:vAlign w:val="center"/>
          </w:tcPr>
          <w:p w14:paraId="4E844F90">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碳酸钙（包括轻质和重质碳酸钙）</w:t>
            </w:r>
          </w:p>
        </w:tc>
        <w:tc>
          <w:tcPr>
            <w:tcW w:w="276" w:type="pct"/>
            <w:noWrap w:val="0"/>
            <w:vAlign w:val="center"/>
          </w:tcPr>
          <w:p w14:paraId="006D3C6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一般</w:t>
            </w:r>
          </w:p>
        </w:tc>
        <w:tc>
          <w:tcPr>
            <w:tcW w:w="1303" w:type="pct"/>
            <w:noWrap w:val="0"/>
            <w:vAlign w:val="center"/>
          </w:tcPr>
          <w:p w14:paraId="4DC2870D">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碳酸钙（CaCO</w:t>
            </w:r>
            <w:r>
              <w:rPr>
                <w:rFonts w:hint="default" w:ascii="Times New Roman" w:hAnsi="Times New Roman" w:eastAsia="仿宋_GB2312" w:cs="Times New Roman"/>
                <w:color w:val="auto"/>
                <w:sz w:val="21"/>
                <w:szCs w:val="21"/>
                <w:highlight w:val="none"/>
                <w:vertAlign w:val="subscript"/>
              </w:rPr>
              <w:t>3</w:t>
            </w:r>
            <w:r>
              <w:rPr>
                <w:rFonts w:hint="default" w:ascii="Times New Roman" w:hAnsi="Times New Roman" w:eastAsia="仿宋_GB2312" w:cs="Times New Roman"/>
                <w:color w:val="auto"/>
                <w:sz w:val="21"/>
                <w:szCs w:val="21"/>
                <w:highlight w:val="none"/>
              </w:rPr>
              <w:t>）含量（以干基计）、盐酸不溶物、游离碱、镁和碱金属、干燥减量</w:t>
            </w:r>
          </w:p>
        </w:tc>
        <w:tc>
          <w:tcPr>
            <w:tcW w:w="479" w:type="pct"/>
            <w:noWrap w:val="0"/>
            <w:vAlign w:val="center"/>
          </w:tcPr>
          <w:p w14:paraId="6058B2A0">
            <w:pPr>
              <w:pageBreakBefore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555" w:type="pct"/>
            <w:noWrap w:val="0"/>
            <w:vAlign w:val="center"/>
          </w:tcPr>
          <w:p w14:paraId="28FA81DF">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61A4BECD">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4896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noWrap w:val="0"/>
            <w:vAlign w:val="center"/>
          </w:tcPr>
          <w:p w14:paraId="5FF154BE">
            <w:pPr>
              <w:pageBreakBefore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30</w:t>
            </w:r>
          </w:p>
        </w:tc>
        <w:tc>
          <w:tcPr>
            <w:tcW w:w="320" w:type="pct"/>
            <w:noWrap w:val="0"/>
            <w:vAlign w:val="center"/>
          </w:tcPr>
          <w:p w14:paraId="370CFCD4">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5"/>
                <w:sz w:val="21"/>
                <w:szCs w:val="21"/>
                <w:highlight w:val="none"/>
                <w:lang w:eastAsia="zh-CN"/>
              </w:rPr>
              <w:t>其他食品</w:t>
            </w:r>
          </w:p>
        </w:tc>
        <w:tc>
          <w:tcPr>
            <w:tcW w:w="324" w:type="pct"/>
            <w:noWrap w:val="0"/>
            <w:vAlign w:val="center"/>
          </w:tcPr>
          <w:p w14:paraId="6314C6D6">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5"/>
                <w:sz w:val="21"/>
                <w:szCs w:val="21"/>
                <w:highlight w:val="none"/>
                <w:lang w:eastAsia="zh-CN"/>
              </w:rPr>
              <w:t>其他食品</w:t>
            </w:r>
          </w:p>
        </w:tc>
        <w:tc>
          <w:tcPr>
            <w:tcW w:w="346" w:type="pct"/>
            <w:noWrap w:val="0"/>
            <w:vAlign w:val="center"/>
          </w:tcPr>
          <w:p w14:paraId="031C3CB6">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5"/>
                <w:sz w:val="21"/>
                <w:szCs w:val="21"/>
                <w:highlight w:val="none"/>
                <w:lang w:eastAsia="zh-CN"/>
              </w:rPr>
              <w:t>其他食品</w:t>
            </w:r>
          </w:p>
        </w:tc>
        <w:tc>
          <w:tcPr>
            <w:tcW w:w="499" w:type="pct"/>
            <w:noWrap w:val="0"/>
            <w:vAlign w:val="center"/>
          </w:tcPr>
          <w:p w14:paraId="5DB28C9F">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pacing w:val="5"/>
                <w:sz w:val="21"/>
                <w:szCs w:val="21"/>
                <w:highlight w:val="none"/>
                <w:lang w:val="en-US" w:eastAsia="en-US"/>
              </w:rPr>
              <w:t>螺蛳粉、老友粉、桂林米粉</w:t>
            </w:r>
            <w:r>
              <w:rPr>
                <w:rFonts w:hint="default" w:ascii="Times New Roman" w:hAnsi="Times New Roman" w:eastAsia="仿宋_GB2312" w:cs="Times New Roman"/>
                <w:b w:val="0"/>
                <w:bCs w:val="0"/>
                <w:color w:val="auto"/>
                <w:spacing w:val="5"/>
                <w:sz w:val="21"/>
                <w:szCs w:val="21"/>
                <w:highlight w:val="none"/>
                <w:lang w:val="en-US" w:eastAsia="zh-CN"/>
              </w:rPr>
              <w:t>等地方特色粉类</w:t>
            </w:r>
          </w:p>
        </w:tc>
        <w:tc>
          <w:tcPr>
            <w:tcW w:w="276" w:type="pct"/>
            <w:noWrap w:val="0"/>
            <w:vAlign w:val="center"/>
          </w:tcPr>
          <w:p w14:paraId="574B255C">
            <w:pPr>
              <w:pageBreakBefore w:val="0"/>
              <w:widowControl w:val="0"/>
              <w:wordWrap/>
              <w:overflowPunct/>
              <w:topLinePunct w:val="0"/>
              <w:bidi w:val="0"/>
              <w:spacing w:line="300" w:lineRule="exact"/>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5"/>
                <w:sz w:val="21"/>
                <w:szCs w:val="21"/>
                <w:highlight w:val="none"/>
                <w:lang w:eastAsia="zh-CN"/>
              </w:rPr>
              <w:t>较高</w:t>
            </w:r>
          </w:p>
        </w:tc>
        <w:tc>
          <w:tcPr>
            <w:tcW w:w="1303" w:type="pct"/>
            <w:noWrap w:val="0"/>
            <w:vAlign w:val="center"/>
          </w:tcPr>
          <w:p w14:paraId="4615AE74">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pacing w:val="5"/>
                <w:sz w:val="21"/>
                <w:szCs w:val="21"/>
                <w:highlight w:val="none"/>
                <w:lang w:val="en-US" w:eastAsia="zh-CN"/>
              </w:rPr>
              <w:t>过氧化值(以脂肪计)、苯甲酸及其钠盐（以苯甲酸计）、山梨酸及其钾盐（以山梨酸计）、脱氢乙酸及其钠盐(以脱氢乙酸计)、霉菌、菌落总数</w:t>
            </w:r>
          </w:p>
        </w:tc>
        <w:tc>
          <w:tcPr>
            <w:tcW w:w="479" w:type="pct"/>
            <w:noWrap w:val="0"/>
            <w:vAlign w:val="center"/>
          </w:tcPr>
          <w:p w14:paraId="4CDCFCC6">
            <w:pPr>
              <w:pageBreakBefore w:val="0"/>
              <w:widowControl w:val="0"/>
              <w:wordWrap/>
              <w:overflowPunct/>
              <w:topLinePunct w:val="0"/>
              <w:bidi w:val="0"/>
              <w:spacing w:line="300" w:lineRule="exact"/>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pacing w:val="5"/>
                <w:sz w:val="21"/>
                <w:szCs w:val="21"/>
                <w:highlight w:val="none"/>
                <w:lang w:val="en-US" w:eastAsia="zh-CN"/>
              </w:rPr>
              <w:t>大肠菌群、黄曲霉毒素B</w:t>
            </w:r>
            <w:r>
              <w:rPr>
                <w:rFonts w:hint="default" w:ascii="Times New Roman" w:hAnsi="Times New Roman" w:eastAsia="仿宋_GB2312" w:cs="Times New Roman"/>
                <w:b w:val="0"/>
                <w:bCs w:val="0"/>
                <w:color w:val="auto"/>
                <w:spacing w:val="5"/>
                <w:sz w:val="21"/>
                <w:szCs w:val="21"/>
                <w:highlight w:val="none"/>
                <w:vertAlign w:val="subscript"/>
                <w:lang w:val="en-US" w:eastAsia="zh-CN"/>
              </w:rPr>
              <w:t>1</w:t>
            </w:r>
          </w:p>
        </w:tc>
        <w:tc>
          <w:tcPr>
            <w:tcW w:w="555" w:type="pct"/>
            <w:noWrap w:val="0"/>
            <w:vAlign w:val="center"/>
          </w:tcPr>
          <w:p w14:paraId="3944EB69">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683" w:type="pct"/>
            <w:noWrap w:val="0"/>
            <w:vAlign w:val="center"/>
          </w:tcPr>
          <w:p w14:paraId="3154026E">
            <w:pPr>
              <w:pageBreakBefore w:val="0"/>
              <w:wordWrap/>
              <w:overflowPunct/>
              <w:topLinePunct w:val="0"/>
              <w:bidi w:val="0"/>
              <w:spacing w:line="300" w:lineRule="exact"/>
              <w:jc w:val="center"/>
              <w:rPr>
                <w:rFonts w:hint="default" w:ascii="宋体" w:hAnsi="Times New Roman" w:eastAsia="仿宋_GB2312" w:cs="Times New Roman"/>
                <w:color w:val="auto"/>
                <w:kern w:val="2"/>
                <w:sz w:val="21"/>
                <w:szCs w:val="21"/>
                <w:highlight w:val="none"/>
                <w:lang w:val="en-US" w:eastAsia="zh-CN" w:bidi="ar-SA"/>
              </w:rPr>
            </w:pPr>
          </w:p>
        </w:tc>
      </w:tr>
      <w:tr w14:paraId="22C2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 w:type="pct"/>
            <w:noWrap w:val="0"/>
            <w:vAlign w:val="center"/>
          </w:tcPr>
          <w:p w14:paraId="2311C3B0">
            <w:pPr>
              <w:keepNext w:val="0"/>
              <w:keepLines w:val="0"/>
              <w:pageBreakBefore w:val="0"/>
              <w:widowControl/>
              <w:suppressLineNumbers w:val="0"/>
              <w:wordWrap/>
              <w:overflowPunct/>
              <w:topLinePunct w:val="0"/>
              <w:bidi w:val="0"/>
              <w:spacing w:line="300" w:lineRule="exact"/>
              <w:jc w:val="center"/>
              <w:textAlignment w:val="center"/>
              <w:rPr>
                <w:rFonts w:hint="eastAsia" w:ascii="Times New Roman" w:hAnsi="Times New Roman" w:eastAsia="仿宋_GB2312" w:cs="Times New Roman"/>
                <w:b/>
                <w:bCs/>
                <w:color w:val="auto"/>
                <w:sz w:val="21"/>
                <w:szCs w:val="21"/>
                <w:highlight w:val="none"/>
                <w:lang w:val="en-US" w:eastAsia="zh-CN"/>
              </w:rPr>
            </w:pPr>
            <w:r>
              <w:rPr>
                <w:rFonts w:hint="eastAsia" w:ascii="Times New Roman" w:hAnsi="Times New Roman" w:eastAsia="仿宋_GB2312" w:cs="Times New Roman"/>
                <w:b/>
                <w:bCs/>
                <w:i w:val="0"/>
                <w:iCs w:val="0"/>
                <w:color w:val="000000"/>
                <w:kern w:val="0"/>
                <w:sz w:val="21"/>
                <w:szCs w:val="21"/>
                <w:highlight w:val="none"/>
                <w:u w:val="none"/>
                <w:lang w:val="en-US" w:eastAsia="zh-CN" w:bidi="ar"/>
              </w:rPr>
              <w:t>31</w:t>
            </w:r>
          </w:p>
        </w:tc>
        <w:tc>
          <w:tcPr>
            <w:tcW w:w="320" w:type="pct"/>
            <w:noWrap w:val="0"/>
            <w:vAlign w:val="center"/>
          </w:tcPr>
          <w:p w14:paraId="6A4E9E32">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sz w:val="21"/>
                <w:szCs w:val="21"/>
                <w:highlight w:val="none"/>
                <w:lang w:eastAsia="zh-CN"/>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保健食品</w:t>
            </w:r>
          </w:p>
        </w:tc>
        <w:tc>
          <w:tcPr>
            <w:tcW w:w="324" w:type="pct"/>
            <w:noWrap w:val="0"/>
            <w:vAlign w:val="center"/>
          </w:tcPr>
          <w:p w14:paraId="25E7C7F1">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sz w:val="21"/>
                <w:szCs w:val="21"/>
                <w:highlight w:val="none"/>
                <w:lang w:eastAsia="zh-CN"/>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保健食品</w:t>
            </w:r>
          </w:p>
        </w:tc>
        <w:tc>
          <w:tcPr>
            <w:tcW w:w="346" w:type="pct"/>
            <w:noWrap w:val="0"/>
            <w:vAlign w:val="center"/>
          </w:tcPr>
          <w:p w14:paraId="2DFCE3A5">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sz w:val="21"/>
                <w:szCs w:val="21"/>
                <w:highlight w:val="none"/>
                <w:lang w:eastAsia="zh-CN"/>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保健食品</w:t>
            </w:r>
          </w:p>
        </w:tc>
        <w:tc>
          <w:tcPr>
            <w:tcW w:w="499" w:type="pct"/>
            <w:noWrap w:val="0"/>
            <w:vAlign w:val="center"/>
          </w:tcPr>
          <w:p w14:paraId="5D3A8C98">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sz w:val="21"/>
                <w:szCs w:val="21"/>
                <w:highlight w:val="none"/>
                <w:lang w:val="en-US" w:eastAsia="en-US"/>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保健食品</w:t>
            </w:r>
          </w:p>
        </w:tc>
        <w:tc>
          <w:tcPr>
            <w:tcW w:w="276" w:type="pct"/>
            <w:noWrap w:val="0"/>
            <w:vAlign w:val="center"/>
          </w:tcPr>
          <w:p w14:paraId="68AE68D9">
            <w:pPr>
              <w:keepNext w:val="0"/>
              <w:keepLines w:val="0"/>
              <w:pageBreakBefore w:val="0"/>
              <w:widowControl/>
              <w:suppressLineNumbers w:val="0"/>
              <w:wordWrap/>
              <w:overflowPunct/>
              <w:topLinePunct w:val="0"/>
              <w:bidi w:val="0"/>
              <w:spacing w:line="300" w:lineRule="exact"/>
              <w:jc w:val="center"/>
              <w:textAlignment w:val="center"/>
              <w:rPr>
                <w:rFonts w:hint="default" w:ascii="Times New Roman" w:hAnsi="Times New Roman" w:eastAsia="仿宋_GB2312" w:cs="Times New Roman"/>
                <w:b/>
                <w:bCs/>
                <w:color w:val="auto"/>
                <w:spacing w:val="5"/>
                <w:sz w:val="21"/>
                <w:szCs w:val="21"/>
                <w:highlight w:val="none"/>
                <w:lang w:eastAsia="zh-CN"/>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较高</w:t>
            </w:r>
          </w:p>
        </w:tc>
        <w:tc>
          <w:tcPr>
            <w:tcW w:w="1303" w:type="pct"/>
            <w:noWrap w:val="0"/>
            <w:vAlign w:val="center"/>
          </w:tcPr>
          <w:p w14:paraId="1D44DE65">
            <w:pPr>
              <w:keepNext w:val="0"/>
              <w:keepLines w:val="0"/>
              <w:pageBreakBefore w:val="0"/>
              <w:widowControl/>
              <w:suppressLineNumbers w:val="0"/>
              <w:wordWrap/>
              <w:overflowPunct/>
              <w:topLinePunct w:val="0"/>
              <w:bidi w:val="0"/>
              <w:spacing w:line="300" w:lineRule="exact"/>
              <w:jc w:val="left"/>
              <w:textAlignment w:val="center"/>
              <w:rPr>
                <w:rFonts w:hint="eastAsia" w:eastAsia="仿宋_GB2312" w:cs="Times New Roman"/>
                <w:b/>
                <w:bCs/>
                <w:i w:val="0"/>
                <w:iCs w:val="0"/>
                <w:color w:val="000000"/>
                <w:kern w:val="0"/>
                <w:sz w:val="21"/>
                <w:szCs w:val="21"/>
                <w:highlight w:val="none"/>
                <w:u w:val="single"/>
                <w:lang w:val="en-US" w:eastAsia="zh-CN" w:bidi="ar"/>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氨基酸、10-羟基-2-癸烯酸、蛋白质、二十二碳六烯酸、二十碳五烯酸、泛酸、钙、还原糖</w:t>
            </w:r>
            <w:r>
              <w:rPr>
                <w:rFonts w:hint="eastAsia" w:ascii="Times New Roman" w:hAnsi="Times New Roman" w:eastAsia="仿宋_GB2312" w:cs="Times New Roman"/>
                <w:b/>
                <w:bCs/>
                <w:i w:val="0"/>
                <w:iCs w:val="0"/>
                <w:color w:val="000000"/>
                <w:kern w:val="0"/>
                <w:sz w:val="21"/>
                <w:szCs w:val="21"/>
                <w:highlight w:val="none"/>
                <w:u w:val="none"/>
                <w:lang w:val="en-US" w:eastAsia="zh-CN" w:bidi="ar"/>
              </w:rPr>
              <w:t>、</w:t>
            </w:r>
            <w:r>
              <w:rPr>
                <w:rFonts w:hint="default" w:ascii="Times New Roman" w:hAnsi="Times New Roman" w:eastAsia="仿宋_GB2312" w:cs="Times New Roman"/>
                <w:b/>
                <w:bCs/>
                <w:i w:val="0"/>
                <w:iCs w:val="0"/>
                <w:color w:val="000000"/>
                <w:kern w:val="0"/>
                <w:sz w:val="21"/>
                <w:szCs w:val="21"/>
                <w:highlight w:val="none"/>
                <w:u w:val="none"/>
                <w:lang w:val="en-US" w:eastAsia="zh-CN" w:bidi="ar"/>
              </w:rPr>
              <w:t>肌醇、赖氨酸、绿原酸、铁、维生素A、维生素B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1</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12</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2</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、维生素B</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6</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、维生素C、维生素D、维生素D</w:t>
            </w:r>
            <w:r>
              <w:rPr>
                <w:rFonts w:hint="eastAsia" w:ascii="Times New Roman" w:hAnsi="Times New Roman" w:eastAsia="仿宋_GB2312" w:cs="Times New Roman"/>
                <w:b/>
                <w:bCs/>
                <w:i w:val="0"/>
                <w:iCs w:val="0"/>
                <w:color w:val="000000"/>
                <w:kern w:val="0"/>
                <w:sz w:val="21"/>
                <w:szCs w:val="21"/>
                <w:highlight w:val="none"/>
                <w:u w:val="none"/>
                <w:vertAlign w:val="subscript"/>
                <w:lang w:val="en-US" w:eastAsia="zh-CN" w:bidi="ar"/>
              </w:rPr>
              <w:t>3</w:t>
            </w:r>
            <w:r>
              <w:rPr>
                <w:rFonts w:hint="default" w:ascii="Times New Roman" w:hAnsi="Times New Roman" w:eastAsia="仿宋_GB2312" w:cs="Times New Roman"/>
                <w:b/>
                <w:bCs/>
                <w:i w:val="0"/>
                <w:iCs w:val="0"/>
                <w:color w:val="000000"/>
                <w:kern w:val="0"/>
                <w:sz w:val="21"/>
                <w:szCs w:val="21"/>
                <w:highlight w:val="none"/>
                <w:u w:val="none"/>
                <w:lang w:val="en-US" w:eastAsia="zh-CN" w:bidi="ar"/>
              </w:rPr>
              <w:t>、维生素E、硒、锌、烟酰胺、叶酸、免疫球蛋白IgG、总黄酮</w:t>
            </w:r>
            <w:r>
              <w:rPr>
                <w:rFonts w:hint="eastAsia" w:ascii="Times New Roman" w:hAnsi="Times New Roman" w:eastAsia="仿宋_GB2312" w:cs="Times New Roman"/>
                <w:b/>
                <w:bCs/>
                <w:i w:val="0"/>
                <w:iCs w:val="0"/>
                <w:color w:val="000000"/>
                <w:kern w:val="0"/>
                <w:sz w:val="21"/>
                <w:szCs w:val="21"/>
                <w:highlight w:val="none"/>
                <w:u w:val="none"/>
                <w:lang w:val="en-US" w:eastAsia="zh-CN" w:bidi="ar"/>
              </w:rPr>
              <w:t>、</w:t>
            </w:r>
            <w:r>
              <w:rPr>
                <w:rFonts w:hint="default" w:ascii="Times New Roman" w:hAnsi="Times New Roman" w:eastAsia="仿宋_GB2312" w:cs="Times New Roman"/>
                <w:b/>
                <w:bCs/>
                <w:i w:val="0"/>
                <w:iCs w:val="0"/>
                <w:color w:val="000000"/>
                <w:kern w:val="0"/>
                <w:sz w:val="21"/>
                <w:szCs w:val="21"/>
                <w:highlight w:val="none"/>
                <w:u w:val="none"/>
                <w:lang w:val="en-US" w:eastAsia="zh-CN" w:bidi="ar"/>
              </w:rPr>
              <w:t>总皂苷、总蒽醒、吡啶甲酸铬、芦荟苷、总三萜、嗜酸乳杆菌、双歧杆菌、水分、可溶性固形物、酸价、过氧化值、崩解时限、灰分</w:t>
            </w:r>
            <w:r>
              <w:rPr>
                <w:rFonts w:hint="eastAsia" w:eastAsia="仿宋_GB2312" w:cs="Times New Roman"/>
                <w:b/>
                <w:bCs/>
                <w:i w:val="0"/>
                <w:iCs w:val="0"/>
                <w:color w:val="000000"/>
                <w:kern w:val="0"/>
                <w:sz w:val="21"/>
                <w:szCs w:val="21"/>
                <w:highlight w:val="none"/>
                <w:u w:val="single"/>
                <w:lang w:val="en-US" w:eastAsia="zh-CN" w:bidi="ar"/>
              </w:rPr>
              <w:t>（以上部分无需资质，承诺覆盖，可出具风险监测报告。）</w:t>
            </w:r>
          </w:p>
          <w:p w14:paraId="4A1A069C">
            <w:pPr>
              <w:pStyle w:val="2"/>
              <w:ind w:left="0" w:leftChars="0" w:firstLine="0" w:firstLineChars="0"/>
              <w:rPr>
                <w:rFonts w:hint="eastAsia"/>
                <w:lang w:val="en-US" w:eastAsia="zh-CN"/>
              </w:rPr>
            </w:pPr>
          </w:p>
          <w:p w14:paraId="7F76B32F">
            <w:pPr>
              <w:keepNext w:val="0"/>
              <w:keepLines w:val="0"/>
              <w:pageBreakBefore w:val="0"/>
              <w:widowControl/>
              <w:suppressLineNumbers w:val="0"/>
              <w:wordWrap/>
              <w:overflowPunct/>
              <w:topLinePunct w:val="0"/>
              <w:bidi w:val="0"/>
              <w:spacing w:line="300" w:lineRule="exact"/>
              <w:jc w:val="left"/>
              <w:textAlignment w:val="center"/>
              <w:rPr>
                <w:rFonts w:hint="default" w:ascii="Times New Roman" w:hAnsi="Times New Roman" w:eastAsia="仿宋_GB2312" w:cs="Times New Roman"/>
                <w:b/>
                <w:bCs/>
                <w:color w:val="auto"/>
                <w:spacing w:val="5"/>
                <w:sz w:val="21"/>
                <w:szCs w:val="21"/>
                <w:highlight w:val="none"/>
                <w:lang w:val="en-US" w:eastAsia="zh-CN"/>
              </w:rPr>
            </w:pPr>
            <w: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t>铅(Pb)、总砷(As)、总汞(Hg)、硬胶囊壳中的铬、菌落总数、大肠菌群、霉菌和酵母、金黄色葡萄球菌、沙门氏菌、褪黑素、甘草酸、咖啡因、淫羊藿苷、葛根素、辅酶Q</w:t>
            </w:r>
            <w:r>
              <w:rPr>
                <w:rFonts w:hint="eastAsia" w:ascii="Times New Roman" w:hAnsi="Times New Roman" w:eastAsia="仿宋_GB2312" w:cs="Times New Roman"/>
                <w:b w:val="0"/>
                <w:bCs w:val="0"/>
                <w:i w:val="0"/>
                <w:iCs w:val="0"/>
                <w:color w:val="000000"/>
                <w:kern w:val="0"/>
                <w:sz w:val="21"/>
                <w:szCs w:val="21"/>
                <w:highlight w:val="none"/>
                <w:u w:val="none"/>
                <w:vertAlign w:val="subscript"/>
                <w:lang w:val="en-US" w:eastAsia="zh-CN" w:bidi="ar"/>
              </w:rPr>
              <w:t>10</w:t>
            </w:r>
            <w: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t>、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r>
              <w:rPr>
                <w:rFonts w:hint="eastAsia" w:eastAsia="仿宋_GB2312" w:cs="Times New Roman"/>
                <w:b w:val="0"/>
                <w:bCs w:val="0"/>
                <w:i w:val="0"/>
                <w:iCs w:val="0"/>
                <w:color w:val="000000"/>
                <w:kern w:val="0"/>
                <w:sz w:val="21"/>
                <w:szCs w:val="21"/>
                <w:highlight w:val="none"/>
                <w:u w:val="none"/>
                <w:lang w:val="en-US" w:eastAsia="zh-CN" w:bidi="ar"/>
              </w:rPr>
              <w:t>（</w:t>
            </w:r>
            <w: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t>无需资质，承诺全部覆盖</w:t>
            </w:r>
            <w:r>
              <w:rPr>
                <w:rFonts w:hint="eastAsia" w:eastAsia="仿宋_GB2312" w:cs="Times New Roman"/>
                <w:b w:val="0"/>
                <w:bCs w:val="0"/>
                <w:i w:val="0"/>
                <w:iCs w:val="0"/>
                <w:color w:val="000000"/>
                <w:kern w:val="0"/>
                <w:sz w:val="21"/>
                <w:szCs w:val="21"/>
                <w:highlight w:val="none"/>
                <w:u w:val="none"/>
                <w:lang w:val="en-US" w:eastAsia="zh-CN" w:bidi="ar"/>
              </w:rPr>
              <w:t>）</w:t>
            </w:r>
          </w:p>
        </w:tc>
        <w:tc>
          <w:tcPr>
            <w:tcW w:w="479" w:type="pct"/>
            <w:noWrap w:val="0"/>
            <w:vAlign w:val="center"/>
          </w:tcPr>
          <w:p w14:paraId="2B63803D">
            <w:pPr>
              <w:pageBreakBefore w:val="0"/>
              <w:wordWrap/>
              <w:overflowPunct/>
              <w:topLinePunct w:val="0"/>
              <w:bidi w:val="0"/>
              <w:spacing w:line="300" w:lineRule="exact"/>
              <w:jc w:val="left"/>
              <w:rPr>
                <w:rFonts w:hint="default" w:ascii="Times New Roman" w:hAnsi="Times New Roman" w:eastAsia="仿宋_GB2312" w:cs="Times New Roman"/>
                <w:b/>
                <w:bCs/>
                <w:color w:val="auto"/>
                <w:spacing w:val="5"/>
                <w:sz w:val="21"/>
                <w:szCs w:val="21"/>
                <w:highlight w:val="none"/>
                <w:lang w:val="en-US" w:eastAsia="zh-CN"/>
              </w:rPr>
            </w:pPr>
          </w:p>
        </w:tc>
        <w:tc>
          <w:tcPr>
            <w:tcW w:w="555" w:type="pct"/>
            <w:noWrap w:val="0"/>
            <w:vAlign w:val="center"/>
          </w:tcPr>
          <w:p w14:paraId="06F770F7">
            <w:pPr>
              <w:keepNext w:val="0"/>
              <w:keepLines w:val="0"/>
              <w:pageBreakBefore w:val="0"/>
              <w:widowControl/>
              <w:suppressLineNumbers w:val="0"/>
              <w:wordWrap/>
              <w:overflowPunct/>
              <w:topLinePunct w:val="0"/>
              <w:bidi w:val="0"/>
              <w:spacing w:line="300" w:lineRule="exact"/>
              <w:jc w:val="center"/>
              <w:textAlignment w:val="center"/>
              <w:rPr>
                <w:rFonts w:hint="eastAsia" w:ascii="Times New Roman" w:hAnsi="Times New Roman" w:eastAsia="仿宋_GB2312" w:cs="Times New Roman"/>
                <w:b/>
                <w:bCs/>
                <w:color w:val="auto"/>
                <w:sz w:val="21"/>
                <w:szCs w:val="21"/>
                <w:highlight w:val="none"/>
              </w:rPr>
            </w:pPr>
            <w:r>
              <w:rPr>
                <w:rFonts w:hint="eastAsia" w:ascii="Times New Roman" w:hAnsi="Times New Roman" w:eastAsia="仿宋_GB2312" w:cs="Times New Roman"/>
                <w:b/>
                <w:bCs/>
                <w:color w:val="auto"/>
                <w:sz w:val="21"/>
                <w:szCs w:val="21"/>
                <w:highlight w:val="none"/>
              </w:rPr>
              <w:t>是□  否□</w:t>
            </w:r>
          </w:p>
        </w:tc>
        <w:tc>
          <w:tcPr>
            <w:tcW w:w="683" w:type="pct"/>
            <w:noWrap w:val="0"/>
            <w:vAlign w:val="center"/>
          </w:tcPr>
          <w:p w14:paraId="4511EB51">
            <w:pPr>
              <w:keepNext w:val="0"/>
              <w:keepLines w:val="0"/>
              <w:pageBreakBefore w:val="0"/>
              <w:widowControl/>
              <w:suppressLineNumbers w:val="0"/>
              <w:wordWrap/>
              <w:overflowPunct/>
              <w:topLinePunct w:val="0"/>
              <w:bidi w:val="0"/>
              <w:spacing w:line="300" w:lineRule="exact"/>
              <w:jc w:val="left"/>
              <w:textAlignment w:val="center"/>
              <w:rPr>
                <w:rFonts w:hint="default" w:ascii="宋体" w:hAnsi="Times New Roman" w:eastAsia="仿宋_GB2312" w:cs="Times New Roman"/>
                <w:b/>
                <w:bCs/>
                <w:color w:val="auto"/>
                <w:kern w:val="2"/>
                <w:sz w:val="21"/>
                <w:szCs w:val="21"/>
                <w:highlight w:val="none"/>
                <w:lang w:val="en-US" w:eastAsia="zh-CN" w:bidi="ar-SA"/>
              </w:rPr>
            </w:pPr>
          </w:p>
        </w:tc>
      </w:tr>
      <w:tr w14:paraId="4049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000" w:type="pct"/>
            <w:gridSpan w:val="10"/>
            <w:noWrap w:val="0"/>
            <w:vAlign w:val="center"/>
          </w:tcPr>
          <w:p w14:paraId="1D01F9BE">
            <w:pPr>
              <w:pageBreakBefore w:val="0"/>
              <w:widowControl w:val="0"/>
              <w:wordWrap/>
              <w:overflowPunct/>
              <w:topLinePunct w:val="0"/>
              <w:bidi w:val="0"/>
              <w:spacing w:line="300" w:lineRule="exact"/>
              <w:jc w:val="left"/>
              <w:rPr>
                <w:rFonts w:hint="eastAsia" w:ascii="仿宋_GB2312" w:hAnsi="仿宋_GB2312" w:eastAsia="仿宋_GB2312" w:cs="仿宋_GB2312"/>
                <w:b/>
                <w:bCs/>
                <w:color w:val="auto"/>
                <w:kern w:val="1"/>
                <w:sz w:val="21"/>
                <w:szCs w:val="21"/>
                <w:highlight w:val="none"/>
                <w:lang w:val="en-US" w:eastAsia="zh-CN"/>
              </w:rPr>
            </w:pPr>
            <w:r>
              <w:rPr>
                <w:rFonts w:hint="eastAsia" w:ascii="仿宋_GB2312" w:hAnsi="仿宋_GB2312" w:eastAsia="仿宋_GB2312" w:cs="仿宋_GB2312"/>
                <w:b/>
                <w:bCs/>
                <w:color w:val="auto"/>
                <w:kern w:val="1"/>
                <w:sz w:val="21"/>
                <w:szCs w:val="21"/>
                <w:highlight w:val="none"/>
                <w:lang w:val="en-US" w:eastAsia="zh-CN"/>
              </w:rPr>
              <w:t>注：延伸项目不做强制检验要求，各级市场监管部门可根据监管需要自行选取延伸检验项目检验。</w:t>
            </w:r>
          </w:p>
        </w:tc>
      </w:tr>
    </w:tbl>
    <w:p w14:paraId="737FBDEB">
      <w:pPr>
        <w:rPr>
          <w:color w:val="auto"/>
          <w:highlight w:val="none"/>
        </w:rPr>
        <w:sectPr>
          <w:pgSz w:w="16840" w:h="11910" w:orient="landscape"/>
          <w:pgMar w:top="1134" w:right="1389" w:bottom="1134" w:left="1389" w:header="0" w:footer="929" w:gutter="0"/>
          <w:pgNumType w:fmt="decimal"/>
          <w:cols w:space="720" w:num="1"/>
        </w:sectPr>
      </w:pPr>
    </w:p>
    <w:p w14:paraId="370C5C4C">
      <w:pPr>
        <w:jc w:val="both"/>
        <w:rPr>
          <w:rFonts w:hint="eastAsia" w:ascii="仿宋" w:hAnsi="仿宋" w:eastAsia="仿宋" w:cs="仿宋"/>
          <w:b/>
          <w:bCs/>
          <w:color w:val="auto"/>
          <w:sz w:val="40"/>
          <w:szCs w:val="32"/>
          <w:highlight w:val="none"/>
          <w:lang w:val="en-US" w:eastAsia="zh-CN"/>
        </w:rPr>
      </w:pPr>
      <w:r>
        <w:rPr>
          <w:rFonts w:hint="eastAsia" w:ascii="仿宋" w:hAnsi="仿宋" w:eastAsia="仿宋" w:cs="仿宋"/>
          <w:b/>
          <w:bCs/>
          <w:color w:val="auto"/>
          <w:sz w:val="40"/>
          <w:szCs w:val="32"/>
          <w:highlight w:val="none"/>
          <w:lang w:eastAsia="zh-CN"/>
        </w:rPr>
        <w:t>附件2：</w:t>
      </w:r>
      <w:r>
        <w:rPr>
          <w:rFonts w:hint="eastAsia" w:ascii="仿宋" w:hAnsi="仿宋" w:eastAsia="仿宋" w:cs="仿宋"/>
          <w:b/>
          <w:bCs/>
          <w:color w:val="auto"/>
          <w:sz w:val="40"/>
          <w:szCs w:val="32"/>
          <w:highlight w:val="none"/>
          <w:lang w:val="en-US" w:eastAsia="zh-CN"/>
        </w:rPr>
        <w:t xml:space="preserve">    </w:t>
      </w:r>
    </w:p>
    <w:p w14:paraId="2BC9A5A4">
      <w:pPr>
        <w:jc w:val="center"/>
        <w:rPr>
          <w:rFonts w:hint="eastAsia" w:eastAsia="仿宋"/>
          <w:sz w:val="44"/>
          <w:szCs w:val="44"/>
          <w:highlight w:val="none"/>
          <w:lang w:eastAsia="zh-CN"/>
        </w:rPr>
      </w:pPr>
      <w:r>
        <w:rPr>
          <w:rFonts w:hint="eastAsia" w:ascii="仿宋" w:hAnsi="仿宋" w:eastAsia="仿宋" w:cs="仿宋"/>
          <w:b/>
          <w:bCs/>
          <w:color w:val="auto"/>
          <w:sz w:val="40"/>
          <w:szCs w:val="32"/>
          <w:highlight w:val="none"/>
          <w:lang w:eastAsia="zh-CN"/>
        </w:rPr>
        <w:t>投标人可以承检的</w:t>
      </w:r>
      <w:r>
        <w:rPr>
          <w:rFonts w:hint="eastAsia" w:ascii="仿宋" w:hAnsi="仿宋" w:eastAsia="仿宋" w:cs="仿宋"/>
          <w:b/>
          <w:bCs/>
          <w:color w:val="auto"/>
          <w:sz w:val="40"/>
          <w:szCs w:val="32"/>
          <w:highlight w:val="none"/>
          <w:lang w:val="en-US" w:eastAsia="zh-CN"/>
        </w:rPr>
        <w:t>食用农产品</w:t>
      </w:r>
      <w:r>
        <w:rPr>
          <w:rFonts w:hint="eastAsia" w:ascii="仿宋" w:hAnsi="仿宋" w:eastAsia="仿宋" w:cs="仿宋"/>
          <w:b/>
          <w:bCs/>
          <w:color w:val="auto"/>
          <w:sz w:val="40"/>
          <w:szCs w:val="32"/>
          <w:highlight w:val="none"/>
          <w:lang w:eastAsia="zh-CN"/>
        </w:rPr>
        <w:t>安全抽检品种及项目表</w:t>
      </w:r>
    </w:p>
    <w:p w14:paraId="3090E1C4">
      <w:pPr>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投标人具备资质的检验项目占全部</w:t>
      </w:r>
      <w:r>
        <w:rPr>
          <w:rFonts w:hint="eastAsia" w:ascii="仿宋" w:hAnsi="仿宋" w:eastAsia="仿宋" w:cs="仿宋"/>
          <w:color w:val="auto"/>
          <w:sz w:val="24"/>
          <w:highlight w:val="none"/>
          <w:lang w:val="en-US" w:eastAsia="zh-CN"/>
        </w:rPr>
        <w:t>食用农产品</w:t>
      </w:r>
      <w:r>
        <w:rPr>
          <w:rFonts w:hint="eastAsia" w:ascii="仿宋" w:hAnsi="仿宋" w:eastAsia="仿宋" w:cs="仿宋"/>
          <w:color w:val="auto"/>
          <w:sz w:val="24"/>
          <w:highlight w:val="none"/>
          <w:lang w:eastAsia="zh-CN"/>
        </w:rPr>
        <w:t>细类检验项目中的比例为</w:t>
      </w:r>
      <w:r>
        <w:rPr>
          <w:rFonts w:hint="eastAsia" w:ascii="仿宋" w:hAnsi="仿宋" w:eastAsia="仿宋" w:cs="仿宋"/>
          <w:color w:val="auto"/>
          <w:sz w:val="24"/>
          <w:highlight w:val="none"/>
          <w:u w:val="single"/>
          <w:lang w:val="en-US" w:eastAsia="zh-CN"/>
        </w:rPr>
        <w:t>XXX</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lang w:eastAsia="zh-CN"/>
        </w:rPr>
        <w:t>。（全部</w:t>
      </w:r>
      <w:r>
        <w:rPr>
          <w:rFonts w:hint="eastAsia" w:ascii="仿宋" w:hAnsi="仿宋" w:eastAsia="仿宋" w:cs="仿宋"/>
          <w:color w:val="auto"/>
          <w:sz w:val="24"/>
          <w:highlight w:val="none"/>
          <w:lang w:val="en-US" w:eastAsia="zh-CN"/>
        </w:rPr>
        <w:t>食用农产品</w:t>
      </w:r>
      <w:r>
        <w:rPr>
          <w:rFonts w:hint="eastAsia" w:ascii="仿宋" w:hAnsi="仿宋" w:eastAsia="仿宋" w:cs="仿宋"/>
          <w:color w:val="auto"/>
          <w:sz w:val="24"/>
          <w:highlight w:val="none"/>
          <w:lang w:eastAsia="zh-CN"/>
        </w:rPr>
        <w:t>细类检验项目共</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个，投标人具有</w:t>
      </w:r>
      <w:r>
        <w:rPr>
          <w:rFonts w:hint="eastAsia" w:ascii="仿宋" w:hAnsi="仿宋" w:eastAsia="仿宋" w:cs="仿宋"/>
          <w:color w:val="auto"/>
          <w:sz w:val="24"/>
          <w:highlight w:val="none"/>
          <w:u w:val="single"/>
          <w:lang w:eastAsia="zh-CN"/>
        </w:rPr>
        <w:t>XX</w:t>
      </w:r>
      <w:r>
        <w:rPr>
          <w:rFonts w:hint="eastAsia" w:ascii="仿宋" w:hAnsi="仿宋" w:eastAsia="仿宋" w:cs="仿宋"/>
          <w:color w:val="auto"/>
          <w:sz w:val="24"/>
          <w:highlight w:val="none"/>
          <w:lang w:eastAsia="zh-CN"/>
        </w:rPr>
        <w:t>个检验项目资质中</w:t>
      </w:r>
      <w:r>
        <w:rPr>
          <w:rFonts w:hint="eastAsia" w:ascii="仿宋" w:hAnsi="仿宋" w:eastAsia="仿宋" w:cs="仿宋"/>
          <w:color w:val="auto"/>
          <w:sz w:val="24"/>
          <w:highlight w:val="none"/>
          <w:u w:val="single"/>
          <w:lang w:eastAsia="zh-CN"/>
        </w:rPr>
        <w:t>XX</w:t>
      </w:r>
      <w:r>
        <w:rPr>
          <w:rFonts w:hint="eastAsia" w:ascii="仿宋" w:hAnsi="仿宋" w:eastAsia="仿宋" w:cs="仿宋"/>
          <w:color w:val="auto"/>
          <w:sz w:val="24"/>
          <w:highlight w:val="none"/>
          <w:lang w:eastAsia="zh-CN"/>
        </w:rPr>
        <w:t>个）</w:t>
      </w:r>
    </w:p>
    <w:p w14:paraId="4237BE60">
      <w:pPr>
        <w:pStyle w:val="2"/>
        <w:rPr>
          <w:rFonts w:hint="eastAsia"/>
          <w:highlight w:val="none"/>
        </w:rPr>
      </w:pPr>
      <w:r>
        <w:rPr>
          <w:rFonts w:hint="eastAsia" w:ascii="仿宋" w:hAnsi="仿宋" w:eastAsia="仿宋" w:cs="仿宋"/>
          <w:color w:val="auto"/>
          <w:sz w:val="24"/>
          <w:highlight w:val="none"/>
          <w:lang w:eastAsia="zh-CN"/>
        </w:rPr>
        <w:t>投标人检验项目资质覆盖情况具体如下：</w:t>
      </w:r>
    </w:p>
    <w:tbl>
      <w:tblPr>
        <w:tblStyle w:val="4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701"/>
        <w:gridCol w:w="701"/>
        <w:gridCol w:w="865"/>
        <w:gridCol w:w="1203"/>
        <w:gridCol w:w="540"/>
        <w:gridCol w:w="3530"/>
        <w:gridCol w:w="2157"/>
        <w:gridCol w:w="2108"/>
        <w:gridCol w:w="2108"/>
      </w:tblGrid>
      <w:tr w14:paraId="01CA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0" w:type="pct"/>
            <w:noWrap w:val="0"/>
            <w:vAlign w:val="center"/>
          </w:tcPr>
          <w:p w14:paraId="44ECC55C">
            <w:pPr>
              <w:spacing w:line="300" w:lineRule="exact"/>
              <w:jc w:val="center"/>
              <w:rPr>
                <w:rFonts w:eastAsia="仿宋_GB2312"/>
                <w:color w:val="000000"/>
                <w:kern w:val="0"/>
                <w:szCs w:val="21"/>
                <w:highlight w:val="none"/>
              </w:rPr>
            </w:pPr>
            <w:r>
              <w:rPr>
                <w:rFonts w:eastAsia="仿宋_GB2312"/>
                <w:b/>
                <w:bCs/>
                <w:szCs w:val="21"/>
                <w:highlight w:val="none"/>
              </w:rPr>
              <w:t>序号</w:t>
            </w:r>
          </w:p>
        </w:tc>
        <w:tc>
          <w:tcPr>
            <w:tcW w:w="244" w:type="pct"/>
            <w:noWrap w:val="0"/>
            <w:vAlign w:val="center"/>
          </w:tcPr>
          <w:p w14:paraId="47D24689">
            <w:pPr>
              <w:spacing w:line="300" w:lineRule="exact"/>
              <w:jc w:val="center"/>
              <w:rPr>
                <w:rFonts w:eastAsia="仿宋_GB2312"/>
                <w:color w:val="000000"/>
                <w:kern w:val="0"/>
                <w:szCs w:val="21"/>
                <w:highlight w:val="none"/>
              </w:rPr>
            </w:pPr>
            <w:r>
              <w:rPr>
                <w:rFonts w:eastAsia="仿宋_GB2312"/>
                <w:b/>
                <w:bCs/>
                <w:szCs w:val="21"/>
                <w:highlight w:val="none"/>
              </w:rPr>
              <w:t>食品大类（一级）</w:t>
            </w:r>
          </w:p>
        </w:tc>
        <w:tc>
          <w:tcPr>
            <w:tcW w:w="244" w:type="pct"/>
            <w:noWrap w:val="0"/>
            <w:vAlign w:val="center"/>
          </w:tcPr>
          <w:p w14:paraId="1C76E59E">
            <w:pPr>
              <w:spacing w:line="300" w:lineRule="exact"/>
              <w:jc w:val="center"/>
              <w:rPr>
                <w:rFonts w:eastAsia="仿宋_GB2312"/>
                <w:color w:val="000000"/>
                <w:kern w:val="0"/>
                <w:szCs w:val="21"/>
                <w:highlight w:val="none"/>
              </w:rPr>
            </w:pPr>
            <w:r>
              <w:rPr>
                <w:rFonts w:eastAsia="仿宋_GB2312"/>
                <w:b/>
                <w:bCs/>
                <w:szCs w:val="21"/>
                <w:highlight w:val="none"/>
              </w:rPr>
              <w:t>食品亚类（二级）</w:t>
            </w:r>
          </w:p>
        </w:tc>
        <w:tc>
          <w:tcPr>
            <w:tcW w:w="301" w:type="pct"/>
            <w:noWrap w:val="0"/>
            <w:vAlign w:val="center"/>
          </w:tcPr>
          <w:p w14:paraId="319D4C11">
            <w:pPr>
              <w:spacing w:line="300" w:lineRule="exact"/>
              <w:jc w:val="center"/>
              <w:rPr>
                <w:rFonts w:eastAsia="仿宋_GB2312"/>
                <w:color w:val="000000"/>
                <w:kern w:val="0"/>
                <w:szCs w:val="21"/>
                <w:highlight w:val="none"/>
              </w:rPr>
            </w:pPr>
            <w:r>
              <w:rPr>
                <w:rFonts w:eastAsia="仿宋_GB2312"/>
                <w:b/>
                <w:bCs/>
                <w:szCs w:val="21"/>
                <w:highlight w:val="none"/>
              </w:rPr>
              <w:t>食品品种（三级）</w:t>
            </w:r>
          </w:p>
        </w:tc>
        <w:tc>
          <w:tcPr>
            <w:tcW w:w="419" w:type="pct"/>
            <w:noWrap w:val="0"/>
            <w:vAlign w:val="center"/>
          </w:tcPr>
          <w:p w14:paraId="18FA85B3">
            <w:pPr>
              <w:spacing w:line="300" w:lineRule="exact"/>
              <w:jc w:val="center"/>
              <w:rPr>
                <w:rFonts w:eastAsia="仿宋_GB2312"/>
                <w:color w:val="000000"/>
                <w:kern w:val="0"/>
                <w:szCs w:val="21"/>
                <w:highlight w:val="none"/>
              </w:rPr>
            </w:pPr>
            <w:r>
              <w:rPr>
                <w:rFonts w:eastAsia="仿宋_GB2312"/>
                <w:b/>
                <w:bCs/>
                <w:szCs w:val="21"/>
                <w:highlight w:val="none"/>
              </w:rPr>
              <w:t>食品细类（四级）</w:t>
            </w:r>
          </w:p>
        </w:tc>
        <w:tc>
          <w:tcPr>
            <w:tcW w:w="188" w:type="pct"/>
            <w:noWrap w:val="0"/>
            <w:vAlign w:val="center"/>
          </w:tcPr>
          <w:p w14:paraId="5447D9FA">
            <w:pPr>
              <w:spacing w:line="300" w:lineRule="exact"/>
              <w:jc w:val="center"/>
              <w:rPr>
                <w:rFonts w:eastAsia="仿宋_GB2312"/>
                <w:color w:val="000000"/>
                <w:kern w:val="0"/>
                <w:szCs w:val="21"/>
                <w:highlight w:val="none"/>
              </w:rPr>
            </w:pPr>
            <w:r>
              <w:rPr>
                <w:rFonts w:eastAsia="仿宋_GB2312"/>
                <w:b/>
                <w:bCs/>
                <w:szCs w:val="21"/>
                <w:highlight w:val="none"/>
              </w:rPr>
              <w:t>风险等级</w:t>
            </w:r>
          </w:p>
        </w:tc>
        <w:tc>
          <w:tcPr>
            <w:tcW w:w="1229" w:type="pct"/>
            <w:noWrap w:val="0"/>
            <w:vAlign w:val="center"/>
          </w:tcPr>
          <w:p w14:paraId="494CB29C">
            <w:pPr>
              <w:spacing w:line="300" w:lineRule="exact"/>
              <w:jc w:val="center"/>
            </w:pPr>
            <w:r>
              <w:rPr>
                <w:rFonts w:eastAsia="仿宋_GB2312"/>
                <w:b/>
                <w:bCs/>
                <w:szCs w:val="21"/>
                <w:highlight w:val="none"/>
              </w:rPr>
              <w:t>必检项目</w:t>
            </w:r>
          </w:p>
        </w:tc>
        <w:tc>
          <w:tcPr>
            <w:tcW w:w="751" w:type="pct"/>
            <w:noWrap w:val="0"/>
            <w:vAlign w:val="center"/>
          </w:tcPr>
          <w:p w14:paraId="75601AE8">
            <w:pPr>
              <w:spacing w:line="300" w:lineRule="exact"/>
              <w:jc w:val="center"/>
              <w:rPr>
                <w:rFonts w:eastAsia="仿宋_GB2312"/>
                <w:b/>
                <w:bCs/>
                <w:szCs w:val="21"/>
                <w:highlight w:val="none"/>
              </w:rPr>
            </w:pPr>
            <w:r>
              <w:rPr>
                <w:rFonts w:eastAsia="仿宋_GB2312"/>
                <w:b/>
                <w:bCs/>
                <w:szCs w:val="21"/>
                <w:highlight w:val="none"/>
              </w:rPr>
              <w:t>选检项目</w:t>
            </w:r>
          </w:p>
        </w:tc>
        <w:tc>
          <w:tcPr>
            <w:tcW w:w="734" w:type="pct"/>
            <w:noWrap w:val="0"/>
            <w:vAlign w:val="center"/>
          </w:tcPr>
          <w:p w14:paraId="690F1F5B">
            <w:pPr>
              <w:pageBreakBefore w:val="0"/>
              <w:wordWrap/>
              <w:overflowPunct/>
              <w:topLinePunct w:val="0"/>
              <w:bidi w:val="0"/>
              <w:spacing w:line="300" w:lineRule="exact"/>
              <w:jc w:val="center"/>
              <w:rPr>
                <w:rFonts w:hint="default" w:ascii="Times New Roman" w:hAnsi="Times New Roman" w:eastAsia="仿宋_GB2312" w:cs="Times New Roman"/>
                <w:b/>
                <w:bCs/>
                <w:snapToGrid w:val="0"/>
                <w:color w:val="auto"/>
                <w:sz w:val="21"/>
                <w:szCs w:val="21"/>
                <w:highlight w:val="none"/>
                <w:lang w:val="en-US" w:eastAsia="en-US" w:bidi="ar-SA"/>
              </w:rPr>
            </w:pPr>
            <w:r>
              <w:rPr>
                <w:rFonts w:hint="eastAsia" w:ascii="Times New Roman" w:hAnsi="Times New Roman" w:eastAsia="仿宋_GB2312" w:cs="Times New Roman"/>
                <w:b/>
                <w:bCs/>
                <w:color w:val="auto"/>
                <w:sz w:val="21"/>
                <w:szCs w:val="21"/>
                <w:highlight w:val="none"/>
                <w:lang w:eastAsia="zh-CN"/>
              </w:rPr>
              <w:t>是否具备检验资质(CMA)</w:t>
            </w:r>
          </w:p>
        </w:tc>
        <w:tc>
          <w:tcPr>
            <w:tcW w:w="734" w:type="pct"/>
            <w:noWrap w:val="0"/>
            <w:vAlign w:val="center"/>
          </w:tcPr>
          <w:p w14:paraId="2D73FD87">
            <w:pPr>
              <w:pageBreakBefore w:val="0"/>
              <w:wordWrap/>
              <w:overflowPunct/>
              <w:topLinePunct w:val="0"/>
              <w:bidi w:val="0"/>
              <w:spacing w:line="300" w:lineRule="exact"/>
              <w:jc w:val="center"/>
              <w:rPr>
                <w:rFonts w:hint="default" w:ascii="Times New Roman" w:hAnsi="Times New Roman" w:eastAsia="仿宋_GB2312" w:cs="Times New Roman"/>
                <w:b/>
                <w:bCs/>
                <w:snapToGrid w:val="0"/>
                <w:color w:val="auto"/>
                <w:sz w:val="21"/>
                <w:szCs w:val="21"/>
                <w:highlight w:val="none"/>
                <w:lang w:val="en-US" w:eastAsia="en-US" w:bidi="ar-SA"/>
              </w:rPr>
            </w:pPr>
            <w:r>
              <w:rPr>
                <w:rFonts w:hint="eastAsia" w:ascii="Times New Roman" w:hAnsi="Times New Roman" w:eastAsia="仿宋_GB2312" w:cs="Times New Roman"/>
                <w:b/>
                <w:bCs/>
                <w:color w:val="auto"/>
                <w:sz w:val="21"/>
                <w:szCs w:val="21"/>
                <w:highlight w:val="none"/>
                <w:lang w:eastAsia="zh-CN"/>
              </w:rPr>
              <w:t>对应资质证书附表页码、序号</w:t>
            </w:r>
          </w:p>
        </w:tc>
      </w:tr>
      <w:tr w14:paraId="19D4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restart"/>
            <w:noWrap w:val="0"/>
            <w:vAlign w:val="center"/>
          </w:tcPr>
          <w:p w14:paraId="5116E125">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1</w:t>
            </w:r>
          </w:p>
        </w:tc>
        <w:tc>
          <w:tcPr>
            <w:tcW w:w="244" w:type="pct"/>
            <w:vMerge w:val="restart"/>
            <w:noWrap w:val="0"/>
            <w:vAlign w:val="center"/>
          </w:tcPr>
          <w:p w14:paraId="47F335FA">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畜禽肉及副产品</w:t>
            </w:r>
          </w:p>
        </w:tc>
        <w:tc>
          <w:tcPr>
            <w:tcW w:w="244" w:type="pct"/>
            <w:vMerge w:val="restart"/>
            <w:noWrap w:val="0"/>
            <w:vAlign w:val="center"/>
          </w:tcPr>
          <w:p w14:paraId="0DC7CDB4">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畜禽肉及副产品</w:t>
            </w:r>
          </w:p>
        </w:tc>
        <w:tc>
          <w:tcPr>
            <w:tcW w:w="301" w:type="pct"/>
            <w:vMerge w:val="restart"/>
            <w:noWrap w:val="0"/>
            <w:vAlign w:val="center"/>
          </w:tcPr>
          <w:p w14:paraId="6BF44B52">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畜肉</w:t>
            </w:r>
          </w:p>
        </w:tc>
        <w:tc>
          <w:tcPr>
            <w:tcW w:w="419" w:type="pct"/>
            <w:noWrap w:val="0"/>
            <w:vAlign w:val="center"/>
          </w:tcPr>
          <w:p w14:paraId="7EC99462">
            <w:pPr>
              <w:widowControl/>
              <w:spacing w:line="300" w:lineRule="exact"/>
              <w:jc w:val="center"/>
              <w:rPr>
                <w:rFonts w:hint="eastAsia" w:eastAsia="仿宋_GB2312"/>
                <w:color w:val="000000"/>
                <w:kern w:val="0"/>
                <w:szCs w:val="21"/>
                <w:highlight w:val="none"/>
              </w:rPr>
            </w:pPr>
            <w:r>
              <w:rPr>
                <w:rFonts w:eastAsia="仿宋_GB2312"/>
                <w:color w:val="000000"/>
                <w:kern w:val="0"/>
                <w:szCs w:val="21"/>
                <w:highlight w:val="none"/>
              </w:rPr>
              <w:t>猪肉</w:t>
            </w:r>
            <w:r>
              <w:rPr>
                <w:rFonts w:hint="eastAsia" w:eastAsia="仿宋_GB2312"/>
                <w:color w:val="000000"/>
                <w:kern w:val="0"/>
                <w:szCs w:val="21"/>
                <w:highlight w:val="none"/>
              </w:rPr>
              <w:t>*</w:t>
            </w:r>
          </w:p>
        </w:tc>
        <w:tc>
          <w:tcPr>
            <w:tcW w:w="188" w:type="pct"/>
            <w:noWrap w:val="0"/>
            <w:vAlign w:val="center"/>
          </w:tcPr>
          <w:p w14:paraId="497DF11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4A5872FE">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恩诺沙星、氟苯尼考、磺胺类 (总量)、氯霉素、沙丁胺醇、多西环素</w:t>
            </w:r>
          </w:p>
        </w:tc>
        <w:tc>
          <w:tcPr>
            <w:tcW w:w="751" w:type="pct"/>
            <w:noWrap w:val="0"/>
            <w:vAlign w:val="center"/>
          </w:tcPr>
          <w:p w14:paraId="1C6B95A6">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水分、呋喃唑酮代谢物、呋喃西林代谢物、克伦特罗、莱克多巴胺</w:t>
            </w:r>
          </w:p>
        </w:tc>
        <w:tc>
          <w:tcPr>
            <w:tcW w:w="734" w:type="pct"/>
            <w:noWrap w:val="0"/>
            <w:vAlign w:val="center"/>
          </w:tcPr>
          <w:p w14:paraId="182E0BB5">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D6E592E">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p>
        </w:tc>
      </w:tr>
      <w:tr w14:paraId="24A4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46A1722">
            <w:pPr>
              <w:spacing w:line="300" w:lineRule="exact"/>
              <w:jc w:val="center"/>
              <w:rPr>
                <w:rFonts w:eastAsia="仿宋_GB2312"/>
                <w:szCs w:val="21"/>
                <w:highlight w:val="none"/>
              </w:rPr>
            </w:pPr>
          </w:p>
        </w:tc>
        <w:tc>
          <w:tcPr>
            <w:tcW w:w="244" w:type="pct"/>
            <w:vMerge w:val="continue"/>
            <w:noWrap w:val="0"/>
            <w:vAlign w:val="center"/>
          </w:tcPr>
          <w:p w14:paraId="7249F223">
            <w:pPr>
              <w:spacing w:line="300" w:lineRule="exact"/>
              <w:jc w:val="center"/>
              <w:rPr>
                <w:rFonts w:eastAsia="仿宋_GB2312"/>
                <w:szCs w:val="21"/>
                <w:highlight w:val="none"/>
              </w:rPr>
            </w:pPr>
          </w:p>
        </w:tc>
        <w:tc>
          <w:tcPr>
            <w:tcW w:w="244" w:type="pct"/>
            <w:vMerge w:val="continue"/>
            <w:noWrap w:val="0"/>
            <w:vAlign w:val="center"/>
          </w:tcPr>
          <w:p w14:paraId="58E78C15">
            <w:pPr>
              <w:spacing w:line="300" w:lineRule="exact"/>
              <w:jc w:val="center"/>
              <w:rPr>
                <w:rFonts w:eastAsia="仿宋_GB2312"/>
                <w:szCs w:val="21"/>
                <w:highlight w:val="none"/>
              </w:rPr>
            </w:pPr>
          </w:p>
        </w:tc>
        <w:tc>
          <w:tcPr>
            <w:tcW w:w="301" w:type="pct"/>
            <w:vMerge w:val="continue"/>
            <w:noWrap w:val="0"/>
            <w:vAlign w:val="center"/>
          </w:tcPr>
          <w:p w14:paraId="7F81E8BF">
            <w:pPr>
              <w:spacing w:line="300" w:lineRule="exact"/>
              <w:jc w:val="center"/>
              <w:rPr>
                <w:rFonts w:eastAsia="仿宋_GB2312"/>
                <w:szCs w:val="21"/>
                <w:highlight w:val="none"/>
              </w:rPr>
            </w:pPr>
          </w:p>
        </w:tc>
        <w:tc>
          <w:tcPr>
            <w:tcW w:w="419" w:type="pct"/>
            <w:noWrap w:val="0"/>
            <w:vAlign w:val="center"/>
          </w:tcPr>
          <w:p w14:paraId="47F80581">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牛肉</w:t>
            </w:r>
            <w:r>
              <w:rPr>
                <w:rFonts w:hint="eastAsia" w:eastAsia="仿宋_GB2312"/>
                <w:color w:val="000000"/>
                <w:kern w:val="0"/>
                <w:szCs w:val="21"/>
                <w:highlight w:val="none"/>
              </w:rPr>
              <w:t>*</w:t>
            </w:r>
          </w:p>
        </w:tc>
        <w:tc>
          <w:tcPr>
            <w:tcW w:w="188" w:type="pct"/>
            <w:noWrap w:val="0"/>
            <w:vAlign w:val="center"/>
          </w:tcPr>
          <w:p w14:paraId="14F3177A">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7A46EE6C">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地塞米松、恩诺沙星、磺胺类 (总量)、克伦特罗、氯霉素、氟苯尼考</w:t>
            </w:r>
          </w:p>
        </w:tc>
        <w:tc>
          <w:tcPr>
            <w:tcW w:w="751" w:type="pct"/>
            <w:noWrap w:val="0"/>
            <w:vAlign w:val="center"/>
          </w:tcPr>
          <w:p w14:paraId="642C3B9D">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水分、倍他米松、氟尼辛、莱克多巴胺、沙丁胺醇</w:t>
            </w:r>
          </w:p>
        </w:tc>
        <w:tc>
          <w:tcPr>
            <w:tcW w:w="734" w:type="pct"/>
            <w:noWrap w:val="0"/>
            <w:vAlign w:val="center"/>
          </w:tcPr>
          <w:p w14:paraId="3435FE5A">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8DED08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p>
        </w:tc>
      </w:tr>
      <w:tr w14:paraId="7023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87B704C">
            <w:pPr>
              <w:spacing w:line="300" w:lineRule="exact"/>
              <w:jc w:val="center"/>
              <w:rPr>
                <w:rFonts w:eastAsia="仿宋_GB2312"/>
                <w:szCs w:val="21"/>
                <w:highlight w:val="none"/>
              </w:rPr>
            </w:pPr>
          </w:p>
        </w:tc>
        <w:tc>
          <w:tcPr>
            <w:tcW w:w="244" w:type="pct"/>
            <w:vMerge w:val="continue"/>
            <w:noWrap w:val="0"/>
            <w:vAlign w:val="center"/>
          </w:tcPr>
          <w:p w14:paraId="1ECD77D1">
            <w:pPr>
              <w:spacing w:line="300" w:lineRule="exact"/>
              <w:jc w:val="center"/>
              <w:rPr>
                <w:rFonts w:eastAsia="仿宋_GB2312"/>
                <w:szCs w:val="21"/>
                <w:highlight w:val="none"/>
              </w:rPr>
            </w:pPr>
          </w:p>
        </w:tc>
        <w:tc>
          <w:tcPr>
            <w:tcW w:w="244" w:type="pct"/>
            <w:vMerge w:val="continue"/>
            <w:noWrap w:val="0"/>
            <w:vAlign w:val="center"/>
          </w:tcPr>
          <w:p w14:paraId="6FC311B6">
            <w:pPr>
              <w:spacing w:line="300" w:lineRule="exact"/>
              <w:jc w:val="center"/>
              <w:rPr>
                <w:rFonts w:eastAsia="仿宋_GB2312"/>
                <w:szCs w:val="21"/>
                <w:highlight w:val="none"/>
              </w:rPr>
            </w:pPr>
          </w:p>
        </w:tc>
        <w:tc>
          <w:tcPr>
            <w:tcW w:w="301" w:type="pct"/>
            <w:vMerge w:val="continue"/>
            <w:noWrap w:val="0"/>
            <w:vAlign w:val="center"/>
          </w:tcPr>
          <w:p w14:paraId="28360008">
            <w:pPr>
              <w:spacing w:line="300" w:lineRule="exact"/>
              <w:jc w:val="center"/>
              <w:rPr>
                <w:rFonts w:eastAsia="仿宋_GB2312"/>
                <w:szCs w:val="21"/>
                <w:highlight w:val="none"/>
              </w:rPr>
            </w:pPr>
          </w:p>
        </w:tc>
        <w:tc>
          <w:tcPr>
            <w:tcW w:w="419" w:type="pct"/>
            <w:noWrap w:val="0"/>
            <w:vAlign w:val="center"/>
          </w:tcPr>
          <w:p w14:paraId="70F1EA61">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羊肉</w:t>
            </w:r>
            <w:r>
              <w:rPr>
                <w:rFonts w:hint="eastAsia" w:eastAsia="仿宋_GB2312"/>
                <w:color w:val="000000"/>
                <w:kern w:val="0"/>
                <w:szCs w:val="21"/>
                <w:highlight w:val="none"/>
              </w:rPr>
              <w:t>*</w:t>
            </w:r>
          </w:p>
        </w:tc>
        <w:tc>
          <w:tcPr>
            <w:tcW w:w="188" w:type="pct"/>
            <w:noWrap w:val="0"/>
            <w:vAlign w:val="center"/>
          </w:tcPr>
          <w:p w14:paraId="55932B92">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7101AC22">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恩诺沙星、磺胺类 (总量)、克伦特罗、氯霉素</w:t>
            </w:r>
          </w:p>
        </w:tc>
        <w:tc>
          <w:tcPr>
            <w:tcW w:w="751" w:type="pct"/>
            <w:noWrap w:val="0"/>
            <w:vAlign w:val="center"/>
          </w:tcPr>
          <w:p w14:paraId="6B860FE1">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水分、呋喃唑酮代谢物、呋喃西林代谢物、莱克多巴胺、沙丁胺醇</w:t>
            </w:r>
          </w:p>
        </w:tc>
        <w:tc>
          <w:tcPr>
            <w:tcW w:w="734" w:type="pct"/>
            <w:noWrap w:val="0"/>
            <w:vAlign w:val="center"/>
          </w:tcPr>
          <w:p w14:paraId="4D9A5892">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AF626DC">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p>
        </w:tc>
      </w:tr>
      <w:tr w14:paraId="2E2F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A8FE962">
            <w:pPr>
              <w:spacing w:line="300" w:lineRule="exact"/>
              <w:jc w:val="center"/>
              <w:rPr>
                <w:rFonts w:eastAsia="仿宋_GB2312"/>
                <w:szCs w:val="21"/>
                <w:highlight w:val="none"/>
              </w:rPr>
            </w:pPr>
          </w:p>
        </w:tc>
        <w:tc>
          <w:tcPr>
            <w:tcW w:w="244" w:type="pct"/>
            <w:vMerge w:val="continue"/>
            <w:noWrap w:val="0"/>
            <w:vAlign w:val="center"/>
          </w:tcPr>
          <w:p w14:paraId="38354717">
            <w:pPr>
              <w:spacing w:line="300" w:lineRule="exact"/>
              <w:jc w:val="center"/>
              <w:rPr>
                <w:rFonts w:eastAsia="仿宋_GB2312"/>
                <w:szCs w:val="21"/>
                <w:highlight w:val="none"/>
              </w:rPr>
            </w:pPr>
          </w:p>
        </w:tc>
        <w:tc>
          <w:tcPr>
            <w:tcW w:w="244" w:type="pct"/>
            <w:vMerge w:val="continue"/>
            <w:noWrap w:val="0"/>
            <w:vAlign w:val="center"/>
          </w:tcPr>
          <w:p w14:paraId="6BA3CDB4">
            <w:pPr>
              <w:spacing w:line="300" w:lineRule="exact"/>
              <w:jc w:val="center"/>
              <w:rPr>
                <w:rFonts w:eastAsia="仿宋_GB2312"/>
                <w:szCs w:val="21"/>
                <w:highlight w:val="none"/>
              </w:rPr>
            </w:pPr>
          </w:p>
        </w:tc>
        <w:tc>
          <w:tcPr>
            <w:tcW w:w="301" w:type="pct"/>
            <w:vMerge w:val="continue"/>
            <w:noWrap w:val="0"/>
            <w:vAlign w:val="center"/>
          </w:tcPr>
          <w:p w14:paraId="70BB0A2B">
            <w:pPr>
              <w:spacing w:line="300" w:lineRule="exact"/>
              <w:jc w:val="center"/>
              <w:rPr>
                <w:rFonts w:eastAsia="仿宋_GB2312"/>
                <w:szCs w:val="21"/>
                <w:highlight w:val="none"/>
              </w:rPr>
            </w:pPr>
          </w:p>
        </w:tc>
        <w:tc>
          <w:tcPr>
            <w:tcW w:w="419" w:type="pct"/>
            <w:noWrap w:val="0"/>
            <w:vAlign w:val="center"/>
          </w:tcPr>
          <w:p w14:paraId="429083A7">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其他畜肉</w:t>
            </w:r>
          </w:p>
        </w:tc>
        <w:tc>
          <w:tcPr>
            <w:tcW w:w="188" w:type="pct"/>
            <w:noWrap w:val="0"/>
            <w:vAlign w:val="center"/>
          </w:tcPr>
          <w:p w14:paraId="7429963D">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23EFA18D">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呋喃唑酮代谢物、氯霉素、克伦特罗、莱克多巴胺、沙丁胺醇、氧氟沙星</w:t>
            </w:r>
          </w:p>
        </w:tc>
        <w:tc>
          <w:tcPr>
            <w:tcW w:w="751" w:type="pct"/>
            <w:noWrap w:val="0"/>
            <w:vAlign w:val="center"/>
          </w:tcPr>
          <w:p w14:paraId="4732B593">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w:t>
            </w:r>
          </w:p>
        </w:tc>
        <w:tc>
          <w:tcPr>
            <w:tcW w:w="734" w:type="pct"/>
            <w:noWrap w:val="0"/>
            <w:vAlign w:val="center"/>
          </w:tcPr>
          <w:p w14:paraId="6263FCA3">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6CBAA7D">
            <w:pPr>
              <w:widowControl/>
              <w:jc w:val="left"/>
              <w:textAlignment w:val="center"/>
              <w:rPr>
                <w:rFonts w:eastAsia="仿宋_GB2312"/>
                <w:color w:val="000000"/>
                <w:kern w:val="0"/>
                <w:szCs w:val="21"/>
                <w:highlight w:val="none"/>
                <w:lang w:bidi="ar"/>
              </w:rPr>
            </w:pPr>
          </w:p>
        </w:tc>
      </w:tr>
      <w:tr w14:paraId="5B66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0FAB560">
            <w:pPr>
              <w:spacing w:line="300" w:lineRule="exact"/>
              <w:jc w:val="center"/>
              <w:rPr>
                <w:rFonts w:eastAsia="仿宋_GB2312"/>
                <w:szCs w:val="21"/>
                <w:highlight w:val="none"/>
              </w:rPr>
            </w:pPr>
          </w:p>
        </w:tc>
        <w:tc>
          <w:tcPr>
            <w:tcW w:w="244" w:type="pct"/>
            <w:vMerge w:val="continue"/>
            <w:noWrap w:val="0"/>
            <w:vAlign w:val="center"/>
          </w:tcPr>
          <w:p w14:paraId="45153B98">
            <w:pPr>
              <w:spacing w:line="300" w:lineRule="exact"/>
              <w:jc w:val="center"/>
              <w:rPr>
                <w:rFonts w:eastAsia="仿宋_GB2312"/>
                <w:szCs w:val="21"/>
                <w:highlight w:val="none"/>
              </w:rPr>
            </w:pPr>
          </w:p>
        </w:tc>
        <w:tc>
          <w:tcPr>
            <w:tcW w:w="244" w:type="pct"/>
            <w:vMerge w:val="continue"/>
            <w:noWrap w:val="0"/>
            <w:vAlign w:val="center"/>
          </w:tcPr>
          <w:p w14:paraId="7E84FBFF">
            <w:pPr>
              <w:spacing w:line="300" w:lineRule="exact"/>
              <w:jc w:val="center"/>
              <w:rPr>
                <w:rFonts w:eastAsia="仿宋_GB2312"/>
                <w:szCs w:val="21"/>
                <w:highlight w:val="none"/>
              </w:rPr>
            </w:pPr>
          </w:p>
        </w:tc>
        <w:tc>
          <w:tcPr>
            <w:tcW w:w="301" w:type="pct"/>
            <w:vMerge w:val="restart"/>
            <w:noWrap w:val="0"/>
            <w:vAlign w:val="center"/>
          </w:tcPr>
          <w:p w14:paraId="5D732FC4">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禽肉</w:t>
            </w:r>
          </w:p>
        </w:tc>
        <w:tc>
          <w:tcPr>
            <w:tcW w:w="419" w:type="pct"/>
            <w:noWrap w:val="0"/>
            <w:vAlign w:val="center"/>
          </w:tcPr>
          <w:p w14:paraId="42B46715">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鸡肉</w:t>
            </w:r>
            <w:r>
              <w:rPr>
                <w:rFonts w:hint="eastAsia" w:eastAsia="仿宋_GB2312"/>
                <w:color w:val="000000"/>
                <w:kern w:val="0"/>
                <w:szCs w:val="21"/>
                <w:highlight w:val="none"/>
              </w:rPr>
              <w:t>*</w:t>
            </w:r>
          </w:p>
        </w:tc>
        <w:tc>
          <w:tcPr>
            <w:tcW w:w="188" w:type="pct"/>
            <w:noWrap w:val="0"/>
            <w:vAlign w:val="center"/>
          </w:tcPr>
          <w:p w14:paraId="5F1899D6">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0C9769AC">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多西环素、恩诺沙星、磺胺类 (总量)、甲氧苄啶、氯霉素</w:t>
            </w:r>
          </w:p>
        </w:tc>
        <w:tc>
          <w:tcPr>
            <w:tcW w:w="751" w:type="pct"/>
            <w:noWrap w:val="0"/>
            <w:vAlign w:val="center"/>
          </w:tcPr>
          <w:p w14:paraId="0678A7E5">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水分、呋喃唑酮代谢物、氧氟沙星、氟苯尼考、尼卡巴嗪</w:t>
            </w:r>
          </w:p>
        </w:tc>
        <w:tc>
          <w:tcPr>
            <w:tcW w:w="734" w:type="pct"/>
            <w:noWrap w:val="0"/>
            <w:vAlign w:val="center"/>
          </w:tcPr>
          <w:p w14:paraId="28816B85">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C1F2EF9">
            <w:pPr>
              <w:widowControl/>
              <w:jc w:val="left"/>
              <w:textAlignment w:val="center"/>
              <w:rPr>
                <w:rFonts w:eastAsia="仿宋_GB2312"/>
                <w:color w:val="000000"/>
                <w:kern w:val="0"/>
                <w:szCs w:val="21"/>
                <w:highlight w:val="none"/>
                <w:lang w:bidi="ar"/>
              </w:rPr>
            </w:pPr>
          </w:p>
        </w:tc>
      </w:tr>
      <w:tr w14:paraId="4D25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0EB9660C">
            <w:pPr>
              <w:spacing w:line="300" w:lineRule="exact"/>
              <w:jc w:val="center"/>
              <w:rPr>
                <w:rFonts w:eastAsia="仿宋_GB2312"/>
                <w:szCs w:val="21"/>
                <w:highlight w:val="none"/>
              </w:rPr>
            </w:pPr>
          </w:p>
        </w:tc>
        <w:tc>
          <w:tcPr>
            <w:tcW w:w="244" w:type="pct"/>
            <w:vMerge w:val="continue"/>
            <w:noWrap w:val="0"/>
            <w:vAlign w:val="center"/>
          </w:tcPr>
          <w:p w14:paraId="396703D5">
            <w:pPr>
              <w:spacing w:line="300" w:lineRule="exact"/>
              <w:jc w:val="center"/>
              <w:rPr>
                <w:rFonts w:eastAsia="仿宋_GB2312"/>
                <w:szCs w:val="21"/>
                <w:highlight w:val="none"/>
              </w:rPr>
            </w:pPr>
          </w:p>
        </w:tc>
        <w:tc>
          <w:tcPr>
            <w:tcW w:w="244" w:type="pct"/>
            <w:vMerge w:val="continue"/>
            <w:noWrap w:val="0"/>
            <w:vAlign w:val="center"/>
          </w:tcPr>
          <w:p w14:paraId="1CFA9B61">
            <w:pPr>
              <w:spacing w:line="300" w:lineRule="exact"/>
              <w:jc w:val="center"/>
              <w:rPr>
                <w:rFonts w:eastAsia="仿宋_GB2312"/>
                <w:szCs w:val="21"/>
                <w:highlight w:val="none"/>
              </w:rPr>
            </w:pPr>
          </w:p>
        </w:tc>
        <w:tc>
          <w:tcPr>
            <w:tcW w:w="301" w:type="pct"/>
            <w:vMerge w:val="continue"/>
            <w:noWrap w:val="0"/>
            <w:vAlign w:val="center"/>
          </w:tcPr>
          <w:p w14:paraId="1ACD9B21">
            <w:pPr>
              <w:spacing w:line="300" w:lineRule="exact"/>
              <w:jc w:val="center"/>
              <w:rPr>
                <w:rFonts w:eastAsia="仿宋_GB2312"/>
                <w:szCs w:val="21"/>
                <w:highlight w:val="none"/>
              </w:rPr>
            </w:pPr>
          </w:p>
        </w:tc>
        <w:tc>
          <w:tcPr>
            <w:tcW w:w="419" w:type="pct"/>
            <w:noWrap w:val="0"/>
            <w:vAlign w:val="center"/>
          </w:tcPr>
          <w:p w14:paraId="5EA50785">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鸭肉</w:t>
            </w:r>
          </w:p>
        </w:tc>
        <w:tc>
          <w:tcPr>
            <w:tcW w:w="188" w:type="pct"/>
            <w:noWrap w:val="0"/>
            <w:vAlign w:val="center"/>
          </w:tcPr>
          <w:p w14:paraId="5A1074BF">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7D5A57EE">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呋喃唑酮代谢物、呋喃妥因代谢物、氯霉素、恩诺沙星、磺胺类（总量）、多西环素</w:t>
            </w:r>
          </w:p>
        </w:tc>
        <w:tc>
          <w:tcPr>
            <w:tcW w:w="751" w:type="pct"/>
            <w:noWrap w:val="0"/>
            <w:vAlign w:val="center"/>
          </w:tcPr>
          <w:p w14:paraId="04846282">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氧氟沙星、氟苯尼考、甲硝唑、环丙氨嗪</w:t>
            </w:r>
          </w:p>
        </w:tc>
        <w:tc>
          <w:tcPr>
            <w:tcW w:w="734" w:type="pct"/>
            <w:noWrap w:val="0"/>
            <w:vAlign w:val="center"/>
          </w:tcPr>
          <w:p w14:paraId="50ED17B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44BDE8E">
            <w:pPr>
              <w:widowControl/>
              <w:jc w:val="left"/>
              <w:textAlignment w:val="center"/>
              <w:rPr>
                <w:rFonts w:eastAsia="仿宋_GB2312"/>
                <w:color w:val="000000"/>
                <w:kern w:val="0"/>
                <w:szCs w:val="21"/>
                <w:highlight w:val="none"/>
                <w:lang w:bidi="ar"/>
              </w:rPr>
            </w:pPr>
          </w:p>
        </w:tc>
      </w:tr>
      <w:tr w14:paraId="363B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956C212">
            <w:pPr>
              <w:spacing w:line="300" w:lineRule="exact"/>
              <w:jc w:val="center"/>
              <w:rPr>
                <w:rFonts w:eastAsia="仿宋_GB2312"/>
                <w:szCs w:val="21"/>
                <w:highlight w:val="none"/>
              </w:rPr>
            </w:pPr>
          </w:p>
        </w:tc>
        <w:tc>
          <w:tcPr>
            <w:tcW w:w="244" w:type="pct"/>
            <w:vMerge w:val="continue"/>
            <w:noWrap w:val="0"/>
            <w:vAlign w:val="center"/>
          </w:tcPr>
          <w:p w14:paraId="5A5E08C0">
            <w:pPr>
              <w:spacing w:line="300" w:lineRule="exact"/>
              <w:jc w:val="center"/>
              <w:rPr>
                <w:rFonts w:eastAsia="仿宋_GB2312"/>
                <w:szCs w:val="21"/>
                <w:highlight w:val="none"/>
              </w:rPr>
            </w:pPr>
          </w:p>
        </w:tc>
        <w:tc>
          <w:tcPr>
            <w:tcW w:w="244" w:type="pct"/>
            <w:vMerge w:val="continue"/>
            <w:noWrap w:val="0"/>
            <w:vAlign w:val="center"/>
          </w:tcPr>
          <w:p w14:paraId="62E31872">
            <w:pPr>
              <w:spacing w:line="300" w:lineRule="exact"/>
              <w:jc w:val="center"/>
              <w:rPr>
                <w:rFonts w:eastAsia="仿宋_GB2312"/>
                <w:szCs w:val="21"/>
                <w:highlight w:val="none"/>
              </w:rPr>
            </w:pPr>
          </w:p>
        </w:tc>
        <w:tc>
          <w:tcPr>
            <w:tcW w:w="301" w:type="pct"/>
            <w:vMerge w:val="continue"/>
            <w:noWrap w:val="0"/>
            <w:vAlign w:val="center"/>
          </w:tcPr>
          <w:p w14:paraId="359C16EE">
            <w:pPr>
              <w:spacing w:line="300" w:lineRule="exact"/>
              <w:jc w:val="center"/>
              <w:rPr>
                <w:rFonts w:eastAsia="仿宋_GB2312"/>
                <w:szCs w:val="21"/>
                <w:highlight w:val="none"/>
              </w:rPr>
            </w:pPr>
          </w:p>
        </w:tc>
        <w:tc>
          <w:tcPr>
            <w:tcW w:w="419" w:type="pct"/>
            <w:noWrap w:val="0"/>
            <w:vAlign w:val="center"/>
          </w:tcPr>
          <w:p w14:paraId="5C490605">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其他禽肉</w:t>
            </w:r>
            <w:r>
              <w:rPr>
                <w:rFonts w:hint="eastAsia" w:eastAsia="仿宋_GB2312"/>
                <w:color w:val="000000"/>
                <w:kern w:val="0"/>
                <w:szCs w:val="21"/>
                <w:highlight w:val="none"/>
              </w:rPr>
              <w:t>*</w:t>
            </w:r>
            <w:r>
              <w:rPr>
                <w:rFonts w:eastAsia="仿宋_GB2312"/>
                <w:color w:val="000000"/>
                <w:kern w:val="0"/>
                <w:szCs w:val="21"/>
                <w:highlight w:val="none"/>
              </w:rPr>
              <w:t>（重点品种：鸽肉）</w:t>
            </w:r>
          </w:p>
        </w:tc>
        <w:tc>
          <w:tcPr>
            <w:tcW w:w="188" w:type="pct"/>
            <w:noWrap w:val="0"/>
            <w:vAlign w:val="center"/>
          </w:tcPr>
          <w:p w14:paraId="2B1AEABC">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003A76BC">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恩诺沙星、甲硝唑、多西环素</w:t>
            </w:r>
          </w:p>
        </w:tc>
        <w:tc>
          <w:tcPr>
            <w:tcW w:w="751" w:type="pct"/>
            <w:noWrap w:val="0"/>
            <w:vAlign w:val="center"/>
          </w:tcPr>
          <w:p w14:paraId="79B144D0">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氧氟沙星、培氟沙星、洛美沙星、达氟沙星</w:t>
            </w:r>
          </w:p>
        </w:tc>
        <w:tc>
          <w:tcPr>
            <w:tcW w:w="734" w:type="pct"/>
            <w:noWrap w:val="0"/>
            <w:vAlign w:val="center"/>
          </w:tcPr>
          <w:p w14:paraId="28BECCB8">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E1F6333">
            <w:pPr>
              <w:widowControl/>
              <w:jc w:val="left"/>
              <w:textAlignment w:val="center"/>
              <w:rPr>
                <w:rFonts w:eastAsia="仿宋_GB2312"/>
                <w:color w:val="000000"/>
                <w:kern w:val="0"/>
                <w:szCs w:val="21"/>
                <w:highlight w:val="none"/>
                <w:lang w:bidi="ar"/>
              </w:rPr>
            </w:pPr>
          </w:p>
        </w:tc>
      </w:tr>
      <w:tr w14:paraId="37C0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549D4F1">
            <w:pPr>
              <w:spacing w:line="300" w:lineRule="exact"/>
              <w:jc w:val="center"/>
              <w:rPr>
                <w:rFonts w:eastAsia="仿宋_GB2312"/>
                <w:szCs w:val="21"/>
                <w:highlight w:val="none"/>
              </w:rPr>
            </w:pPr>
          </w:p>
        </w:tc>
        <w:tc>
          <w:tcPr>
            <w:tcW w:w="244" w:type="pct"/>
            <w:vMerge w:val="continue"/>
            <w:noWrap w:val="0"/>
            <w:vAlign w:val="center"/>
          </w:tcPr>
          <w:p w14:paraId="6F0EA64A">
            <w:pPr>
              <w:spacing w:line="300" w:lineRule="exact"/>
              <w:jc w:val="center"/>
              <w:rPr>
                <w:rFonts w:eastAsia="仿宋_GB2312"/>
                <w:szCs w:val="21"/>
                <w:highlight w:val="none"/>
              </w:rPr>
            </w:pPr>
          </w:p>
        </w:tc>
        <w:tc>
          <w:tcPr>
            <w:tcW w:w="244" w:type="pct"/>
            <w:vMerge w:val="restart"/>
            <w:noWrap w:val="0"/>
            <w:vAlign w:val="center"/>
          </w:tcPr>
          <w:p w14:paraId="51D9385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畜禽肉及副产品</w:t>
            </w:r>
          </w:p>
        </w:tc>
        <w:tc>
          <w:tcPr>
            <w:tcW w:w="301" w:type="pct"/>
            <w:vMerge w:val="restart"/>
            <w:noWrap w:val="0"/>
            <w:vAlign w:val="center"/>
          </w:tcPr>
          <w:p w14:paraId="5A035ED9">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畜副产品</w:t>
            </w:r>
          </w:p>
        </w:tc>
        <w:tc>
          <w:tcPr>
            <w:tcW w:w="419" w:type="pct"/>
            <w:noWrap w:val="0"/>
            <w:vAlign w:val="center"/>
          </w:tcPr>
          <w:p w14:paraId="56367491">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猪肝</w:t>
            </w:r>
            <w:r>
              <w:rPr>
                <w:rFonts w:hint="eastAsia" w:eastAsia="仿宋_GB2312"/>
                <w:color w:val="000000"/>
                <w:kern w:val="0"/>
                <w:szCs w:val="21"/>
                <w:highlight w:val="none"/>
              </w:rPr>
              <w:t>*</w:t>
            </w:r>
          </w:p>
        </w:tc>
        <w:tc>
          <w:tcPr>
            <w:tcW w:w="188" w:type="pct"/>
            <w:noWrap w:val="0"/>
            <w:vAlign w:val="center"/>
          </w:tcPr>
          <w:p w14:paraId="47C0EA68">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2C2137BD">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恩诺沙星、磺胺类 (总量)、甲氧苄啶</w:t>
            </w:r>
          </w:p>
        </w:tc>
        <w:tc>
          <w:tcPr>
            <w:tcW w:w="751" w:type="pct"/>
            <w:noWrap w:val="0"/>
            <w:vAlign w:val="center"/>
          </w:tcPr>
          <w:p w14:paraId="5F7DC011">
            <w:pPr>
              <w:widowControl/>
              <w:jc w:val="left"/>
              <w:textAlignment w:val="center"/>
              <w:rPr>
                <w:rFonts w:eastAsia="仿宋_GB2312"/>
                <w:color w:val="000000"/>
                <w:szCs w:val="21"/>
                <w:highlight w:val="none"/>
              </w:rPr>
            </w:pPr>
            <w:r>
              <w:rPr>
                <w:rFonts w:eastAsia="仿宋_GB2312"/>
                <w:color w:val="000000"/>
                <w:kern w:val="0"/>
                <w:szCs w:val="21"/>
                <w:highlight w:val="none"/>
                <w:lang w:bidi="ar"/>
              </w:rPr>
              <w:t>呋喃唑酮代谢物、呋喃西林代谢物、氯霉素、双氯芬酸</w:t>
            </w:r>
          </w:p>
        </w:tc>
        <w:tc>
          <w:tcPr>
            <w:tcW w:w="734" w:type="pct"/>
            <w:noWrap w:val="0"/>
            <w:vAlign w:val="center"/>
          </w:tcPr>
          <w:p w14:paraId="4FD48BA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3B370D7">
            <w:pPr>
              <w:widowControl/>
              <w:jc w:val="left"/>
              <w:textAlignment w:val="center"/>
              <w:rPr>
                <w:rFonts w:eastAsia="仿宋_GB2312"/>
                <w:color w:val="000000"/>
                <w:kern w:val="0"/>
                <w:szCs w:val="21"/>
                <w:highlight w:val="none"/>
                <w:lang w:bidi="ar"/>
              </w:rPr>
            </w:pPr>
          </w:p>
        </w:tc>
      </w:tr>
      <w:tr w14:paraId="0D47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52149FEC">
            <w:pPr>
              <w:spacing w:line="300" w:lineRule="exact"/>
              <w:jc w:val="center"/>
              <w:rPr>
                <w:rFonts w:eastAsia="仿宋_GB2312"/>
                <w:szCs w:val="21"/>
                <w:highlight w:val="none"/>
              </w:rPr>
            </w:pPr>
          </w:p>
        </w:tc>
        <w:tc>
          <w:tcPr>
            <w:tcW w:w="244" w:type="pct"/>
            <w:vMerge w:val="continue"/>
            <w:noWrap w:val="0"/>
            <w:vAlign w:val="center"/>
          </w:tcPr>
          <w:p w14:paraId="15D4F897">
            <w:pPr>
              <w:spacing w:line="300" w:lineRule="exact"/>
              <w:jc w:val="center"/>
              <w:rPr>
                <w:rFonts w:eastAsia="仿宋_GB2312"/>
                <w:szCs w:val="21"/>
                <w:highlight w:val="none"/>
              </w:rPr>
            </w:pPr>
          </w:p>
        </w:tc>
        <w:tc>
          <w:tcPr>
            <w:tcW w:w="244" w:type="pct"/>
            <w:vMerge w:val="continue"/>
            <w:noWrap w:val="0"/>
            <w:vAlign w:val="center"/>
          </w:tcPr>
          <w:p w14:paraId="19FD813B">
            <w:pPr>
              <w:spacing w:line="300" w:lineRule="exact"/>
              <w:jc w:val="center"/>
              <w:rPr>
                <w:rFonts w:eastAsia="仿宋_GB2312"/>
                <w:szCs w:val="21"/>
                <w:highlight w:val="none"/>
              </w:rPr>
            </w:pPr>
          </w:p>
        </w:tc>
        <w:tc>
          <w:tcPr>
            <w:tcW w:w="301" w:type="pct"/>
            <w:vMerge w:val="continue"/>
            <w:noWrap w:val="0"/>
            <w:vAlign w:val="center"/>
          </w:tcPr>
          <w:p w14:paraId="10614022">
            <w:pPr>
              <w:spacing w:line="300" w:lineRule="exact"/>
              <w:jc w:val="center"/>
              <w:rPr>
                <w:rFonts w:eastAsia="仿宋_GB2312"/>
                <w:szCs w:val="21"/>
                <w:highlight w:val="none"/>
              </w:rPr>
            </w:pPr>
          </w:p>
        </w:tc>
        <w:tc>
          <w:tcPr>
            <w:tcW w:w="419" w:type="pct"/>
            <w:noWrap w:val="0"/>
            <w:vAlign w:val="center"/>
          </w:tcPr>
          <w:p w14:paraId="542EE447">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牛肝</w:t>
            </w:r>
          </w:p>
        </w:tc>
        <w:tc>
          <w:tcPr>
            <w:tcW w:w="188" w:type="pct"/>
            <w:noWrap w:val="0"/>
            <w:vAlign w:val="center"/>
          </w:tcPr>
          <w:p w14:paraId="2EFCA37D">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322D01D3">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克伦特罗、莱克多巴胺、沙丁胺醇</w:t>
            </w:r>
          </w:p>
        </w:tc>
        <w:tc>
          <w:tcPr>
            <w:tcW w:w="751" w:type="pct"/>
            <w:noWrap w:val="0"/>
            <w:vAlign w:val="center"/>
          </w:tcPr>
          <w:p w14:paraId="054922BA">
            <w:pPr>
              <w:jc w:val="left"/>
              <w:rPr>
                <w:rFonts w:eastAsia="仿宋_GB2312"/>
                <w:color w:val="000000"/>
                <w:kern w:val="0"/>
                <w:szCs w:val="21"/>
                <w:highlight w:val="none"/>
              </w:rPr>
            </w:pPr>
            <w:r>
              <w:rPr>
                <w:rFonts w:eastAsia="仿宋_GB2312"/>
                <w:color w:val="000000"/>
                <w:kern w:val="0"/>
                <w:szCs w:val="21"/>
                <w:highlight w:val="none"/>
              </w:rPr>
              <w:t>/</w:t>
            </w:r>
          </w:p>
        </w:tc>
        <w:tc>
          <w:tcPr>
            <w:tcW w:w="734" w:type="pct"/>
            <w:noWrap w:val="0"/>
            <w:vAlign w:val="center"/>
          </w:tcPr>
          <w:p w14:paraId="0DA70833">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99221C0">
            <w:pPr>
              <w:jc w:val="left"/>
              <w:rPr>
                <w:rFonts w:eastAsia="仿宋_GB2312"/>
                <w:color w:val="000000"/>
                <w:kern w:val="0"/>
                <w:szCs w:val="21"/>
                <w:highlight w:val="none"/>
              </w:rPr>
            </w:pPr>
          </w:p>
        </w:tc>
      </w:tr>
      <w:tr w14:paraId="53B8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58F155D">
            <w:pPr>
              <w:spacing w:line="300" w:lineRule="exact"/>
              <w:jc w:val="center"/>
              <w:rPr>
                <w:rFonts w:eastAsia="仿宋_GB2312"/>
                <w:szCs w:val="21"/>
                <w:highlight w:val="none"/>
              </w:rPr>
            </w:pPr>
          </w:p>
        </w:tc>
        <w:tc>
          <w:tcPr>
            <w:tcW w:w="244" w:type="pct"/>
            <w:vMerge w:val="continue"/>
            <w:noWrap w:val="0"/>
            <w:vAlign w:val="center"/>
          </w:tcPr>
          <w:p w14:paraId="4F24DD85">
            <w:pPr>
              <w:spacing w:line="300" w:lineRule="exact"/>
              <w:jc w:val="center"/>
              <w:rPr>
                <w:rFonts w:eastAsia="仿宋_GB2312"/>
                <w:szCs w:val="21"/>
                <w:highlight w:val="none"/>
              </w:rPr>
            </w:pPr>
          </w:p>
        </w:tc>
        <w:tc>
          <w:tcPr>
            <w:tcW w:w="244" w:type="pct"/>
            <w:vMerge w:val="continue"/>
            <w:noWrap w:val="0"/>
            <w:vAlign w:val="center"/>
          </w:tcPr>
          <w:p w14:paraId="0737E718">
            <w:pPr>
              <w:spacing w:line="300" w:lineRule="exact"/>
              <w:jc w:val="center"/>
              <w:rPr>
                <w:rFonts w:eastAsia="仿宋_GB2312"/>
                <w:szCs w:val="21"/>
                <w:highlight w:val="none"/>
              </w:rPr>
            </w:pPr>
          </w:p>
        </w:tc>
        <w:tc>
          <w:tcPr>
            <w:tcW w:w="301" w:type="pct"/>
            <w:vMerge w:val="continue"/>
            <w:noWrap w:val="0"/>
            <w:vAlign w:val="center"/>
          </w:tcPr>
          <w:p w14:paraId="3FAF6BC3">
            <w:pPr>
              <w:spacing w:line="300" w:lineRule="exact"/>
              <w:jc w:val="center"/>
              <w:rPr>
                <w:rFonts w:eastAsia="仿宋_GB2312"/>
                <w:szCs w:val="21"/>
                <w:highlight w:val="none"/>
              </w:rPr>
            </w:pPr>
          </w:p>
        </w:tc>
        <w:tc>
          <w:tcPr>
            <w:tcW w:w="419" w:type="pct"/>
            <w:noWrap w:val="0"/>
            <w:vAlign w:val="center"/>
          </w:tcPr>
          <w:p w14:paraId="389D57D4">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羊肝</w:t>
            </w:r>
          </w:p>
        </w:tc>
        <w:tc>
          <w:tcPr>
            <w:tcW w:w="188" w:type="pct"/>
            <w:noWrap w:val="0"/>
            <w:vAlign w:val="center"/>
          </w:tcPr>
          <w:p w14:paraId="107812A0">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22415191">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克伦特罗、莱克多巴胺、沙丁胺醇</w:t>
            </w:r>
          </w:p>
        </w:tc>
        <w:tc>
          <w:tcPr>
            <w:tcW w:w="751" w:type="pct"/>
            <w:noWrap w:val="0"/>
            <w:vAlign w:val="center"/>
          </w:tcPr>
          <w:p w14:paraId="5B5E9E3A">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环丙氨嗪</w:t>
            </w:r>
          </w:p>
        </w:tc>
        <w:tc>
          <w:tcPr>
            <w:tcW w:w="734" w:type="pct"/>
            <w:noWrap w:val="0"/>
            <w:vAlign w:val="center"/>
          </w:tcPr>
          <w:p w14:paraId="33452B74">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6D55999">
            <w:pPr>
              <w:widowControl/>
              <w:jc w:val="left"/>
              <w:textAlignment w:val="center"/>
              <w:rPr>
                <w:rFonts w:eastAsia="仿宋_GB2312"/>
                <w:color w:val="000000"/>
                <w:kern w:val="0"/>
                <w:szCs w:val="21"/>
                <w:highlight w:val="none"/>
                <w:lang w:bidi="ar"/>
              </w:rPr>
            </w:pPr>
          </w:p>
        </w:tc>
      </w:tr>
      <w:tr w14:paraId="27F8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0" w:type="pct"/>
            <w:vMerge w:val="continue"/>
            <w:noWrap w:val="0"/>
            <w:vAlign w:val="center"/>
          </w:tcPr>
          <w:p w14:paraId="3A1D8B7A">
            <w:pPr>
              <w:spacing w:line="300" w:lineRule="exact"/>
              <w:jc w:val="center"/>
              <w:rPr>
                <w:rFonts w:eastAsia="仿宋_GB2312"/>
                <w:szCs w:val="21"/>
                <w:highlight w:val="none"/>
              </w:rPr>
            </w:pPr>
          </w:p>
        </w:tc>
        <w:tc>
          <w:tcPr>
            <w:tcW w:w="244" w:type="pct"/>
            <w:vMerge w:val="continue"/>
            <w:noWrap w:val="0"/>
            <w:vAlign w:val="center"/>
          </w:tcPr>
          <w:p w14:paraId="42C0E133">
            <w:pPr>
              <w:spacing w:line="300" w:lineRule="exact"/>
              <w:jc w:val="center"/>
              <w:rPr>
                <w:rFonts w:eastAsia="仿宋_GB2312"/>
                <w:szCs w:val="21"/>
                <w:highlight w:val="none"/>
              </w:rPr>
            </w:pPr>
          </w:p>
        </w:tc>
        <w:tc>
          <w:tcPr>
            <w:tcW w:w="244" w:type="pct"/>
            <w:vMerge w:val="continue"/>
            <w:noWrap w:val="0"/>
            <w:vAlign w:val="center"/>
          </w:tcPr>
          <w:p w14:paraId="3FD934FF">
            <w:pPr>
              <w:spacing w:line="300" w:lineRule="exact"/>
              <w:jc w:val="center"/>
              <w:rPr>
                <w:rFonts w:eastAsia="仿宋_GB2312"/>
                <w:szCs w:val="21"/>
                <w:highlight w:val="none"/>
              </w:rPr>
            </w:pPr>
          </w:p>
        </w:tc>
        <w:tc>
          <w:tcPr>
            <w:tcW w:w="301" w:type="pct"/>
            <w:vMerge w:val="continue"/>
            <w:noWrap w:val="0"/>
            <w:vAlign w:val="center"/>
          </w:tcPr>
          <w:p w14:paraId="5347B34D">
            <w:pPr>
              <w:spacing w:line="300" w:lineRule="exact"/>
              <w:jc w:val="center"/>
              <w:rPr>
                <w:rFonts w:eastAsia="仿宋_GB2312"/>
                <w:szCs w:val="21"/>
                <w:highlight w:val="none"/>
              </w:rPr>
            </w:pPr>
          </w:p>
        </w:tc>
        <w:tc>
          <w:tcPr>
            <w:tcW w:w="419" w:type="pct"/>
            <w:noWrap w:val="0"/>
            <w:vAlign w:val="center"/>
          </w:tcPr>
          <w:p w14:paraId="163D08AA">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猪肾</w:t>
            </w:r>
          </w:p>
        </w:tc>
        <w:tc>
          <w:tcPr>
            <w:tcW w:w="188" w:type="pct"/>
            <w:noWrap w:val="0"/>
            <w:vAlign w:val="center"/>
          </w:tcPr>
          <w:p w14:paraId="567EACA7">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49C91D46">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恩诺沙星、磺胺类 (总量)、甲氧苄啶</w:t>
            </w:r>
          </w:p>
        </w:tc>
        <w:tc>
          <w:tcPr>
            <w:tcW w:w="751" w:type="pct"/>
            <w:noWrap w:val="0"/>
            <w:vAlign w:val="center"/>
          </w:tcPr>
          <w:p w14:paraId="3127DBCE">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呋喃西林代谢物、氯霉素、克伦特罗、莱克多巴胺、沙丁胺醇</w:t>
            </w:r>
          </w:p>
        </w:tc>
        <w:tc>
          <w:tcPr>
            <w:tcW w:w="734" w:type="pct"/>
            <w:noWrap w:val="0"/>
            <w:vAlign w:val="center"/>
          </w:tcPr>
          <w:p w14:paraId="149E62A9">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71121CA">
            <w:pPr>
              <w:widowControl/>
              <w:jc w:val="left"/>
              <w:textAlignment w:val="center"/>
              <w:rPr>
                <w:rFonts w:eastAsia="仿宋_GB2312"/>
                <w:color w:val="000000"/>
                <w:kern w:val="0"/>
                <w:szCs w:val="21"/>
                <w:highlight w:val="none"/>
                <w:lang w:bidi="ar"/>
              </w:rPr>
            </w:pPr>
          </w:p>
        </w:tc>
      </w:tr>
      <w:tr w14:paraId="55B7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D2256C2">
            <w:pPr>
              <w:spacing w:line="300" w:lineRule="exact"/>
              <w:jc w:val="center"/>
              <w:rPr>
                <w:rFonts w:eastAsia="仿宋_GB2312"/>
                <w:szCs w:val="21"/>
                <w:highlight w:val="none"/>
              </w:rPr>
            </w:pPr>
          </w:p>
        </w:tc>
        <w:tc>
          <w:tcPr>
            <w:tcW w:w="244" w:type="pct"/>
            <w:vMerge w:val="continue"/>
            <w:noWrap w:val="0"/>
            <w:vAlign w:val="center"/>
          </w:tcPr>
          <w:p w14:paraId="2530564D">
            <w:pPr>
              <w:spacing w:line="300" w:lineRule="exact"/>
              <w:jc w:val="center"/>
              <w:rPr>
                <w:rFonts w:eastAsia="仿宋_GB2312"/>
                <w:szCs w:val="21"/>
                <w:highlight w:val="none"/>
              </w:rPr>
            </w:pPr>
          </w:p>
        </w:tc>
        <w:tc>
          <w:tcPr>
            <w:tcW w:w="244" w:type="pct"/>
            <w:vMerge w:val="continue"/>
            <w:noWrap w:val="0"/>
            <w:vAlign w:val="center"/>
          </w:tcPr>
          <w:p w14:paraId="56005D52">
            <w:pPr>
              <w:spacing w:line="300" w:lineRule="exact"/>
              <w:jc w:val="center"/>
              <w:rPr>
                <w:rFonts w:eastAsia="仿宋_GB2312"/>
                <w:szCs w:val="21"/>
                <w:highlight w:val="none"/>
              </w:rPr>
            </w:pPr>
          </w:p>
        </w:tc>
        <w:tc>
          <w:tcPr>
            <w:tcW w:w="301" w:type="pct"/>
            <w:vMerge w:val="continue"/>
            <w:noWrap w:val="0"/>
            <w:vAlign w:val="center"/>
          </w:tcPr>
          <w:p w14:paraId="5D926440">
            <w:pPr>
              <w:spacing w:line="300" w:lineRule="exact"/>
              <w:jc w:val="center"/>
              <w:rPr>
                <w:rFonts w:eastAsia="仿宋_GB2312"/>
                <w:szCs w:val="21"/>
                <w:highlight w:val="none"/>
              </w:rPr>
            </w:pPr>
          </w:p>
        </w:tc>
        <w:tc>
          <w:tcPr>
            <w:tcW w:w="419" w:type="pct"/>
            <w:noWrap w:val="0"/>
            <w:vAlign w:val="center"/>
          </w:tcPr>
          <w:p w14:paraId="69E2C9D3">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牛肾</w:t>
            </w:r>
          </w:p>
        </w:tc>
        <w:tc>
          <w:tcPr>
            <w:tcW w:w="188" w:type="pct"/>
            <w:noWrap w:val="0"/>
            <w:vAlign w:val="center"/>
          </w:tcPr>
          <w:p w14:paraId="0B7C0A0A">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33850681">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克伦特罗、莱克多巴胺、沙丁胺醇、恩诺沙星、磺胺类 (总量)</w:t>
            </w:r>
          </w:p>
        </w:tc>
        <w:tc>
          <w:tcPr>
            <w:tcW w:w="751" w:type="pct"/>
            <w:noWrap w:val="0"/>
            <w:vAlign w:val="center"/>
          </w:tcPr>
          <w:p w14:paraId="5D37BCE1">
            <w:pPr>
              <w:jc w:val="left"/>
              <w:rPr>
                <w:rFonts w:eastAsia="仿宋_GB2312"/>
                <w:color w:val="000000"/>
                <w:kern w:val="0"/>
                <w:szCs w:val="21"/>
                <w:highlight w:val="none"/>
              </w:rPr>
            </w:pPr>
            <w:r>
              <w:rPr>
                <w:rFonts w:eastAsia="仿宋_GB2312"/>
                <w:color w:val="000000"/>
                <w:kern w:val="0"/>
                <w:szCs w:val="21"/>
                <w:highlight w:val="none"/>
              </w:rPr>
              <w:t>/</w:t>
            </w:r>
          </w:p>
        </w:tc>
        <w:tc>
          <w:tcPr>
            <w:tcW w:w="734" w:type="pct"/>
            <w:noWrap w:val="0"/>
            <w:vAlign w:val="center"/>
          </w:tcPr>
          <w:p w14:paraId="43F3A976">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71D5596">
            <w:pPr>
              <w:jc w:val="left"/>
              <w:rPr>
                <w:rFonts w:eastAsia="仿宋_GB2312"/>
                <w:color w:val="000000"/>
                <w:kern w:val="0"/>
                <w:szCs w:val="21"/>
                <w:highlight w:val="none"/>
              </w:rPr>
            </w:pPr>
          </w:p>
        </w:tc>
      </w:tr>
      <w:tr w14:paraId="7B78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AAD3AB4">
            <w:pPr>
              <w:spacing w:line="300" w:lineRule="exact"/>
              <w:jc w:val="center"/>
              <w:rPr>
                <w:rFonts w:eastAsia="仿宋_GB2312"/>
                <w:szCs w:val="21"/>
                <w:highlight w:val="none"/>
              </w:rPr>
            </w:pPr>
          </w:p>
        </w:tc>
        <w:tc>
          <w:tcPr>
            <w:tcW w:w="244" w:type="pct"/>
            <w:vMerge w:val="continue"/>
            <w:noWrap w:val="0"/>
            <w:vAlign w:val="center"/>
          </w:tcPr>
          <w:p w14:paraId="38E331D1">
            <w:pPr>
              <w:spacing w:line="300" w:lineRule="exact"/>
              <w:jc w:val="center"/>
              <w:rPr>
                <w:rFonts w:eastAsia="仿宋_GB2312"/>
                <w:szCs w:val="21"/>
                <w:highlight w:val="none"/>
              </w:rPr>
            </w:pPr>
          </w:p>
        </w:tc>
        <w:tc>
          <w:tcPr>
            <w:tcW w:w="244" w:type="pct"/>
            <w:vMerge w:val="continue"/>
            <w:noWrap w:val="0"/>
            <w:vAlign w:val="center"/>
          </w:tcPr>
          <w:p w14:paraId="077F9441">
            <w:pPr>
              <w:spacing w:line="300" w:lineRule="exact"/>
              <w:jc w:val="center"/>
              <w:rPr>
                <w:rFonts w:eastAsia="仿宋_GB2312"/>
                <w:szCs w:val="21"/>
                <w:highlight w:val="none"/>
              </w:rPr>
            </w:pPr>
          </w:p>
        </w:tc>
        <w:tc>
          <w:tcPr>
            <w:tcW w:w="301" w:type="pct"/>
            <w:vMerge w:val="continue"/>
            <w:noWrap w:val="0"/>
            <w:vAlign w:val="center"/>
          </w:tcPr>
          <w:p w14:paraId="595BAC00">
            <w:pPr>
              <w:spacing w:line="300" w:lineRule="exact"/>
              <w:jc w:val="center"/>
              <w:rPr>
                <w:rFonts w:eastAsia="仿宋_GB2312"/>
                <w:szCs w:val="21"/>
                <w:highlight w:val="none"/>
              </w:rPr>
            </w:pPr>
          </w:p>
        </w:tc>
        <w:tc>
          <w:tcPr>
            <w:tcW w:w="419" w:type="pct"/>
            <w:noWrap w:val="0"/>
            <w:vAlign w:val="center"/>
          </w:tcPr>
          <w:p w14:paraId="34BC2A39">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羊肾</w:t>
            </w:r>
          </w:p>
        </w:tc>
        <w:tc>
          <w:tcPr>
            <w:tcW w:w="188" w:type="pct"/>
            <w:noWrap w:val="0"/>
            <w:vAlign w:val="center"/>
          </w:tcPr>
          <w:p w14:paraId="295E96A7">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4156E67B">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镉（以 Cd 计）、克伦特罗、莱克多巴胺、沙丁胺醇、恩诺沙星</w:t>
            </w:r>
          </w:p>
        </w:tc>
        <w:tc>
          <w:tcPr>
            <w:tcW w:w="751" w:type="pct"/>
            <w:noWrap w:val="0"/>
            <w:vAlign w:val="center"/>
          </w:tcPr>
          <w:p w14:paraId="78690B59">
            <w:pPr>
              <w:jc w:val="left"/>
              <w:rPr>
                <w:rFonts w:eastAsia="仿宋_GB2312"/>
                <w:color w:val="000000"/>
                <w:kern w:val="0"/>
                <w:szCs w:val="21"/>
                <w:highlight w:val="none"/>
              </w:rPr>
            </w:pPr>
            <w:r>
              <w:rPr>
                <w:rFonts w:eastAsia="仿宋_GB2312"/>
                <w:color w:val="000000"/>
                <w:kern w:val="0"/>
                <w:szCs w:val="21"/>
                <w:highlight w:val="none"/>
              </w:rPr>
              <w:t>/</w:t>
            </w:r>
          </w:p>
        </w:tc>
        <w:tc>
          <w:tcPr>
            <w:tcW w:w="734" w:type="pct"/>
            <w:noWrap w:val="0"/>
            <w:vAlign w:val="center"/>
          </w:tcPr>
          <w:p w14:paraId="0B7319BB">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405BA01">
            <w:pPr>
              <w:jc w:val="left"/>
              <w:rPr>
                <w:rFonts w:eastAsia="仿宋_GB2312"/>
                <w:color w:val="000000"/>
                <w:kern w:val="0"/>
                <w:szCs w:val="21"/>
                <w:highlight w:val="none"/>
              </w:rPr>
            </w:pPr>
          </w:p>
        </w:tc>
      </w:tr>
      <w:tr w14:paraId="7B27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91F9724">
            <w:pPr>
              <w:spacing w:line="300" w:lineRule="exact"/>
              <w:jc w:val="center"/>
              <w:rPr>
                <w:rFonts w:eastAsia="仿宋_GB2312"/>
                <w:szCs w:val="21"/>
                <w:highlight w:val="none"/>
              </w:rPr>
            </w:pPr>
          </w:p>
        </w:tc>
        <w:tc>
          <w:tcPr>
            <w:tcW w:w="244" w:type="pct"/>
            <w:vMerge w:val="continue"/>
            <w:noWrap w:val="0"/>
            <w:vAlign w:val="center"/>
          </w:tcPr>
          <w:p w14:paraId="57A725BF">
            <w:pPr>
              <w:spacing w:line="300" w:lineRule="exact"/>
              <w:jc w:val="center"/>
              <w:rPr>
                <w:rFonts w:eastAsia="仿宋_GB2312"/>
                <w:szCs w:val="21"/>
                <w:highlight w:val="none"/>
              </w:rPr>
            </w:pPr>
          </w:p>
        </w:tc>
        <w:tc>
          <w:tcPr>
            <w:tcW w:w="244" w:type="pct"/>
            <w:vMerge w:val="continue"/>
            <w:noWrap w:val="0"/>
            <w:vAlign w:val="center"/>
          </w:tcPr>
          <w:p w14:paraId="13E68891">
            <w:pPr>
              <w:spacing w:line="300" w:lineRule="exact"/>
              <w:jc w:val="center"/>
              <w:rPr>
                <w:rFonts w:eastAsia="仿宋_GB2312"/>
                <w:szCs w:val="21"/>
                <w:highlight w:val="none"/>
              </w:rPr>
            </w:pPr>
          </w:p>
        </w:tc>
        <w:tc>
          <w:tcPr>
            <w:tcW w:w="301" w:type="pct"/>
            <w:vMerge w:val="continue"/>
            <w:noWrap w:val="0"/>
            <w:vAlign w:val="center"/>
          </w:tcPr>
          <w:p w14:paraId="73C02FF0">
            <w:pPr>
              <w:spacing w:line="300" w:lineRule="exact"/>
              <w:jc w:val="center"/>
              <w:rPr>
                <w:rFonts w:eastAsia="仿宋_GB2312"/>
                <w:szCs w:val="21"/>
                <w:highlight w:val="none"/>
              </w:rPr>
            </w:pPr>
          </w:p>
        </w:tc>
        <w:tc>
          <w:tcPr>
            <w:tcW w:w="419" w:type="pct"/>
            <w:noWrap w:val="0"/>
            <w:vAlign w:val="center"/>
          </w:tcPr>
          <w:p w14:paraId="6A110B86">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其他畜副产品</w:t>
            </w:r>
          </w:p>
        </w:tc>
        <w:tc>
          <w:tcPr>
            <w:tcW w:w="188" w:type="pct"/>
            <w:noWrap w:val="0"/>
            <w:vAlign w:val="center"/>
          </w:tcPr>
          <w:p w14:paraId="25B98DE2">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64E2C65E">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呋喃唑酮代谢物、呋喃西林代谢物、氯霉素、克伦特罗、莱克多巴胺、沙丁胺醇</w:t>
            </w:r>
          </w:p>
        </w:tc>
        <w:tc>
          <w:tcPr>
            <w:tcW w:w="751" w:type="pct"/>
            <w:noWrap w:val="0"/>
            <w:vAlign w:val="center"/>
          </w:tcPr>
          <w:p w14:paraId="72CBDCBE">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w:t>
            </w:r>
          </w:p>
        </w:tc>
        <w:tc>
          <w:tcPr>
            <w:tcW w:w="734" w:type="pct"/>
            <w:noWrap w:val="0"/>
            <w:vAlign w:val="center"/>
          </w:tcPr>
          <w:p w14:paraId="1D575DF5">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70C2E58">
            <w:pPr>
              <w:widowControl/>
              <w:jc w:val="left"/>
              <w:textAlignment w:val="center"/>
              <w:rPr>
                <w:rFonts w:eastAsia="仿宋_GB2312"/>
                <w:color w:val="000000"/>
                <w:kern w:val="0"/>
                <w:szCs w:val="21"/>
                <w:highlight w:val="none"/>
                <w:lang w:bidi="ar"/>
              </w:rPr>
            </w:pPr>
          </w:p>
        </w:tc>
      </w:tr>
      <w:tr w14:paraId="12CD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5D33A3A3">
            <w:pPr>
              <w:spacing w:line="300" w:lineRule="exact"/>
              <w:jc w:val="center"/>
              <w:rPr>
                <w:rFonts w:eastAsia="仿宋_GB2312"/>
                <w:szCs w:val="21"/>
                <w:highlight w:val="none"/>
              </w:rPr>
            </w:pPr>
          </w:p>
        </w:tc>
        <w:tc>
          <w:tcPr>
            <w:tcW w:w="244" w:type="pct"/>
            <w:vMerge w:val="continue"/>
            <w:noWrap w:val="0"/>
            <w:vAlign w:val="center"/>
          </w:tcPr>
          <w:p w14:paraId="5C2C4FAD">
            <w:pPr>
              <w:spacing w:line="300" w:lineRule="exact"/>
              <w:jc w:val="center"/>
              <w:rPr>
                <w:rFonts w:eastAsia="仿宋_GB2312"/>
                <w:szCs w:val="21"/>
                <w:highlight w:val="none"/>
              </w:rPr>
            </w:pPr>
          </w:p>
        </w:tc>
        <w:tc>
          <w:tcPr>
            <w:tcW w:w="244" w:type="pct"/>
            <w:vMerge w:val="continue"/>
            <w:noWrap w:val="0"/>
            <w:vAlign w:val="center"/>
          </w:tcPr>
          <w:p w14:paraId="1DCF2FC9">
            <w:pPr>
              <w:spacing w:line="300" w:lineRule="exact"/>
              <w:jc w:val="center"/>
              <w:rPr>
                <w:rFonts w:eastAsia="仿宋_GB2312"/>
                <w:szCs w:val="21"/>
                <w:highlight w:val="none"/>
              </w:rPr>
            </w:pPr>
          </w:p>
        </w:tc>
        <w:tc>
          <w:tcPr>
            <w:tcW w:w="301" w:type="pct"/>
            <w:vMerge w:val="restart"/>
            <w:noWrap w:val="0"/>
            <w:vAlign w:val="center"/>
          </w:tcPr>
          <w:p w14:paraId="5104588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禽副产品</w:t>
            </w:r>
          </w:p>
        </w:tc>
        <w:tc>
          <w:tcPr>
            <w:tcW w:w="419" w:type="pct"/>
            <w:noWrap w:val="0"/>
            <w:vAlign w:val="center"/>
          </w:tcPr>
          <w:p w14:paraId="59F004A2">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鸡肝</w:t>
            </w:r>
          </w:p>
        </w:tc>
        <w:tc>
          <w:tcPr>
            <w:tcW w:w="188" w:type="pct"/>
            <w:noWrap w:val="0"/>
            <w:vAlign w:val="center"/>
          </w:tcPr>
          <w:p w14:paraId="6FE40B08">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64A6479D">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恩诺沙星、氧氟沙星、环丙氨嗪</w:t>
            </w:r>
          </w:p>
        </w:tc>
        <w:tc>
          <w:tcPr>
            <w:tcW w:w="751" w:type="pct"/>
            <w:noWrap w:val="0"/>
            <w:vAlign w:val="center"/>
          </w:tcPr>
          <w:p w14:paraId="4E06ABDB">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呋喃唑酮代谢物、呋喃西林代谢物、氯霉素</w:t>
            </w:r>
          </w:p>
        </w:tc>
        <w:tc>
          <w:tcPr>
            <w:tcW w:w="734" w:type="pct"/>
            <w:noWrap w:val="0"/>
            <w:vAlign w:val="center"/>
          </w:tcPr>
          <w:p w14:paraId="30589494">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6833A9B">
            <w:pPr>
              <w:widowControl/>
              <w:jc w:val="left"/>
              <w:textAlignment w:val="center"/>
              <w:rPr>
                <w:rFonts w:eastAsia="仿宋_GB2312"/>
                <w:color w:val="000000"/>
                <w:kern w:val="0"/>
                <w:szCs w:val="21"/>
                <w:highlight w:val="none"/>
                <w:lang w:bidi="ar"/>
              </w:rPr>
            </w:pPr>
          </w:p>
        </w:tc>
      </w:tr>
      <w:tr w14:paraId="7BAE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998EE21">
            <w:pPr>
              <w:spacing w:line="300" w:lineRule="exact"/>
              <w:jc w:val="center"/>
              <w:rPr>
                <w:rFonts w:eastAsia="仿宋_GB2312"/>
                <w:szCs w:val="21"/>
                <w:highlight w:val="none"/>
              </w:rPr>
            </w:pPr>
          </w:p>
        </w:tc>
        <w:tc>
          <w:tcPr>
            <w:tcW w:w="244" w:type="pct"/>
            <w:vMerge w:val="continue"/>
            <w:noWrap w:val="0"/>
            <w:vAlign w:val="center"/>
          </w:tcPr>
          <w:p w14:paraId="57775829">
            <w:pPr>
              <w:spacing w:line="300" w:lineRule="exact"/>
              <w:jc w:val="center"/>
              <w:rPr>
                <w:rFonts w:eastAsia="仿宋_GB2312"/>
                <w:szCs w:val="21"/>
                <w:highlight w:val="none"/>
              </w:rPr>
            </w:pPr>
          </w:p>
        </w:tc>
        <w:tc>
          <w:tcPr>
            <w:tcW w:w="244" w:type="pct"/>
            <w:vMerge w:val="continue"/>
            <w:noWrap w:val="0"/>
            <w:vAlign w:val="center"/>
          </w:tcPr>
          <w:p w14:paraId="15140F76">
            <w:pPr>
              <w:spacing w:line="300" w:lineRule="exact"/>
              <w:jc w:val="center"/>
              <w:rPr>
                <w:rFonts w:eastAsia="仿宋_GB2312"/>
                <w:szCs w:val="21"/>
                <w:highlight w:val="none"/>
              </w:rPr>
            </w:pPr>
          </w:p>
        </w:tc>
        <w:tc>
          <w:tcPr>
            <w:tcW w:w="301" w:type="pct"/>
            <w:vMerge w:val="continue"/>
            <w:noWrap w:val="0"/>
            <w:vAlign w:val="center"/>
          </w:tcPr>
          <w:p w14:paraId="7F1AC155">
            <w:pPr>
              <w:spacing w:line="300" w:lineRule="exact"/>
              <w:jc w:val="center"/>
              <w:rPr>
                <w:rFonts w:eastAsia="仿宋_GB2312"/>
                <w:szCs w:val="21"/>
                <w:highlight w:val="none"/>
              </w:rPr>
            </w:pPr>
          </w:p>
        </w:tc>
        <w:tc>
          <w:tcPr>
            <w:tcW w:w="419" w:type="pct"/>
            <w:noWrap w:val="0"/>
            <w:vAlign w:val="center"/>
          </w:tcPr>
          <w:p w14:paraId="06BDB097">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其他禽副产品</w:t>
            </w:r>
          </w:p>
        </w:tc>
        <w:tc>
          <w:tcPr>
            <w:tcW w:w="188" w:type="pct"/>
            <w:noWrap w:val="0"/>
            <w:vAlign w:val="center"/>
          </w:tcPr>
          <w:p w14:paraId="663EEA53">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1A99334F">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呋喃唑酮代谢物、呋喃西林代谢物、氯霉素、诺氟沙星</w:t>
            </w:r>
          </w:p>
        </w:tc>
        <w:tc>
          <w:tcPr>
            <w:tcW w:w="751" w:type="pct"/>
            <w:noWrap w:val="0"/>
            <w:vAlign w:val="center"/>
          </w:tcPr>
          <w:p w14:paraId="0EE4C77F">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w:t>
            </w:r>
          </w:p>
        </w:tc>
        <w:tc>
          <w:tcPr>
            <w:tcW w:w="734" w:type="pct"/>
            <w:noWrap w:val="0"/>
            <w:vAlign w:val="center"/>
          </w:tcPr>
          <w:p w14:paraId="1016E269">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A479686">
            <w:pPr>
              <w:widowControl/>
              <w:jc w:val="left"/>
              <w:textAlignment w:val="center"/>
              <w:rPr>
                <w:rFonts w:eastAsia="仿宋_GB2312"/>
                <w:color w:val="000000"/>
                <w:kern w:val="0"/>
                <w:szCs w:val="21"/>
                <w:highlight w:val="none"/>
                <w:lang w:bidi="ar"/>
              </w:rPr>
            </w:pPr>
          </w:p>
        </w:tc>
      </w:tr>
      <w:tr w14:paraId="4394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restart"/>
            <w:noWrap w:val="0"/>
            <w:vAlign w:val="center"/>
          </w:tcPr>
          <w:p w14:paraId="4D2C81AC">
            <w:pPr>
              <w:spacing w:line="300" w:lineRule="exact"/>
              <w:jc w:val="center"/>
              <w:rPr>
                <w:rFonts w:eastAsia="仿宋_GB2312"/>
                <w:szCs w:val="21"/>
                <w:highlight w:val="none"/>
              </w:rPr>
            </w:pPr>
            <w:r>
              <w:rPr>
                <w:rFonts w:eastAsia="仿宋_GB2312"/>
                <w:szCs w:val="21"/>
                <w:highlight w:val="none"/>
              </w:rPr>
              <w:t>2</w:t>
            </w:r>
          </w:p>
        </w:tc>
        <w:tc>
          <w:tcPr>
            <w:tcW w:w="244" w:type="pct"/>
            <w:vMerge w:val="restart"/>
            <w:noWrap w:val="0"/>
            <w:vAlign w:val="center"/>
          </w:tcPr>
          <w:p w14:paraId="7D49A1FC">
            <w:pPr>
              <w:spacing w:line="300" w:lineRule="exact"/>
              <w:jc w:val="center"/>
              <w:rPr>
                <w:rFonts w:eastAsia="仿宋_GB2312"/>
                <w:szCs w:val="21"/>
                <w:highlight w:val="none"/>
              </w:rPr>
            </w:pPr>
            <w:r>
              <w:rPr>
                <w:rFonts w:eastAsia="仿宋_GB2312"/>
                <w:szCs w:val="21"/>
                <w:highlight w:val="none"/>
              </w:rPr>
              <w:t>蔬菜</w:t>
            </w:r>
          </w:p>
        </w:tc>
        <w:tc>
          <w:tcPr>
            <w:tcW w:w="244" w:type="pct"/>
            <w:vMerge w:val="restart"/>
            <w:noWrap w:val="0"/>
            <w:vAlign w:val="center"/>
          </w:tcPr>
          <w:p w14:paraId="5AD27EF1">
            <w:pPr>
              <w:spacing w:line="300" w:lineRule="exact"/>
              <w:jc w:val="center"/>
              <w:rPr>
                <w:rFonts w:eastAsia="仿宋_GB2312"/>
                <w:szCs w:val="21"/>
                <w:highlight w:val="none"/>
              </w:rPr>
            </w:pPr>
            <w:r>
              <w:rPr>
                <w:rFonts w:eastAsia="仿宋_GB2312"/>
                <w:szCs w:val="21"/>
                <w:highlight w:val="none"/>
              </w:rPr>
              <w:t>蔬菜</w:t>
            </w:r>
          </w:p>
        </w:tc>
        <w:tc>
          <w:tcPr>
            <w:tcW w:w="301" w:type="pct"/>
            <w:noWrap w:val="0"/>
            <w:vAlign w:val="center"/>
          </w:tcPr>
          <w:p w14:paraId="08DC29F2">
            <w:pPr>
              <w:spacing w:line="300" w:lineRule="exact"/>
              <w:jc w:val="center"/>
              <w:rPr>
                <w:rFonts w:eastAsia="仿宋_GB2312"/>
                <w:szCs w:val="21"/>
                <w:highlight w:val="none"/>
              </w:rPr>
            </w:pPr>
            <w:r>
              <w:rPr>
                <w:rFonts w:eastAsia="仿宋_GB2312"/>
                <w:szCs w:val="21"/>
                <w:highlight w:val="none"/>
              </w:rPr>
              <w:t>豆芽</w:t>
            </w:r>
          </w:p>
        </w:tc>
        <w:tc>
          <w:tcPr>
            <w:tcW w:w="419" w:type="pct"/>
            <w:noWrap w:val="0"/>
            <w:vAlign w:val="center"/>
          </w:tcPr>
          <w:p w14:paraId="4D444455">
            <w:pPr>
              <w:spacing w:line="300" w:lineRule="exact"/>
              <w:jc w:val="center"/>
              <w:rPr>
                <w:rFonts w:eastAsia="仿宋_GB2312"/>
                <w:szCs w:val="21"/>
                <w:highlight w:val="none"/>
              </w:rPr>
            </w:pPr>
            <w:r>
              <w:rPr>
                <w:rFonts w:eastAsia="仿宋_GB2312"/>
                <w:szCs w:val="21"/>
                <w:highlight w:val="none"/>
              </w:rPr>
              <w:t>豆芽</w:t>
            </w:r>
            <w:r>
              <w:rPr>
                <w:rFonts w:hint="eastAsia" w:eastAsia="仿宋_GB2312"/>
                <w:color w:val="000000"/>
                <w:kern w:val="0"/>
                <w:szCs w:val="21"/>
                <w:highlight w:val="none"/>
              </w:rPr>
              <w:t>*</w:t>
            </w:r>
          </w:p>
        </w:tc>
        <w:tc>
          <w:tcPr>
            <w:tcW w:w="188" w:type="pct"/>
            <w:noWrap w:val="0"/>
            <w:vAlign w:val="center"/>
          </w:tcPr>
          <w:p w14:paraId="046868E1">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4041096D">
            <w:pPr>
              <w:spacing w:line="300" w:lineRule="exact"/>
              <w:jc w:val="left"/>
              <w:rPr>
                <w:rFonts w:eastAsia="仿宋_GB2312"/>
                <w:szCs w:val="21"/>
                <w:highlight w:val="none"/>
              </w:rPr>
            </w:pPr>
            <w:r>
              <w:rPr>
                <w:rFonts w:eastAsia="仿宋_GB2312"/>
                <w:szCs w:val="21"/>
                <w:highlight w:val="none"/>
              </w:rPr>
              <w:t xml:space="preserve">4 </w:t>
            </w:r>
            <w:r>
              <w:rPr>
                <w:rFonts w:hint="eastAsia" w:eastAsia="仿宋_GB2312"/>
                <w:szCs w:val="21"/>
                <w:highlight w:val="none"/>
              </w:rPr>
              <w:t>-</w:t>
            </w:r>
            <w:r>
              <w:rPr>
                <w:rFonts w:eastAsia="仿宋_GB2312"/>
                <w:szCs w:val="21"/>
                <w:highlight w:val="none"/>
              </w:rPr>
              <w:t xml:space="preserve">氯苯氧乙酸钠（以4 </w:t>
            </w:r>
            <w:r>
              <w:rPr>
                <w:rFonts w:hint="eastAsia" w:eastAsia="仿宋_GB2312"/>
                <w:szCs w:val="21"/>
                <w:highlight w:val="none"/>
              </w:rPr>
              <w:t>-</w:t>
            </w:r>
            <w:r>
              <w:rPr>
                <w:rFonts w:eastAsia="仿宋_GB2312"/>
                <w:szCs w:val="21"/>
                <w:highlight w:val="none"/>
              </w:rPr>
              <w:t xml:space="preserve">氯苯氧乙酸计）、6 </w:t>
            </w:r>
            <w:r>
              <w:rPr>
                <w:rFonts w:hint="eastAsia" w:eastAsia="仿宋_GB2312"/>
                <w:szCs w:val="21"/>
                <w:highlight w:val="none"/>
              </w:rPr>
              <w:t>-</w:t>
            </w:r>
            <w:r>
              <w:rPr>
                <w:rFonts w:eastAsia="仿宋_GB2312"/>
                <w:szCs w:val="21"/>
                <w:highlight w:val="none"/>
              </w:rPr>
              <w:t>苄基腺嘌呤（6-BA）、亚硫酸盐（以 SO₂计）、总汞（以 Hg 计）</w:t>
            </w:r>
          </w:p>
        </w:tc>
        <w:tc>
          <w:tcPr>
            <w:tcW w:w="751" w:type="pct"/>
            <w:noWrap w:val="0"/>
            <w:vAlign w:val="center"/>
          </w:tcPr>
          <w:p w14:paraId="6A2D2681">
            <w:pPr>
              <w:spacing w:line="300" w:lineRule="exact"/>
              <w:jc w:val="left"/>
              <w:rPr>
                <w:rFonts w:eastAsia="仿宋_GB2312"/>
                <w:szCs w:val="21"/>
                <w:highlight w:val="none"/>
              </w:rPr>
            </w:pPr>
            <w:r>
              <w:rPr>
                <w:rFonts w:eastAsia="仿宋_GB2312"/>
                <w:szCs w:val="21"/>
                <w:highlight w:val="none"/>
              </w:rPr>
              <w:t>铅（以 Pb 计）</w:t>
            </w:r>
          </w:p>
        </w:tc>
        <w:tc>
          <w:tcPr>
            <w:tcW w:w="734" w:type="pct"/>
            <w:noWrap w:val="0"/>
            <w:vAlign w:val="center"/>
          </w:tcPr>
          <w:p w14:paraId="0B20684E">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B879FD9">
            <w:pPr>
              <w:spacing w:line="300" w:lineRule="exact"/>
              <w:jc w:val="left"/>
              <w:rPr>
                <w:rFonts w:eastAsia="仿宋_GB2312"/>
                <w:szCs w:val="21"/>
                <w:highlight w:val="none"/>
              </w:rPr>
            </w:pPr>
          </w:p>
        </w:tc>
      </w:tr>
      <w:tr w14:paraId="4B44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50" w:type="pct"/>
            <w:vMerge w:val="continue"/>
            <w:noWrap w:val="0"/>
            <w:vAlign w:val="center"/>
          </w:tcPr>
          <w:p w14:paraId="69219C04">
            <w:pPr>
              <w:spacing w:line="300" w:lineRule="exact"/>
              <w:jc w:val="center"/>
              <w:rPr>
                <w:rFonts w:eastAsia="仿宋_GB2312"/>
                <w:szCs w:val="21"/>
                <w:highlight w:val="none"/>
              </w:rPr>
            </w:pPr>
          </w:p>
        </w:tc>
        <w:tc>
          <w:tcPr>
            <w:tcW w:w="244" w:type="pct"/>
            <w:vMerge w:val="continue"/>
            <w:noWrap w:val="0"/>
            <w:vAlign w:val="center"/>
          </w:tcPr>
          <w:p w14:paraId="6320B481">
            <w:pPr>
              <w:spacing w:line="300" w:lineRule="exact"/>
              <w:jc w:val="center"/>
              <w:rPr>
                <w:rFonts w:eastAsia="仿宋_GB2312"/>
                <w:szCs w:val="21"/>
                <w:highlight w:val="none"/>
              </w:rPr>
            </w:pPr>
          </w:p>
        </w:tc>
        <w:tc>
          <w:tcPr>
            <w:tcW w:w="244" w:type="pct"/>
            <w:vMerge w:val="continue"/>
            <w:noWrap w:val="0"/>
            <w:vAlign w:val="center"/>
          </w:tcPr>
          <w:p w14:paraId="2186F34B">
            <w:pPr>
              <w:spacing w:line="300" w:lineRule="exact"/>
              <w:jc w:val="center"/>
              <w:rPr>
                <w:rFonts w:eastAsia="仿宋_GB2312"/>
                <w:szCs w:val="21"/>
                <w:highlight w:val="none"/>
              </w:rPr>
            </w:pPr>
          </w:p>
        </w:tc>
        <w:tc>
          <w:tcPr>
            <w:tcW w:w="301" w:type="pct"/>
            <w:vMerge w:val="restart"/>
            <w:noWrap w:val="0"/>
            <w:vAlign w:val="center"/>
          </w:tcPr>
          <w:p w14:paraId="1B60A317">
            <w:pPr>
              <w:spacing w:line="300" w:lineRule="exact"/>
              <w:jc w:val="center"/>
              <w:rPr>
                <w:rFonts w:eastAsia="仿宋_GB2312"/>
                <w:szCs w:val="21"/>
                <w:highlight w:val="none"/>
              </w:rPr>
            </w:pPr>
            <w:r>
              <w:rPr>
                <w:rFonts w:eastAsia="仿宋_GB2312"/>
                <w:szCs w:val="21"/>
                <w:highlight w:val="none"/>
              </w:rPr>
              <w:t>鳞茎类蔬菜</w:t>
            </w:r>
          </w:p>
        </w:tc>
        <w:tc>
          <w:tcPr>
            <w:tcW w:w="419" w:type="pct"/>
            <w:noWrap w:val="0"/>
            <w:vAlign w:val="center"/>
          </w:tcPr>
          <w:p w14:paraId="2F0AC210">
            <w:pPr>
              <w:spacing w:line="300" w:lineRule="exact"/>
              <w:jc w:val="center"/>
              <w:rPr>
                <w:rFonts w:eastAsia="仿宋_GB2312"/>
                <w:szCs w:val="21"/>
                <w:highlight w:val="none"/>
              </w:rPr>
            </w:pPr>
            <w:r>
              <w:rPr>
                <w:rFonts w:eastAsia="仿宋_GB2312"/>
                <w:szCs w:val="21"/>
                <w:highlight w:val="none"/>
              </w:rPr>
              <w:t>葱</w:t>
            </w:r>
            <w:r>
              <w:rPr>
                <w:rFonts w:hint="eastAsia" w:eastAsia="仿宋_GB2312"/>
                <w:color w:val="000000"/>
                <w:kern w:val="0"/>
                <w:szCs w:val="21"/>
                <w:highlight w:val="none"/>
              </w:rPr>
              <w:t>*</w:t>
            </w:r>
          </w:p>
        </w:tc>
        <w:tc>
          <w:tcPr>
            <w:tcW w:w="188" w:type="pct"/>
            <w:noWrap w:val="0"/>
            <w:vAlign w:val="center"/>
          </w:tcPr>
          <w:p w14:paraId="6183A59B">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11D568EB">
            <w:pPr>
              <w:spacing w:line="300" w:lineRule="exact"/>
              <w:jc w:val="left"/>
              <w:rPr>
                <w:rFonts w:eastAsia="仿宋_GB2312"/>
                <w:szCs w:val="21"/>
                <w:highlight w:val="none"/>
              </w:rPr>
            </w:pPr>
            <w:r>
              <w:rPr>
                <w:rFonts w:eastAsia="仿宋_GB2312"/>
                <w:szCs w:val="21"/>
                <w:highlight w:val="none"/>
              </w:rPr>
              <w:t>噻虫嗪、丙环唑、戊唑醇、镉（以 Cd 计）、毒死蜱、氯氟氰菊酯和高效氯氟氰菊酯</w:t>
            </w:r>
          </w:p>
        </w:tc>
        <w:tc>
          <w:tcPr>
            <w:tcW w:w="751" w:type="pct"/>
            <w:noWrap w:val="0"/>
            <w:vAlign w:val="center"/>
          </w:tcPr>
          <w:p w14:paraId="0BD3496B">
            <w:pPr>
              <w:spacing w:line="300" w:lineRule="exact"/>
              <w:jc w:val="left"/>
              <w:rPr>
                <w:rFonts w:eastAsia="仿宋_GB2312"/>
                <w:szCs w:val="21"/>
                <w:highlight w:val="none"/>
              </w:rPr>
            </w:pPr>
            <w:r>
              <w:rPr>
                <w:rFonts w:eastAsia="仿宋_GB2312"/>
                <w:szCs w:val="21"/>
                <w:highlight w:val="none"/>
              </w:rPr>
              <w:t>氟虫腈、甲基异柳磷、克百威、乐果、水胺硫磷、氧乐果</w:t>
            </w:r>
          </w:p>
        </w:tc>
        <w:tc>
          <w:tcPr>
            <w:tcW w:w="734" w:type="pct"/>
            <w:noWrap w:val="0"/>
            <w:vAlign w:val="center"/>
          </w:tcPr>
          <w:p w14:paraId="76E0324C">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40EF8FB">
            <w:pPr>
              <w:spacing w:line="300" w:lineRule="exact"/>
              <w:jc w:val="left"/>
              <w:rPr>
                <w:rFonts w:eastAsia="仿宋_GB2312"/>
                <w:szCs w:val="21"/>
                <w:highlight w:val="none"/>
              </w:rPr>
            </w:pPr>
          </w:p>
        </w:tc>
      </w:tr>
      <w:tr w14:paraId="0EF4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50" w:type="pct"/>
            <w:vMerge w:val="continue"/>
            <w:noWrap w:val="0"/>
            <w:vAlign w:val="center"/>
          </w:tcPr>
          <w:p w14:paraId="7F6B94EA">
            <w:pPr>
              <w:spacing w:line="300" w:lineRule="exact"/>
              <w:jc w:val="center"/>
              <w:rPr>
                <w:rFonts w:eastAsia="仿宋_GB2312"/>
                <w:szCs w:val="21"/>
                <w:highlight w:val="none"/>
              </w:rPr>
            </w:pPr>
          </w:p>
        </w:tc>
        <w:tc>
          <w:tcPr>
            <w:tcW w:w="244" w:type="pct"/>
            <w:vMerge w:val="continue"/>
            <w:noWrap w:val="0"/>
            <w:vAlign w:val="center"/>
          </w:tcPr>
          <w:p w14:paraId="584EED7C">
            <w:pPr>
              <w:spacing w:line="300" w:lineRule="exact"/>
              <w:jc w:val="center"/>
              <w:rPr>
                <w:rFonts w:eastAsia="仿宋_GB2312"/>
                <w:szCs w:val="21"/>
                <w:highlight w:val="none"/>
              </w:rPr>
            </w:pPr>
          </w:p>
        </w:tc>
        <w:tc>
          <w:tcPr>
            <w:tcW w:w="244" w:type="pct"/>
            <w:vMerge w:val="continue"/>
            <w:noWrap w:val="0"/>
            <w:vAlign w:val="center"/>
          </w:tcPr>
          <w:p w14:paraId="128BA6C7">
            <w:pPr>
              <w:spacing w:line="300" w:lineRule="exact"/>
              <w:jc w:val="center"/>
              <w:rPr>
                <w:rFonts w:eastAsia="仿宋_GB2312"/>
                <w:szCs w:val="21"/>
                <w:highlight w:val="none"/>
              </w:rPr>
            </w:pPr>
          </w:p>
        </w:tc>
        <w:tc>
          <w:tcPr>
            <w:tcW w:w="301" w:type="pct"/>
            <w:vMerge w:val="continue"/>
            <w:noWrap w:val="0"/>
            <w:vAlign w:val="center"/>
          </w:tcPr>
          <w:p w14:paraId="53A2202F">
            <w:pPr>
              <w:spacing w:line="300" w:lineRule="exact"/>
              <w:jc w:val="center"/>
              <w:rPr>
                <w:rFonts w:eastAsia="仿宋_GB2312"/>
                <w:szCs w:val="21"/>
                <w:highlight w:val="none"/>
              </w:rPr>
            </w:pPr>
          </w:p>
        </w:tc>
        <w:tc>
          <w:tcPr>
            <w:tcW w:w="419" w:type="pct"/>
            <w:noWrap w:val="0"/>
            <w:vAlign w:val="center"/>
          </w:tcPr>
          <w:p w14:paraId="676B5B76">
            <w:pPr>
              <w:spacing w:line="300" w:lineRule="exact"/>
              <w:jc w:val="center"/>
              <w:rPr>
                <w:rFonts w:eastAsia="仿宋_GB2312"/>
                <w:szCs w:val="21"/>
                <w:highlight w:val="none"/>
              </w:rPr>
            </w:pPr>
            <w:r>
              <w:rPr>
                <w:rFonts w:eastAsia="仿宋_GB2312"/>
                <w:szCs w:val="21"/>
                <w:highlight w:val="none"/>
              </w:rPr>
              <w:t>韭菜</w:t>
            </w:r>
            <w:r>
              <w:rPr>
                <w:rFonts w:hint="eastAsia" w:eastAsia="仿宋_GB2312"/>
                <w:color w:val="000000"/>
                <w:kern w:val="0"/>
                <w:szCs w:val="21"/>
                <w:highlight w:val="none"/>
              </w:rPr>
              <w:t>*</w:t>
            </w:r>
          </w:p>
        </w:tc>
        <w:tc>
          <w:tcPr>
            <w:tcW w:w="188" w:type="pct"/>
            <w:noWrap w:val="0"/>
            <w:vAlign w:val="center"/>
          </w:tcPr>
          <w:p w14:paraId="329DB27B">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1D1881A4">
            <w:pPr>
              <w:spacing w:line="300" w:lineRule="exact"/>
              <w:jc w:val="left"/>
              <w:rPr>
                <w:rFonts w:eastAsia="仿宋_GB2312"/>
                <w:szCs w:val="21"/>
                <w:highlight w:val="none"/>
              </w:rPr>
            </w:pPr>
            <w:r>
              <w:rPr>
                <w:rFonts w:eastAsia="仿宋_GB2312"/>
                <w:szCs w:val="21"/>
                <w:highlight w:val="none"/>
              </w:rPr>
              <w:t>镉（以 Cd 计）、毒死蜱、氯氟氰菊酯和高效氯氟氰菊酯、克百威、氧乐果、乙酰甲胺磷</w:t>
            </w:r>
          </w:p>
        </w:tc>
        <w:tc>
          <w:tcPr>
            <w:tcW w:w="751" w:type="pct"/>
            <w:noWrap w:val="0"/>
            <w:vAlign w:val="center"/>
          </w:tcPr>
          <w:p w14:paraId="43157315">
            <w:pPr>
              <w:spacing w:line="300" w:lineRule="exact"/>
              <w:jc w:val="left"/>
              <w:rPr>
                <w:rFonts w:eastAsia="仿宋_GB2312"/>
                <w:szCs w:val="21"/>
                <w:highlight w:val="none"/>
              </w:rPr>
            </w:pPr>
            <w:r>
              <w:rPr>
                <w:rFonts w:eastAsia="仿宋_GB2312"/>
                <w:szCs w:val="21"/>
                <w:highlight w:val="none"/>
              </w:rPr>
              <w:t>多菌灵、腐霉利</w:t>
            </w:r>
          </w:p>
        </w:tc>
        <w:tc>
          <w:tcPr>
            <w:tcW w:w="734" w:type="pct"/>
            <w:noWrap w:val="0"/>
            <w:vAlign w:val="center"/>
          </w:tcPr>
          <w:p w14:paraId="572F37C9">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1BC4365">
            <w:pPr>
              <w:spacing w:line="300" w:lineRule="exact"/>
              <w:jc w:val="left"/>
              <w:rPr>
                <w:rFonts w:eastAsia="仿宋_GB2312"/>
                <w:szCs w:val="21"/>
                <w:highlight w:val="none"/>
              </w:rPr>
            </w:pPr>
          </w:p>
        </w:tc>
      </w:tr>
      <w:tr w14:paraId="20C5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6596C71">
            <w:pPr>
              <w:spacing w:line="300" w:lineRule="exact"/>
              <w:jc w:val="center"/>
              <w:rPr>
                <w:rFonts w:eastAsia="仿宋_GB2312"/>
                <w:szCs w:val="21"/>
                <w:highlight w:val="none"/>
              </w:rPr>
            </w:pPr>
          </w:p>
        </w:tc>
        <w:tc>
          <w:tcPr>
            <w:tcW w:w="244" w:type="pct"/>
            <w:vMerge w:val="continue"/>
            <w:noWrap w:val="0"/>
            <w:vAlign w:val="center"/>
          </w:tcPr>
          <w:p w14:paraId="36E6ABD9">
            <w:pPr>
              <w:spacing w:line="300" w:lineRule="exact"/>
              <w:jc w:val="center"/>
              <w:rPr>
                <w:rFonts w:eastAsia="仿宋_GB2312"/>
                <w:szCs w:val="21"/>
                <w:highlight w:val="none"/>
              </w:rPr>
            </w:pPr>
          </w:p>
        </w:tc>
        <w:tc>
          <w:tcPr>
            <w:tcW w:w="244" w:type="pct"/>
            <w:vMerge w:val="continue"/>
            <w:noWrap w:val="0"/>
            <w:vAlign w:val="center"/>
          </w:tcPr>
          <w:p w14:paraId="1914DFA2">
            <w:pPr>
              <w:spacing w:line="300" w:lineRule="exact"/>
              <w:jc w:val="center"/>
              <w:rPr>
                <w:rFonts w:eastAsia="仿宋_GB2312"/>
                <w:szCs w:val="21"/>
                <w:highlight w:val="none"/>
              </w:rPr>
            </w:pPr>
          </w:p>
        </w:tc>
        <w:tc>
          <w:tcPr>
            <w:tcW w:w="301" w:type="pct"/>
            <w:vMerge w:val="restart"/>
            <w:noWrap w:val="0"/>
            <w:vAlign w:val="center"/>
          </w:tcPr>
          <w:p w14:paraId="57365C2E">
            <w:pPr>
              <w:spacing w:line="300" w:lineRule="exact"/>
              <w:jc w:val="center"/>
              <w:rPr>
                <w:rFonts w:eastAsia="仿宋_GB2312"/>
                <w:szCs w:val="21"/>
                <w:highlight w:val="none"/>
              </w:rPr>
            </w:pPr>
            <w:r>
              <w:rPr>
                <w:rFonts w:eastAsia="仿宋_GB2312"/>
                <w:szCs w:val="21"/>
                <w:highlight w:val="none"/>
              </w:rPr>
              <w:t>叶菜类蔬菜</w:t>
            </w:r>
          </w:p>
        </w:tc>
        <w:tc>
          <w:tcPr>
            <w:tcW w:w="419" w:type="pct"/>
            <w:noWrap w:val="0"/>
            <w:vAlign w:val="center"/>
          </w:tcPr>
          <w:p w14:paraId="51420836">
            <w:pPr>
              <w:spacing w:line="300" w:lineRule="exact"/>
              <w:jc w:val="center"/>
              <w:rPr>
                <w:rFonts w:eastAsia="仿宋_GB2312"/>
                <w:szCs w:val="21"/>
                <w:highlight w:val="none"/>
              </w:rPr>
            </w:pPr>
            <w:r>
              <w:rPr>
                <w:rFonts w:eastAsia="仿宋_GB2312"/>
                <w:szCs w:val="21"/>
                <w:highlight w:val="none"/>
              </w:rPr>
              <w:t>菠菜</w:t>
            </w:r>
            <w:r>
              <w:rPr>
                <w:rFonts w:hint="eastAsia" w:eastAsia="仿宋_GB2312"/>
                <w:color w:val="000000"/>
                <w:kern w:val="0"/>
                <w:szCs w:val="21"/>
                <w:highlight w:val="none"/>
              </w:rPr>
              <w:t>*</w:t>
            </w:r>
          </w:p>
        </w:tc>
        <w:tc>
          <w:tcPr>
            <w:tcW w:w="188" w:type="pct"/>
            <w:noWrap w:val="0"/>
            <w:vAlign w:val="center"/>
          </w:tcPr>
          <w:p w14:paraId="301B0317">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63EFE3D4">
            <w:pPr>
              <w:spacing w:line="300" w:lineRule="exact"/>
              <w:jc w:val="left"/>
              <w:rPr>
                <w:rFonts w:eastAsia="仿宋_GB2312"/>
                <w:szCs w:val="21"/>
                <w:highlight w:val="none"/>
              </w:rPr>
            </w:pPr>
            <w:r>
              <w:rPr>
                <w:rFonts w:eastAsia="仿宋_GB2312"/>
                <w:szCs w:val="21"/>
                <w:highlight w:val="none"/>
              </w:rPr>
              <w:t>毒死蜱、铬（以 Cr 计）、镉（以 Cd 计）、阿维菌素</w:t>
            </w:r>
          </w:p>
        </w:tc>
        <w:tc>
          <w:tcPr>
            <w:tcW w:w="751" w:type="pct"/>
            <w:noWrap w:val="0"/>
            <w:vAlign w:val="center"/>
          </w:tcPr>
          <w:p w14:paraId="43A2BACA">
            <w:pPr>
              <w:spacing w:line="300" w:lineRule="exact"/>
              <w:jc w:val="left"/>
              <w:rPr>
                <w:rFonts w:eastAsia="仿宋_GB2312"/>
                <w:szCs w:val="21"/>
                <w:highlight w:val="none"/>
              </w:rPr>
            </w:pPr>
            <w:r>
              <w:rPr>
                <w:rFonts w:eastAsia="仿宋_GB2312"/>
                <w:szCs w:val="21"/>
                <w:highlight w:val="none"/>
              </w:rPr>
              <w:t>克百威、铅（ 以 Pb 计）</w:t>
            </w:r>
          </w:p>
        </w:tc>
        <w:tc>
          <w:tcPr>
            <w:tcW w:w="734" w:type="pct"/>
            <w:noWrap w:val="0"/>
            <w:vAlign w:val="center"/>
          </w:tcPr>
          <w:p w14:paraId="3D7676EB">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C6B2A42">
            <w:pPr>
              <w:spacing w:line="300" w:lineRule="exact"/>
              <w:jc w:val="left"/>
              <w:rPr>
                <w:rFonts w:eastAsia="仿宋_GB2312"/>
                <w:szCs w:val="21"/>
                <w:highlight w:val="none"/>
              </w:rPr>
            </w:pPr>
          </w:p>
        </w:tc>
      </w:tr>
      <w:tr w14:paraId="3FDA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A66DB5C">
            <w:pPr>
              <w:spacing w:line="300" w:lineRule="exact"/>
              <w:jc w:val="center"/>
              <w:rPr>
                <w:rFonts w:eastAsia="仿宋_GB2312"/>
                <w:szCs w:val="21"/>
                <w:highlight w:val="none"/>
              </w:rPr>
            </w:pPr>
          </w:p>
        </w:tc>
        <w:tc>
          <w:tcPr>
            <w:tcW w:w="244" w:type="pct"/>
            <w:vMerge w:val="continue"/>
            <w:noWrap w:val="0"/>
            <w:vAlign w:val="center"/>
          </w:tcPr>
          <w:p w14:paraId="195123A5">
            <w:pPr>
              <w:spacing w:line="300" w:lineRule="exact"/>
              <w:jc w:val="center"/>
              <w:rPr>
                <w:rFonts w:eastAsia="仿宋_GB2312"/>
                <w:szCs w:val="21"/>
                <w:highlight w:val="none"/>
              </w:rPr>
            </w:pPr>
          </w:p>
        </w:tc>
        <w:tc>
          <w:tcPr>
            <w:tcW w:w="244" w:type="pct"/>
            <w:vMerge w:val="continue"/>
            <w:noWrap w:val="0"/>
            <w:vAlign w:val="center"/>
          </w:tcPr>
          <w:p w14:paraId="4187AC74">
            <w:pPr>
              <w:spacing w:line="300" w:lineRule="exact"/>
              <w:jc w:val="center"/>
              <w:rPr>
                <w:rFonts w:eastAsia="仿宋_GB2312"/>
                <w:szCs w:val="21"/>
                <w:highlight w:val="none"/>
              </w:rPr>
            </w:pPr>
          </w:p>
        </w:tc>
        <w:tc>
          <w:tcPr>
            <w:tcW w:w="301" w:type="pct"/>
            <w:vMerge w:val="continue"/>
            <w:noWrap w:val="0"/>
            <w:vAlign w:val="center"/>
          </w:tcPr>
          <w:p w14:paraId="08B5A7AB">
            <w:pPr>
              <w:spacing w:line="300" w:lineRule="exact"/>
              <w:jc w:val="center"/>
              <w:rPr>
                <w:rFonts w:eastAsia="仿宋_GB2312"/>
                <w:szCs w:val="21"/>
                <w:highlight w:val="none"/>
              </w:rPr>
            </w:pPr>
          </w:p>
        </w:tc>
        <w:tc>
          <w:tcPr>
            <w:tcW w:w="419" w:type="pct"/>
            <w:noWrap w:val="0"/>
            <w:vAlign w:val="center"/>
          </w:tcPr>
          <w:p w14:paraId="69979A9C">
            <w:pPr>
              <w:spacing w:line="300" w:lineRule="exact"/>
              <w:jc w:val="center"/>
              <w:rPr>
                <w:rFonts w:eastAsia="仿宋_GB2312"/>
                <w:szCs w:val="21"/>
                <w:highlight w:val="none"/>
              </w:rPr>
            </w:pPr>
            <w:r>
              <w:rPr>
                <w:rFonts w:eastAsia="仿宋_GB2312"/>
                <w:szCs w:val="21"/>
                <w:highlight w:val="none"/>
              </w:rPr>
              <w:t>大白菜</w:t>
            </w:r>
          </w:p>
        </w:tc>
        <w:tc>
          <w:tcPr>
            <w:tcW w:w="188" w:type="pct"/>
            <w:noWrap w:val="0"/>
            <w:vAlign w:val="center"/>
          </w:tcPr>
          <w:p w14:paraId="44717D2C">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0A7A30D">
            <w:pPr>
              <w:spacing w:line="300" w:lineRule="exact"/>
              <w:jc w:val="left"/>
              <w:rPr>
                <w:rFonts w:eastAsia="仿宋_GB2312"/>
                <w:szCs w:val="21"/>
                <w:highlight w:val="none"/>
              </w:rPr>
            </w:pPr>
            <w:r>
              <w:rPr>
                <w:rFonts w:eastAsia="仿宋_GB2312"/>
                <w:szCs w:val="21"/>
                <w:highlight w:val="none"/>
              </w:rPr>
              <w:t>镉（以Cd计）、阿维菌素、氟虫腈、氯氟氰菊酯和高效氯氟氰菊酯、克百威、毒死蜱</w:t>
            </w:r>
          </w:p>
        </w:tc>
        <w:tc>
          <w:tcPr>
            <w:tcW w:w="751" w:type="pct"/>
            <w:noWrap w:val="0"/>
            <w:vAlign w:val="center"/>
          </w:tcPr>
          <w:p w14:paraId="61726333">
            <w:pPr>
              <w:spacing w:line="300" w:lineRule="exact"/>
              <w:jc w:val="left"/>
              <w:rPr>
                <w:rFonts w:eastAsia="仿宋_GB2312"/>
                <w:szCs w:val="21"/>
                <w:highlight w:val="none"/>
              </w:rPr>
            </w:pPr>
            <w:r>
              <w:rPr>
                <w:rFonts w:eastAsia="仿宋_GB2312"/>
                <w:szCs w:val="21"/>
                <w:highlight w:val="none"/>
              </w:rPr>
              <w:t>氧乐果、吡虫啉</w:t>
            </w:r>
          </w:p>
        </w:tc>
        <w:tc>
          <w:tcPr>
            <w:tcW w:w="734" w:type="pct"/>
            <w:noWrap w:val="0"/>
            <w:vAlign w:val="center"/>
          </w:tcPr>
          <w:p w14:paraId="603122FE">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C34286E">
            <w:pPr>
              <w:spacing w:line="300" w:lineRule="exact"/>
              <w:jc w:val="left"/>
              <w:rPr>
                <w:rFonts w:eastAsia="仿宋_GB2312"/>
                <w:szCs w:val="21"/>
                <w:highlight w:val="none"/>
              </w:rPr>
            </w:pPr>
          </w:p>
        </w:tc>
      </w:tr>
      <w:tr w14:paraId="1433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61280DF">
            <w:pPr>
              <w:spacing w:line="300" w:lineRule="exact"/>
              <w:jc w:val="center"/>
              <w:rPr>
                <w:rFonts w:eastAsia="仿宋_GB2312"/>
                <w:szCs w:val="21"/>
                <w:highlight w:val="none"/>
              </w:rPr>
            </w:pPr>
          </w:p>
        </w:tc>
        <w:tc>
          <w:tcPr>
            <w:tcW w:w="244" w:type="pct"/>
            <w:vMerge w:val="continue"/>
            <w:noWrap w:val="0"/>
            <w:vAlign w:val="center"/>
          </w:tcPr>
          <w:p w14:paraId="30227FAB">
            <w:pPr>
              <w:spacing w:line="300" w:lineRule="exact"/>
              <w:jc w:val="center"/>
              <w:rPr>
                <w:rFonts w:eastAsia="仿宋_GB2312"/>
                <w:szCs w:val="21"/>
                <w:highlight w:val="none"/>
              </w:rPr>
            </w:pPr>
          </w:p>
        </w:tc>
        <w:tc>
          <w:tcPr>
            <w:tcW w:w="244" w:type="pct"/>
            <w:vMerge w:val="continue"/>
            <w:noWrap w:val="0"/>
            <w:vAlign w:val="center"/>
          </w:tcPr>
          <w:p w14:paraId="5085D316">
            <w:pPr>
              <w:spacing w:line="300" w:lineRule="exact"/>
              <w:jc w:val="center"/>
              <w:rPr>
                <w:rFonts w:eastAsia="仿宋_GB2312"/>
                <w:szCs w:val="21"/>
                <w:highlight w:val="none"/>
              </w:rPr>
            </w:pPr>
          </w:p>
        </w:tc>
        <w:tc>
          <w:tcPr>
            <w:tcW w:w="301" w:type="pct"/>
            <w:vMerge w:val="continue"/>
            <w:noWrap w:val="0"/>
            <w:vAlign w:val="center"/>
          </w:tcPr>
          <w:p w14:paraId="2B3F5729">
            <w:pPr>
              <w:spacing w:line="300" w:lineRule="exact"/>
              <w:jc w:val="center"/>
              <w:rPr>
                <w:rFonts w:eastAsia="仿宋_GB2312"/>
                <w:szCs w:val="21"/>
                <w:highlight w:val="none"/>
              </w:rPr>
            </w:pPr>
          </w:p>
        </w:tc>
        <w:tc>
          <w:tcPr>
            <w:tcW w:w="419" w:type="pct"/>
            <w:noWrap w:val="0"/>
            <w:vAlign w:val="center"/>
          </w:tcPr>
          <w:p w14:paraId="4B8B39C4">
            <w:pPr>
              <w:spacing w:line="300" w:lineRule="exact"/>
              <w:jc w:val="center"/>
              <w:rPr>
                <w:rFonts w:eastAsia="仿宋_GB2312"/>
                <w:szCs w:val="21"/>
                <w:highlight w:val="none"/>
              </w:rPr>
            </w:pPr>
            <w:r>
              <w:rPr>
                <w:rFonts w:eastAsia="仿宋_GB2312"/>
                <w:szCs w:val="21"/>
                <w:highlight w:val="none"/>
              </w:rPr>
              <w:t>普通白菜</w:t>
            </w:r>
            <w:r>
              <w:rPr>
                <w:rFonts w:hint="eastAsia" w:eastAsia="仿宋_GB2312"/>
                <w:color w:val="000000"/>
                <w:kern w:val="0"/>
                <w:szCs w:val="21"/>
                <w:highlight w:val="none"/>
              </w:rPr>
              <w:t>*</w:t>
            </w:r>
            <w:r>
              <w:rPr>
                <w:rFonts w:eastAsia="仿宋_GB2312"/>
                <w:szCs w:val="21"/>
                <w:highlight w:val="none"/>
              </w:rPr>
              <w:t>（小白菜、小油菜、青菜）</w:t>
            </w:r>
          </w:p>
        </w:tc>
        <w:tc>
          <w:tcPr>
            <w:tcW w:w="188" w:type="pct"/>
            <w:noWrap w:val="0"/>
            <w:vAlign w:val="center"/>
          </w:tcPr>
          <w:p w14:paraId="6187C88F">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E3234AC">
            <w:pPr>
              <w:spacing w:line="300" w:lineRule="exact"/>
              <w:jc w:val="left"/>
              <w:rPr>
                <w:rFonts w:eastAsia="仿宋_GB2312"/>
                <w:szCs w:val="21"/>
                <w:highlight w:val="none"/>
              </w:rPr>
            </w:pPr>
            <w:r>
              <w:rPr>
                <w:rFonts w:eastAsia="仿宋_GB2312"/>
                <w:szCs w:val="21"/>
                <w:highlight w:val="none"/>
              </w:rPr>
              <w:t>毒死蜱、啶虫脒、氟虫腈、阿维菌素、吡虫啉</w:t>
            </w:r>
          </w:p>
        </w:tc>
        <w:tc>
          <w:tcPr>
            <w:tcW w:w="751" w:type="pct"/>
            <w:noWrap w:val="0"/>
            <w:vAlign w:val="center"/>
          </w:tcPr>
          <w:p w14:paraId="26228F0C">
            <w:pPr>
              <w:spacing w:line="300" w:lineRule="exact"/>
              <w:jc w:val="left"/>
              <w:rPr>
                <w:rFonts w:eastAsia="仿宋_GB2312"/>
                <w:szCs w:val="21"/>
                <w:highlight w:val="none"/>
              </w:rPr>
            </w:pPr>
            <w:r>
              <w:rPr>
                <w:rFonts w:eastAsia="仿宋_GB2312"/>
                <w:szCs w:val="21"/>
                <w:highlight w:val="none"/>
              </w:rPr>
              <w:t>镉（以 Cd 计）、氧乐果</w:t>
            </w:r>
          </w:p>
        </w:tc>
        <w:tc>
          <w:tcPr>
            <w:tcW w:w="734" w:type="pct"/>
            <w:noWrap w:val="0"/>
            <w:vAlign w:val="center"/>
          </w:tcPr>
          <w:p w14:paraId="46A69F6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BD22277">
            <w:pPr>
              <w:spacing w:line="300" w:lineRule="exact"/>
              <w:jc w:val="left"/>
              <w:rPr>
                <w:rFonts w:eastAsia="仿宋_GB2312"/>
                <w:szCs w:val="21"/>
                <w:highlight w:val="none"/>
              </w:rPr>
            </w:pPr>
          </w:p>
        </w:tc>
      </w:tr>
      <w:tr w14:paraId="022C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592AABC">
            <w:pPr>
              <w:spacing w:line="300" w:lineRule="exact"/>
              <w:jc w:val="center"/>
              <w:rPr>
                <w:rFonts w:eastAsia="仿宋_GB2312"/>
                <w:szCs w:val="21"/>
                <w:highlight w:val="none"/>
              </w:rPr>
            </w:pPr>
          </w:p>
        </w:tc>
        <w:tc>
          <w:tcPr>
            <w:tcW w:w="244" w:type="pct"/>
            <w:vMerge w:val="continue"/>
            <w:noWrap w:val="0"/>
            <w:vAlign w:val="center"/>
          </w:tcPr>
          <w:p w14:paraId="0400ABA0">
            <w:pPr>
              <w:spacing w:line="300" w:lineRule="exact"/>
              <w:jc w:val="center"/>
              <w:rPr>
                <w:rFonts w:eastAsia="仿宋_GB2312"/>
                <w:szCs w:val="21"/>
                <w:highlight w:val="none"/>
              </w:rPr>
            </w:pPr>
          </w:p>
        </w:tc>
        <w:tc>
          <w:tcPr>
            <w:tcW w:w="244" w:type="pct"/>
            <w:vMerge w:val="continue"/>
            <w:noWrap w:val="0"/>
            <w:vAlign w:val="center"/>
          </w:tcPr>
          <w:p w14:paraId="25678E19">
            <w:pPr>
              <w:spacing w:line="300" w:lineRule="exact"/>
              <w:jc w:val="center"/>
              <w:rPr>
                <w:rFonts w:eastAsia="仿宋_GB2312"/>
                <w:szCs w:val="21"/>
                <w:highlight w:val="none"/>
              </w:rPr>
            </w:pPr>
          </w:p>
        </w:tc>
        <w:tc>
          <w:tcPr>
            <w:tcW w:w="301" w:type="pct"/>
            <w:vMerge w:val="continue"/>
            <w:noWrap w:val="0"/>
            <w:vAlign w:val="center"/>
          </w:tcPr>
          <w:p w14:paraId="20349382">
            <w:pPr>
              <w:spacing w:line="300" w:lineRule="exact"/>
              <w:jc w:val="center"/>
              <w:rPr>
                <w:rFonts w:eastAsia="仿宋_GB2312"/>
                <w:szCs w:val="21"/>
                <w:highlight w:val="none"/>
              </w:rPr>
            </w:pPr>
          </w:p>
        </w:tc>
        <w:tc>
          <w:tcPr>
            <w:tcW w:w="419" w:type="pct"/>
            <w:noWrap w:val="0"/>
            <w:vAlign w:val="center"/>
          </w:tcPr>
          <w:p w14:paraId="5E7DB8CE">
            <w:pPr>
              <w:spacing w:line="300" w:lineRule="exact"/>
              <w:jc w:val="center"/>
              <w:rPr>
                <w:rFonts w:eastAsia="仿宋_GB2312"/>
                <w:szCs w:val="21"/>
                <w:highlight w:val="none"/>
              </w:rPr>
            </w:pPr>
            <w:r>
              <w:rPr>
                <w:rFonts w:eastAsia="仿宋_GB2312"/>
                <w:szCs w:val="21"/>
                <w:highlight w:val="none"/>
              </w:rPr>
              <w:t>芹菜</w:t>
            </w:r>
            <w:r>
              <w:rPr>
                <w:rFonts w:hint="eastAsia" w:eastAsia="仿宋_GB2312"/>
                <w:color w:val="000000"/>
                <w:kern w:val="0"/>
                <w:szCs w:val="21"/>
                <w:highlight w:val="none"/>
              </w:rPr>
              <w:t>*</w:t>
            </w:r>
          </w:p>
        </w:tc>
        <w:tc>
          <w:tcPr>
            <w:tcW w:w="188" w:type="pct"/>
            <w:noWrap w:val="0"/>
            <w:vAlign w:val="center"/>
          </w:tcPr>
          <w:p w14:paraId="06152D6C">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8EAB63A">
            <w:pPr>
              <w:spacing w:line="300" w:lineRule="exact"/>
              <w:jc w:val="left"/>
              <w:rPr>
                <w:rFonts w:eastAsia="仿宋_GB2312"/>
                <w:szCs w:val="21"/>
                <w:highlight w:val="none"/>
              </w:rPr>
            </w:pPr>
            <w:r>
              <w:rPr>
                <w:rFonts w:eastAsia="仿宋_GB2312"/>
                <w:szCs w:val="21"/>
                <w:highlight w:val="none"/>
              </w:rPr>
              <w:t>噻虫胺、毒死蜱、氧乐果、甲拌磷、噻虫嗪、氯氟氰菊酯和高效氯氟氰菊酯、辛硫磷</w:t>
            </w:r>
          </w:p>
        </w:tc>
        <w:tc>
          <w:tcPr>
            <w:tcW w:w="751" w:type="pct"/>
            <w:noWrap w:val="0"/>
            <w:vAlign w:val="center"/>
          </w:tcPr>
          <w:p w14:paraId="6812CD09">
            <w:pPr>
              <w:spacing w:line="300" w:lineRule="exact"/>
              <w:jc w:val="left"/>
              <w:rPr>
                <w:rFonts w:eastAsia="仿宋_GB2312"/>
                <w:szCs w:val="21"/>
                <w:highlight w:val="none"/>
              </w:rPr>
            </w:pPr>
            <w:r>
              <w:rPr>
                <w:rFonts w:eastAsia="仿宋_GB2312"/>
                <w:szCs w:val="21"/>
                <w:highlight w:val="none"/>
              </w:rPr>
              <w:t>铅（以 Pb 计）、镉（以 Cd 计）、阿维菌素、百菌清、啶虫脒、氟虫腈、甲基异柳磷、克百威</w:t>
            </w:r>
          </w:p>
        </w:tc>
        <w:tc>
          <w:tcPr>
            <w:tcW w:w="734" w:type="pct"/>
            <w:noWrap w:val="0"/>
            <w:vAlign w:val="center"/>
          </w:tcPr>
          <w:p w14:paraId="733BDE84">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8A7AACA">
            <w:pPr>
              <w:spacing w:line="300" w:lineRule="exact"/>
              <w:jc w:val="left"/>
              <w:rPr>
                <w:rFonts w:eastAsia="仿宋_GB2312"/>
                <w:szCs w:val="21"/>
                <w:highlight w:val="none"/>
              </w:rPr>
            </w:pPr>
          </w:p>
        </w:tc>
      </w:tr>
      <w:tr w14:paraId="7D52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6B49945">
            <w:pPr>
              <w:spacing w:line="300" w:lineRule="exact"/>
              <w:jc w:val="center"/>
              <w:rPr>
                <w:rFonts w:eastAsia="仿宋_GB2312"/>
                <w:szCs w:val="21"/>
                <w:highlight w:val="none"/>
              </w:rPr>
            </w:pPr>
          </w:p>
        </w:tc>
        <w:tc>
          <w:tcPr>
            <w:tcW w:w="244" w:type="pct"/>
            <w:vMerge w:val="continue"/>
            <w:noWrap w:val="0"/>
            <w:vAlign w:val="center"/>
          </w:tcPr>
          <w:p w14:paraId="5043F9E0">
            <w:pPr>
              <w:spacing w:line="300" w:lineRule="exact"/>
              <w:jc w:val="center"/>
              <w:rPr>
                <w:rFonts w:eastAsia="仿宋_GB2312"/>
                <w:szCs w:val="21"/>
                <w:highlight w:val="none"/>
              </w:rPr>
            </w:pPr>
          </w:p>
        </w:tc>
        <w:tc>
          <w:tcPr>
            <w:tcW w:w="244" w:type="pct"/>
            <w:vMerge w:val="continue"/>
            <w:noWrap w:val="0"/>
            <w:vAlign w:val="center"/>
          </w:tcPr>
          <w:p w14:paraId="56446E64">
            <w:pPr>
              <w:spacing w:line="300" w:lineRule="exact"/>
              <w:jc w:val="center"/>
              <w:rPr>
                <w:rFonts w:eastAsia="仿宋_GB2312"/>
                <w:szCs w:val="21"/>
                <w:highlight w:val="none"/>
              </w:rPr>
            </w:pPr>
          </w:p>
        </w:tc>
        <w:tc>
          <w:tcPr>
            <w:tcW w:w="301" w:type="pct"/>
            <w:vMerge w:val="continue"/>
            <w:noWrap w:val="0"/>
            <w:vAlign w:val="center"/>
          </w:tcPr>
          <w:p w14:paraId="1ABB2B36">
            <w:pPr>
              <w:spacing w:line="300" w:lineRule="exact"/>
              <w:jc w:val="center"/>
              <w:rPr>
                <w:rFonts w:eastAsia="仿宋_GB2312"/>
                <w:szCs w:val="21"/>
                <w:highlight w:val="none"/>
              </w:rPr>
            </w:pPr>
          </w:p>
        </w:tc>
        <w:tc>
          <w:tcPr>
            <w:tcW w:w="419" w:type="pct"/>
            <w:noWrap w:val="0"/>
            <w:vAlign w:val="center"/>
          </w:tcPr>
          <w:p w14:paraId="080E4941">
            <w:pPr>
              <w:spacing w:line="300" w:lineRule="exact"/>
              <w:jc w:val="center"/>
              <w:rPr>
                <w:rFonts w:eastAsia="仿宋_GB2312"/>
                <w:szCs w:val="21"/>
                <w:highlight w:val="none"/>
              </w:rPr>
            </w:pPr>
            <w:r>
              <w:rPr>
                <w:rFonts w:eastAsia="仿宋_GB2312"/>
                <w:szCs w:val="21"/>
                <w:highlight w:val="none"/>
              </w:rPr>
              <w:t>叶芥菜</w:t>
            </w:r>
          </w:p>
        </w:tc>
        <w:tc>
          <w:tcPr>
            <w:tcW w:w="188" w:type="pct"/>
            <w:noWrap w:val="0"/>
            <w:vAlign w:val="center"/>
          </w:tcPr>
          <w:p w14:paraId="7A7528DE">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3DF31F4">
            <w:pPr>
              <w:spacing w:line="300" w:lineRule="exact"/>
              <w:jc w:val="left"/>
              <w:rPr>
                <w:rFonts w:eastAsia="仿宋_GB2312"/>
                <w:szCs w:val="21"/>
                <w:highlight w:val="none"/>
              </w:rPr>
            </w:pPr>
            <w:r>
              <w:rPr>
                <w:rFonts w:eastAsia="仿宋_GB2312"/>
                <w:szCs w:val="21"/>
                <w:highlight w:val="none"/>
              </w:rPr>
              <w:t>啶虫脒、氧乐果、氯氰菊酯和高效氯氰菊酯、联苯菊酯、阿维菌素、毒死蜱</w:t>
            </w:r>
          </w:p>
        </w:tc>
        <w:tc>
          <w:tcPr>
            <w:tcW w:w="751" w:type="pct"/>
            <w:noWrap w:val="0"/>
            <w:vAlign w:val="center"/>
          </w:tcPr>
          <w:p w14:paraId="6F1619F4">
            <w:pPr>
              <w:spacing w:line="300" w:lineRule="exact"/>
              <w:jc w:val="left"/>
              <w:rPr>
                <w:rFonts w:eastAsia="仿宋_GB2312"/>
                <w:szCs w:val="21"/>
                <w:highlight w:val="none"/>
              </w:rPr>
            </w:pPr>
            <w:r>
              <w:rPr>
                <w:rFonts w:eastAsia="仿宋_GB2312"/>
                <w:szCs w:val="21"/>
                <w:highlight w:val="none"/>
              </w:rPr>
              <w:t>噻虫胺</w:t>
            </w:r>
          </w:p>
        </w:tc>
        <w:tc>
          <w:tcPr>
            <w:tcW w:w="734" w:type="pct"/>
            <w:noWrap w:val="0"/>
            <w:vAlign w:val="center"/>
          </w:tcPr>
          <w:p w14:paraId="75310A88">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C835B57">
            <w:pPr>
              <w:spacing w:line="300" w:lineRule="exact"/>
              <w:jc w:val="left"/>
              <w:rPr>
                <w:rFonts w:eastAsia="仿宋_GB2312"/>
                <w:szCs w:val="21"/>
                <w:highlight w:val="none"/>
              </w:rPr>
            </w:pPr>
          </w:p>
        </w:tc>
      </w:tr>
      <w:tr w14:paraId="61EC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063C9A03">
            <w:pPr>
              <w:spacing w:line="300" w:lineRule="exact"/>
              <w:jc w:val="center"/>
              <w:rPr>
                <w:rFonts w:eastAsia="仿宋_GB2312"/>
                <w:szCs w:val="21"/>
                <w:highlight w:val="none"/>
              </w:rPr>
            </w:pPr>
          </w:p>
        </w:tc>
        <w:tc>
          <w:tcPr>
            <w:tcW w:w="244" w:type="pct"/>
            <w:vMerge w:val="continue"/>
            <w:noWrap w:val="0"/>
            <w:vAlign w:val="center"/>
          </w:tcPr>
          <w:p w14:paraId="4E071F07">
            <w:pPr>
              <w:spacing w:line="300" w:lineRule="exact"/>
              <w:jc w:val="center"/>
              <w:rPr>
                <w:rFonts w:eastAsia="仿宋_GB2312"/>
                <w:szCs w:val="21"/>
                <w:highlight w:val="none"/>
              </w:rPr>
            </w:pPr>
          </w:p>
        </w:tc>
        <w:tc>
          <w:tcPr>
            <w:tcW w:w="244" w:type="pct"/>
            <w:vMerge w:val="continue"/>
            <w:noWrap w:val="0"/>
            <w:vAlign w:val="center"/>
          </w:tcPr>
          <w:p w14:paraId="05808417">
            <w:pPr>
              <w:spacing w:line="300" w:lineRule="exact"/>
              <w:jc w:val="center"/>
              <w:rPr>
                <w:rFonts w:eastAsia="仿宋_GB2312"/>
                <w:szCs w:val="21"/>
                <w:highlight w:val="none"/>
              </w:rPr>
            </w:pPr>
          </w:p>
        </w:tc>
        <w:tc>
          <w:tcPr>
            <w:tcW w:w="301" w:type="pct"/>
            <w:vMerge w:val="continue"/>
            <w:noWrap w:val="0"/>
            <w:vAlign w:val="center"/>
          </w:tcPr>
          <w:p w14:paraId="7F5B15E5">
            <w:pPr>
              <w:spacing w:line="300" w:lineRule="exact"/>
              <w:jc w:val="center"/>
              <w:rPr>
                <w:rFonts w:eastAsia="仿宋_GB2312"/>
                <w:szCs w:val="21"/>
                <w:highlight w:val="none"/>
              </w:rPr>
            </w:pPr>
          </w:p>
        </w:tc>
        <w:tc>
          <w:tcPr>
            <w:tcW w:w="419" w:type="pct"/>
            <w:noWrap w:val="0"/>
            <w:vAlign w:val="center"/>
          </w:tcPr>
          <w:p w14:paraId="42ACBF51">
            <w:pPr>
              <w:spacing w:line="300" w:lineRule="exact"/>
              <w:jc w:val="center"/>
              <w:rPr>
                <w:rFonts w:eastAsia="仿宋_GB2312"/>
                <w:szCs w:val="21"/>
                <w:highlight w:val="none"/>
              </w:rPr>
            </w:pPr>
            <w:r>
              <w:rPr>
                <w:rFonts w:eastAsia="仿宋_GB2312"/>
                <w:szCs w:val="21"/>
                <w:highlight w:val="none"/>
              </w:rPr>
              <w:t>蕹菜</w:t>
            </w:r>
          </w:p>
        </w:tc>
        <w:tc>
          <w:tcPr>
            <w:tcW w:w="188" w:type="pct"/>
            <w:noWrap w:val="0"/>
            <w:vAlign w:val="center"/>
          </w:tcPr>
          <w:p w14:paraId="4C294929">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66F5344D">
            <w:pPr>
              <w:spacing w:line="300" w:lineRule="exact"/>
              <w:jc w:val="left"/>
              <w:rPr>
                <w:rFonts w:eastAsia="仿宋_GB2312"/>
                <w:szCs w:val="21"/>
                <w:highlight w:val="none"/>
              </w:rPr>
            </w:pPr>
            <w:r>
              <w:rPr>
                <w:rFonts w:eastAsia="仿宋_GB2312"/>
                <w:szCs w:val="21"/>
                <w:highlight w:val="none"/>
              </w:rPr>
              <w:t>氟虫腈、毒死蜱、甲氨基阿维菌素苯甲酸盐、倍硫磷、甲拌磷、氧乐果</w:t>
            </w:r>
          </w:p>
        </w:tc>
        <w:tc>
          <w:tcPr>
            <w:tcW w:w="751" w:type="pct"/>
            <w:noWrap w:val="0"/>
            <w:vAlign w:val="center"/>
          </w:tcPr>
          <w:p w14:paraId="023C638D">
            <w:pPr>
              <w:spacing w:line="300" w:lineRule="exact"/>
              <w:jc w:val="left"/>
              <w:rPr>
                <w:rFonts w:eastAsia="仿宋_GB2312"/>
                <w:szCs w:val="21"/>
                <w:highlight w:val="none"/>
              </w:rPr>
            </w:pPr>
            <w:r>
              <w:rPr>
                <w:rFonts w:eastAsia="仿宋_GB2312"/>
                <w:szCs w:val="21"/>
                <w:highlight w:val="none"/>
              </w:rPr>
              <w:t>阿维菌素</w:t>
            </w:r>
          </w:p>
        </w:tc>
        <w:tc>
          <w:tcPr>
            <w:tcW w:w="734" w:type="pct"/>
            <w:noWrap w:val="0"/>
            <w:vAlign w:val="center"/>
          </w:tcPr>
          <w:p w14:paraId="47952FB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30911F0">
            <w:pPr>
              <w:spacing w:line="300" w:lineRule="exact"/>
              <w:jc w:val="left"/>
              <w:rPr>
                <w:rFonts w:eastAsia="仿宋_GB2312"/>
                <w:szCs w:val="21"/>
                <w:highlight w:val="none"/>
              </w:rPr>
            </w:pPr>
          </w:p>
        </w:tc>
      </w:tr>
      <w:tr w14:paraId="6AF4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1638AEE">
            <w:pPr>
              <w:spacing w:line="300" w:lineRule="exact"/>
              <w:jc w:val="center"/>
              <w:rPr>
                <w:rFonts w:eastAsia="仿宋_GB2312"/>
                <w:szCs w:val="21"/>
                <w:highlight w:val="none"/>
              </w:rPr>
            </w:pPr>
          </w:p>
        </w:tc>
        <w:tc>
          <w:tcPr>
            <w:tcW w:w="244" w:type="pct"/>
            <w:vMerge w:val="continue"/>
            <w:noWrap w:val="0"/>
            <w:vAlign w:val="center"/>
          </w:tcPr>
          <w:p w14:paraId="55720531">
            <w:pPr>
              <w:spacing w:line="300" w:lineRule="exact"/>
              <w:jc w:val="center"/>
              <w:rPr>
                <w:rFonts w:eastAsia="仿宋_GB2312"/>
                <w:szCs w:val="21"/>
                <w:highlight w:val="none"/>
              </w:rPr>
            </w:pPr>
          </w:p>
        </w:tc>
        <w:tc>
          <w:tcPr>
            <w:tcW w:w="244" w:type="pct"/>
            <w:vMerge w:val="continue"/>
            <w:noWrap w:val="0"/>
            <w:vAlign w:val="center"/>
          </w:tcPr>
          <w:p w14:paraId="656FAF38">
            <w:pPr>
              <w:spacing w:line="300" w:lineRule="exact"/>
              <w:jc w:val="center"/>
              <w:rPr>
                <w:rFonts w:eastAsia="仿宋_GB2312"/>
                <w:szCs w:val="21"/>
                <w:highlight w:val="none"/>
              </w:rPr>
            </w:pPr>
          </w:p>
        </w:tc>
        <w:tc>
          <w:tcPr>
            <w:tcW w:w="301" w:type="pct"/>
            <w:vMerge w:val="continue"/>
            <w:noWrap w:val="0"/>
            <w:vAlign w:val="center"/>
          </w:tcPr>
          <w:p w14:paraId="58B858D0">
            <w:pPr>
              <w:spacing w:line="300" w:lineRule="exact"/>
              <w:jc w:val="center"/>
              <w:rPr>
                <w:rFonts w:eastAsia="仿宋_GB2312"/>
                <w:szCs w:val="21"/>
                <w:highlight w:val="none"/>
              </w:rPr>
            </w:pPr>
          </w:p>
        </w:tc>
        <w:tc>
          <w:tcPr>
            <w:tcW w:w="419" w:type="pct"/>
            <w:noWrap w:val="0"/>
            <w:vAlign w:val="center"/>
          </w:tcPr>
          <w:p w14:paraId="2A8B17C6">
            <w:pPr>
              <w:spacing w:line="300" w:lineRule="exact"/>
              <w:jc w:val="center"/>
              <w:rPr>
                <w:rFonts w:eastAsia="仿宋_GB2312"/>
                <w:szCs w:val="21"/>
                <w:highlight w:val="none"/>
              </w:rPr>
            </w:pPr>
            <w:r>
              <w:rPr>
                <w:rFonts w:eastAsia="仿宋_GB2312"/>
                <w:szCs w:val="21"/>
                <w:highlight w:val="none"/>
              </w:rPr>
              <w:t>油麦菜</w:t>
            </w:r>
            <w:r>
              <w:rPr>
                <w:rFonts w:hint="eastAsia" w:eastAsia="仿宋_GB2312"/>
                <w:color w:val="000000"/>
                <w:kern w:val="0"/>
                <w:szCs w:val="21"/>
                <w:highlight w:val="none"/>
              </w:rPr>
              <w:t>*</w:t>
            </w:r>
          </w:p>
        </w:tc>
        <w:tc>
          <w:tcPr>
            <w:tcW w:w="188" w:type="pct"/>
            <w:noWrap w:val="0"/>
            <w:vAlign w:val="center"/>
          </w:tcPr>
          <w:p w14:paraId="223E13FA">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E4E4793">
            <w:pPr>
              <w:spacing w:line="300" w:lineRule="exact"/>
              <w:jc w:val="left"/>
              <w:rPr>
                <w:rFonts w:eastAsia="仿宋_GB2312"/>
                <w:szCs w:val="21"/>
                <w:highlight w:val="none"/>
              </w:rPr>
            </w:pPr>
            <w:r>
              <w:rPr>
                <w:rFonts w:eastAsia="仿宋_GB2312"/>
                <w:szCs w:val="21"/>
                <w:highlight w:val="none"/>
              </w:rPr>
              <w:t>阿维菌素、甲氨基阿维菌素苯甲酸盐、腈菌唑、毒死蜱</w:t>
            </w:r>
          </w:p>
        </w:tc>
        <w:tc>
          <w:tcPr>
            <w:tcW w:w="751" w:type="pct"/>
            <w:noWrap w:val="0"/>
            <w:vAlign w:val="center"/>
          </w:tcPr>
          <w:p w14:paraId="137C9B2F">
            <w:pPr>
              <w:spacing w:line="300" w:lineRule="exact"/>
              <w:jc w:val="left"/>
              <w:rPr>
                <w:rFonts w:eastAsia="仿宋_GB2312"/>
                <w:szCs w:val="21"/>
                <w:highlight w:val="none"/>
              </w:rPr>
            </w:pPr>
            <w:r>
              <w:rPr>
                <w:rFonts w:eastAsia="仿宋_GB2312"/>
                <w:szCs w:val="21"/>
                <w:highlight w:val="none"/>
              </w:rPr>
              <w:t>氟虫腈、氧乐果、乙酰甲胺磷</w:t>
            </w:r>
          </w:p>
        </w:tc>
        <w:tc>
          <w:tcPr>
            <w:tcW w:w="734" w:type="pct"/>
            <w:noWrap w:val="0"/>
            <w:vAlign w:val="center"/>
          </w:tcPr>
          <w:p w14:paraId="731F1260">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C6C5EF1">
            <w:pPr>
              <w:spacing w:line="300" w:lineRule="exact"/>
              <w:jc w:val="left"/>
              <w:rPr>
                <w:rFonts w:eastAsia="仿宋_GB2312"/>
                <w:szCs w:val="21"/>
                <w:highlight w:val="none"/>
              </w:rPr>
            </w:pPr>
          </w:p>
        </w:tc>
      </w:tr>
      <w:tr w14:paraId="4191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F1A1904">
            <w:pPr>
              <w:spacing w:line="300" w:lineRule="exact"/>
              <w:jc w:val="center"/>
              <w:rPr>
                <w:rFonts w:eastAsia="仿宋_GB2312"/>
                <w:szCs w:val="21"/>
                <w:highlight w:val="none"/>
              </w:rPr>
            </w:pPr>
          </w:p>
        </w:tc>
        <w:tc>
          <w:tcPr>
            <w:tcW w:w="244" w:type="pct"/>
            <w:vMerge w:val="continue"/>
            <w:noWrap w:val="0"/>
            <w:vAlign w:val="center"/>
          </w:tcPr>
          <w:p w14:paraId="7F09ABBE">
            <w:pPr>
              <w:spacing w:line="300" w:lineRule="exact"/>
              <w:jc w:val="center"/>
              <w:rPr>
                <w:rFonts w:eastAsia="仿宋_GB2312"/>
                <w:szCs w:val="21"/>
                <w:highlight w:val="none"/>
              </w:rPr>
            </w:pPr>
          </w:p>
        </w:tc>
        <w:tc>
          <w:tcPr>
            <w:tcW w:w="244" w:type="pct"/>
            <w:vMerge w:val="continue"/>
            <w:noWrap w:val="0"/>
            <w:vAlign w:val="center"/>
          </w:tcPr>
          <w:p w14:paraId="387C64C4">
            <w:pPr>
              <w:spacing w:line="300" w:lineRule="exact"/>
              <w:jc w:val="center"/>
              <w:rPr>
                <w:rFonts w:eastAsia="仿宋_GB2312"/>
                <w:szCs w:val="21"/>
                <w:highlight w:val="none"/>
              </w:rPr>
            </w:pPr>
          </w:p>
        </w:tc>
        <w:tc>
          <w:tcPr>
            <w:tcW w:w="301" w:type="pct"/>
            <w:vMerge w:val="restart"/>
            <w:noWrap w:val="0"/>
            <w:vAlign w:val="center"/>
          </w:tcPr>
          <w:p w14:paraId="46B7A02D">
            <w:pPr>
              <w:spacing w:line="300" w:lineRule="exact"/>
              <w:jc w:val="center"/>
              <w:rPr>
                <w:rFonts w:eastAsia="仿宋_GB2312"/>
                <w:szCs w:val="21"/>
                <w:highlight w:val="none"/>
              </w:rPr>
            </w:pPr>
            <w:r>
              <w:rPr>
                <w:rFonts w:eastAsia="仿宋_GB2312"/>
                <w:szCs w:val="21"/>
                <w:highlight w:val="none"/>
              </w:rPr>
              <w:t>茄果类蔬菜</w:t>
            </w:r>
          </w:p>
        </w:tc>
        <w:tc>
          <w:tcPr>
            <w:tcW w:w="419" w:type="pct"/>
            <w:noWrap w:val="0"/>
            <w:vAlign w:val="center"/>
          </w:tcPr>
          <w:p w14:paraId="222736BB">
            <w:pPr>
              <w:spacing w:line="300" w:lineRule="exact"/>
              <w:jc w:val="center"/>
              <w:rPr>
                <w:rFonts w:eastAsia="仿宋_GB2312"/>
                <w:szCs w:val="21"/>
                <w:highlight w:val="none"/>
              </w:rPr>
            </w:pPr>
            <w:r>
              <w:rPr>
                <w:rFonts w:eastAsia="仿宋_GB2312"/>
                <w:szCs w:val="21"/>
                <w:highlight w:val="none"/>
              </w:rPr>
              <w:t>辣椒</w:t>
            </w:r>
            <w:r>
              <w:rPr>
                <w:rFonts w:hint="eastAsia" w:eastAsia="仿宋_GB2312"/>
                <w:color w:val="000000"/>
                <w:kern w:val="0"/>
                <w:szCs w:val="21"/>
                <w:highlight w:val="none"/>
              </w:rPr>
              <w:t>*</w:t>
            </w:r>
          </w:p>
        </w:tc>
        <w:tc>
          <w:tcPr>
            <w:tcW w:w="188" w:type="pct"/>
            <w:noWrap w:val="0"/>
            <w:vAlign w:val="center"/>
          </w:tcPr>
          <w:p w14:paraId="1DC6000B">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2C1126CF">
            <w:pPr>
              <w:spacing w:line="300" w:lineRule="exact"/>
              <w:jc w:val="left"/>
              <w:rPr>
                <w:rFonts w:eastAsia="仿宋_GB2312"/>
                <w:szCs w:val="21"/>
                <w:highlight w:val="none"/>
              </w:rPr>
            </w:pPr>
            <w:r>
              <w:rPr>
                <w:rFonts w:eastAsia="仿宋_GB2312"/>
                <w:szCs w:val="21"/>
                <w:highlight w:val="none"/>
              </w:rPr>
              <w:t>噻虫胺、镉（以 Cd 计）、啶虫脒、毒死蜱、呋虫胺、氧乐果、噻虫嗪、倍硫磷</w:t>
            </w:r>
          </w:p>
        </w:tc>
        <w:tc>
          <w:tcPr>
            <w:tcW w:w="751" w:type="pct"/>
            <w:noWrap w:val="0"/>
            <w:vAlign w:val="center"/>
          </w:tcPr>
          <w:p w14:paraId="285F4896">
            <w:pPr>
              <w:spacing w:line="300" w:lineRule="exact"/>
              <w:jc w:val="left"/>
              <w:rPr>
                <w:rFonts w:eastAsia="仿宋_GB2312"/>
                <w:szCs w:val="21"/>
                <w:highlight w:val="none"/>
              </w:rPr>
            </w:pPr>
            <w:r>
              <w:rPr>
                <w:rFonts w:eastAsia="仿宋_GB2312"/>
                <w:szCs w:val="21"/>
                <w:highlight w:val="none"/>
              </w:rPr>
              <w:t>氟吡菌胺、克百威、乙酰甲胺磷</w:t>
            </w:r>
          </w:p>
        </w:tc>
        <w:tc>
          <w:tcPr>
            <w:tcW w:w="734" w:type="pct"/>
            <w:noWrap w:val="0"/>
            <w:vAlign w:val="center"/>
          </w:tcPr>
          <w:p w14:paraId="0D273DC8">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EA03468">
            <w:pPr>
              <w:spacing w:line="300" w:lineRule="exact"/>
              <w:jc w:val="left"/>
              <w:rPr>
                <w:rFonts w:eastAsia="仿宋_GB2312"/>
                <w:szCs w:val="21"/>
                <w:highlight w:val="none"/>
              </w:rPr>
            </w:pPr>
          </w:p>
        </w:tc>
      </w:tr>
      <w:tr w14:paraId="5076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0E461DAE">
            <w:pPr>
              <w:spacing w:line="300" w:lineRule="exact"/>
              <w:jc w:val="center"/>
              <w:rPr>
                <w:rFonts w:eastAsia="仿宋_GB2312"/>
                <w:szCs w:val="21"/>
                <w:highlight w:val="none"/>
              </w:rPr>
            </w:pPr>
          </w:p>
        </w:tc>
        <w:tc>
          <w:tcPr>
            <w:tcW w:w="244" w:type="pct"/>
            <w:vMerge w:val="continue"/>
            <w:noWrap w:val="0"/>
            <w:vAlign w:val="center"/>
          </w:tcPr>
          <w:p w14:paraId="75E9A6C8">
            <w:pPr>
              <w:spacing w:line="300" w:lineRule="exact"/>
              <w:jc w:val="center"/>
              <w:rPr>
                <w:rFonts w:eastAsia="仿宋_GB2312"/>
                <w:szCs w:val="21"/>
                <w:highlight w:val="none"/>
              </w:rPr>
            </w:pPr>
          </w:p>
        </w:tc>
        <w:tc>
          <w:tcPr>
            <w:tcW w:w="244" w:type="pct"/>
            <w:vMerge w:val="continue"/>
            <w:noWrap w:val="0"/>
            <w:vAlign w:val="center"/>
          </w:tcPr>
          <w:p w14:paraId="3F61B77C">
            <w:pPr>
              <w:spacing w:line="300" w:lineRule="exact"/>
              <w:jc w:val="center"/>
              <w:rPr>
                <w:rFonts w:eastAsia="仿宋_GB2312"/>
                <w:szCs w:val="21"/>
                <w:highlight w:val="none"/>
              </w:rPr>
            </w:pPr>
          </w:p>
        </w:tc>
        <w:tc>
          <w:tcPr>
            <w:tcW w:w="301" w:type="pct"/>
            <w:vMerge w:val="continue"/>
            <w:noWrap w:val="0"/>
            <w:vAlign w:val="center"/>
          </w:tcPr>
          <w:p w14:paraId="3DC7DBBE">
            <w:pPr>
              <w:spacing w:line="300" w:lineRule="exact"/>
              <w:jc w:val="center"/>
              <w:rPr>
                <w:rFonts w:eastAsia="仿宋_GB2312"/>
                <w:szCs w:val="21"/>
                <w:highlight w:val="none"/>
              </w:rPr>
            </w:pPr>
          </w:p>
        </w:tc>
        <w:tc>
          <w:tcPr>
            <w:tcW w:w="419" w:type="pct"/>
            <w:noWrap w:val="0"/>
            <w:vAlign w:val="center"/>
          </w:tcPr>
          <w:p w14:paraId="7F4EDD9A">
            <w:pPr>
              <w:spacing w:line="300" w:lineRule="exact"/>
              <w:jc w:val="center"/>
              <w:rPr>
                <w:rFonts w:eastAsia="仿宋_GB2312"/>
                <w:szCs w:val="21"/>
                <w:highlight w:val="none"/>
              </w:rPr>
            </w:pPr>
            <w:r>
              <w:rPr>
                <w:rFonts w:eastAsia="仿宋_GB2312"/>
                <w:szCs w:val="21"/>
                <w:highlight w:val="none"/>
              </w:rPr>
              <w:t>茄子</w:t>
            </w:r>
            <w:r>
              <w:rPr>
                <w:rFonts w:hint="eastAsia" w:eastAsia="仿宋_GB2312"/>
                <w:color w:val="000000"/>
                <w:kern w:val="0"/>
                <w:szCs w:val="21"/>
                <w:highlight w:val="none"/>
              </w:rPr>
              <w:t>*</w:t>
            </w:r>
          </w:p>
        </w:tc>
        <w:tc>
          <w:tcPr>
            <w:tcW w:w="188" w:type="pct"/>
            <w:noWrap w:val="0"/>
            <w:vAlign w:val="center"/>
          </w:tcPr>
          <w:p w14:paraId="1DD1B50A">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5F77FE8F">
            <w:pPr>
              <w:spacing w:line="300" w:lineRule="exact"/>
              <w:jc w:val="left"/>
              <w:rPr>
                <w:rFonts w:eastAsia="仿宋_GB2312"/>
                <w:szCs w:val="21"/>
                <w:highlight w:val="none"/>
              </w:rPr>
            </w:pPr>
            <w:r>
              <w:rPr>
                <w:rFonts w:eastAsia="仿宋_GB2312"/>
                <w:szCs w:val="21"/>
                <w:highlight w:val="none"/>
              </w:rPr>
              <w:t>镉（以 Cd 计）、噻虫胺、噻虫嗪、氧乐果、毒死蜱</w:t>
            </w:r>
          </w:p>
        </w:tc>
        <w:tc>
          <w:tcPr>
            <w:tcW w:w="751" w:type="pct"/>
            <w:noWrap w:val="0"/>
            <w:vAlign w:val="center"/>
          </w:tcPr>
          <w:p w14:paraId="72995915">
            <w:pPr>
              <w:spacing w:line="300" w:lineRule="exact"/>
              <w:jc w:val="left"/>
              <w:rPr>
                <w:rFonts w:eastAsia="仿宋_GB2312"/>
                <w:szCs w:val="21"/>
                <w:highlight w:val="none"/>
              </w:rPr>
            </w:pPr>
            <w:r>
              <w:rPr>
                <w:rFonts w:eastAsia="仿宋_GB2312"/>
                <w:szCs w:val="21"/>
                <w:highlight w:val="none"/>
              </w:rPr>
              <w:t>克百威、水胺硫磷</w:t>
            </w:r>
          </w:p>
        </w:tc>
        <w:tc>
          <w:tcPr>
            <w:tcW w:w="734" w:type="pct"/>
            <w:noWrap w:val="0"/>
            <w:vAlign w:val="center"/>
          </w:tcPr>
          <w:p w14:paraId="001BDD26">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24F374C">
            <w:pPr>
              <w:spacing w:line="300" w:lineRule="exact"/>
              <w:jc w:val="left"/>
              <w:rPr>
                <w:rFonts w:eastAsia="仿宋_GB2312"/>
                <w:szCs w:val="21"/>
                <w:highlight w:val="none"/>
              </w:rPr>
            </w:pPr>
          </w:p>
        </w:tc>
      </w:tr>
      <w:tr w14:paraId="2B8A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9CB487B">
            <w:pPr>
              <w:spacing w:line="300" w:lineRule="exact"/>
              <w:jc w:val="center"/>
              <w:rPr>
                <w:rFonts w:eastAsia="仿宋_GB2312"/>
                <w:szCs w:val="21"/>
                <w:highlight w:val="none"/>
              </w:rPr>
            </w:pPr>
          </w:p>
        </w:tc>
        <w:tc>
          <w:tcPr>
            <w:tcW w:w="244" w:type="pct"/>
            <w:vMerge w:val="continue"/>
            <w:noWrap w:val="0"/>
            <w:vAlign w:val="center"/>
          </w:tcPr>
          <w:p w14:paraId="552C837A">
            <w:pPr>
              <w:spacing w:line="300" w:lineRule="exact"/>
              <w:jc w:val="center"/>
              <w:rPr>
                <w:rFonts w:eastAsia="仿宋_GB2312"/>
                <w:szCs w:val="21"/>
                <w:highlight w:val="none"/>
              </w:rPr>
            </w:pPr>
          </w:p>
        </w:tc>
        <w:tc>
          <w:tcPr>
            <w:tcW w:w="244" w:type="pct"/>
            <w:vMerge w:val="continue"/>
            <w:noWrap w:val="0"/>
            <w:vAlign w:val="center"/>
          </w:tcPr>
          <w:p w14:paraId="7A037E58">
            <w:pPr>
              <w:spacing w:line="300" w:lineRule="exact"/>
              <w:jc w:val="center"/>
              <w:rPr>
                <w:rFonts w:eastAsia="仿宋_GB2312"/>
                <w:szCs w:val="21"/>
                <w:highlight w:val="none"/>
              </w:rPr>
            </w:pPr>
          </w:p>
        </w:tc>
        <w:tc>
          <w:tcPr>
            <w:tcW w:w="301" w:type="pct"/>
            <w:vMerge w:val="continue"/>
            <w:noWrap w:val="0"/>
            <w:vAlign w:val="center"/>
          </w:tcPr>
          <w:p w14:paraId="154C5885">
            <w:pPr>
              <w:spacing w:line="300" w:lineRule="exact"/>
              <w:jc w:val="center"/>
              <w:rPr>
                <w:rFonts w:eastAsia="仿宋_GB2312"/>
                <w:szCs w:val="21"/>
                <w:highlight w:val="none"/>
              </w:rPr>
            </w:pPr>
          </w:p>
        </w:tc>
        <w:tc>
          <w:tcPr>
            <w:tcW w:w="419" w:type="pct"/>
            <w:noWrap w:val="0"/>
            <w:vAlign w:val="center"/>
          </w:tcPr>
          <w:p w14:paraId="1F449A34">
            <w:pPr>
              <w:spacing w:line="300" w:lineRule="exact"/>
              <w:jc w:val="center"/>
              <w:rPr>
                <w:rFonts w:eastAsia="仿宋_GB2312"/>
                <w:szCs w:val="21"/>
                <w:highlight w:val="none"/>
              </w:rPr>
            </w:pPr>
            <w:r>
              <w:rPr>
                <w:rFonts w:eastAsia="仿宋_GB2312"/>
                <w:szCs w:val="21"/>
                <w:highlight w:val="none"/>
              </w:rPr>
              <w:t>番茄</w:t>
            </w:r>
          </w:p>
        </w:tc>
        <w:tc>
          <w:tcPr>
            <w:tcW w:w="188" w:type="pct"/>
            <w:noWrap w:val="0"/>
            <w:vAlign w:val="center"/>
          </w:tcPr>
          <w:p w14:paraId="0ED04231">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41598522">
            <w:pPr>
              <w:spacing w:line="300" w:lineRule="exact"/>
              <w:jc w:val="left"/>
              <w:rPr>
                <w:rFonts w:eastAsia="仿宋_GB2312"/>
                <w:szCs w:val="21"/>
                <w:highlight w:val="none"/>
              </w:rPr>
            </w:pPr>
            <w:r>
              <w:rPr>
                <w:rFonts w:eastAsia="仿宋_GB2312"/>
                <w:szCs w:val="21"/>
                <w:highlight w:val="none"/>
              </w:rPr>
              <w:t>镉（以Cd计）、毒死蜱、乙酰甲胺磷、克百威、氯氟氰菊酯和高效氯氟氰菊酯、氧乐果</w:t>
            </w:r>
          </w:p>
        </w:tc>
        <w:tc>
          <w:tcPr>
            <w:tcW w:w="751" w:type="pct"/>
            <w:noWrap w:val="0"/>
            <w:vAlign w:val="center"/>
          </w:tcPr>
          <w:p w14:paraId="48B275FB">
            <w:pPr>
              <w:spacing w:line="300" w:lineRule="exact"/>
              <w:jc w:val="left"/>
              <w:rPr>
                <w:rFonts w:eastAsia="仿宋_GB2312"/>
                <w:szCs w:val="21"/>
                <w:highlight w:val="none"/>
              </w:rPr>
            </w:pPr>
            <w:r>
              <w:rPr>
                <w:rFonts w:eastAsia="仿宋_GB2312"/>
                <w:szCs w:val="21"/>
                <w:highlight w:val="none"/>
              </w:rPr>
              <w:t>噻虫胺、啶虫脒</w:t>
            </w:r>
          </w:p>
        </w:tc>
        <w:tc>
          <w:tcPr>
            <w:tcW w:w="734" w:type="pct"/>
            <w:noWrap w:val="0"/>
            <w:vAlign w:val="center"/>
          </w:tcPr>
          <w:p w14:paraId="573FC71A">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FE5E340">
            <w:pPr>
              <w:spacing w:line="300" w:lineRule="exact"/>
              <w:jc w:val="left"/>
              <w:rPr>
                <w:rFonts w:eastAsia="仿宋_GB2312"/>
                <w:szCs w:val="21"/>
                <w:highlight w:val="none"/>
              </w:rPr>
            </w:pPr>
          </w:p>
        </w:tc>
      </w:tr>
      <w:tr w14:paraId="2C9D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24C2847">
            <w:pPr>
              <w:spacing w:line="300" w:lineRule="exact"/>
              <w:jc w:val="center"/>
              <w:rPr>
                <w:rFonts w:eastAsia="仿宋_GB2312"/>
                <w:szCs w:val="21"/>
                <w:highlight w:val="none"/>
              </w:rPr>
            </w:pPr>
          </w:p>
        </w:tc>
        <w:tc>
          <w:tcPr>
            <w:tcW w:w="244" w:type="pct"/>
            <w:vMerge w:val="continue"/>
            <w:noWrap w:val="0"/>
            <w:vAlign w:val="center"/>
          </w:tcPr>
          <w:p w14:paraId="58EBE611">
            <w:pPr>
              <w:spacing w:line="300" w:lineRule="exact"/>
              <w:jc w:val="center"/>
              <w:rPr>
                <w:rFonts w:eastAsia="仿宋_GB2312"/>
                <w:szCs w:val="21"/>
                <w:highlight w:val="none"/>
              </w:rPr>
            </w:pPr>
          </w:p>
        </w:tc>
        <w:tc>
          <w:tcPr>
            <w:tcW w:w="244" w:type="pct"/>
            <w:vMerge w:val="continue"/>
            <w:noWrap w:val="0"/>
            <w:vAlign w:val="center"/>
          </w:tcPr>
          <w:p w14:paraId="2C2478EB">
            <w:pPr>
              <w:spacing w:line="300" w:lineRule="exact"/>
              <w:jc w:val="center"/>
              <w:rPr>
                <w:rFonts w:eastAsia="仿宋_GB2312"/>
                <w:szCs w:val="21"/>
                <w:highlight w:val="none"/>
              </w:rPr>
            </w:pPr>
          </w:p>
        </w:tc>
        <w:tc>
          <w:tcPr>
            <w:tcW w:w="301" w:type="pct"/>
            <w:vMerge w:val="continue"/>
            <w:noWrap w:val="0"/>
            <w:vAlign w:val="center"/>
          </w:tcPr>
          <w:p w14:paraId="096A8780">
            <w:pPr>
              <w:spacing w:line="300" w:lineRule="exact"/>
              <w:jc w:val="center"/>
              <w:rPr>
                <w:rFonts w:eastAsia="仿宋_GB2312"/>
                <w:szCs w:val="21"/>
                <w:highlight w:val="none"/>
              </w:rPr>
            </w:pPr>
          </w:p>
        </w:tc>
        <w:tc>
          <w:tcPr>
            <w:tcW w:w="419" w:type="pct"/>
            <w:noWrap w:val="0"/>
            <w:vAlign w:val="center"/>
          </w:tcPr>
          <w:p w14:paraId="166AF4B7">
            <w:pPr>
              <w:spacing w:line="300" w:lineRule="exact"/>
              <w:jc w:val="center"/>
              <w:rPr>
                <w:rFonts w:eastAsia="仿宋_GB2312"/>
                <w:szCs w:val="21"/>
                <w:highlight w:val="none"/>
              </w:rPr>
            </w:pPr>
            <w:r>
              <w:rPr>
                <w:rFonts w:eastAsia="仿宋_GB2312"/>
                <w:szCs w:val="21"/>
                <w:highlight w:val="none"/>
              </w:rPr>
              <w:t>樱桃番茄</w:t>
            </w:r>
          </w:p>
        </w:tc>
        <w:tc>
          <w:tcPr>
            <w:tcW w:w="188" w:type="pct"/>
            <w:noWrap w:val="0"/>
            <w:vAlign w:val="center"/>
          </w:tcPr>
          <w:p w14:paraId="2641BD71">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6B262532">
            <w:pPr>
              <w:spacing w:line="300" w:lineRule="exact"/>
              <w:jc w:val="left"/>
              <w:rPr>
                <w:rFonts w:eastAsia="仿宋_GB2312"/>
                <w:szCs w:val="21"/>
                <w:highlight w:val="none"/>
              </w:rPr>
            </w:pPr>
            <w:r>
              <w:rPr>
                <w:rFonts w:eastAsia="仿宋_GB2312"/>
                <w:szCs w:val="21"/>
                <w:highlight w:val="none"/>
              </w:rPr>
              <w:t>镉（以Cd计）、毒死蜱、乙酰甲胺磷、克百威、氯氟氰菊酯和高效氯氟氰菊酯、氧乐果</w:t>
            </w:r>
          </w:p>
        </w:tc>
        <w:tc>
          <w:tcPr>
            <w:tcW w:w="751" w:type="pct"/>
            <w:noWrap w:val="0"/>
            <w:vAlign w:val="center"/>
          </w:tcPr>
          <w:p w14:paraId="486FA1FB">
            <w:pPr>
              <w:spacing w:line="300" w:lineRule="exact"/>
              <w:jc w:val="left"/>
              <w:rPr>
                <w:rFonts w:eastAsia="仿宋_GB2312"/>
                <w:szCs w:val="21"/>
                <w:highlight w:val="none"/>
              </w:rPr>
            </w:pPr>
            <w:r>
              <w:rPr>
                <w:rFonts w:eastAsia="仿宋_GB2312"/>
                <w:szCs w:val="21"/>
                <w:highlight w:val="none"/>
              </w:rPr>
              <w:t>噻虫胺、啶虫脒</w:t>
            </w:r>
          </w:p>
        </w:tc>
        <w:tc>
          <w:tcPr>
            <w:tcW w:w="734" w:type="pct"/>
            <w:noWrap w:val="0"/>
            <w:vAlign w:val="center"/>
          </w:tcPr>
          <w:p w14:paraId="0B87BE9C">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25655ED">
            <w:pPr>
              <w:spacing w:line="300" w:lineRule="exact"/>
              <w:jc w:val="left"/>
              <w:rPr>
                <w:rFonts w:eastAsia="仿宋_GB2312"/>
                <w:szCs w:val="21"/>
                <w:highlight w:val="none"/>
              </w:rPr>
            </w:pPr>
          </w:p>
        </w:tc>
      </w:tr>
      <w:tr w14:paraId="3364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0E331E9">
            <w:pPr>
              <w:spacing w:line="300" w:lineRule="exact"/>
              <w:jc w:val="center"/>
              <w:rPr>
                <w:rFonts w:eastAsia="仿宋_GB2312"/>
                <w:szCs w:val="21"/>
                <w:highlight w:val="none"/>
              </w:rPr>
            </w:pPr>
          </w:p>
        </w:tc>
        <w:tc>
          <w:tcPr>
            <w:tcW w:w="244" w:type="pct"/>
            <w:vMerge w:val="continue"/>
            <w:noWrap w:val="0"/>
            <w:vAlign w:val="center"/>
          </w:tcPr>
          <w:p w14:paraId="5DD2BE66">
            <w:pPr>
              <w:spacing w:line="300" w:lineRule="exact"/>
              <w:jc w:val="center"/>
              <w:rPr>
                <w:rFonts w:eastAsia="仿宋_GB2312"/>
                <w:szCs w:val="21"/>
                <w:highlight w:val="none"/>
              </w:rPr>
            </w:pPr>
          </w:p>
        </w:tc>
        <w:tc>
          <w:tcPr>
            <w:tcW w:w="244" w:type="pct"/>
            <w:vMerge w:val="continue"/>
            <w:noWrap w:val="0"/>
            <w:vAlign w:val="center"/>
          </w:tcPr>
          <w:p w14:paraId="1A85CD07">
            <w:pPr>
              <w:spacing w:line="300" w:lineRule="exact"/>
              <w:jc w:val="center"/>
              <w:rPr>
                <w:rFonts w:eastAsia="仿宋_GB2312"/>
                <w:szCs w:val="21"/>
                <w:highlight w:val="none"/>
              </w:rPr>
            </w:pPr>
          </w:p>
        </w:tc>
        <w:tc>
          <w:tcPr>
            <w:tcW w:w="301" w:type="pct"/>
            <w:vMerge w:val="continue"/>
            <w:noWrap w:val="0"/>
            <w:vAlign w:val="center"/>
          </w:tcPr>
          <w:p w14:paraId="2D99DEDE">
            <w:pPr>
              <w:spacing w:line="300" w:lineRule="exact"/>
              <w:jc w:val="center"/>
              <w:rPr>
                <w:rFonts w:eastAsia="仿宋_GB2312"/>
                <w:szCs w:val="21"/>
                <w:highlight w:val="none"/>
              </w:rPr>
            </w:pPr>
          </w:p>
        </w:tc>
        <w:tc>
          <w:tcPr>
            <w:tcW w:w="419" w:type="pct"/>
            <w:noWrap w:val="0"/>
            <w:vAlign w:val="center"/>
          </w:tcPr>
          <w:p w14:paraId="25A0F739">
            <w:pPr>
              <w:spacing w:line="300" w:lineRule="exact"/>
              <w:jc w:val="center"/>
              <w:rPr>
                <w:rFonts w:eastAsia="仿宋_GB2312"/>
                <w:szCs w:val="21"/>
                <w:highlight w:val="none"/>
              </w:rPr>
            </w:pPr>
            <w:r>
              <w:rPr>
                <w:rFonts w:eastAsia="仿宋_GB2312"/>
                <w:szCs w:val="21"/>
                <w:highlight w:val="none"/>
              </w:rPr>
              <w:t>甜椒</w:t>
            </w:r>
            <w:r>
              <w:rPr>
                <w:rFonts w:hint="eastAsia" w:eastAsia="仿宋_GB2312"/>
                <w:color w:val="000000"/>
                <w:kern w:val="0"/>
                <w:szCs w:val="21"/>
                <w:highlight w:val="none"/>
              </w:rPr>
              <w:t>*</w:t>
            </w:r>
          </w:p>
        </w:tc>
        <w:tc>
          <w:tcPr>
            <w:tcW w:w="188" w:type="pct"/>
            <w:noWrap w:val="0"/>
            <w:vAlign w:val="center"/>
          </w:tcPr>
          <w:p w14:paraId="3B828956">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663EB192">
            <w:pPr>
              <w:spacing w:line="300" w:lineRule="exact"/>
              <w:jc w:val="left"/>
              <w:rPr>
                <w:rFonts w:eastAsia="仿宋_GB2312"/>
                <w:szCs w:val="21"/>
                <w:highlight w:val="none"/>
              </w:rPr>
            </w:pPr>
            <w:r>
              <w:rPr>
                <w:rFonts w:eastAsia="仿宋_GB2312"/>
                <w:szCs w:val="21"/>
                <w:highlight w:val="none"/>
              </w:rPr>
              <w:t>噻虫胺、吡虫啉、毒死蜱、噻虫嗪</w:t>
            </w:r>
          </w:p>
        </w:tc>
        <w:tc>
          <w:tcPr>
            <w:tcW w:w="751" w:type="pct"/>
            <w:noWrap w:val="0"/>
            <w:vAlign w:val="center"/>
          </w:tcPr>
          <w:p w14:paraId="4C960C1A">
            <w:pPr>
              <w:spacing w:line="300" w:lineRule="exact"/>
              <w:jc w:val="left"/>
              <w:rPr>
                <w:rFonts w:eastAsia="仿宋_GB2312"/>
                <w:szCs w:val="21"/>
                <w:highlight w:val="none"/>
              </w:rPr>
            </w:pPr>
            <w:r>
              <w:rPr>
                <w:rFonts w:eastAsia="仿宋_GB2312"/>
                <w:szCs w:val="21"/>
                <w:highlight w:val="none"/>
              </w:rPr>
              <w:t>阿维菌素、氟啶虫酰胺、氧乐果</w:t>
            </w:r>
          </w:p>
        </w:tc>
        <w:tc>
          <w:tcPr>
            <w:tcW w:w="734" w:type="pct"/>
            <w:noWrap w:val="0"/>
            <w:vAlign w:val="center"/>
          </w:tcPr>
          <w:p w14:paraId="253C720C">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D440081">
            <w:pPr>
              <w:spacing w:line="300" w:lineRule="exact"/>
              <w:jc w:val="left"/>
              <w:rPr>
                <w:rFonts w:eastAsia="仿宋_GB2312"/>
                <w:szCs w:val="21"/>
                <w:highlight w:val="none"/>
              </w:rPr>
            </w:pPr>
          </w:p>
        </w:tc>
      </w:tr>
      <w:tr w14:paraId="39C3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03C1D207">
            <w:pPr>
              <w:spacing w:line="300" w:lineRule="exact"/>
              <w:jc w:val="center"/>
              <w:rPr>
                <w:rFonts w:eastAsia="仿宋_GB2312"/>
                <w:szCs w:val="21"/>
                <w:highlight w:val="none"/>
              </w:rPr>
            </w:pPr>
          </w:p>
        </w:tc>
        <w:tc>
          <w:tcPr>
            <w:tcW w:w="244" w:type="pct"/>
            <w:vMerge w:val="continue"/>
            <w:noWrap w:val="0"/>
            <w:vAlign w:val="center"/>
          </w:tcPr>
          <w:p w14:paraId="5B5E6476">
            <w:pPr>
              <w:spacing w:line="300" w:lineRule="exact"/>
              <w:jc w:val="center"/>
              <w:rPr>
                <w:rFonts w:eastAsia="仿宋_GB2312"/>
                <w:szCs w:val="21"/>
                <w:highlight w:val="none"/>
              </w:rPr>
            </w:pPr>
          </w:p>
        </w:tc>
        <w:tc>
          <w:tcPr>
            <w:tcW w:w="244" w:type="pct"/>
            <w:vMerge w:val="continue"/>
            <w:noWrap w:val="0"/>
            <w:vAlign w:val="center"/>
          </w:tcPr>
          <w:p w14:paraId="486C9F16">
            <w:pPr>
              <w:spacing w:line="300" w:lineRule="exact"/>
              <w:jc w:val="center"/>
              <w:rPr>
                <w:rFonts w:eastAsia="仿宋_GB2312"/>
                <w:szCs w:val="21"/>
                <w:highlight w:val="none"/>
              </w:rPr>
            </w:pPr>
          </w:p>
        </w:tc>
        <w:tc>
          <w:tcPr>
            <w:tcW w:w="301" w:type="pct"/>
            <w:vMerge w:val="restart"/>
            <w:noWrap w:val="0"/>
            <w:vAlign w:val="center"/>
          </w:tcPr>
          <w:p w14:paraId="6334ABA9">
            <w:pPr>
              <w:spacing w:line="300" w:lineRule="exact"/>
              <w:jc w:val="center"/>
              <w:rPr>
                <w:rFonts w:eastAsia="仿宋_GB2312"/>
                <w:szCs w:val="21"/>
                <w:highlight w:val="none"/>
              </w:rPr>
            </w:pPr>
            <w:r>
              <w:rPr>
                <w:rFonts w:eastAsia="仿宋_GB2312"/>
                <w:szCs w:val="21"/>
                <w:highlight w:val="none"/>
              </w:rPr>
              <w:t>瓜类蔬菜</w:t>
            </w:r>
          </w:p>
        </w:tc>
        <w:tc>
          <w:tcPr>
            <w:tcW w:w="419" w:type="pct"/>
            <w:noWrap w:val="0"/>
            <w:vAlign w:val="center"/>
          </w:tcPr>
          <w:p w14:paraId="4E222FC2">
            <w:pPr>
              <w:spacing w:line="300" w:lineRule="exact"/>
              <w:jc w:val="center"/>
              <w:rPr>
                <w:rFonts w:eastAsia="仿宋_GB2312"/>
                <w:szCs w:val="21"/>
                <w:highlight w:val="none"/>
              </w:rPr>
            </w:pPr>
            <w:r>
              <w:rPr>
                <w:rFonts w:eastAsia="仿宋_GB2312"/>
                <w:szCs w:val="21"/>
                <w:highlight w:val="none"/>
              </w:rPr>
              <w:t>黄瓜</w:t>
            </w:r>
            <w:r>
              <w:rPr>
                <w:rFonts w:hint="eastAsia" w:eastAsia="仿宋_GB2312"/>
                <w:color w:val="000000"/>
                <w:kern w:val="0"/>
                <w:szCs w:val="21"/>
                <w:highlight w:val="none"/>
              </w:rPr>
              <w:t>*</w:t>
            </w:r>
          </w:p>
        </w:tc>
        <w:tc>
          <w:tcPr>
            <w:tcW w:w="188" w:type="pct"/>
            <w:noWrap w:val="0"/>
            <w:vAlign w:val="center"/>
          </w:tcPr>
          <w:p w14:paraId="22F89BA8">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679127D3">
            <w:pPr>
              <w:spacing w:line="300" w:lineRule="exact"/>
              <w:jc w:val="left"/>
              <w:rPr>
                <w:rFonts w:eastAsia="仿宋_GB2312"/>
                <w:szCs w:val="21"/>
                <w:highlight w:val="none"/>
              </w:rPr>
            </w:pPr>
            <w:r>
              <w:rPr>
                <w:rFonts w:eastAsia="仿宋_GB2312"/>
                <w:szCs w:val="21"/>
                <w:highlight w:val="none"/>
              </w:rPr>
              <w:t>噻虫嗪、乙螨唑、阿维菌素、毒死蜱、哒螨灵</w:t>
            </w:r>
          </w:p>
        </w:tc>
        <w:tc>
          <w:tcPr>
            <w:tcW w:w="751" w:type="pct"/>
            <w:noWrap w:val="0"/>
            <w:vAlign w:val="center"/>
          </w:tcPr>
          <w:p w14:paraId="09607F9C">
            <w:pPr>
              <w:spacing w:line="300" w:lineRule="exact"/>
              <w:jc w:val="left"/>
              <w:rPr>
                <w:rFonts w:eastAsia="仿宋_GB2312"/>
                <w:szCs w:val="21"/>
                <w:highlight w:val="none"/>
              </w:rPr>
            </w:pPr>
            <w:r>
              <w:rPr>
                <w:rFonts w:eastAsia="仿宋_GB2312"/>
                <w:szCs w:val="21"/>
                <w:highlight w:val="none"/>
              </w:rPr>
              <w:t>甲氨基阿维菌素苯甲酸盐、氧乐果</w:t>
            </w:r>
          </w:p>
        </w:tc>
        <w:tc>
          <w:tcPr>
            <w:tcW w:w="734" w:type="pct"/>
            <w:noWrap w:val="0"/>
            <w:vAlign w:val="center"/>
          </w:tcPr>
          <w:p w14:paraId="24D41808">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F82604E">
            <w:pPr>
              <w:spacing w:line="300" w:lineRule="exact"/>
              <w:jc w:val="left"/>
              <w:rPr>
                <w:rFonts w:eastAsia="仿宋_GB2312"/>
                <w:szCs w:val="21"/>
                <w:highlight w:val="none"/>
              </w:rPr>
            </w:pPr>
          </w:p>
        </w:tc>
      </w:tr>
      <w:tr w14:paraId="323F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AE9EAF1">
            <w:pPr>
              <w:spacing w:line="300" w:lineRule="exact"/>
              <w:jc w:val="center"/>
              <w:rPr>
                <w:rFonts w:eastAsia="仿宋_GB2312"/>
                <w:szCs w:val="21"/>
                <w:highlight w:val="none"/>
              </w:rPr>
            </w:pPr>
          </w:p>
        </w:tc>
        <w:tc>
          <w:tcPr>
            <w:tcW w:w="244" w:type="pct"/>
            <w:vMerge w:val="continue"/>
            <w:noWrap w:val="0"/>
            <w:vAlign w:val="center"/>
          </w:tcPr>
          <w:p w14:paraId="7F6B45B8">
            <w:pPr>
              <w:spacing w:line="300" w:lineRule="exact"/>
              <w:jc w:val="center"/>
              <w:rPr>
                <w:rFonts w:eastAsia="仿宋_GB2312"/>
                <w:szCs w:val="21"/>
                <w:highlight w:val="none"/>
              </w:rPr>
            </w:pPr>
          </w:p>
        </w:tc>
        <w:tc>
          <w:tcPr>
            <w:tcW w:w="244" w:type="pct"/>
            <w:vMerge w:val="continue"/>
            <w:noWrap w:val="0"/>
            <w:vAlign w:val="center"/>
          </w:tcPr>
          <w:p w14:paraId="269BEF88">
            <w:pPr>
              <w:spacing w:line="300" w:lineRule="exact"/>
              <w:jc w:val="center"/>
              <w:rPr>
                <w:rFonts w:eastAsia="仿宋_GB2312"/>
                <w:szCs w:val="21"/>
                <w:highlight w:val="none"/>
              </w:rPr>
            </w:pPr>
          </w:p>
        </w:tc>
        <w:tc>
          <w:tcPr>
            <w:tcW w:w="301" w:type="pct"/>
            <w:vMerge w:val="continue"/>
            <w:noWrap w:val="0"/>
            <w:vAlign w:val="center"/>
          </w:tcPr>
          <w:p w14:paraId="4839B999">
            <w:pPr>
              <w:spacing w:line="300" w:lineRule="exact"/>
              <w:jc w:val="center"/>
              <w:rPr>
                <w:rFonts w:eastAsia="仿宋_GB2312"/>
                <w:szCs w:val="21"/>
                <w:highlight w:val="none"/>
              </w:rPr>
            </w:pPr>
          </w:p>
        </w:tc>
        <w:tc>
          <w:tcPr>
            <w:tcW w:w="419" w:type="pct"/>
            <w:noWrap w:val="0"/>
            <w:vAlign w:val="center"/>
          </w:tcPr>
          <w:p w14:paraId="06E3BA73">
            <w:pPr>
              <w:spacing w:line="300" w:lineRule="exact"/>
              <w:jc w:val="center"/>
              <w:rPr>
                <w:rFonts w:eastAsia="仿宋_GB2312"/>
                <w:szCs w:val="21"/>
                <w:highlight w:val="none"/>
              </w:rPr>
            </w:pPr>
            <w:r>
              <w:rPr>
                <w:rFonts w:eastAsia="仿宋_GB2312"/>
                <w:szCs w:val="21"/>
                <w:highlight w:val="none"/>
              </w:rPr>
              <w:t>苦瓜</w:t>
            </w:r>
          </w:p>
        </w:tc>
        <w:tc>
          <w:tcPr>
            <w:tcW w:w="188" w:type="pct"/>
            <w:noWrap w:val="0"/>
            <w:vAlign w:val="center"/>
          </w:tcPr>
          <w:p w14:paraId="1FE6C066">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19E66383">
            <w:pPr>
              <w:spacing w:line="300" w:lineRule="exact"/>
              <w:jc w:val="left"/>
              <w:rPr>
                <w:rFonts w:eastAsia="仿宋_GB2312"/>
                <w:szCs w:val="21"/>
                <w:highlight w:val="none"/>
              </w:rPr>
            </w:pPr>
            <w:r>
              <w:rPr>
                <w:rFonts w:eastAsia="仿宋_GB2312"/>
                <w:szCs w:val="21"/>
                <w:highlight w:val="none"/>
              </w:rPr>
              <w:t>毒死蜱、氯氟氰菊酯和高效氯氟氰菊酯、氧乐果、甲胺磷、水胺硫磷</w:t>
            </w:r>
          </w:p>
        </w:tc>
        <w:tc>
          <w:tcPr>
            <w:tcW w:w="751" w:type="pct"/>
            <w:noWrap w:val="0"/>
            <w:vAlign w:val="center"/>
          </w:tcPr>
          <w:p w14:paraId="208B8280">
            <w:pPr>
              <w:spacing w:line="300" w:lineRule="exact"/>
              <w:jc w:val="left"/>
              <w:rPr>
                <w:rFonts w:eastAsia="仿宋_GB2312"/>
                <w:szCs w:val="21"/>
                <w:highlight w:val="none"/>
              </w:rPr>
            </w:pPr>
            <w:r>
              <w:rPr>
                <w:rFonts w:eastAsia="仿宋_GB2312"/>
                <w:szCs w:val="21"/>
                <w:highlight w:val="none"/>
              </w:rPr>
              <w:t>啶虫脒、噻虫嗪</w:t>
            </w:r>
          </w:p>
        </w:tc>
        <w:tc>
          <w:tcPr>
            <w:tcW w:w="734" w:type="pct"/>
            <w:noWrap w:val="0"/>
            <w:vAlign w:val="center"/>
          </w:tcPr>
          <w:p w14:paraId="024C6143">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9F50B7F">
            <w:pPr>
              <w:spacing w:line="300" w:lineRule="exact"/>
              <w:jc w:val="left"/>
              <w:rPr>
                <w:rFonts w:eastAsia="仿宋_GB2312"/>
                <w:szCs w:val="21"/>
                <w:highlight w:val="none"/>
              </w:rPr>
            </w:pPr>
          </w:p>
        </w:tc>
      </w:tr>
      <w:tr w14:paraId="3C00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5351B0D4">
            <w:pPr>
              <w:spacing w:line="300" w:lineRule="exact"/>
              <w:jc w:val="center"/>
              <w:rPr>
                <w:rFonts w:eastAsia="仿宋_GB2312"/>
                <w:szCs w:val="21"/>
                <w:highlight w:val="none"/>
              </w:rPr>
            </w:pPr>
          </w:p>
        </w:tc>
        <w:tc>
          <w:tcPr>
            <w:tcW w:w="244" w:type="pct"/>
            <w:vMerge w:val="continue"/>
            <w:noWrap w:val="0"/>
            <w:vAlign w:val="center"/>
          </w:tcPr>
          <w:p w14:paraId="7471A6DC">
            <w:pPr>
              <w:spacing w:line="300" w:lineRule="exact"/>
              <w:jc w:val="center"/>
              <w:rPr>
                <w:rFonts w:eastAsia="仿宋_GB2312"/>
                <w:szCs w:val="21"/>
                <w:highlight w:val="none"/>
              </w:rPr>
            </w:pPr>
          </w:p>
        </w:tc>
        <w:tc>
          <w:tcPr>
            <w:tcW w:w="244" w:type="pct"/>
            <w:vMerge w:val="continue"/>
            <w:noWrap w:val="0"/>
            <w:vAlign w:val="center"/>
          </w:tcPr>
          <w:p w14:paraId="0E3B295C">
            <w:pPr>
              <w:spacing w:line="300" w:lineRule="exact"/>
              <w:jc w:val="center"/>
              <w:rPr>
                <w:rFonts w:eastAsia="仿宋_GB2312"/>
                <w:szCs w:val="21"/>
                <w:highlight w:val="none"/>
              </w:rPr>
            </w:pPr>
          </w:p>
        </w:tc>
        <w:tc>
          <w:tcPr>
            <w:tcW w:w="301" w:type="pct"/>
            <w:vMerge w:val="continue"/>
            <w:noWrap w:val="0"/>
            <w:vAlign w:val="center"/>
          </w:tcPr>
          <w:p w14:paraId="044AC796">
            <w:pPr>
              <w:spacing w:line="300" w:lineRule="exact"/>
              <w:jc w:val="center"/>
              <w:rPr>
                <w:rFonts w:eastAsia="仿宋_GB2312"/>
                <w:szCs w:val="21"/>
                <w:highlight w:val="none"/>
              </w:rPr>
            </w:pPr>
          </w:p>
        </w:tc>
        <w:tc>
          <w:tcPr>
            <w:tcW w:w="419" w:type="pct"/>
            <w:noWrap w:val="0"/>
            <w:vAlign w:val="center"/>
          </w:tcPr>
          <w:p w14:paraId="1F2ECD31">
            <w:pPr>
              <w:spacing w:line="300" w:lineRule="exact"/>
              <w:jc w:val="center"/>
              <w:rPr>
                <w:rFonts w:eastAsia="仿宋_GB2312"/>
                <w:szCs w:val="21"/>
                <w:highlight w:val="none"/>
              </w:rPr>
            </w:pPr>
            <w:r>
              <w:rPr>
                <w:rFonts w:eastAsia="仿宋_GB2312"/>
                <w:szCs w:val="21"/>
                <w:highlight w:val="none"/>
              </w:rPr>
              <w:t>节瓜</w:t>
            </w:r>
          </w:p>
        </w:tc>
        <w:tc>
          <w:tcPr>
            <w:tcW w:w="188" w:type="pct"/>
            <w:noWrap w:val="0"/>
            <w:vAlign w:val="center"/>
          </w:tcPr>
          <w:p w14:paraId="376CFAC4">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23073E13">
            <w:pPr>
              <w:spacing w:line="300" w:lineRule="exact"/>
              <w:jc w:val="left"/>
              <w:rPr>
                <w:rFonts w:eastAsia="仿宋_GB2312"/>
                <w:szCs w:val="21"/>
                <w:highlight w:val="none"/>
              </w:rPr>
            </w:pPr>
            <w:r>
              <w:rPr>
                <w:rFonts w:eastAsia="仿宋_GB2312"/>
                <w:szCs w:val="21"/>
                <w:highlight w:val="none"/>
              </w:rPr>
              <w:t>氯氟氰菊酯和高效氯氟氰菊酯、毒死蜱、啶虫脒、噻虫嗪、克百威</w:t>
            </w:r>
          </w:p>
        </w:tc>
        <w:tc>
          <w:tcPr>
            <w:tcW w:w="751" w:type="pct"/>
            <w:noWrap w:val="0"/>
            <w:vAlign w:val="center"/>
          </w:tcPr>
          <w:p w14:paraId="1536F560">
            <w:pPr>
              <w:spacing w:line="300" w:lineRule="exact"/>
              <w:jc w:val="left"/>
              <w:rPr>
                <w:rFonts w:eastAsia="仿宋_GB2312"/>
                <w:szCs w:val="21"/>
                <w:highlight w:val="none"/>
              </w:rPr>
            </w:pPr>
            <w:r>
              <w:rPr>
                <w:rFonts w:eastAsia="仿宋_GB2312"/>
                <w:szCs w:val="21"/>
                <w:highlight w:val="none"/>
              </w:rPr>
              <w:t>甲氨基阿维菌素苯甲酸盐、霜霉威和霜霉威盐酸盐</w:t>
            </w:r>
          </w:p>
        </w:tc>
        <w:tc>
          <w:tcPr>
            <w:tcW w:w="734" w:type="pct"/>
            <w:noWrap w:val="0"/>
            <w:vAlign w:val="center"/>
          </w:tcPr>
          <w:p w14:paraId="1F017387">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5D73D1E">
            <w:pPr>
              <w:spacing w:line="300" w:lineRule="exact"/>
              <w:jc w:val="left"/>
              <w:rPr>
                <w:rFonts w:eastAsia="仿宋_GB2312"/>
                <w:szCs w:val="21"/>
                <w:highlight w:val="none"/>
              </w:rPr>
            </w:pPr>
          </w:p>
        </w:tc>
      </w:tr>
      <w:tr w14:paraId="648B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 w:type="pct"/>
            <w:vMerge w:val="continue"/>
            <w:noWrap w:val="0"/>
            <w:vAlign w:val="center"/>
          </w:tcPr>
          <w:p w14:paraId="37F9E499">
            <w:pPr>
              <w:spacing w:line="300" w:lineRule="exact"/>
              <w:jc w:val="center"/>
              <w:rPr>
                <w:rFonts w:eastAsia="仿宋_GB2312"/>
                <w:szCs w:val="21"/>
                <w:highlight w:val="none"/>
              </w:rPr>
            </w:pPr>
          </w:p>
        </w:tc>
        <w:tc>
          <w:tcPr>
            <w:tcW w:w="244" w:type="pct"/>
            <w:vMerge w:val="continue"/>
            <w:noWrap w:val="0"/>
            <w:vAlign w:val="center"/>
          </w:tcPr>
          <w:p w14:paraId="13F13616">
            <w:pPr>
              <w:spacing w:line="300" w:lineRule="exact"/>
              <w:jc w:val="center"/>
              <w:rPr>
                <w:rFonts w:eastAsia="仿宋_GB2312"/>
                <w:szCs w:val="21"/>
                <w:highlight w:val="none"/>
              </w:rPr>
            </w:pPr>
          </w:p>
        </w:tc>
        <w:tc>
          <w:tcPr>
            <w:tcW w:w="244" w:type="pct"/>
            <w:vMerge w:val="continue"/>
            <w:noWrap w:val="0"/>
            <w:vAlign w:val="center"/>
          </w:tcPr>
          <w:p w14:paraId="20FF286B">
            <w:pPr>
              <w:spacing w:line="300" w:lineRule="exact"/>
              <w:jc w:val="center"/>
              <w:rPr>
                <w:rFonts w:eastAsia="仿宋_GB2312"/>
                <w:szCs w:val="21"/>
                <w:highlight w:val="none"/>
              </w:rPr>
            </w:pPr>
          </w:p>
        </w:tc>
        <w:tc>
          <w:tcPr>
            <w:tcW w:w="301" w:type="pct"/>
            <w:vMerge w:val="restart"/>
            <w:noWrap w:val="0"/>
            <w:vAlign w:val="center"/>
          </w:tcPr>
          <w:p w14:paraId="644A8887">
            <w:pPr>
              <w:spacing w:line="300" w:lineRule="exact"/>
              <w:jc w:val="center"/>
              <w:rPr>
                <w:rFonts w:eastAsia="仿宋_GB2312"/>
                <w:szCs w:val="21"/>
                <w:highlight w:val="none"/>
              </w:rPr>
            </w:pPr>
            <w:r>
              <w:rPr>
                <w:rFonts w:eastAsia="仿宋_GB2312"/>
                <w:szCs w:val="21"/>
                <w:highlight w:val="none"/>
              </w:rPr>
              <w:t>豆类蔬菜</w:t>
            </w:r>
          </w:p>
        </w:tc>
        <w:tc>
          <w:tcPr>
            <w:tcW w:w="419" w:type="pct"/>
            <w:noWrap w:val="0"/>
            <w:vAlign w:val="center"/>
          </w:tcPr>
          <w:p w14:paraId="7371C329">
            <w:pPr>
              <w:spacing w:line="300" w:lineRule="exact"/>
              <w:jc w:val="center"/>
              <w:rPr>
                <w:rFonts w:eastAsia="仿宋_GB2312"/>
                <w:szCs w:val="21"/>
                <w:highlight w:val="none"/>
              </w:rPr>
            </w:pPr>
            <w:r>
              <w:rPr>
                <w:rFonts w:eastAsia="仿宋_GB2312"/>
                <w:szCs w:val="21"/>
                <w:highlight w:val="none"/>
              </w:rPr>
              <w:t>菜豆</w:t>
            </w:r>
            <w:r>
              <w:rPr>
                <w:rFonts w:hint="eastAsia" w:eastAsia="仿宋_GB2312"/>
                <w:color w:val="000000"/>
                <w:kern w:val="0"/>
                <w:szCs w:val="21"/>
                <w:highlight w:val="none"/>
              </w:rPr>
              <w:t>*</w:t>
            </w:r>
          </w:p>
        </w:tc>
        <w:tc>
          <w:tcPr>
            <w:tcW w:w="188" w:type="pct"/>
            <w:noWrap w:val="0"/>
            <w:vAlign w:val="center"/>
          </w:tcPr>
          <w:p w14:paraId="368901C9">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602B0A19">
            <w:pPr>
              <w:spacing w:line="300" w:lineRule="exact"/>
              <w:jc w:val="left"/>
              <w:rPr>
                <w:rFonts w:eastAsia="仿宋_GB2312"/>
                <w:szCs w:val="21"/>
                <w:highlight w:val="none"/>
              </w:rPr>
            </w:pPr>
            <w:r>
              <w:rPr>
                <w:rFonts w:eastAsia="仿宋_GB2312"/>
                <w:szCs w:val="21"/>
                <w:highlight w:val="none"/>
              </w:rPr>
              <w:t>噻虫胺、乙酰甲胺磷、甲胺磷、氧乐果、甲氨基阿维菌素苯甲酸盐</w:t>
            </w:r>
          </w:p>
        </w:tc>
        <w:tc>
          <w:tcPr>
            <w:tcW w:w="751" w:type="pct"/>
            <w:noWrap w:val="0"/>
            <w:vAlign w:val="center"/>
          </w:tcPr>
          <w:p w14:paraId="175F348B">
            <w:pPr>
              <w:spacing w:line="300" w:lineRule="exact"/>
              <w:jc w:val="left"/>
              <w:rPr>
                <w:rFonts w:eastAsia="仿宋_GB2312"/>
                <w:szCs w:val="21"/>
                <w:highlight w:val="none"/>
              </w:rPr>
            </w:pPr>
            <w:r>
              <w:rPr>
                <w:rFonts w:eastAsia="仿宋_GB2312"/>
                <w:szCs w:val="21"/>
                <w:highlight w:val="none"/>
              </w:rPr>
              <w:t>毒死蜱、多菌灵、水胺硫磷</w:t>
            </w:r>
          </w:p>
        </w:tc>
        <w:tc>
          <w:tcPr>
            <w:tcW w:w="734" w:type="pct"/>
            <w:noWrap w:val="0"/>
            <w:vAlign w:val="center"/>
          </w:tcPr>
          <w:p w14:paraId="4783F1FD">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BE71006">
            <w:pPr>
              <w:spacing w:line="300" w:lineRule="exact"/>
              <w:jc w:val="left"/>
              <w:rPr>
                <w:rFonts w:eastAsia="仿宋_GB2312"/>
                <w:szCs w:val="21"/>
                <w:highlight w:val="none"/>
              </w:rPr>
            </w:pPr>
          </w:p>
        </w:tc>
      </w:tr>
      <w:tr w14:paraId="1138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0F1E4AC">
            <w:pPr>
              <w:spacing w:line="300" w:lineRule="exact"/>
              <w:jc w:val="center"/>
              <w:rPr>
                <w:rFonts w:eastAsia="仿宋_GB2312"/>
                <w:szCs w:val="21"/>
                <w:highlight w:val="none"/>
              </w:rPr>
            </w:pPr>
          </w:p>
        </w:tc>
        <w:tc>
          <w:tcPr>
            <w:tcW w:w="244" w:type="pct"/>
            <w:vMerge w:val="continue"/>
            <w:noWrap w:val="0"/>
            <w:vAlign w:val="center"/>
          </w:tcPr>
          <w:p w14:paraId="3D62CA22">
            <w:pPr>
              <w:spacing w:line="300" w:lineRule="exact"/>
              <w:jc w:val="center"/>
              <w:rPr>
                <w:rFonts w:eastAsia="仿宋_GB2312"/>
                <w:szCs w:val="21"/>
                <w:highlight w:val="none"/>
              </w:rPr>
            </w:pPr>
          </w:p>
        </w:tc>
        <w:tc>
          <w:tcPr>
            <w:tcW w:w="244" w:type="pct"/>
            <w:vMerge w:val="continue"/>
            <w:noWrap w:val="0"/>
            <w:vAlign w:val="center"/>
          </w:tcPr>
          <w:p w14:paraId="77CF655C">
            <w:pPr>
              <w:spacing w:line="300" w:lineRule="exact"/>
              <w:jc w:val="center"/>
              <w:rPr>
                <w:rFonts w:eastAsia="仿宋_GB2312"/>
                <w:szCs w:val="21"/>
                <w:highlight w:val="none"/>
              </w:rPr>
            </w:pPr>
          </w:p>
        </w:tc>
        <w:tc>
          <w:tcPr>
            <w:tcW w:w="301" w:type="pct"/>
            <w:vMerge w:val="continue"/>
            <w:noWrap w:val="0"/>
            <w:vAlign w:val="center"/>
          </w:tcPr>
          <w:p w14:paraId="752ED9A5">
            <w:pPr>
              <w:spacing w:line="300" w:lineRule="exact"/>
              <w:jc w:val="center"/>
              <w:rPr>
                <w:rFonts w:eastAsia="仿宋_GB2312"/>
                <w:szCs w:val="21"/>
                <w:highlight w:val="none"/>
              </w:rPr>
            </w:pPr>
          </w:p>
        </w:tc>
        <w:tc>
          <w:tcPr>
            <w:tcW w:w="419" w:type="pct"/>
            <w:noWrap w:val="0"/>
            <w:vAlign w:val="center"/>
          </w:tcPr>
          <w:p w14:paraId="5F064EBA">
            <w:pPr>
              <w:spacing w:line="300" w:lineRule="exact"/>
              <w:jc w:val="center"/>
              <w:rPr>
                <w:rFonts w:eastAsia="仿宋_GB2312"/>
                <w:szCs w:val="21"/>
                <w:highlight w:val="none"/>
              </w:rPr>
            </w:pPr>
            <w:r>
              <w:rPr>
                <w:rFonts w:eastAsia="仿宋_GB2312"/>
                <w:szCs w:val="21"/>
                <w:highlight w:val="none"/>
              </w:rPr>
              <w:t>豇豆</w:t>
            </w:r>
            <w:r>
              <w:rPr>
                <w:rFonts w:hint="eastAsia" w:eastAsia="仿宋_GB2312"/>
                <w:color w:val="000000"/>
                <w:kern w:val="0"/>
                <w:szCs w:val="21"/>
                <w:highlight w:val="none"/>
              </w:rPr>
              <w:t>*</w:t>
            </w:r>
          </w:p>
        </w:tc>
        <w:tc>
          <w:tcPr>
            <w:tcW w:w="188" w:type="pct"/>
            <w:noWrap w:val="0"/>
            <w:vAlign w:val="center"/>
          </w:tcPr>
          <w:p w14:paraId="3072D98C">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26275EC6">
            <w:pPr>
              <w:spacing w:line="300" w:lineRule="exact"/>
              <w:jc w:val="left"/>
              <w:rPr>
                <w:rFonts w:eastAsia="仿宋_GB2312"/>
                <w:szCs w:val="21"/>
                <w:highlight w:val="none"/>
              </w:rPr>
            </w:pPr>
            <w:r>
              <w:rPr>
                <w:rFonts w:eastAsia="仿宋_GB2312"/>
                <w:szCs w:val="21"/>
                <w:highlight w:val="none"/>
              </w:rPr>
              <w:t>噻虫胺、噻虫嗪、倍硫磷、氧乐果、灭蝇胺、克百威、啶虫脒、毒死蜱</w:t>
            </w:r>
          </w:p>
        </w:tc>
        <w:tc>
          <w:tcPr>
            <w:tcW w:w="751" w:type="pct"/>
            <w:noWrap w:val="0"/>
            <w:vAlign w:val="center"/>
          </w:tcPr>
          <w:p w14:paraId="67F2CE4A">
            <w:pPr>
              <w:spacing w:line="300" w:lineRule="exact"/>
              <w:jc w:val="left"/>
              <w:rPr>
                <w:rFonts w:eastAsia="仿宋_GB2312"/>
                <w:szCs w:val="21"/>
                <w:highlight w:val="none"/>
              </w:rPr>
            </w:pPr>
            <w:r>
              <w:rPr>
                <w:rFonts w:eastAsia="仿宋_GB2312"/>
                <w:szCs w:val="21"/>
                <w:highlight w:val="none"/>
              </w:rPr>
              <w:t>氟虫腈、甲氨基阿维菌素苯甲酸盐、甲基异柳磷、氯氟氰菊酯和高效氯氟氰菊酯、三唑磷、水胺硫磷、乙酰甲胺磷</w:t>
            </w:r>
          </w:p>
        </w:tc>
        <w:tc>
          <w:tcPr>
            <w:tcW w:w="734" w:type="pct"/>
            <w:noWrap w:val="0"/>
            <w:vAlign w:val="center"/>
          </w:tcPr>
          <w:p w14:paraId="598A289E">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5D5521F">
            <w:pPr>
              <w:spacing w:line="300" w:lineRule="exact"/>
              <w:jc w:val="left"/>
              <w:rPr>
                <w:rFonts w:eastAsia="仿宋_GB2312"/>
                <w:szCs w:val="21"/>
                <w:highlight w:val="none"/>
              </w:rPr>
            </w:pPr>
          </w:p>
        </w:tc>
      </w:tr>
      <w:tr w14:paraId="3CCA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6700A44">
            <w:pPr>
              <w:spacing w:line="300" w:lineRule="exact"/>
              <w:jc w:val="center"/>
              <w:rPr>
                <w:rFonts w:eastAsia="仿宋_GB2312"/>
                <w:szCs w:val="21"/>
                <w:highlight w:val="none"/>
              </w:rPr>
            </w:pPr>
          </w:p>
        </w:tc>
        <w:tc>
          <w:tcPr>
            <w:tcW w:w="244" w:type="pct"/>
            <w:vMerge w:val="continue"/>
            <w:noWrap w:val="0"/>
            <w:vAlign w:val="center"/>
          </w:tcPr>
          <w:p w14:paraId="248F73C9">
            <w:pPr>
              <w:spacing w:line="300" w:lineRule="exact"/>
              <w:jc w:val="center"/>
              <w:rPr>
                <w:rFonts w:eastAsia="仿宋_GB2312"/>
                <w:szCs w:val="21"/>
                <w:highlight w:val="none"/>
              </w:rPr>
            </w:pPr>
          </w:p>
        </w:tc>
        <w:tc>
          <w:tcPr>
            <w:tcW w:w="244" w:type="pct"/>
            <w:vMerge w:val="continue"/>
            <w:noWrap w:val="0"/>
            <w:vAlign w:val="center"/>
          </w:tcPr>
          <w:p w14:paraId="6195C1EE">
            <w:pPr>
              <w:spacing w:line="300" w:lineRule="exact"/>
              <w:jc w:val="center"/>
              <w:rPr>
                <w:rFonts w:eastAsia="仿宋_GB2312"/>
                <w:szCs w:val="21"/>
                <w:highlight w:val="none"/>
              </w:rPr>
            </w:pPr>
          </w:p>
        </w:tc>
        <w:tc>
          <w:tcPr>
            <w:tcW w:w="301" w:type="pct"/>
            <w:vMerge w:val="continue"/>
            <w:noWrap w:val="0"/>
            <w:vAlign w:val="center"/>
          </w:tcPr>
          <w:p w14:paraId="6A5C67B5">
            <w:pPr>
              <w:spacing w:line="300" w:lineRule="exact"/>
              <w:jc w:val="center"/>
              <w:rPr>
                <w:rFonts w:eastAsia="仿宋_GB2312"/>
                <w:szCs w:val="21"/>
                <w:highlight w:val="none"/>
              </w:rPr>
            </w:pPr>
          </w:p>
        </w:tc>
        <w:tc>
          <w:tcPr>
            <w:tcW w:w="419" w:type="pct"/>
            <w:noWrap w:val="0"/>
            <w:vAlign w:val="center"/>
          </w:tcPr>
          <w:p w14:paraId="21E0167A">
            <w:pPr>
              <w:spacing w:line="300" w:lineRule="exact"/>
              <w:jc w:val="center"/>
              <w:rPr>
                <w:rFonts w:eastAsia="仿宋_GB2312"/>
                <w:szCs w:val="21"/>
                <w:highlight w:val="none"/>
              </w:rPr>
            </w:pPr>
            <w:r>
              <w:rPr>
                <w:rFonts w:eastAsia="仿宋_GB2312"/>
                <w:szCs w:val="21"/>
                <w:highlight w:val="none"/>
              </w:rPr>
              <w:t>食荚豌豆</w:t>
            </w:r>
            <w:r>
              <w:rPr>
                <w:rFonts w:hint="eastAsia" w:eastAsia="仿宋_GB2312"/>
                <w:color w:val="000000"/>
                <w:kern w:val="0"/>
                <w:szCs w:val="21"/>
                <w:highlight w:val="none"/>
              </w:rPr>
              <w:t>*</w:t>
            </w:r>
          </w:p>
        </w:tc>
        <w:tc>
          <w:tcPr>
            <w:tcW w:w="188" w:type="pct"/>
            <w:noWrap w:val="0"/>
            <w:vAlign w:val="center"/>
          </w:tcPr>
          <w:p w14:paraId="1F31AAFC">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2103DD12">
            <w:pPr>
              <w:spacing w:line="300" w:lineRule="exact"/>
              <w:jc w:val="left"/>
              <w:rPr>
                <w:rFonts w:eastAsia="仿宋_GB2312"/>
                <w:szCs w:val="21"/>
                <w:highlight w:val="none"/>
              </w:rPr>
            </w:pPr>
            <w:r>
              <w:rPr>
                <w:rFonts w:eastAsia="仿宋_GB2312"/>
                <w:szCs w:val="21"/>
                <w:highlight w:val="none"/>
              </w:rPr>
              <w:t>吡唑醚菌酯、多菌灵、噻虫胺、烯酰吗啉、乙酰甲胺磷、氧乐果</w:t>
            </w:r>
          </w:p>
        </w:tc>
        <w:tc>
          <w:tcPr>
            <w:tcW w:w="751" w:type="pct"/>
            <w:noWrap w:val="0"/>
            <w:vAlign w:val="center"/>
          </w:tcPr>
          <w:p w14:paraId="55BCB488">
            <w:pPr>
              <w:spacing w:line="300" w:lineRule="exact"/>
              <w:jc w:val="left"/>
              <w:rPr>
                <w:rFonts w:eastAsia="仿宋_GB2312"/>
                <w:szCs w:val="21"/>
                <w:highlight w:val="none"/>
              </w:rPr>
            </w:pPr>
            <w:r>
              <w:rPr>
                <w:rFonts w:eastAsia="仿宋_GB2312"/>
                <w:szCs w:val="21"/>
                <w:highlight w:val="none"/>
              </w:rPr>
              <w:t>苯醚甲环唑、毒死蜱、甲胺磷、噻虫嗪</w:t>
            </w:r>
          </w:p>
        </w:tc>
        <w:tc>
          <w:tcPr>
            <w:tcW w:w="734" w:type="pct"/>
            <w:noWrap w:val="0"/>
            <w:vAlign w:val="center"/>
          </w:tcPr>
          <w:p w14:paraId="303C1764">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03FC264">
            <w:pPr>
              <w:spacing w:line="300" w:lineRule="exact"/>
              <w:jc w:val="left"/>
              <w:rPr>
                <w:rFonts w:eastAsia="仿宋_GB2312"/>
                <w:szCs w:val="21"/>
                <w:highlight w:val="none"/>
              </w:rPr>
            </w:pPr>
          </w:p>
        </w:tc>
      </w:tr>
      <w:tr w14:paraId="131B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 w:type="pct"/>
            <w:vMerge w:val="continue"/>
            <w:noWrap w:val="0"/>
            <w:vAlign w:val="center"/>
          </w:tcPr>
          <w:p w14:paraId="17B1C90B">
            <w:pPr>
              <w:spacing w:line="300" w:lineRule="exact"/>
              <w:jc w:val="center"/>
              <w:rPr>
                <w:rFonts w:eastAsia="仿宋_GB2312"/>
                <w:szCs w:val="21"/>
                <w:highlight w:val="none"/>
              </w:rPr>
            </w:pPr>
          </w:p>
        </w:tc>
        <w:tc>
          <w:tcPr>
            <w:tcW w:w="244" w:type="pct"/>
            <w:vMerge w:val="continue"/>
            <w:noWrap w:val="0"/>
            <w:vAlign w:val="center"/>
          </w:tcPr>
          <w:p w14:paraId="6FD47884">
            <w:pPr>
              <w:spacing w:line="300" w:lineRule="exact"/>
              <w:jc w:val="center"/>
              <w:rPr>
                <w:rFonts w:eastAsia="仿宋_GB2312"/>
                <w:szCs w:val="21"/>
                <w:highlight w:val="none"/>
              </w:rPr>
            </w:pPr>
          </w:p>
        </w:tc>
        <w:tc>
          <w:tcPr>
            <w:tcW w:w="244" w:type="pct"/>
            <w:vMerge w:val="continue"/>
            <w:noWrap w:val="0"/>
            <w:vAlign w:val="center"/>
          </w:tcPr>
          <w:p w14:paraId="1093A961">
            <w:pPr>
              <w:spacing w:line="300" w:lineRule="exact"/>
              <w:jc w:val="center"/>
              <w:rPr>
                <w:rFonts w:eastAsia="仿宋_GB2312"/>
                <w:szCs w:val="21"/>
                <w:highlight w:val="none"/>
              </w:rPr>
            </w:pPr>
          </w:p>
        </w:tc>
        <w:tc>
          <w:tcPr>
            <w:tcW w:w="301" w:type="pct"/>
            <w:vMerge w:val="restart"/>
            <w:noWrap w:val="0"/>
            <w:vAlign w:val="center"/>
          </w:tcPr>
          <w:p w14:paraId="2BEE43F1">
            <w:pPr>
              <w:spacing w:line="300" w:lineRule="exact"/>
              <w:jc w:val="center"/>
              <w:rPr>
                <w:rFonts w:eastAsia="仿宋_GB2312"/>
                <w:szCs w:val="21"/>
                <w:highlight w:val="none"/>
              </w:rPr>
            </w:pPr>
            <w:r>
              <w:rPr>
                <w:rFonts w:eastAsia="仿宋_GB2312"/>
                <w:szCs w:val="21"/>
                <w:highlight w:val="none"/>
              </w:rPr>
              <w:t>根茎类和薯芋类蔬菜</w:t>
            </w:r>
          </w:p>
        </w:tc>
        <w:tc>
          <w:tcPr>
            <w:tcW w:w="419" w:type="pct"/>
            <w:noWrap w:val="0"/>
            <w:vAlign w:val="center"/>
          </w:tcPr>
          <w:p w14:paraId="63BF6CF7">
            <w:pPr>
              <w:spacing w:line="300" w:lineRule="exact"/>
              <w:jc w:val="center"/>
              <w:rPr>
                <w:rFonts w:eastAsia="仿宋_GB2312"/>
                <w:szCs w:val="21"/>
                <w:highlight w:val="none"/>
              </w:rPr>
            </w:pPr>
            <w:r>
              <w:rPr>
                <w:rFonts w:eastAsia="仿宋_GB2312"/>
                <w:szCs w:val="21"/>
                <w:highlight w:val="none"/>
              </w:rPr>
              <w:t>甘薯</w:t>
            </w:r>
            <w:r>
              <w:rPr>
                <w:rFonts w:hint="eastAsia" w:eastAsia="仿宋_GB2312"/>
                <w:color w:val="000000"/>
                <w:kern w:val="0"/>
                <w:szCs w:val="21"/>
                <w:highlight w:val="none"/>
              </w:rPr>
              <w:t>*</w:t>
            </w:r>
          </w:p>
        </w:tc>
        <w:tc>
          <w:tcPr>
            <w:tcW w:w="188" w:type="pct"/>
            <w:noWrap w:val="0"/>
            <w:vAlign w:val="center"/>
          </w:tcPr>
          <w:p w14:paraId="0600F928">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AFB0E8D">
            <w:pPr>
              <w:spacing w:line="300" w:lineRule="exact"/>
              <w:jc w:val="left"/>
              <w:rPr>
                <w:rFonts w:eastAsia="仿宋_GB2312"/>
                <w:szCs w:val="21"/>
                <w:highlight w:val="none"/>
              </w:rPr>
            </w:pPr>
            <w:r>
              <w:rPr>
                <w:rFonts w:eastAsia="仿宋_GB2312"/>
                <w:szCs w:val="21"/>
                <w:highlight w:val="none"/>
              </w:rPr>
              <w:t>氯氟氰菊酯和高效氯氟氰菊酯、毒死蜱、氯氰菊酯和高效氯氰菊酯、噻虫嗪</w:t>
            </w:r>
          </w:p>
        </w:tc>
        <w:tc>
          <w:tcPr>
            <w:tcW w:w="751" w:type="pct"/>
            <w:noWrap w:val="0"/>
            <w:vAlign w:val="center"/>
          </w:tcPr>
          <w:p w14:paraId="62966D42">
            <w:pPr>
              <w:spacing w:line="300" w:lineRule="exact"/>
              <w:jc w:val="left"/>
              <w:rPr>
                <w:rFonts w:eastAsia="仿宋_GB2312"/>
                <w:szCs w:val="21"/>
                <w:highlight w:val="none"/>
              </w:rPr>
            </w:pPr>
            <w:r>
              <w:rPr>
                <w:rFonts w:eastAsia="仿宋_GB2312"/>
                <w:szCs w:val="21"/>
                <w:highlight w:val="none"/>
              </w:rPr>
              <w:t>苯醚甲环唑、氟虫腈、甲拌磷、联苯菊酯</w:t>
            </w:r>
          </w:p>
        </w:tc>
        <w:tc>
          <w:tcPr>
            <w:tcW w:w="734" w:type="pct"/>
            <w:noWrap w:val="0"/>
            <w:vAlign w:val="center"/>
          </w:tcPr>
          <w:p w14:paraId="26CD4A23">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3441E83">
            <w:pPr>
              <w:spacing w:line="300" w:lineRule="exact"/>
              <w:jc w:val="left"/>
              <w:rPr>
                <w:rFonts w:eastAsia="仿宋_GB2312"/>
                <w:szCs w:val="21"/>
                <w:highlight w:val="none"/>
              </w:rPr>
            </w:pPr>
          </w:p>
        </w:tc>
      </w:tr>
      <w:tr w14:paraId="6AC2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E55D13D">
            <w:pPr>
              <w:spacing w:line="300" w:lineRule="exact"/>
              <w:jc w:val="center"/>
              <w:rPr>
                <w:rFonts w:eastAsia="仿宋_GB2312"/>
                <w:szCs w:val="21"/>
                <w:highlight w:val="none"/>
              </w:rPr>
            </w:pPr>
          </w:p>
        </w:tc>
        <w:tc>
          <w:tcPr>
            <w:tcW w:w="244" w:type="pct"/>
            <w:vMerge w:val="continue"/>
            <w:noWrap w:val="0"/>
            <w:vAlign w:val="center"/>
          </w:tcPr>
          <w:p w14:paraId="3A48294C">
            <w:pPr>
              <w:spacing w:line="300" w:lineRule="exact"/>
              <w:jc w:val="center"/>
              <w:rPr>
                <w:rFonts w:eastAsia="仿宋_GB2312"/>
                <w:szCs w:val="21"/>
                <w:highlight w:val="none"/>
              </w:rPr>
            </w:pPr>
          </w:p>
        </w:tc>
        <w:tc>
          <w:tcPr>
            <w:tcW w:w="244" w:type="pct"/>
            <w:vMerge w:val="continue"/>
            <w:noWrap w:val="0"/>
            <w:vAlign w:val="center"/>
          </w:tcPr>
          <w:p w14:paraId="069A0483">
            <w:pPr>
              <w:spacing w:line="300" w:lineRule="exact"/>
              <w:jc w:val="center"/>
              <w:rPr>
                <w:rFonts w:eastAsia="仿宋_GB2312"/>
                <w:szCs w:val="21"/>
                <w:highlight w:val="none"/>
              </w:rPr>
            </w:pPr>
          </w:p>
        </w:tc>
        <w:tc>
          <w:tcPr>
            <w:tcW w:w="301" w:type="pct"/>
            <w:vMerge w:val="continue"/>
            <w:noWrap w:val="0"/>
            <w:vAlign w:val="center"/>
          </w:tcPr>
          <w:p w14:paraId="7514503B">
            <w:pPr>
              <w:spacing w:line="300" w:lineRule="exact"/>
              <w:jc w:val="center"/>
              <w:rPr>
                <w:rFonts w:eastAsia="仿宋_GB2312"/>
                <w:szCs w:val="21"/>
                <w:highlight w:val="none"/>
              </w:rPr>
            </w:pPr>
          </w:p>
        </w:tc>
        <w:tc>
          <w:tcPr>
            <w:tcW w:w="419" w:type="pct"/>
            <w:noWrap w:val="0"/>
            <w:vAlign w:val="center"/>
          </w:tcPr>
          <w:p w14:paraId="4665087F">
            <w:pPr>
              <w:spacing w:line="300" w:lineRule="exact"/>
              <w:jc w:val="center"/>
              <w:rPr>
                <w:rFonts w:eastAsia="仿宋_GB2312"/>
                <w:szCs w:val="21"/>
                <w:highlight w:val="none"/>
              </w:rPr>
            </w:pPr>
            <w:r>
              <w:rPr>
                <w:rFonts w:eastAsia="仿宋_GB2312"/>
                <w:szCs w:val="21"/>
                <w:highlight w:val="none"/>
              </w:rPr>
              <w:t>胡萝卜</w:t>
            </w:r>
            <w:r>
              <w:rPr>
                <w:rFonts w:hint="eastAsia" w:eastAsia="仿宋_GB2312"/>
                <w:color w:val="000000"/>
                <w:kern w:val="0"/>
                <w:szCs w:val="21"/>
                <w:highlight w:val="none"/>
              </w:rPr>
              <w:t>*</w:t>
            </w:r>
          </w:p>
        </w:tc>
        <w:tc>
          <w:tcPr>
            <w:tcW w:w="188" w:type="pct"/>
            <w:noWrap w:val="0"/>
            <w:vAlign w:val="center"/>
          </w:tcPr>
          <w:p w14:paraId="729A4430">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5804A6F3">
            <w:pPr>
              <w:spacing w:line="300" w:lineRule="exact"/>
              <w:jc w:val="left"/>
              <w:rPr>
                <w:rFonts w:eastAsia="仿宋_GB2312"/>
                <w:szCs w:val="21"/>
                <w:highlight w:val="none"/>
              </w:rPr>
            </w:pPr>
            <w:r>
              <w:rPr>
                <w:rFonts w:eastAsia="仿宋_GB2312"/>
                <w:szCs w:val="21"/>
                <w:highlight w:val="none"/>
              </w:rPr>
              <w:t>噻虫胺、甲拌磷、氟虫腈、氯氟氰菊酯和高效氯氟氰菊酯、毒死蜱</w:t>
            </w:r>
          </w:p>
        </w:tc>
        <w:tc>
          <w:tcPr>
            <w:tcW w:w="751" w:type="pct"/>
            <w:noWrap w:val="0"/>
            <w:vAlign w:val="center"/>
          </w:tcPr>
          <w:p w14:paraId="211C0A01">
            <w:pPr>
              <w:spacing w:line="300" w:lineRule="exact"/>
              <w:jc w:val="left"/>
              <w:rPr>
                <w:rFonts w:eastAsia="仿宋_GB2312"/>
                <w:szCs w:val="21"/>
                <w:highlight w:val="none"/>
              </w:rPr>
            </w:pPr>
            <w:r>
              <w:rPr>
                <w:rFonts w:eastAsia="仿宋_GB2312"/>
                <w:szCs w:val="21"/>
                <w:highlight w:val="none"/>
              </w:rPr>
              <w:t>铅（以 Pb 计）、腈菌唑、乐果、噻虫嗪、辛硫磷</w:t>
            </w:r>
          </w:p>
        </w:tc>
        <w:tc>
          <w:tcPr>
            <w:tcW w:w="734" w:type="pct"/>
            <w:noWrap w:val="0"/>
            <w:vAlign w:val="center"/>
          </w:tcPr>
          <w:p w14:paraId="0EEEF086">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ACBB91C">
            <w:pPr>
              <w:spacing w:line="300" w:lineRule="exact"/>
              <w:jc w:val="left"/>
              <w:rPr>
                <w:rFonts w:eastAsia="仿宋_GB2312"/>
                <w:szCs w:val="21"/>
                <w:highlight w:val="none"/>
              </w:rPr>
            </w:pPr>
          </w:p>
        </w:tc>
      </w:tr>
      <w:tr w14:paraId="32F2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8356504">
            <w:pPr>
              <w:spacing w:line="300" w:lineRule="exact"/>
              <w:jc w:val="center"/>
              <w:rPr>
                <w:rFonts w:eastAsia="仿宋_GB2312"/>
                <w:szCs w:val="21"/>
                <w:highlight w:val="none"/>
              </w:rPr>
            </w:pPr>
          </w:p>
        </w:tc>
        <w:tc>
          <w:tcPr>
            <w:tcW w:w="244" w:type="pct"/>
            <w:vMerge w:val="continue"/>
            <w:noWrap w:val="0"/>
            <w:vAlign w:val="center"/>
          </w:tcPr>
          <w:p w14:paraId="5A5A4D72">
            <w:pPr>
              <w:spacing w:line="300" w:lineRule="exact"/>
              <w:jc w:val="center"/>
              <w:rPr>
                <w:rFonts w:eastAsia="仿宋_GB2312"/>
                <w:szCs w:val="21"/>
                <w:highlight w:val="none"/>
              </w:rPr>
            </w:pPr>
          </w:p>
        </w:tc>
        <w:tc>
          <w:tcPr>
            <w:tcW w:w="244" w:type="pct"/>
            <w:vMerge w:val="continue"/>
            <w:noWrap w:val="0"/>
            <w:vAlign w:val="center"/>
          </w:tcPr>
          <w:p w14:paraId="5F00A9CA">
            <w:pPr>
              <w:spacing w:line="300" w:lineRule="exact"/>
              <w:jc w:val="center"/>
              <w:rPr>
                <w:rFonts w:eastAsia="仿宋_GB2312"/>
                <w:szCs w:val="21"/>
                <w:highlight w:val="none"/>
              </w:rPr>
            </w:pPr>
          </w:p>
        </w:tc>
        <w:tc>
          <w:tcPr>
            <w:tcW w:w="301" w:type="pct"/>
            <w:vMerge w:val="continue"/>
            <w:noWrap w:val="0"/>
            <w:vAlign w:val="center"/>
          </w:tcPr>
          <w:p w14:paraId="4AF752AB">
            <w:pPr>
              <w:spacing w:line="300" w:lineRule="exact"/>
              <w:jc w:val="center"/>
              <w:rPr>
                <w:rFonts w:eastAsia="仿宋_GB2312"/>
                <w:szCs w:val="21"/>
                <w:highlight w:val="none"/>
              </w:rPr>
            </w:pPr>
          </w:p>
        </w:tc>
        <w:tc>
          <w:tcPr>
            <w:tcW w:w="419" w:type="pct"/>
            <w:noWrap w:val="0"/>
            <w:vAlign w:val="center"/>
          </w:tcPr>
          <w:p w14:paraId="046C177E">
            <w:pPr>
              <w:spacing w:line="300" w:lineRule="exact"/>
              <w:jc w:val="center"/>
              <w:rPr>
                <w:rFonts w:eastAsia="仿宋_GB2312"/>
                <w:szCs w:val="21"/>
                <w:highlight w:val="none"/>
              </w:rPr>
            </w:pPr>
            <w:r>
              <w:rPr>
                <w:rFonts w:eastAsia="仿宋_GB2312"/>
                <w:szCs w:val="21"/>
                <w:highlight w:val="none"/>
              </w:rPr>
              <w:t>姜</w:t>
            </w:r>
            <w:r>
              <w:rPr>
                <w:rFonts w:hint="eastAsia" w:eastAsia="仿宋_GB2312"/>
                <w:color w:val="000000"/>
                <w:kern w:val="0"/>
                <w:szCs w:val="21"/>
                <w:highlight w:val="none"/>
              </w:rPr>
              <w:t>*</w:t>
            </w:r>
          </w:p>
        </w:tc>
        <w:tc>
          <w:tcPr>
            <w:tcW w:w="188" w:type="pct"/>
            <w:noWrap w:val="0"/>
            <w:vAlign w:val="center"/>
          </w:tcPr>
          <w:p w14:paraId="3A79D45A">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2D5310E0">
            <w:pPr>
              <w:spacing w:line="300" w:lineRule="exact"/>
              <w:jc w:val="left"/>
              <w:rPr>
                <w:rFonts w:eastAsia="仿宋_GB2312"/>
                <w:szCs w:val="21"/>
                <w:highlight w:val="none"/>
              </w:rPr>
            </w:pPr>
            <w:r>
              <w:rPr>
                <w:rFonts w:eastAsia="仿宋_GB2312"/>
                <w:szCs w:val="21"/>
                <w:highlight w:val="none"/>
              </w:rPr>
              <w:t>噻虫胺、铅（以 Pb 计）、镉（以 Cd 计）、噻虫嗪、毒死蜱、吡虫啉、二氧化硫残留量</w:t>
            </w:r>
          </w:p>
        </w:tc>
        <w:tc>
          <w:tcPr>
            <w:tcW w:w="751" w:type="pct"/>
            <w:noWrap w:val="0"/>
            <w:vAlign w:val="center"/>
          </w:tcPr>
          <w:p w14:paraId="0914765D">
            <w:pPr>
              <w:spacing w:line="300" w:lineRule="exact"/>
              <w:jc w:val="left"/>
              <w:rPr>
                <w:rFonts w:eastAsia="仿宋_GB2312"/>
                <w:szCs w:val="21"/>
                <w:highlight w:val="none"/>
              </w:rPr>
            </w:pPr>
            <w:r>
              <w:rPr>
                <w:rFonts w:eastAsia="仿宋_GB2312"/>
                <w:szCs w:val="21"/>
                <w:highlight w:val="none"/>
              </w:rPr>
              <w:t>甲拌磷、氯氰菊酯和高效氯氰菊酯</w:t>
            </w:r>
          </w:p>
        </w:tc>
        <w:tc>
          <w:tcPr>
            <w:tcW w:w="734" w:type="pct"/>
            <w:noWrap w:val="0"/>
            <w:vAlign w:val="center"/>
          </w:tcPr>
          <w:p w14:paraId="204477D3">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1D827F5">
            <w:pPr>
              <w:spacing w:line="300" w:lineRule="exact"/>
              <w:jc w:val="left"/>
              <w:rPr>
                <w:rFonts w:eastAsia="仿宋_GB2312"/>
                <w:szCs w:val="21"/>
                <w:highlight w:val="none"/>
              </w:rPr>
            </w:pPr>
          </w:p>
        </w:tc>
      </w:tr>
      <w:tr w14:paraId="6356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50" w:type="pct"/>
            <w:vMerge w:val="continue"/>
            <w:noWrap w:val="0"/>
            <w:vAlign w:val="center"/>
          </w:tcPr>
          <w:p w14:paraId="034B9A50">
            <w:pPr>
              <w:spacing w:line="300" w:lineRule="exact"/>
              <w:jc w:val="center"/>
              <w:rPr>
                <w:rFonts w:eastAsia="仿宋_GB2312"/>
                <w:szCs w:val="21"/>
                <w:highlight w:val="none"/>
              </w:rPr>
            </w:pPr>
          </w:p>
        </w:tc>
        <w:tc>
          <w:tcPr>
            <w:tcW w:w="244" w:type="pct"/>
            <w:vMerge w:val="continue"/>
            <w:noWrap w:val="0"/>
            <w:vAlign w:val="center"/>
          </w:tcPr>
          <w:p w14:paraId="683A3D90">
            <w:pPr>
              <w:spacing w:line="300" w:lineRule="exact"/>
              <w:jc w:val="center"/>
              <w:rPr>
                <w:rFonts w:eastAsia="仿宋_GB2312"/>
                <w:szCs w:val="21"/>
                <w:highlight w:val="none"/>
              </w:rPr>
            </w:pPr>
          </w:p>
        </w:tc>
        <w:tc>
          <w:tcPr>
            <w:tcW w:w="244" w:type="pct"/>
            <w:vMerge w:val="continue"/>
            <w:noWrap w:val="0"/>
            <w:vAlign w:val="center"/>
          </w:tcPr>
          <w:p w14:paraId="02F1733D">
            <w:pPr>
              <w:spacing w:line="300" w:lineRule="exact"/>
              <w:jc w:val="center"/>
              <w:rPr>
                <w:rFonts w:eastAsia="仿宋_GB2312"/>
                <w:szCs w:val="21"/>
                <w:highlight w:val="none"/>
              </w:rPr>
            </w:pPr>
          </w:p>
        </w:tc>
        <w:tc>
          <w:tcPr>
            <w:tcW w:w="301" w:type="pct"/>
            <w:vMerge w:val="continue"/>
            <w:noWrap w:val="0"/>
            <w:vAlign w:val="center"/>
          </w:tcPr>
          <w:p w14:paraId="56A13101">
            <w:pPr>
              <w:spacing w:line="300" w:lineRule="exact"/>
              <w:jc w:val="center"/>
              <w:rPr>
                <w:rFonts w:eastAsia="仿宋_GB2312"/>
                <w:szCs w:val="21"/>
                <w:highlight w:val="none"/>
              </w:rPr>
            </w:pPr>
          </w:p>
        </w:tc>
        <w:tc>
          <w:tcPr>
            <w:tcW w:w="419" w:type="pct"/>
            <w:noWrap w:val="0"/>
            <w:vAlign w:val="center"/>
          </w:tcPr>
          <w:p w14:paraId="338384D7">
            <w:pPr>
              <w:spacing w:line="300" w:lineRule="exact"/>
              <w:jc w:val="center"/>
              <w:rPr>
                <w:rFonts w:eastAsia="仿宋_GB2312"/>
                <w:szCs w:val="21"/>
                <w:highlight w:val="none"/>
              </w:rPr>
            </w:pPr>
            <w:r>
              <w:rPr>
                <w:rFonts w:eastAsia="仿宋_GB2312"/>
                <w:szCs w:val="21"/>
                <w:highlight w:val="none"/>
              </w:rPr>
              <w:t>萝卜</w:t>
            </w:r>
            <w:r>
              <w:rPr>
                <w:rFonts w:hint="eastAsia" w:eastAsia="仿宋_GB2312"/>
                <w:color w:val="000000"/>
                <w:kern w:val="0"/>
                <w:szCs w:val="21"/>
                <w:highlight w:val="none"/>
              </w:rPr>
              <w:t>*</w:t>
            </w:r>
          </w:p>
        </w:tc>
        <w:tc>
          <w:tcPr>
            <w:tcW w:w="188" w:type="pct"/>
            <w:noWrap w:val="0"/>
            <w:vAlign w:val="center"/>
          </w:tcPr>
          <w:p w14:paraId="23388CA4">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EEB4E8F">
            <w:pPr>
              <w:spacing w:line="300" w:lineRule="exact"/>
              <w:jc w:val="left"/>
              <w:rPr>
                <w:rFonts w:eastAsia="仿宋_GB2312"/>
                <w:szCs w:val="21"/>
                <w:highlight w:val="none"/>
              </w:rPr>
            </w:pPr>
            <w:r>
              <w:rPr>
                <w:rFonts w:eastAsia="仿宋_GB2312"/>
                <w:szCs w:val="21"/>
                <w:highlight w:val="none"/>
              </w:rPr>
              <w:t>噻虫嗪、氯氟氰菊酯和高效氯氟氰菊酯、毒死蜱</w:t>
            </w:r>
          </w:p>
        </w:tc>
        <w:tc>
          <w:tcPr>
            <w:tcW w:w="751" w:type="pct"/>
            <w:noWrap w:val="0"/>
            <w:vAlign w:val="center"/>
          </w:tcPr>
          <w:p w14:paraId="1CB324C2">
            <w:pPr>
              <w:spacing w:line="300" w:lineRule="exact"/>
              <w:jc w:val="left"/>
              <w:rPr>
                <w:rFonts w:eastAsia="仿宋_GB2312"/>
                <w:szCs w:val="21"/>
                <w:highlight w:val="none"/>
              </w:rPr>
            </w:pPr>
            <w:r>
              <w:rPr>
                <w:rFonts w:eastAsia="仿宋_GB2312"/>
                <w:szCs w:val="21"/>
                <w:highlight w:val="none"/>
              </w:rPr>
              <w:t>甲拌磷、噻虫胺</w:t>
            </w:r>
          </w:p>
        </w:tc>
        <w:tc>
          <w:tcPr>
            <w:tcW w:w="734" w:type="pct"/>
            <w:noWrap w:val="0"/>
            <w:vAlign w:val="center"/>
          </w:tcPr>
          <w:p w14:paraId="6A044196">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77EA99F">
            <w:pPr>
              <w:spacing w:line="300" w:lineRule="exact"/>
              <w:jc w:val="left"/>
              <w:rPr>
                <w:rFonts w:eastAsia="仿宋_GB2312"/>
                <w:szCs w:val="21"/>
                <w:highlight w:val="none"/>
              </w:rPr>
            </w:pPr>
          </w:p>
        </w:tc>
      </w:tr>
      <w:tr w14:paraId="5585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17A96D5">
            <w:pPr>
              <w:spacing w:line="300" w:lineRule="exact"/>
              <w:jc w:val="center"/>
              <w:rPr>
                <w:rFonts w:eastAsia="仿宋_GB2312"/>
                <w:szCs w:val="21"/>
                <w:highlight w:val="none"/>
              </w:rPr>
            </w:pPr>
          </w:p>
        </w:tc>
        <w:tc>
          <w:tcPr>
            <w:tcW w:w="244" w:type="pct"/>
            <w:vMerge w:val="continue"/>
            <w:noWrap w:val="0"/>
            <w:vAlign w:val="center"/>
          </w:tcPr>
          <w:p w14:paraId="18ABD7FC">
            <w:pPr>
              <w:spacing w:line="300" w:lineRule="exact"/>
              <w:jc w:val="center"/>
              <w:rPr>
                <w:rFonts w:eastAsia="仿宋_GB2312"/>
                <w:szCs w:val="21"/>
                <w:highlight w:val="none"/>
              </w:rPr>
            </w:pPr>
          </w:p>
        </w:tc>
        <w:tc>
          <w:tcPr>
            <w:tcW w:w="244" w:type="pct"/>
            <w:vMerge w:val="continue"/>
            <w:noWrap w:val="0"/>
            <w:vAlign w:val="center"/>
          </w:tcPr>
          <w:p w14:paraId="51562881">
            <w:pPr>
              <w:spacing w:line="300" w:lineRule="exact"/>
              <w:jc w:val="center"/>
              <w:rPr>
                <w:rFonts w:eastAsia="仿宋_GB2312"/>
                <w:szCs w:val="21"/>
                <w:highlight w:val="none"/>
              </w:rPr>
            </w:pPr>
          </w:p>
        </w:tc>
        <w:tc>
          <w:tcPr>
            <w:tcW w:w="301" w:type="pct"/>
            <w:vMerge w:val="continue"/>
            <w:noWrap w:val="0"/>
            <w:vAlign w:val="center"/>
          </w:tcPr>
          <w:p w14:paraId="328A93F7">
            <w:pPr>
              <w:spacing w:line="300" w:lineRule="exact"/>
              <w:jc w:val="center"/>
              <w:rPr>
                <w:rFonts w:eastAsia="仿宋_GB2312"/>
                <w:szCs w:val="21"/>
                <w:highlight w:val="none"/>
              </w:rPr>
            </w:pPr>
          </w:p>
        </w:tc>
        <w:tc>
          <w:tcPr>
            <w:tcW w:w="419" w:type="pct"/>
            <w:noWrap w:val="0"/>
            <w:vAlign w:val="center"/>
          </w:tcPr>
          <w:p w14:paraId="0DAB8BEF">
            <w:pPr>
              <w:spacing w:line="300" w:lineRule="exact"/>
              <w:jc w:val="center"/>
              <w:rPr>
                <w:rFonts w:eastAsia="仿宋_GB2312"/>
                <w:szCs w:val="21"/>
                <w:highlight w:val="none"/>
              </w:rPr>
            </w:pPr>
            <w:r>
              <w:rPr>
                <w:rFonts w:eastAsia="仿宋_GB2312"/>
                <w:szCs w:val="21"/>
                <w:highlight w:val="none"/>
              </w:rPr>
              <w:t>马铃薯</w:t>
            </w:r>
            <w:r>
              <w:rPr>
                <w:rFonts w:hint="eastAsia" w:eastAsia="仿宋_GB2312"/>
                <w:color w:val="000000"/>
                <w:kern w:val="0"/>
                <w:szCs w:val="21"/>
                <w:highlight w:val="none"/>
              </w:rPr>
              <w:t>*</w:t>
            </w:r>
          </w:p>
        </w:tc>
        <w:tc>
          <w:tcPr>
            <w:tcW w:w="188" w:type="pct"/>
            <w:noWrap w:val="0"/>
            <w:vAlign w:val="center"/>
          </w:tcPr>
          <w:p w14:paraId="1D14ABF5">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3DEE6515">
            <w:pPr>
              <w:spacing w:line="300" w:lineRule="exact"/>
              <w:jc w:val="left"/>
              <w:rPr>
                <w:rFonts w:eastAsia="仿宋_GB2312"/>
                <w:szCs w:val="21"/>
                <w:highlight w:val="none"/>
              </w:rPr>
            </w:pPr>
            <w:r>
              <w:rPr>
                <w:rFonts w:eastAsia="仿宋_GB2312"/>
                <w:szCs w:val="21"/>
                <w:highlight w:val="none"/>
              </w:rPr>
              <w:t>毒死蜱、噻虫嗪、氯氟氰菊酯和高效氯氟氰菊酯、镉（以 Cd 计）、甲拌磷</w:t>
            </w:r>
          </w:p>
        </w:tc>
        <w:tc>
          <w:tcPr>
            <w:tcW w:w="751" w:type="pct"/>
            <w:noWrap w:val="0"/>
            <w:vAlign w:val="center"/>
          </w:tcPr>
          <w:p w14:paraId="27F5DEF0">
            <w:pPr>
              <w:spacing w:line="300" w:lineRule="exact"/>
              <w:jc w:val="left"/>
              <w:rPr>
                <w:rFonts w:eastAsia="仿宋_GB2312"/>
                <w:szCs w:val="21"/>
                <w:highlight w:val="none"/>
              </w:rPr>
            </w:pPr>
            <w:r>
              <w:rPr>
                <w:rFonts w:eastAsia="仿宋_GB2312"/>
                <w:szCs w:val="21"/>
                <w:highlight w:val="none"/>
              </w:rPr>
              <w:t>铅（以 Pb 计）、二氧化硫残留量</w:t>
            </w:r>
          </w:p>
        </w:tc>
        <w:tc>
          <w:tcPr>
            <w:tcW w:w="734" w:type="pct"/>
            <w:noWrap w:val="0"/>
            <w:vAlign w:val="center"/>
          </w:tcPr>
          <w:p w14:paraId="2FD4EB4B">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CF98D24">
            <w:pPr>
              <w:spacing w:line="300" w:lineRule="exact"/>
              <w:jc w:val="left"/>
              <w:rPr>
                <w:rFonts w:eastAsia="仿宋_GB2312"/>
                <w:szCs w:val="21"/>
                <w:highlight w:val="none"/>
              </w:rPr>
            </w:pPr>
          </w:p>
        </w:tc>
      </w:tr>
      <w:tr w14:paraId="5DD8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DAB416F">
            <w:pPr>
              <w:spacing w:line="300" w:lineRule="exact"/>
              <w:jc w:val="center"/>
              <w:rPr>
                <w:rFonts w:eastAsia="仿宋_GB2312"/>
                <w:szCs w:val="21"/>
                <w:highlight w:val="none"/>
              </w:rPr>
            </w:pPr>
          </w:p>
        </w:tc>
        <w:tc>
          <w:tcPr>
            <w:tcW w:w="244" w:type="pct"/>
            <w:vMerge w:val="continue"/>
            <w:noWrap w:val="0"/>
            <w:vAlign w:val="center"/>
          </w:tcPr>
          <w:p w14:paraId="52CD342A">
            <w:pPr>
              <w:spacing w:line="300" w:lineRule="exact"/>
              <w:jc w:val="center"/>
              <w:rPr>
                <w:rFonts w:eastAsia="仿宋_GB2312"/>
                <w:szCs w:val="21"/>
                <w:highlight w:val="none"/>
              </w:rPr>
            </w:pPr>
          </w:p>
        </w:tc>
        <w:tc>
          <w:tcPr>
            <w:tcW w:w="244" w:type="pct"/>
            <w:vMerge w:val="continue"/>
            <w:noWrap w:val="0"/>
            <w:vAlign w:val="center"/>
          </w:tcPr>
          <w:p w14:paraId="7198CFB8">
            <w:pPr>
              <w:spacing w:line="300" w:lineRule="exact"/>
              <w:jc w:val="center"/>
              <w:rPr>
                <w:rFonts w:eastAsia="仿宋_GB2312"/>
                <w:szCs w:val="21"/>
                <w:highlight w:val="none"/>
              </w:rPr>
            </w:pPr>
          </w:p>
        </w:tc>
        <w:tc>
          <w:tcPr>
            <w:tcW w:w="301" w:type="pct"/>
            <w:vMerge w:val="continue"/>
            <w:noWrap w:val="0"/>
            <w:vAlign w:val="center"/>
          </w:tcPr>
          <w:p w14:paraId="66153BEF">
            <w:pPr>
              <w:spacing w:line="300" w:lineRule="exact"/>
              <w:jc w:val="center"/>
              <w:rPr>
                <w:rFonts w:eastAsia="仿宋_GB2312"/>
                <w:szCs w:val="21"/>
                <w:highlight w:val="none"/>
              </w:rPr>
            </w:pPr>
          </w:p>
        </w:tc>
        <w:tc>
          <w:tcPr>
            <w:tcW w:w="419" w:type="pct"/>
            <w:noWrap w:val="0"/>
            <w:vAlign w:val="center"/>
          </w:tcPr>
          <w:p w14:paraId="0DCF5EDF">
            <w:pPr>
              <w:spacing w:line="300" w:lineRule="exact"/>
              <w:jc w:val="center"/>
              <w:rPr>
                <w:rFonts w:eastAsia="仿宋_GB2312"/>
                <w:szCs w:val="21"/>
                <w:highlight w:val="none"/>
              </w:rPr>
            </w:pPr>
            <w:r>
              <w:rPr>
                <w:rFonts w:eastAsia="仿宋_GB2312"/>
                <w:szCs w:val="21"/>
                <w:highlight w:val="none"/>
              </w:rPr>
              <w:t>山药</w:t>
            </w:r>
            <w:r>
              <w:rPr>
                <w:rFonts w:hint="eastAsia" w:eastAsia="仿宋_GB2312"/>
                <w:color w:val="000000"/>
                <w:kern w:val="0"/>
                <w:szCs w:val="21"/>
                <w:highlight w:val="none"/>
              </w:rPr>
              <w:t>*</w:t>
            </w:r>
          </w:p>
        </w:tc>
        <w:tc>
          <w:tcPr>
            <w:tcW w:w="188" w:type="pct"/>
            <w:noWrap w:val="0"/>
            <w:vAlign w:val="center"/>
          </w:tcPr>
          <w:p w14:paraId="5F55BD86">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487353FF">
            <w:pPr>
              <w:spacing w:line="300" w:lineRule="exact"/>
              <w:jc w:val="left"/>
              <w:rPr>
                <w:rFonts w:eastAsia="仿宋_GB2312"/>
                <w:szCs w:val="21"/>
                <w:highlight w:val="none"/>
              </w:rPr>
            </w:pPr>
            <w:r>
              <w:rPr>
                <w:rFonts w:eastAsia="仿宋_GB2312"/>
                <w:szCs w:val="21"/>
                <w:highlight w:val="none"/>
              </w:rPr>
              <w:t>咪鲜胺和咪鲜胺锰盐、涕灭威、毒死蜱</w:t>
            </w:r>
          </w:p>
        </w:tc>
        <w:tc>
          <w:tcPr>
            <w:tcW w:w="751" w:type="pct"/>
            <w:noWrap w:val="0"/>
            <w:vAlign w:val="center"/>
          </w:tcPr>
          <w:p w14:paraId="351BB79E">
            <w:pPr>
              <w:spacing w:line="300" w:lineRule="exact"/>
              <w:jc w:val="left"/>
              <w:rPr>
                <w:rFonts w:eastAsia="仿宋_GB2312"/>
                <w:szCs w:val="21"/>
                <w:highlight w:val="none"/>
              </w:rPr>
            </w:pPr>
            <w:r>
              <w:rPr>
                <w:rFonts w:eastAsia="仿宋_GB2312"/>
                <w:szCs w:val="21"/>
                <w:highlight w:val="none"/>
              </w:rPr>
              <w:t>铅（以 Pb 计）、氯氟氰菊酯和高效氯氟氰菊酯</w:t>
            </w:r>
          </w:p>
        </w:tc>
        <w:tc>
          <w:tcPr>
            <w:tcW w:w="734" w:type="pct"/>
            <w:noWrap w:val="0"/>
            <w:vAlign w:val="center"/>
          </w:tcPr>
          <w:p w14:paraId="32BBBE6D">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EEE7337">
            <w:pPr>
              <w:spacing w:line="300" w:lineRule="exact"/>
              <w:jc w:val="left"/>
              <w:rPr>
                <w:rFonts w:eastAsia="仿宋_GB2312"/>
                <w:szCs w:val="21"/>
                <w:highlight w:val="none"/>
              </w:rPr>
            </w:pPr>
          </w:p>
        </w:tc>
      </w:tr>
      <w:tr w14:paraId="17F7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17B491B">
            <w:pPr>
              <w:spacing w:line="300" w:lineRule="exact"/>
              <w:jc w:val="center"/>
              <w:rPr>
                <w:rFonts w:eastAsia="仿宋_GB2312"/>
                <w:szCs w:val="21"/>
                <w:highlight w:val="none"/>
              </w:rPr>
            </w:pPr>
          </w:p>
        </w:tc>
        <w:tc>
          <w:tcPr>
            <w:tcW w:w="244" w:type="pct"/>
            <w:vMerge w:val="continue"/>
            <w:noWrap w:val="0"/>
            <w:vAlign w:val="center"/>
          </w:tcPr>
          <w:p w14:paraId="56086087">
            <w:pPr>
              <w:spacing w:line="300" w:lineRule="exact"/>
              <w:jc w:val="center"/>
              <w:rPr>
                <w:rFonts w:eastAsia="仿宋_GB2312"/>
                <w:szCs w:val="21"/>
                <w:highlight w:val="none"/>
              </w:rPr>
            </w:pPr>
          </w:p>
        </w:tc>
        <w:tc>
          <w:tcPr>
            <w:tcW w:w="244" w:type="pct"/>
            <w:vMerge w:val="continue"/>
            <w:noWrap w:val="0"/>
            <w:vAlign w:val="center"/>
          </w:tcPr>
          <w:p w14:paraId="16521970">
            <w:pPr>
              <w:spacing w:line="300" w:lineRule="exact"/>
              <w:jc w:val="center"/>
              <w:rPr>
                <w:rFonts w:eastAsia="仿宋_GB2312"/>
                <w:szCs w:val="21"/>
                <w:highlight w:val="none"/>
              </w:rPr>
            </w:pPr>
          </w:p>
        </w:tc>
        <w:tc>
          <w:tcPr>
            <w:tcW w:w="301" w:type="pct"/>
            <w:vMerge w:val="continue"/>
            <w:noWrap w:val="0"/>
            <w:vAlign w:val="center"/>
          </w:tcPr>
          <w:p w14:paraId="3A6E3D2B">
            <w:pPr>
              <w:spacing w:line="300" w:lineRule="exact"/>
              <w:jc w:val="center"/>
              <w:rPr>
                <w:rFonts w:eastAsia="仿宋_GB2312"/>
                <w:szCs w:val="21"/>
                <w:highlight w:val="none"/>
              </w:rPr>
            </w:pPr>
          </w:p>
        </w:tc>
        <w:tc>
          <w:tcPr>
            <w:tcW w:w="419" w:type="pct"/>
            <w:noWrap w:val="0"/>
            <w:vAlign w:val="center"/>
          </w:tcPr>
          <w:p w14:paraId="233234A9">
            <w:pPr>
              <w:spacing w:line="300" w:lineRule="exact"/>
              <w:jc w:val="center"/>
              <w:rPr>
                <w:rFonts w:eastAsia="仿宋_GB2312"/>
                <w:szCs w:val="21"/>
                <w:highlight w:val="none"/>
              </w:rPr>
            </w:pPr>
            <w:r>
              <w:rPr>
                <w:rFonts w:eastAsia="仿宋_GB2312"/>
                <w:szCs w:val="21"/>
                <w:highlight w:val="none"/>
              </w:rPr>
              <w:t>芋</w:t>
            </w:r>
          </w:p>
        </w:tc>
        <w:tc>
          <w:tcPr>
            <w:tcW w:w="188" w:type="pct"/>
            <w:noWrap w:val="0"/>
            <w:vAlign w:val="center"/>
          </w:tcPr>
          <w:p w14:paraId="48AEC961">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5BD1AF45">
            <w:pPr>
              <w:spacing w:line="300" w:lineRule="exact"/>
              <w:jc w:val="left"/>
              <w:rPr>
                <w:rFonts w:eastAsia="仿宋_GB2312"/>
                <w:szCs w:val="21"/>
                <w:highlight w:val="none"/>
              </w:rPr>
            </w:pPr>
            <w:r>
              <w:rPr>
                <w:rFonts w:eastAsia="仿宋_GB2312"/>
                <w:szCs w:val="21"/>
                <w:highlight w:val="none"/>
              </w:rPr>
              <w:t>镉（ 以 Cd 计）、铅（ 以 Pb 计）、氯氟氰菊酯和高效氯氟氰菊酯、毒死蜱、克百威</w:t>
            </w:r>
          </w:p>
        </w:tc>
        <w:tc>
          <w:tcPr>
            <w:tcW w:w="751" w:type="pct"/>
            <w:noWrap w:val="0"/>
            <w:vAlign w:val="center"/>
          </w:tcPr>
          <w:p w14:paraId="7FDE94E7">
            <w:pPr>
              <w:spacing w:line="300" w:lineRule="exact"/>
              <w:jc w:val="left"/>
              <w:rPr>
                <w:rFonts w:eastAsia="仿宋_GB2312"/>
                <w:szCs w:val="21"/>
                <w:highlight w:val="none"/>
              </w:rPr>
            </w:pPr>
            <w:r>
              <w:rPr>
                <w:rFonts w:eastAsia="仿宋_GB2312"/>
                <w:szCs w:val="21"/>
                <w:highlight w:val="none"/>
              </w:rPr>
              <w:t>甲拌磷</w:t>
            </w:r>
          </w:p>
        </w:tc>
        <w:tc>
          <w:tcPr>
            <w:tcW w:w="734" w:type="pct"/>
            <w:noWrap w:val="0"/>
            <w:vAlign w:val="center"/>
          </w:tcPr>
          <w:p w14:paraId="0EBC6043">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7CA0541">
            <w:pPr>
              <w:spacing w:line="300" w:lineRule="exact"/>
              <w:jc w:val="left"/>
              <w:rPr>
                <w:rFonts w:eastAsia="仿宋_GB2312"/>
                <w:szCs w:val="21"/>
                <w:highlight w:val="none"/>
              </w:rPr>
            </w:pPr>
          </w:p>
        </w:tc>
      </w:tr>
      <w:tr w14:paraId="189C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68CEC5B">
            <w:pPr>
              <w:spacing w:line="300" w:lineRule="exact"/>
              <w:jc w:val="center"/>
              <w:rPr>
                <w:rFonts w:eastAsia="仿宋_GB2312"/>
                <w:szCs w:val="21"/>
                <w:highlight w:val="none"/>
              </w:rPr>
            </w:pPr>
          </w:p>
        </w:tc>
        <w:tc>
          <w:tcPr>
            <w:tcW w:w="244" w:type="pct"/>
            <w:vMerge w:val="continue"/>
            <w:noWrap w:val="0"/>
            <w:vAlign w:val="center"/>
          </w:tcPr>
          <w:p w14:paraId="1D5771B7">
            <w:pPr>
              <w:spacing w:line="300" w:lineRule="exact"/>
              <w:jc w:val="center"/>
              <w:rPr>
                <w:rFonts w:eastAsia="仿宋_GB2312"/>
                <w:szCs w:val="21"/>
                <w:highlight w:val="none"/>
              </w:rPr>
            </w:pPr>
          </w:p>
        </w:tc>
        <w:tc>
          <w:tcPr>
            <w:tcW w:w="244" w:type="pct"/>
            <w:vMerge w:val="continue"/>
            <w:noWrap w:val="0"/>
            <w:vAlign w:val="center"/>
          </w:tcPr>
          <w:p w14:paraId="0EB999FB">
            <w:pPr>
              <w:spacing w:line="300" w:lineRule="exact"/>
              <w:jc w:val="center"/>
              <w:rPr>
                <w:rFonts w:eastAsia="仿宋_GB2312"/>
                <w:szCs w:val="21"/>
                <w:highlight w:val="none"/>
              </w:rPr>
            </w:pPr>
          </w:p>
        </w:tc>
        <w:tc>
          <w:tcPr>
            <w:tcW w:w="301" w:type="pct"/>
            <w:noWrap w:val="0"/>
            <w:vAlign w:val="center"/>
          </w:tcPr>
          <w:p w14:paraId="049D575A">
            <w:pPr>
              <w:spacing w:line="300" w:lineRule="exact"/>
              <w:jc w:val="center"/>
              <w:rPr>
                <w:rFonts w:eastAsia="仿宋_GB2312"/>
                <w:szCs w:val="21"/>
                <w:highlight w:val="none"/>
              </w:rPr>
            </w:pPr>
            <w:r>
              <w:rPr>
                <w:rFonts w:eastAsia="仿宋_GB2312"/>
                <w:szCs w:val="21"/>
                <w:highlight w:val="none"/>
              </w:rPr>
              <w:t>茎类蔬菜</w:t>
            </w:r>
          </w:p>
        </w:tc>
        <w:tc>
          <w:tcPr>
            <w:tcW w:w="419" w:type="pct"/>
            <w:noWrap w:val="0"/>
            <w:vAlign w:val="center"/>
          </w:tcPr>
          <w:p w14:paraId="1AB41B87">
            <w:pPr>
              <w:spacing w:line="300" w:lineRule="exact"/>
              <w:jc w:val="center"/>
              <w:rPr>
                <w:rFonts w:eastAsia="仿宋_GB2312"/>
                <w:szCs w:val="21"/>
                <w:highlight w:val="none"/>
              </w:rPr>
            </w:pPr>
            <w:r>
              <w:rPr>
                <w:rFonts w:eastAsia="仿宋_GB2312"/>
                <w:szCs w:val="21"/>
                <w:highlight w:val="none"/>
              </w:rPr>
              <w:t>茎用莴苣</w:t>
            </w:r>
          </w:p>
        </w:tc>
        <w:tc>
          <w:tcPr>
            <w:tcW w:w="188" w:type="pct"/>
            <w:noWrap w:val="0"/>
            <w:vAlign w:val="center"/>
          </w:tcPr>
          <w:p w14:paraId="78EEC5C2">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17C191D0">
            <w:pPr>
              <w:spacing w:line="300" w:lineRule="exact"/>
              <w:jc w:val="left"/>
              <w:rPr>
                <w:rFonts w:eastAsia="仿宋_GB2312"/>
                <w:szCs w:val="21"/>
                <w:highlight w:val="none"/>
              </w:rPr>
            </w:pPr>
            <w:r>
              <w:rPr>
                <w:rFonts w:eastAsia="仿宋_GB2312"/>
                <w:szCs w:val="21"/>
                <w:highlight w:val="none"/>
              </w:rPr>
              <w:t>氯氟氰菊酯和高效氯氟氰菊酯、氧乐果、甲胺磷、氟虫腈、啶虫脒</w:t>
            </w:r>
          </w:p>
        </w:tc>
        <w:tc>
          <w:tcPr>
            <w:tcW w:w="751" w:type="pct"/>
            <w:noWrap w:val="0"/>
            <w:vAlign w:val="center"/>
          </w:tcPr>
          <w:p w14:paraId="69433555">
            <w:pPr>
              <w:spacing w:line="300" w:lineRule="exact"/>
              <w:jc w:val="left"/>
              <w:rPr>
                <w:rFonts w:eastAsia="仿宋_GB2312"/>
                <w:szCs w:val="21"/>
                <w:highlight w:val="none"/>
              </w:rPr>
            </w:pPr>
            <w:r>
              <w:rPr>
                <w:rFonts w:eastAsia="仿宋_GB2312"/>
                <w:szCs w:val="21"/>
                <w:highlight w:val="none"/>
              </w:rPr>
              <w:t>毒死蜱、克百威</w:t>
            </w:r>
          </w:p>
        </w:tc>
        <w:tc>
          <w:tcPr>
            <w:tcW w:w="734" w:type="pct"/>
            <w:noWrap w:val="0"/>
            <w:vAlign w:val="center"/>
          </w:tcPr>
          <w:p w14:paraId="27E944C3">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F135673">
            <w:pPr>
              <w:spacing w:line="300" w:lineRule="exact"/>
              <w:jc w:val="left"/>
              <w:rPr>
                <w:rFonts w:eastAsia="仿宋_GB2312"/>
                <w:szCs w:val="21"/>
                <w:highlight w:val="none"/>
              </w:rPr>
            </w:pPr>
          </w:p>
        </w:tc>
      </w:tr>
      <w:tr w14:paraId="4923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7B516DC">
            <w:pPr>
              <w:spacing w:line="300" w:lineRule="exact"/>
              <w:jc w:val="center"/>
              <w:rPr>
                <w:rFonts w:eastAsia="仿宋_GB2312"/>
                <w:szCs w:val="21"/>
                <w:highlight w:val="none"/>
              </w:rPr>
            </w:pPr>
          </w:p>
        </w:tc>
        <w:tc>
          <w:tcPr>
            <w:tcW w:w="244" w:type="pct"/>
            <w:vMerge w:val="continue"/>
            <w:noWrap w:val="0"/>
            <w:vAlign w:val="center"/>
          </w:tcPr>
          <w:p w14:paraId="3C57BF66">
            <w:pPr>
              <w:spacing w:line="300" w:lineRule="exact"/>
              <w:jc w:val="center"/>
              <w:rPr>
                <w:rFonts w:eastAsia="仿宋_GB2312"/>
                <w:szCs w:val="21"/>
                <w:highlight w:val="none"/>
              </w:rPr>
            </w:pPr>
          </w:p>
        </w:tc>
        <w:tc>
          <w:tcPr>
            <w:tcW w:w="244" w:type="pct"/>
            <w:vMerge w:val="continue"/>
            <w:noWrap w:val="0"/>
            <w:vAlign w:val="center"/>
          </w:tcPr>
          <w:p w14:paraId="1807588E">
            <w:pPr>
              <w:spacing w:line="300" w:lineRule="exact"/>
              <w:jc w:val="center"/>
              <w:rPr>
                <w:rFonts w:eastAsia="仿宋_GB2312"/>
                <w:szCs w:val="21"/>
                <w:highlight w:val="none"/>
              </w:rPr>
            </w:pPr>
          </w:p>
        </w:tc>
        <w:tc>
          <w:tcPr>
            <w:tcW w:w="301" w:type="pct"/>
            <w:noWrap w:val="0"/>
            <w:vAlign w:val="center"/>
          </w:tcPr>
          <w:p w14:paraId="2D80A5E4">
            <w:pPr>
              <w:spacing w:line="300" w:lineRule="exact"/>
              <w:jc w:val="center"/>
              <w:rPr>
                <w:rFonts w:eastAsia="仿宋_GB2312"/>
                <w:szCs w:val="21"/>
                <w:highlight w:val="none"/>
              </w:rPr>
            </w:pPr>
            <w:r>
              <w:rPr>
                <w:rFonts w:eastAsia="仿宋_GB2312"/>
                <w:szCs w:val="21"/>
                <w:highlight w:val="none"/>
              </w:rPr>
              <w:t>水生类蔬菜</w:t>
            </w:r>
          </w:p>
        </w:tc>
        <w:tc>
          <w:tcPr>
            <w:tcW w:w="419" w:type="pct"/>
            <w:noWrap w:val="0"/>
            <w:vAlign w:val="center"/>
          </w:tcPr>
          <w:p w14:paraId="32FFAEBB">
            <w:pPr>
              <w:spacing w:line="300" w:lineRule="exact"/>
              <w:jc w:val="center"/>
              <w:rPr>
                <w:rFonts w:eastAsia="仿宋_GB2312"/>
                <w:szCs w:val="21"/>
                <w:highlight w:val="none"/>
              </w:rPr>
            </w:pPr>
            <w:r>
              <w:rPr>
                <w:rFonts w:eastAsia="仿宋_GB2312"/>
                <w:szCs w:val="21"/>
                <w:highlight w:val="none"/>
              </w:rPr>
              <w:t>莲藕</w:t>
            </w:r>
          </w:p>
        </w:tc>
        <w:tc>
          <w:tcPr>
            <w:tcW w:w="188" w:type="pct"/>
            <w:noWrap w:val="0"/>
            <w:vAlign w:val="center"/>
          </w:tcPr>
          <w:p w14:paraId="2AF1A4F8">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0E04CC27">
            <w:pPr>
              <w:spacing w:line="300" w:lineRule="exact"/>
              <w:jc w:val="left"/>
              <w:rPr>
                <w:rFonts w:eastAsia="仿宋_GB2312"/>
                <w:szCs w:val="21"/>
                <w:highlight w:val="none"/>
              </w:rPr>
            </w:pPr>
            <w:r>
              <w:rPr>
                <w:rFonts w:eastAsia="仿宋_GB2312"/>
                <w:szCs w:val="21"/>
                <w:highlight w:val="none"/>
              </w:rPr>
              <w:t>铅（以Pb计）、镉（以Cd计）、克百威、氧乐果、毒死蜱</w:t>
            </w:r>
          </w:p>
        </w:tc>
        <w:tc>
          <w:tcPr>
            <w:tcW w:w="751" w:type="pct"/>
            <w:noWrap w:val="0"/>
            <w:vAlign w:val="center"/>
          </w:tcPr>
          <w:p w14:paraId="4068F850">
            <w:pPr>
              <w:spacing w:line="300" w:lineRule="exact"/>
              <w:jc w:val="left"/>
              <w:rPr>
                <w:rFonts w:eastAsia="仿宋_GB2312"/>
                <w:szCs w:val="21"/>
                <w:highlight w:val="none"/>
              </w:rPr>
            </w:pPr>
            <w:r>
              <w:rPr>
                <w:rFonts w:eastAsia="仿宋_GB2312"/>
                <w:szCs w:val="21"/>
                <w:highlight w:val="none"/>
              </w:rPr>
              <w:t>多菌灵</w:t>
            </w:r>
          </w:p>
        </w:tc>
        <w:tc>
          <w:tcPr>
            <w:tcW w:w="734" w:type="pct"/>
            <w:noWrap w:val="0"/>
            <w:vAlign w:val="center"/>
          </w:tcPr>
          <w:p w14:paraId="0FD22C57">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44AEDAA">
            <w:pPr>
              <w:spacing w:line="300" w:lineRule="exact"/>
              <w:jc w:val="left"/>
              <w:rPr>
                <w:rFonts w:eastAsia="仿宋_GB2312"/>
                <w:szCs w:val="21"/>
                <w:highlight w:val="none"/>
              </w:rPr>
            </w:pPr>
          </w:p>
        </w:tc>
      </w:tr>
      <w:tr w14:paraId="246D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0CFA8DE">
            <w:pPr>
              <w:spacing w:line="300" w:lineRule="exact"/>
              <w:jc w:val="center"/>
              <w:rPr>
                <w:rFonts w:eastAsia="仿宋_GB2312"/>
                <w:szCs w:val="21"/>
                <w:highlight w:val="none"/>
              </w:rPr>
            </w:pPr>
          </w:p>
        </w:tc>
        <w:tc>
          <w:tcPr>
            <w:tcW w:w="244" w:type="pct"/>
            <w:vMerge w:val="continue"/>
            <w:noWrap w:val="0"/>
            <w:vAlign w:val="center"/>
          </w:tcPr>
          <w:p w14:paraId="752F37EE">
            <w:pPr>
              <w:spacing w:line="300" w:lineRule="exact"/>
              <w:jc w:val="center"/>
              <w:rPr>
                <w:rFonts w:eastAsia="仿宋_GB2312"/>
                <w:szCs w:val="21"/>
                <w:highlight w:val="none"/>
              </w:rPr>
            </w:pPr>
          </w:p>
        </w:tc>
        <w:tc>
          <w:tcPr>
            <w:tcW w:w="244" w:type="pct"/>
            <w:vMerge w:val="continue"/>
            <w:noWrap w:val="0"/>
            <w:vAlign w:val="center"/>
          </w:tcPr>
          <w:p w14:paraId="370BAF03">
            <w:pPr>
              <w:spacing w:line="300" w:lineRule="exact"/>
              <w:jc w:val="center"/>
              <w:rPr>
                <w:rFonts w:eastAsia="仿宋_GB2312"/>
                <w:szCs w:val="21"/>
                <w:highlight w:val="none"/>
              </w:rPr>
            </w:pPr>
          </w:p>
        </w:tc>
        <w:tc>
          <w:tcPr>
            <w:tcW w:w="301" w:type="pct"/>
            <w:vMerge w:val="restart"/>
            <w:noWrap w:val="0"/>
            <w:vAlign w:val="center"/>
          </w:tcPr>
          <w:p w14:paraId="71146E4A">
            <w:pPr>
              <w:spacing w:line="300" w:lineRule="exact"/>
              <w:jc w:val="center"/>
              <w:rPr>
                <w:rFonts w:eastAsia="仿宋_GB2312"/>
                <w:szCs w:val="21"/>
                <w:highlight w:val="none"/>
              </w:rPr>
            </w:pPr>
            <w:r>
              <w:rPr>
                <w:rFonts w:eastAsia="仿宋_GB2312"/>
                <w:szCs w:val="21"/>
                <w:highlight w:val="none"/>
              </w:rPr>
              <w:t>芸薹属类蔬菜</w:t>
            </w:r>
          </w:p>
        </w:tc>
        <w:tc>
          <w:tcPr>
            <w:tcW w:w="419" w:type="pct"/>
            <w:noWrap w:val="0"/>
            <w:vAlign w:val="center"/>
          </w:tcPr>
          <w:p w14:paraId="7DBF3FA8">
            <w:pPr>
              <w:spacing w:line="300" w:lineRule="exact"/>
              <w:jc w:val="center"/>
              <w:rPr>
                <w:rFonts w:eastAsia="仿宋_GB2312"/>
                <w:szCs w:val="21"/>
                <w:highlight w:val="none"/>
              </w:rPr>
            </w:pPr>
            <w:r>
              <w:rPr>
                <w:rFonts w:eastAsia="仿宋_GB2312"/>
                <w:szCs w:val="21"/>
                <w:highlight w:val="none"/>
              </w:rPr>
              <w:t>菜薹</w:t>
            </w:r>
          </w:p>
        </w:tc>
        <w:tc>
          <w:tcPr>
            <w:tcW w:w="188" w:type="pct"/>
            <w:noWrap w:val="0"/>
            <w:vAlign w:val="center"/>
          </w:tcPr>
          <w:p w14:paraId="3334D3AC">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5450AF7B">
            <w:pPr>
              <w:spacing w:line="300" w:lineRule="exact"/>
              <w:jc w:val="left"/>
              <w:rPr>
                <w:rFonts w:eastAsia="仿宋_GB2312"/>
                <w:szCs w:val="21"/>
                <w:highlight w:val="none"/>
              </w:rPr>
            </w:pPr>
            <w:r>
              <w:rPr>
                <w:rFonts w:eastAsia="仿宋_GB2312"/>
                <w:szCs w:val="21"/>
                <w:highlight w:val="none"/>
              </w:rPr>
              <w:t>镉（以Cd计）、噻虫胺、噻虫嗪、毒死蜱、克百威、氧乐果</w:t>
            </w:r>
          </w:p>
        </w:tc>
        <w:tc>
          <w:tcPr>
            <w:tcW w:w="751" w:type="pct"/>
            <w:noWrap w:val="0"/>
            <w:vAlign w:val="center"/>
          </w:tcPr>
          <w:p w14:paraId="3A689774">
            <w:pPr>
              <w:spacing w:line="300" w:lineRule="exact"/>
              <w:jc w:val="left"/>
              <w:rPr>
                <w:rFonts w:eastAsia="仿宋_GB2312"/>
                <w:szCs w:val="21"/>
                <w:highlight w:val="none"/>
              </w:rPr>
            </w:pPr>
            <w:r>
              <w:rPr>
                <w:rFonts w:eastAsia="仿宋_GB2312"/>
                <w:szCs w:val="21"/>
                <w:highlight w:val="none"/>
              </w:rPr>
              <w:t>氟虫腈、阿维菌素</w:t>
            </w:r>
          </w:p>
        </w:tc>
        <w:tc>
          <w:tcPr>
            <w:tcW w:w="734" w:type="pct"/>
            <w:noWrap w:val="0"/>
            <w:vAlign w:val="center"/>
          </w:tcPr>
          <w:p w14:paraId="11573030">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A67324B">
            <w:pPr>
              <w:spacing w:line="300" w:lineRule="exact"/>
              <w:jc w:val="left"/>
              <w:rPr>
                <w:rFonts w:eastAsia="仿宋_GB2312"/>
                <w:szCs w:val="21"/>
                <w:highlight w:val="none"/>
              </w:rPr>
            </w:pPr>
          </w:p>
        </w:tc>
      </w:tr>
      <w:tr w14:paraId="2360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C1A4916">
            <w:pPr>
              <w:spacing w:line="300" w:lineRule="exact"/>
              <w:jc w:val="center"/>
              <w:rPr>
                <w:rFonts w:eastAsia="仿宋_GB2312"/>
                <w:szCs w:val="21"/>
                <w:highlight w:val="none"/>
              </w:rPr>
            </w:pPr>
          </w:p>
        </w:tc>
        <w:tc>
          <w:tcPr>
            <w:tcW w:w="244" w:type="pct"/>
            <w:vMerge w:val="continue"/>
            <w:noWrap w:val="0"/>
            <w:vAlign w:val="center"/>
          </w:tcPr>
          <w:p w14:paraId="7BA31D9A">
            <w:pPr>
              <w:spacing w:line="300" w:lineRule="exact"/>
              <w:jc w:val="center"/>
              <w:rPr>
                <w:rFonts w:eastAsia="仿宋_GB2312"/>
                <w:szCs w:val="21"/>
                <w:highlight w:val="none"/>
              </w:rPr>
            </w:pPr>
          </w:p>
        </w:tc>
        <w:tc>
          <w:tcPr>
            <w:tcW w:w="244" w:type="pct"/>
            <w:vMerge w:val="continue"/>
            <w:noWrap w:val="0"/>
            <w:vAlign w:val="center"/>
          </w:tcPr>
          <w:p w14:paraId="699873C3">
            <w:pPr>
              <w:spacing w:line="300" w:lineRule="exact"/>
              <w:jc w:val="center"/>
              <w:rPr>
                <w:rFonts w:eastAsia="仿宋_GB2312"/>
                <w:szCs w:val="21"/>
                <w:highlight w:val="none"/>
              </w:rPr>
            </w:pPr>
          </w:p>
        </w:tc>
        <w:tc>
          <w:tcPr>
            <w:tcW w:w="301" w:type="pct"/>
            <w:vMerge w:val="continue"/>
            <w:noWrap w:val="0"/>
            <w:vAlign w:val="center"/>
          </w:tcPr>
          <w:p w14:paraId="03A83B28">
            <w:pPr>
              <w:spacing w:line="300" w:lineRule="exact"/>
              <w:jc w:val="center"/>
              <w:rPr>
                <w:rFonts w:eastAsia="仿宋_GB2312"/>
                <w:szCs w:val="21"/>
                <w:highlight w:val="none"/>
              </w:rPr>
            </w:pPr>
          </w:p>
        </w:tc>
        <w:tc>
          <w:tcPr>
            <w:tcW w:w="419" w:type="pct"/>
            <w:noWrap w:val="0"/>
            <w:vAlign w:val="center"/>
          </w:tcPr>
          <w:p w14:paraId="5100AB97">
            <w:pPr>
              <w:spacing w:line="300" w:lineRule="exact"/>
              <w:jc w:val="center"/>
              <w:rPr>
                <w:rFonts w:eastAsia="仿宋_GB2312"/>
                <w:szCs w:val="21"/>
                <w:highlight w:val="none"/>
              </w:rPr>
            </w:pPr>
            <w:r>
              <w:rPr>
                <w:rFonts w:eastAsia="仿宋_GB2312"/>
                <w:szCs w:val="21"/>
                <w:highlight w:val="none"/>
              </w:rPr>
              <w:t>结球甘蓝</w:t>
            </w:r>
          </w:p>
        </w:tc>
        <w:tc>
          <w:tcPr>
            <w:tcW w:w="188" w:type="pct"/>
            <w:noWrap w:val="0"/>
            <w:vAlign w:val="center"/>
          </w:tcPr>
          <w:p w14:paraId="18049DB7">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722E5EDB">
            <w:pPr>
              <w:spacing w:line="300" w:lineRule="exact"/>
              <w:jc w:val="left"/>
              <w:rPr>
                <w:rFonts w:eastAsia="仿宋_GB2312"/>
                <w:szCs w:val="21"/>
                <w:highlight w:val="none"/>
              </w:rPr>
            </w:pPr>
            <w:r>
              <w:rPr>
                <w:rFonts w:eastAsia="仿宋_GB2312"/>
                <w:szCs w:val="21"/>
                <w:highlight w:val="none"/>
              </w:rPr>
              <w:t>噻虫嗪、苯醚甲环唑、乙酰甲胺磷、毒死蜱、克百威、甲基异柳磷</w:t>
            </w:r>
          </w:p>
        </w:tc>
        <w:tc>
          <w:tcPr>
            <w:tcW w:w="751" w:type="pct"/>
            <w:noWrap w:val="0"/>
            <w:vAlign w:val="center"/>
          </w:tcPr>
          <w:p w14:paraId="721BE62B">
            <w:pPr>
              <w:spacing w:line="300" w:lineRule="exact"/>
              <w:jc w:val="left"/>
              <w:rPr>
                <w:rFonts w:eastAsia="仿宋_GB2312"/>
                <w:szCs w:val="21"/>
                <w:highlight w:val="none"/>
              </w:rPr>
            </w:pPr>
            <w:r>
              <w:rPr>
                <w:rFonts w:eastAsia="仿宋_GB2312"/>
                <w:szCs w:val="21"/>
                <w:highlight w:val="none"/>
              </w:rPr>
              <w:t>氟虫腈、阿维菌素</w:t>
            </w:r>
          </w:p>
        </w:tc>
        <w:tc>
          <w:tcPr>
            <w:tcW w:w="734" w:type="pct"/>
            <w:noWrap w:val="0"/>
            <w:vAlign w:val="center"/>
          </w:tcPr>
          <w:p w14:paraId="08F60122">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6E086B3">
            <w:pPr>
              <w:spacing w:line="300" w:lineRule="exact"/>
              <w:jc w:val="left"/>
              <w:rPr>
                <w:rFonts w:eastAsia="仿宋_GB2312"/>
                <w:szCs w:val="21"/>
                <w:highlight w:val="none"/>
              </w:rPr>
            </w:pPr>
          </w:p>
        </w:tc>
      </w:tr>
      <w:tr w14:paraId="375C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7803F4C">
            <w:pPr>
              <w:spacing w:line="300" w:lineRule="exact"/>
              <w:jc w:val="center"/>
              <w:rPr>
                <w:rFonts w:eastAsia="仿宋_GB2312"/>
                <w:szCs w:val="21"/>
                <w:highlight w:val="none"/>
              </w:rPr>
            </w:pPr>
          </w:p>
        </w:tc>
        <w:tc>
          <w:tcPr>
            <w:tcW w:w="244" w:type="pct"/>
            <w:vMerge w:val="continue"/>
            <w:noWrap w:val="0"/>
            <w:vAlign w:val="center"/>
          </w:tcPr>
          <w:p w14:paraId="31B7A95D">
            <w:pPr>
              <w:spacing w:line="300" w:lineRule="exact"/>
              <w:jc w:val="center"/>
              <w:rPr>
                <w:rFonts w:eastAsia="仿宋_GB2312"/>
                <w:szCs w:val="21"/>
                <w:highlight w:val="none"/>
              </w:rPr>
            </w:pPr>
          </w:p>
        </w:tc>
        <w:tc>
          <w:tcPr>
            <w:tcW w:w="244" w:type="pct"/>
            <w:vMerge w:val="continue"/>
            <w:noWrap w:val="0"/>
            <w:vAlign w:val="center"/>
          </w:tcPr>
          <w:p w14:paraId="0B1B8F56">
            <w:pPr>
              <w:spacing w:line="300" w:lineRule="exact"/>
              <w:jc w:val="center"/>
              <w:rPr>
                <w:rFonts w:eastAsia="仿宋_GB2312"/>
                <w:szCs w:val="21"/>
                <w:highlight w:val="none"/>
              </w:rPr>
            </w:pPr>
          </w:p>
        </w:tc>
        <w:tc>
          <w:tcPr>
            <w:tcW w:w="301" w:type="pct"/>
            <w:noWrap w:val="0"/>
            <w:vAlign w:val="center"/>
          </w:tcPr>
          <w:p w14:paraId="5384192D">
            <w:pPr>
              <w:spacing w:line="300" w:lineRule="exact"/>
              <w:jc w:val="center"/>
              <w:rPr>
                <w:rFonts w:eastAsia="仿宋_GB2312"/>
                <w:szCs w:val="21"/>
                <w:highlight w:val="none"/>
              </w:rPr>
            </w:pPr>
            <w:r>
              <w:rPr>
                <w:rFonts w:eastAsia="仿宋_GB2312"/>
                <w:szCs w:val="21"/>
                <w:highlight w:val="none"/>
              </w:rPr>
              <w:t>鲜食用菌</w:t>
            </w:r>
          </w:p>
        </w:tc>
        <w:tc>
          <w:tcPr>
            <w:tcW w:w="419" w:type="pct"/>
            <w:noWrap w:val="0"/>
            <w:vAlign w:val="center"/>
          </w:tcPr>
          <w:p w14:paraId="4EE44BD9">
            <w:pPr>
              <w:spacing w:line="300" w:lineRule="exact"/>
              <w:jc w:val="center"/>
              <w:rPr>
                <w:rFonts w:eastAsia="仿宋_GB2312"/>
                <w:szCs w:val="21"/>
                <w:highlight w:val="none"/>
              </w:rPr>
            </w:pPr>
            <w:r>
              <w:rPr>
                <w:rFonts w:eastAsia="仿宋_GB2312"/>
                <w:szCs w:val="21"/>
                <w:highlight w:val="none"/>
              </w:rPr>
              <w:t>鲜食用菌</w:t>
            </w:r>
          </w:p>
        </w:tc>
        <w:tc>
          <w:tcPr>
            <w:tcW w:w="188" w:type="pct"/>
            <w:noWrap w:val="0"/>
            <w:vAlign w:val="center"/>
          </w:tcPr>
          <w:p w14:paraId="7089F6CC">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546E60BE">
            <w:pPr>
              <w:spacing w:line="300" w:lineRule="exact"/>
              <w:jc w:val="left"/>
              <w:rPr>
                <w:rFonts w:eastAsia="仿宋_GB2312"/>
                <w:szCs w:val="21"/>
                <w:highlight w:val="none"/>
              </w:rPr>
            </w:pPr>
            <w:r>
              <w:rPr>
                <w:rFonts w:eastAsia="仿宋_GB2312"/>
                <w:szCs w:val="21"/>
                <w:highlight w:val="none"/>
              </w:rPr>
              <w:t>铅（ 以 Pb 计）、镉（以 Cd 计）、百菌清、除虫脲、氯氟氰菊酯和高效氯氟氰菊酯、氯氰菊酯和高效氯氰菊酯</w:t>
            </w:r>
          </w:p>
        </w:tc>
        <w:tc>
          <w:tcPr>
            <w:tcW w:w="751" w:type="pct"/>
            <w:noWrap w:val="0"/>
            <w:vAlign w:val="center"/>
          </w:tcPr>
          <w:p w14:paraId="6A989E2B">
            <w:pPr>
              <w:spacing w:line="300" w:lineRule="exact"/>
              <w:jc w:val="left"/>
              <w:rPr>
                <w:rFonts w:eastAsia="仿宋_GB2312"/>
                <w:szCs w:val="21"/>
                <w:highlight w:val="none"/>
              </w:rPr>
            </w:pPr>
          </w:p>
        </w:tc>
        <w:tc>
          <w:tcPr>
            <w:tcW w:w="734" w:type="pct"/>
            <w:noWrap w:val="0"/>
            <w:vAlign w:val="center"/>
          </w:tcPr>
          <w:p w14:paraId="78A6BA5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830CDD6">
            <w:pPr>
              <w:spacing w:line="300" w:lineRule="exact"/>
              <w:jc w:val="left"/>
              <w:rPr>
                <w:rFonts w:eastAsia="仿宋_GB2312"/>
                <w:szCs w:val="21"/>
                <w:highlight w:val="none"/>
              </w:rPr>
            </w:pPr>
          </w:p>
        </w:tc>
      </w:tr>
      <w:tr w14:paraId="0090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2D40E81">
            <w:pPr>
              <w:spacing w:line="300" w:lineRule="exact"/>
              <w:jc w:val="center"/>
              <w:rPr>
                <w:rFonts w:eastAsia="仿宋_GB2312"/>
                <w:szCs w:val="21"/>
                <w:highlight w:val="none"/>
              </w:rPr>
            </w:pPr>
          </w:p>
        </w:tc>
        <w:tc>
          <w:tcPr>
            <w:tcW w:w="244" w:type="pct"/>
            <w:vMerge w:val="continue"/>
            <w:noWrap w:val="0"/>
            <w:vAlign w:val="center"/>
          </w:tcPr>
          <w:p w14:paraId="6E07C465">
            <w:pPr>
              <w:spacing w:line="300" w:lineRule="exact"/>
              <w:jc w:val="center"/>
              <w:rPr>
                <w:rFonts w:eastAsia="仿宋_GB2312"/>
                <w:szCs w:val="21"/>
                <w:highlight w:val="none"/>
              </w:rPr>
            </w:pPr>
          </w:p>
        </w:tc>
        <w:tc>
          <w:tcPr>
            <w:tcW w:w="244" w:type="pct"/>
            <w:vMerge w:val="continue"/>
            <w:noWrap w:val="0"/>
            <w:vAlign w:val="center"/>
          </w:tcPr>
          <w:p w14:paraId="7D78E539">
            <w:pPr>
              <w:spacing w:line="300" w:lineRule="exact"/>
              <w:jc w:val="center"/>
              <w:rPr>
                <w:rFonts w:eastAsia="仿宋_GB2312"/>
                <w:szCs w:val="21"/>
                <w:highlight w:val="none"/>
              </w:rPr>
            </w:pPr>
          </w:p>
        </w:tc>
        <w:tc>
          <w:tcPr>
            <w:tcW w:w="301" w:type="pct"/>
            <w:noWrap w:val="0"/>
            <w:vAlign w:val="center"/>
          </w:tcPr>
          <w:p w14:paraId="42CF7096">
            <w:pPr>
              <w:spacing w:line="300" w:lineRule="exact"/>
              <w:jc w:val="center"/>
              <w:rPr>
                <w:rFonts w:eastAsia="仿宋_GB2312"/>
                <w:szCs w:val="21"/>
                <w:highlight w:val="none"/>
              </w:rPr>
            </w:pPr>
            <w:r>
              <w:rPr>
                <w:rFonts w:eastAsia="仿宋_GB2312"/>
                <w:szCs w:val="21"/>
                <w:highlight w:val="none"/>
              </w:rPr>
              <w:t>去皮蔬菜</w:t>
            </w:r>
          </w:p>
        </w:tc>
        <w:tc>
          <w:tcPr>
            <w:tcW w:w="419" w:type="pct"/>
            <w:noWrap w:val="0"/>
            <w:vAlign w:val="center"/>
          </w:tcPr>
          <w:p w14:paraId="3DFF1BFA">
            <w:pPr>
              <w:spacing w:line="300" w:lineRule="exact"/>
              <w:jc w:val="center"/>
              <w:rPr>
                <w:rFonts w:eastAsia="仿宋_GB2312"/>
                <w:szCs w:val="21"/>
                <w:highlight w:val="none"/>
              </w:rPr>
            </w:pPr>
            <w:r>
              <w:rPr>
                <w:rFonts w:eastAsia="仿宋_GB2312"/>
                <w:szCs w:val="21"/>
                <w:highlight w:val="none"/>
              </w:rPr>
              <w:t>去皮蔬菜</w:t>
            </w:r>
          </w:p>
        </w:tc>
        <w:tc>
          <w:tcPr>
            <w:tcW w:w="188" w:type="pct"/>
            <w:noWrap w:val="0"/>
            <w:vAlign w:val="center"/>
          </w:tcPr>
          <w:p w14:paraId="6B0F5892">
            <w:pPr>
              <w:spacing w:line="300" w:lineRule="exact"/>
              <w:jc w:val="center"/>
              <w:rPr>
                <w:rFonts w:eastAsia="仿宋_GB2312"/>
                <w:szCs w:val="21"/>
                <w:highlight w:val="none"/>
              </w:rPr>
            </w:pPr>
            <w:r>
              <w:rPr>
                <w:rFonts w:eastAsia="仿宋_GB2312"/>
                <w:szCs w:val="21"/>
                <w:highlight w:val="none"/>
              </w:rPr>
              <w:t>较高</w:t>
            </w:r>
          </w:p>
        </w:tc>
        <w:tc>
          <w:tcPr>
            <w:tcW w:w="1229" w:type="pct"/>
            <w:noWrap w:val="0"/>
            <w:vAlign w:val="center"/>
          </w:tcPr>
          <w:p w14:paraId="7D88320E">
            <w:pPr>
              <w:spacing w:line="300" w:lineRule="exact"/>
              <w:jc w:val="left"/>
              <w:rPr>
                <w:rFonts w:eastAsia="仿宋_GB2312"/>
                <w:szCs w:val="21"/>
                <w:highlight w:val="none"/>
              </w:rPr>
            </w:pPr>
            <w:r>
              <w:rPr>
                <w:rFonts w:eastAsia="仿宋_GB2312"/>
                <w:szCs w:val="21"/>
                <w:highlight w:val="none"/>
              </w:rPr>
              <w:t>苯甲酸及其钠盐（以苯甲酸计）、山梨酸及其钾盐（以山梨酸计）、脱氢乙酸及其钠盐（以脱氢乙酸计）、二氧化硫残留量、合成着色剂（柠檬黄、日落黄、胭脂红、苋菜红、亮蓝、诱惑红）</w:t>
            </w:r>
          </w:p>
        </w:tc>
        <w:tc>
          <w:tcPr>
            <w:tcW w:w="751" w:type="pct"/>
            <w:noWrap w:val="0"/>
            <w:vAlign w:val="center"/>
          </w:tcPr>
          <w:p w14:paraId="19074814">
            <w:pPr>
              <w:spacing w:line="300" w:lineRule="exact"/>
              <w:jc w:val="left"/>
              <w:rPr>
                <w:rFonts w:eastAsia="仿宋_GB2312"/>
                <w:szCs w:val="21"/>
                <w:highlight w:val="none"/>
              </w:rPr>
            </w:pPr>
            <w:r>
              <w:rPr>
                <w:rFonts w:eastAsia="仿宋_GB2312"/>
                <w:szCs w:val="21"/>
                <w:highlight w:val="none"/>
              </w:rPr>
              <w:t>/</w:t>
            </w:r>
          </w:p>
        </w:tc>
        <w:tc>
          <w:tcPr>
            <w:tcW w:w="734" w:type="pct"/>
            <w:noWrap w:val="0"/>
            <w:vAlign w:val="center"/>
          </w:tcPr>
          <w:p w14:paraId="486CEEB0">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11A2A4E">
            <w:pPr>
              <w:spacing w:line="300" w:lineRule="exact"/>
              <w:jc w:val="left"/>
              <w:rPr>
                <w:rFonts w:eastAsia="仿宋_GB2312"/>
                <w:szCs w:val="21"/>
                <w:highlight w:val="none"/>
              </w:rPr>
            </w:pPr>
          </w:p>
        </w:tc>
      </w:tr>
      <w:tr w14:paraId="483A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restart"/>
            <w:noWrap w:val="0"/>
            <w:vAlign w:val="center"/>
          </w:tcPr>
          <w:p w14:paraId="43EFF13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3</w:t>
            </w:r>
          </w:p>
        </w:tc>
        <w:tc>
          <w:tcPr>
            <w:tcW w:w="244" w:type="pct"/>
            <w:vMerge w:val="restart"/>
            <w:noWrap w:val="0"/>
            <w:vAlign w:val="center"/>
          </w:tcPr>
          <w:p w14:paraId="7DFB07F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水产品</w:t>
            </w:r>
          </w:p>
        </w:tc>
        <w:tc>
          <w:tcPr>
            <w:tcW w:w="244" w:type="pct"/>
            <w:vMerge w:val="restart"/>
            <w:noWrap w:val="0"/>
            <w:vAlign w:val="center"/>
          </w:tcPr>
          <w:p w14:paraId="5E8D1D75">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水产品</w:t>
            </w:r>
          </w:p>
        </w:tc>
        <w:tc>
          <w:tcPr>
            <w:tcW w:w="301" w:type="pct"/>
            <w:vMerge w:val="restart"/>
            <w:noWrap w:val="0"/>
            <w:vAlign w:val="center"/>
          </w:tcPr>
          <w:p w14:paraId="69B79863">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淡水产品</w:t>
            </w:r>
          </w:p>
        </w:tc>
        <w:tc>
          <w:tcPr>
            <w:tcW w:w="419" w:type="pct"/>
            <w:noWrap w:val="0"/>
            <w:vAlign w:val="center"/>
          </w:tcPr>
          <w:p w14:paraId="6B66BD3C">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淡水鱼</w:t>
            </w:r>
            <w:r>
              <w:rPr>
                <w:rFonts w:hint="eastAsia" w:eastAsia="仿宋_GB2312"/>
                <w:color w:val="000000"/>
                <w:kern w:val="0"/>
                <w:szCs w:val="21"/>
                <w:highlight w:val="none"/>
              </w:rPr>
              <w:t>*</w:t>
            </w:r>
          </w:p>
        </w:tc>
        <w:tc>
          <w:tcPr>
            <w:tcW w:w="188" w:type="pct"/>
            <w:noWrap w:val="0"/>
            <w:vAlign w:val="center"/>
          </w:tcPr>
          <w:p w14:paraId="23F0445D">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5064E6FE">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恩诺沙星、孔雀石绿、磺胺类（总量）、氧氟沙星、呋喃唑酮代谢物</w:t>
            </w:r>
          </w:p>
        </w:tc>
        <w:tc>
          <w:tcPr>
            <w:tcW w:w="751" w:type="pct"/>
            <w:noWrap w:val="0"/>
            <w:vAlign w:val="center"/>
          </w:tcPr>
          <w:p w14:paraId="448E36FC">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氯霉素、呋喃西林代谢物、五氯酚酸钠（以五氯酚计）、地西泮</w:t>
            </w:r>
          </w:p>
        </w:tc>
        <w:tc>
          <w:tcPr>
            <w:tcW w:w="734" w:type="pct"/>
            <w:noWrap w:val="0"/>
            <w:vAlign w:val="center"/>
          </w:tcPr>
          <w:p w14:paraId="528BBF07">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FFB108A">
            <w:pPr>
              <w:widowControl/>
              <w:jc w:val="left"/>
              <w:textAlignment w:val="center"/>
              <w:rPr>
                <w:rFonts w:eastAsia="仿宋_GB2312"/>
                <w:color w:val="000000"/>
                <w:kern w:val="0"/>
                <w:szCs w:val="21"/>
                <w:highlight w:val="none"/>
                <w:lang w:bidi="ar"/>
              </w:rPr>
            </w:pPr>
          </w:p>
        </w:tc>
      </w:tr>
      <w:tr w14:paraId="1657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55D85C9">
            <w:pPr>
              <w:spacing w:line="300" w:lineRule="exact"/>
              <w:jc w:val="center"/>
              <w:rPr>
                <w:rFonts w:eastAsia="仿宋_GB2312"/>
                <w:szCs w:val="21"/>
                <w:highlight w:val="none"/>
              </w:rPr>
            </w:pPr>
          </w:p>
        </w:tc>
        <w:tc>
          <w:tcPr>
            <w:tcW w:w="244" w:type="pct"/>
            <w:vMerge w:val="continue"/>
            <w:noWrap w:val="0"/>
            <w:vAlign w:val="center"/>
          </w:tcPr>
          <w:p w14:paraId="3F741B5A">
            <w:pPr>
              <w:spacing w:line="300" w:lineRule="exact"/>
              <w:jc w:val="center"/>
              <w:rPr>
                <w:rFonts w:eastAsia="仿宋_GB2312"/>
                <w:szCs w:val="21"/>
                <w:highlight w:val="none"/>
              </w:rPr>
            </w:pPr>
          </w:p>
        </w:tc>
        <w:tc>
          <w:tcPr>
            <w:tcW w:w="244" w:type="pct"/>
            <w:vMerge w:val="continue"/>
            <w:noWrap w:val="0"/>
            <w:vAlign w:val="center"/>
          </w:tcPr>
          <w:p w14:paraId="7B3887C0">
            <w:pPr>
              <w:spacing w:line="300" w:lineRule="exact"/>
              <w:jc w:val="center"/>
              <w:rPr>
                <w:rFonts w:eastAsia="仿宋_GB2312"/>
                <w:szCs w:val="21"/>
                <w:highlight w:val="none"/>
              </w:rPr>
            </w:pPr>
          </w:p>
        </w:tc>
        <w:tc>
          <w:tcPr>
            <w:tcW w:w="301" w:type="pct"/>
            <w:vMerge w:val="continue"/>
            <w:noWrap w:val="0"/>
            <w:vAlign w:val="center"/>
          </w:tcPr>
          <w:p w14:paraId="4B804A7D">
            <w:pPr>
              <w:spacing w:line="300" w:lineRule="exact"/>
              <w:jc w:val="center"/>
              <w:rPr>
                <w:rFonts w:eastAsia="仿宋_GB2312"/>
                <w:szCs w:val="21"/>
                <w:highlight w:val="none"/>
              </w:rPr>
            </w:pPr>
          </w:p>
        </w:tc>
        <w:tc>
          <w:tcPr>
            <w:tcW w:w="419" w:type="pct"/>
            <w:noWrap w:val="0"/>
            <w:vAlign w:val="center"/>
          </w:tcPr>
          <w:p w14:paraId="72E4A0A6">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淡水虾</w:t>
            </w:r>
            <w:r>
              <w:rPr>
                <w:rFonts w:hint="eastAsia" w:eastAsia="仿宋_GB2312"/>
                <w:color w:val="000000"/>
                <w:kern w:val="0"/>
                <w:szCs w:val="21"/>
                <w:highlight w:val="none"/>
              </w:rPr>
              <w:t>*</w:t>
            </w:r>
            <w:r>
              <w:rPr>
                <w:rFonts w:eastAsia="仿宋_GB2312"/>
                <w:color w:val="000000"/>
                <w:kern w:val="0"/>
                <w:szCs w:val="21"/>
                <w:highlight w:val="none"/>
              </w:rPr>
              <w:t>（重点品种：罗氏沼虾）</w:t>
            </w:r>
          </w:p>
        </w:tc>
        <w:tc>
          <w:tcPr>
            <w:tcW w:w="188" w:type="pct"/>
            <w:noWrap w:val="0"/>
            <w:vAlign w:val="center"/>
          </w:tcPr>
          <w:p w14:paraId="05B0C690">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4DD6ED88">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恩诺沙星、呋喃唑酮代谢物</w:t>
            </w:r>
          </w:p>
        </w:tc>
        <w:tc>
          <w:tcPr>
            <w:tcW w:w="751" w:type="pct"/>
            <w:noWrap w:val="0"/>
            <w:vAlign w:val="center"/>
          </w:tcPr>
          <w:p w14:paraId="6198C9C6">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呋喃妥因代谢物、磺胺类（总量）、氧氟沙星、诺氟沙星</w:t>
            </w:r>
          </w:p>
        </w:tc>
        <w:tc>
          <w:tcPr>
            <w:tcW w:w="734" w:type="pct"/>
            <w:noWrap w:val="0"/>
            <w:vAlign w:val="center"/>
          </w:tcPr>
          <w:p w14:paraId="15FF46EE">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A2C3E47">
            <w:pPr>
              <w:widowControl/>
              <w:jc w:val="left"/>
              <w:textAlignment w:val="center"/>
              <w:rPr>
                <w:rFonts w:eastAsia="仿宋_GB2312"/>
                <w:color w:val="000000"/>
                <w:kern w:val="0"/>
                <w:szCs w:val="21"/>
                <w:highlight w:val="none"/>
                <w:lang w:bidi="ar"/>
              </w:rPr>
            </w:pPr>
          </w:p>
        </w:tc>
      </w:tr>
      <w:tr w14:paraId="55FE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810AD00">
            <w:pPr>
              <w:spacing w:line="300" w:lineRule="exact"/>
              <w:jc w:val="center"/>
              <w:rPr>
                <w:rFonts w:eastAsia="仿宋_GB2312"/>
                <w:szCs w:val="21"/>
                <w:highlight w:val="none"/>
              </w:rPr>
            </w:pPr>
          </w:p>
        </w:tc>
        <w:tc>
          <w:tcPr>
            <w:tcW w:w="244" w:type="pct"/>
            <w:vMerge w:val="continue"/>
            <w:noWrap w:val="0"/>
            <w:vAlign w:val="center"/>
          </w:tcPr>
          <w:p w14:paraId="293C4CDC">
            <w:pPr>
              <w:spacing w:line="300" w:lineRule="exact"/>
              <w:jc w:val="center"/>
              <w:rPr>
                <w:rFonts w:eastAsia="仿宋_GB2312"/>
                <w:szCs w:val="21"/>
                <w:highlight w:val="none"/>
              </w:rPr>
            </w:pPr>
          </w:p>
        </w:tc>
        <w:tc>
          <w:tcPr>
            <w:tcW w:w="244" w:type="pct"/>
            <w:vMerge w:val="continue"/>
            <w:noWrap w:val="0"/>
            <w:vAlign w:val="center"/>
          </w:tcPr>
          <w:p w14:paraId="5FFFABFD">
            <w:pPr>
              <w:spacing w:line="300" w:lineRule="exact"/>
              <w:jc w:val="center"/>
              <w:rPr>
                <w:rFonts w:eastAsia="仿宋_GB2312"/>
                <w:szCs w:val="21"/>
                <w:highlight w:val="none"/>
              </w:rPr>
            </w:pPr>
          </w:p>
        </w:tc>
        <w:tc>
          <w:tcPr>
            <w:tcW w:w="301" w:type="pct"/>
            <w:vMerge w:val="continue"/>
            <w:noWrap w:val="0"/>
            <w:vAlign w:val="center"/>
          </w:tcPr>
          <w:p w14:paraId="7C2B462C">
            <w:pPr>
              <w:spacing w:line="300" w:lineRule="exact"/>
              <w:jc w:val="center"/>
              <w:rPr>
                <w:rFonts w:eastAsia="仿宋_GB2312"/>
                <w:szCs w:val="21"/>
                <w:highlight w:val="none"/>
              </w:rPr>
            </w:pPr>
          </w:p>
        </w:tc>
        <w:tc>
          <w:tcPr>
            <w:tcW w:w="419" w:type="pct"/>
            <w:noWrap w:val="0"/>
            <w:vAlign w:val="center"/>
          </w:tcPr>
          <w:p w14:paraId="34515F4C">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淡水蟹</w:t>
            </w:r>
          </w:p>
        </w:tc>
        <w:tc>
          <w:tcPr>
            <w:tcW w:w="188" w:type="pct"/>
            <w:noWrap w:val="0"/>
            <w:vAlign w:val="center"/>
          </w:tcPr>
          <w:p w14:paraId="235277CC">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0F40C44C">
            <w:pPr>
              <w:widowControl/>
              <w:jc w:val="left"/>
              <w:textAlignment w:val="center"/>
              <w:rPr>
                <w:rFonts w:eastAsia="仿宋_GB2312"/>
                <w:color w:val="000000"/>
                <w:szCs w:val="21"/>
                <w:highlight w:val="none"/>
              </w:rPr>
            </w:pPr>
            <w:r>
              <w:rPr>
                <w:rFonts w:eastAsia="仿宋_GB2312"/>
                <w:color w:val="000000"/>
                <w:kern w:val="0"/>
                <w:szCs w:val="21"/>
                <w:highlight w:val="none"/>
                <w:lang w:bidi="ar"/>
              </w:rPr>
              <w:t>镉（以Cd计）、孔雀石绿、氯霉素、五氯酚酸钠（以五氯酚计）、呋喃唑酮代谢物</w:t>
            </w:r>
          </w:p>
        </w:tc>
        <w:tc>
          <w:tcPr>
            <w:tcW w:w="751" w:type="pct"/>
            <w:noWrap w:val="0"/>
            <w:vAlign w:val="center"/>
          </w:tcPr>
          <w:p w14:paraId="7B58AD57">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w:t>
            </w:r>
          </w:p>
        </w:tc>
        <w:tc>
          <w:tcPr>
            <w:tcW w:w="734" w:type="pct"/>
            <w:noWrap w:val="0"/>
            <w:vAlign w:val="center"/>
          </w:tcPr>
          <w:p w14:paraId="08DBA35B">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FB2A49F">
            <w:pPr>
              <w:widowControl/>
              <w:jc w:val="left"/>
              <w:textAlignment w:val="center"/>
              <w:rPr>
                <w:rFonts w:eastAsia="仿宋_GB2312"/>
                <w:color w:val="000000"/>
                <w:kern w:val="0"/>
                <w:szCs w:val="21"/>
                <w:highlight w:val="none"/>
                <w:lang w:bidi="ar"/>
              </w:rPr>
            </w:pPr>
          </w:p>
        </w:tc>
      </w:tr>
      <w:tr w14:paraId="150C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841BD87">
            <w:pPr>
              <w:spacing w:line="300" w:lineRule="exact"/>
              <w:jc w:val="center"/>
              <w:rPr>
                <w:rFonts w:eastAsia="仿宋_GB2312"/>
                <w:szCs w:val="21"/>
                <w:highlight w:val="none"/>
              </w:rPr>
            </w:pPr>
          </w:p>
        </w:tc>
        <w:tc>
          <w:tcPr>
            <w:tcW w:w="244" w:type="pct"/>
            <w:vMerge w:val="continue"/>
            <w:noWrap w:val="0"/>
            <w:vAlign w:val="center"/>
          </w:tcPr>
          <w:p w14:paraId="1DEA9D0F">
            <w:pPr>
              <w:spacing w:line="300" w:lineRule="exact"/>
              <w:jc w:val="center"/>
              <w:rPr>
                <w:rFonts w:eastAsia="仿宋_GB2312"/>
                <w:szCs w:val="21"/>
                <w:highlight w:val="none"/>
              </w:rPr>
            </w:pPr>
          </w:p>
        </w:tc>
        <w:tc>
          <w:tcPr>
            <w:tcW w:w="244" w:type="pct"/>
            <w:vMerge w:val="continue"/>
            <w:noWrap w:val="0"/>
            <w:vAlign w:val="center"/>
          </w:tcPr>
          <w:p w14:paraId="052F66B7">
            <w:pPr>
              <w:spacing w:line="300" w:lineRule="exact"/>
              <w:jc w:val="center"/>
              <w:rPr>
                <w:rFonts w:eastAsia="仿宋_GB2312"/>
                <w:szCs w:val="21"/>
                <w:highlight w:val="none"/>
              </w:rPr>
            </w:pPr>
          </w:p>
        </w:tc>
        <w:tc>
          <w:tcPr>
            <w:tcW w:w="301" w:type="pct"/>
            <w:vMerge w:val="restart"/>
            <w:noWrap w:val="0"/>
            <w:vAlign w:val="center"/>
          </w:tcPr>
          <w:p w14:paraId="57A7CD65">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海水产品</w:t>
            </w:r>
          </w:p>
        </w:tc>
        <w:tc>
          <w:tcPr>
            <w:tcW w:w="419" w:type="pct"/>
            <w:noWrap w:val="0"/>
            <w:vAlign w:val="center"/>
          </w:tcPr>
          <w:p w14:paraId="3149F318">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海水鱼</w:t>
            </w:r>
            <w:r>
              <w:rPr>
                <w:rFonts w:hint="eastAsia" w:eastAsia="仿宋_GB2312"/>
                <w:color w:val="000000"/>
                <w:kern w:val="0"/>
                <w:szCs w:val="21"/>
                <w:highlight w:val="none"/>
              </w:rPr>
              <w:t>*</w:t>
            </w:r>
          </w:p>
        </w:tc>
        <w:tc>
          <w:tcPr>
            <w:tcW w:w="188" w:type="pct"/>
            <w:noWrap w:val="0"/>
            <w:vAlign w:val="center"/>
          </w:tcPr>
          <w:p w14:paraId="348058B9">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76156726">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恩诺沙星、呋喃唑酮代谢物、甲硝唑</w:t>
            </w:r>
          </w:p>
        </w:tc>
        <w:tc>
          <w:tcPr>
            <w:tcW w:w="751" w:type="pct"/>
            <w:noWrap w:val="0"/>
            <w:vAlign w:val="center"/>
          </w:tcPr>
          <w:p w14:paraId="54B53314">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合成着色剂（柠檬黄）、氯霉素、五氯酚酸钠（以五氯酚计）、磺胺类（总量）</w:t>
            </w:r>
          </w:p>
        </w:tc>
        <w:tc>
          <w:tcPr>
            <w:tcW w:w="734" w:type="pct"/>
            <w:noWrap w:val="0"/>
            <w:vAlign w:val="center"/>
          </w:tcPr>
          <w:p w14:paraId="72BF6882">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3FBAF64">
            <w:pPr>
              <w:widowControl/>
              <w:jc w:val="left"/>
              <w:textAlignment w:val="center"/>
              <w:rPr>
                <w:rFonts w:eastAsia="仿宋_GB2312"/>
                <w:color w:val="000000"/>
                <w:kern w:val="0"/>
                <w:szCs w:val="21"/>
                <w:highlight w:val="none"/>
                <w:lang w:bidi="ar"/>
              </w:rPr>
            </w:pPr>
          </w:p>
        </w:tc>
      </w:tr>
      <w:tr w14:paraId="0011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6CB6EED">
            <w:pPr>
              <w:spacing w:line="300" w:lineRule="exact"/>
              <w:jc w:val="center"/>
              <w:rPr>
                <w:rFonts w:eastAsia="仿宋_GB2312"/>
                <w:szCs w:val="21"/>
                <w:highlight w:val="none"/>
              </w:rPr>
            </w:pPr>
          </w:p>
        </w:tc>
        <w:tc>
          <w:tcPr>
            <w:tcW w:w="244" w:type="pct"/>
            <w:vMerge w:val="continue"/>
            <w:noWrap w:val="0"/>
            <w:vAlign w:val="center"/>
          </w:tcPr>
          <w:p w14:paraId="2D14FBE4">
            <w:pPr>
              <w:spacing w:line="300" w:lineRule="exact"/>
              <w:jc w:val="center"/>
              <w:rPr>
                <w:rFonts w:eastAsia="仿宋_GB2312"/>
                <w:szCs w:val="21"/>
                <w:highlight w:val="none"/>
              </w:rPr>
            </w:pPr>
          </w:p>
        </w:tc>
        <w:tc>
          <w:tcPr>
            <w:tcW w:w="244" w:type="pct"/>
            <w:vMerge w:val="continue"/>
            <w:noWrap w:val="0"/>
            <w:vAlign w:val="center"/>
          </w:tcPr>
          <w:p w14:paraId="3C46AF09">
            <w:pPr>
              <w:spacing w:line="300" w:lineRule="exact"/>
              <w:jc w:val="center"/>
              <w:rPr>
                <w:rFonts w:eastAsia="仿宋_GB2312"/>
                <w:szCs w:val="21"/>
                <w:highlight w:val="none"/>
              </w:rPr>
            </w:pPr>
          </w:p>
        </w:tc>
        <w:tc>
          <w:tcPr>
            <w:tcW w:w="301" w:type="pct"/>
            <w:vMerge w:val="continue"/>
            <w:noWrap w:val="0"/>
            <w:vAlign w:val="center"/>
          </w:tcPr>
          <w:p w14:paraId="71264E42">
            <w:pPr>
              <w:spacing w:line="300" w:lineRule="exact"/>
              <w:jc w:val="center"/>
              <w:rPr>
                <w:rFonts w:eastAsia="仿宋_GB2312"/>
                <w:szCs w:val="21"/>
                <w:highlight w:val="none"/>
              </w:rPr>
            </w:pPr>
          </w:p>
        </w:tc>
        <w:tc>
          <w:tcPr>
            <w:tcW w:w="419" w:type="pct"/>
            <w:noWrap w:val="0"/>
            <w:vAlign w:val="center"/>
          </w:tcPr>
          <w:p w14:paraId="2360F1E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海水虾</w:t>
            </w:r>
            <w:r>
              <w:rPr>
                <w:rFonts w:hint="eastAsia" w:eastAsia="仿宋_GB2312"/>
                <w:color w:val="000000"/>
                <w:kern w:val="0"/>
                <w:szCs w:val="21"/>
                <w:highlight w:val="none"/>
              </w:rPr>
              <w:t>*</w:t>
            </w:r>
          </w:p>
        </w:tc>
        <w:tc>
          <w:tcPr>
            <w:tcW w:w="188" w:type="pct"/>
            <w:noWrap w:val="0"/>
            <w:vAlign w:val="center"/>
          </w:tcPr>
          <w:p w14:paraId="434CD991">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0410D7F6">
            <w:pPr>
              <w:widowControl/>
              <w:jc w:val="left"/>
              <w:textAlignment w:val="center"/>
              <w:rPr>
                <w:rFonts w:eastAsia="仿宋_GB2312"/>
                <w:color w:val="000000"/>
                <w:szCs w:val="21"/>
                <w:highlight w:val="none"/>
              </w:rPr>
            </w:pPr>
            <w:r>
              <w:rPr>
                <w:rFonts w:eastAsia="仿宋_GB2312"/>
                <w:color w:val="000000"/>
                <w:kern w:val="0"/>
                <w:szCs w:val="21"/>
                <w:highlight w:val="none"/>
                <w:lang w:bidi="ar"/>
              </w:rPr>
              <w:t>镉（以 Cd 计）、恩诺沙星、土霉素/金霉素/四环素 (组合含量)、二氧化硫残留量、呋喃唑酮代谢物</w:t>
            </w:r>
          </w:p>
        </w:tc>
        <w:tc>
          <w:tcPr>
            <w:tcW w:w="751" w:type="pct"/>
            <w:noWrap w:val="0"/>
            <w:vAlign w:val="center"/>
          </w:tcPr>
          <w:p w14:paraId="1ED5AB77">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氯霉素、五氯酚酸钠（以五氯酚计）、磺胺类（总量）、诺氟沙星</w:t>
            </w:r>
          </w:p>
        </w:tc>
        <w:tc>
          <w:tcPr>
            <w:tcW w:w="734" w:type="pct"/>
            <w:noWrap w:val="0"/>
            <w:vAlign w:val="center"/>
          </w:tcPr>
          <w:p w14:paraId="49558178">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4661890">
            <w:pPr>
              <w:widowControl/>
              <w:jc w:val="left"/>
              <w:textAlignment w:val="center"/>
              <w:rPr>
                <w:rFonts w:eastAsia="仿宋_GB2312"/>
                <w:color w:val="000000"/>
                <w:kern w:val="0"/>
                <w:szCs w:val="21"/>
                <w:highlight w:val="none"/>
                <w:lang w:bidi="ar"/>
              </w:rPr>
            </w:pPr>
          </w:p>
        </w:tc>
      </w:tr>
      <w:tr w14:paraId="5DAD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5FDEF735">
            <w:pPr>
              <w:spacing w:line="300" w:lineRule="exact"/>
              <w:jc w:val="center"/>
              <w:rPr>
                <w:rFonts w:eastAsia="仿宋_GB2312"/>
                <w:szCs w:val="21"/>
                <w:highlight w:val="none"/>
              </w:rPr>
            </w:pPr>
          </w:p>
        </w:tc>
        <w:tc>
          <w:tcPr>
            <w:tcW w:w="244" w:type="pct"/>
            <w:vMerge w:val="continue"/>
            <w:noWrap w:val="0"/>
            <w:vAlign w:val="center"/>
          </w:tcPr>
          <w:p w14:paraId="78A49555">
            <w:pPr>
              <w:spacing w:line="300" w:lineRule="exact"/>
              <w:jc w:val="center"/>
              <w:rPr>
                <w:rFonts w:eastAsia="仿宋_GB2312"/>
                <w:szCs w:val="21"/>
                <w:highlight w:val="none"/>
              </w:rPr>
            </w:pPr>
          </w:p>
        </w:tc>
        <w:tc>
          <w:tcPr>
            <w:tcW w:w="244" w:type="pct"/>
            <w:vMerge w:val="continue"/>
            <w:noWrap w:val="0"/>
            <w:vAlign w:val="center"/>
          </w:tcPr>
          <w:p w14:paraId="009D6039">
            <w:pPr>
              <w:spacing w:line="300" w:lineRule="exact"/>
              <w:jc w:val="center"/>
              <w:rPr>
                <w:rFonts w:eastAsia="仿宋_GB2312"/>
                <w:szCs w:val="21"/>
                <w:highlight w:val="none"/>
              </w:rPr>
            </w:pPr>
          </w:p>
        </w:tc>
        <w:tc>
          <w:tcPr>
            <w:tcW w:w="301" w:type="pct"/>
            <w:vMerge w:val="continue"/>
            <w:noWrap w:val="0"/>
            <w:vAlign w:val="center"/>
          </w:tcPr>
          <w:p w14:paraId="6AB439EB">
            <w:pPr>
              <w:spacing w:line="300" w:lineRule="exact"/>
              <w:jc w:val="center"/>
              <w:rPr>
                <w:rFonts w:eastAsia="仿宋_GB2312"/>
                <w:szCs w:val="21"/>
                <w:highlight w:val="none"/>
              </w:rPr>
            </w:pPr>
          </w:p>
        </w:tc>
        <w:tc>
          <w:tcPr>
            <w:tcW w:w="419" w:type="pct"/>
            <w:noWrap w:val="0"/>
            <w:vAlign w:val="center"/>
          </w:tcPr>
          <w:p w14:paraId="66E6E668">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海水蟹</w:t>
            </w:r>
          </w:p>
        </w:tc>
        <w:tc>
          <w:tcPr>
            <w:tcW w:w="188" w:type="pct"/>
            <w:noWrap w:val="0"/>
            <w:vAlign w:val="center"/>
          </w:tcPr>
          <w:p w14:paraId="4B842829">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5A9EE1AF">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镉（以Cd计）、氯霉素、孔雀石绿、呋喃唑酮代谢物、呋喃妥因代谢物、氧氟沙星</w:t>
            </w:r>
          </w:p>
        </w:tc>
        <w:tc>
          <w:tcPr>
            <w:tcW w:w="751" w:type="pct"/>
            <w:noWrap w:val="0"/>
            <w:vAlign w:val="center"/>
          </w:tcPr>
          <w:p w14:paraId="0E7879A1">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二氧化硫残留量</w:t>
            </w:r>
          </w:p>
        </w:tc>
        <w:tc>
          <w:tcPr>
            <w:tcW w:w="734" w:type="pct"/>
            <w:noWrap w:val="0"/>
            <w:vAlign w:val="center"/>
          </w:tcPr>
          <w:p w14:paraId="4C48F457">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CA48FB7">
            <w:pPr>
              <w:widowControl/>
              <w:jc w:val="left"/>
              <w:textAlignment w:val="center"/>
              <w:rPr>
                <w:rFonts w:eastAsia="仿宋_GB2312"/>
                <w:color w:val="000000"/>
                <w:kern w:val="0"/>
                <w:szCs w:val="21"/>
                <w:highlight w:val="none"/>
                <w:lang w:bidi="ar"/>
              </w:rPr>
            </w:pPr>
          </w:p>
        </w:tc>
      </w:tr>
      <w:tr w14:paraId="51B6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9CFBB0B">
            <w:pPr>
              <w:spacing w:line="300" w:lineRule="exact"/>
              <w:jc w:val="center"/>
              <w:rPr>
                <w:rFonts w:eastAsia="仿宋_GB2312"/>
                <w:szCs w:val="21"/>
                <w:highlight w:val="none"/>
              </w:rPr>
            </w:pPr>
          </w:p>
        </w:tc>
        <w:tc>
          <w:tcPr>
            <w:tcW w:w="244" w:type="pct"/>
            <w:vMerge w:val="continue"/>
            <w:noWrap w:val="0"/>
            <w:vAlign w:val="center"/>
          </w:tcPr>
          <w:p w14:paraId="34E31715">
            <w:pPr>
              <w:spacing w:line="300" w:lineRule="exact"/>
              <w:jc w:val="center"/>
              <w:rPr>
                <w:rFonts w:eastAsia="仿宋_GB2312"/>
                <w:szCs w:val="21"/>
                <w:highlight w:val="none"/>
              </w:rPr>
            </w:pPr>
          </w:p>
        </w:tc>
        <w:tc>
          <w:tcPr>
            <w:tcW w:w="244" w:type="pct"/>
            <w:vMerge w:val="continue"/>
            <w:noWrap w:val="0"/>
            <w:vAlign w:val="center"/>
          </w:tcPr>
          <w:p w14:paraId="4223232F">
            <w:pPr>
              <w:spacing w:line="300" w:lineRule="exact"/>
              <w:jc w:val="center"/>
              <w:rPr>
                <w:rFonts w:eastAsia="仿宋_GB2312"/>
                <w:szCs w:val="21"/>
                <w:highlight w:val="none"/>
              </w:rPr>
            </w:pPr>
          </w:p>
        </w:tc>
        <w:tc>
          <w:tcPr>
            <w:tcW w:w="301" w:type="pct"/>
            <w:noWrap w:val="0"/>
            <w:vAlign w:val="center"/>
          </w:tcPr>
          <w:p w14:paraId="61604922">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贝类</w:t>
            </w:r>
          </w:p>
        </w:tc>
        <w:tc>
          <w:tcPr>
            <w:tcW w:w="419" w:type="pct"/>
            <w:noWrap w:val="0"/>
            <w:vAlign w:val="center"/>
          </w:tcPr>
          <w:p w14:paraId="0DC7A3FF">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贝类</w:t>
            </w:r>
            <w:r>
              <w:rPr>
                <w:rFonts w:hint="eastAsia" w:eastAsia="仿宋_GB2312"/>
                <w:color w:val="000000"/>
                <w:kern w:val="0"/>
                <w:szCs w:val="21"/>
                <w:highlight w:val="none"/>
              </w:rPr>
              <w:t>*</w:t>
            </w:r>
          </w:p>
        </w:tc>
        <w:tc>
          <w:tcPr>
            <w:tcW w:w="188" w:type="pct"/>
            <w:noWrap w:val="0"/>
            <w:vAlign w:val="center"/>
          </w:tcPr>
          <w:p w14:paraId="72FD1202">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2014774D">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镉（以Cd计）、氯霉素</w:t>
            </w:r>
          </w:p>
        </w:tc>
        <w:tc>
          <w:tcPr>
            <w:tcW w:w="751" w:type="pct"/>
            <w:noWrap w:val="0"/>
            <w:vAlign w:val="center"/>
          </w:tcPr>
          <w:p w14:paraId="4A455ACC">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恩诺沙星、呋喃唑酮代谢物、氟苯尼考、磺胺类（总量）</w:t>
            </w:r>
          </w:p>
        </w:tc>
        <w:tc>
          <w:tcPr>
            <w:tcW w:w="734" w:type="pct"/>
            <w:noWrap w:val="0"/>
            <w:vAlign w:val="center"/>
          </w:tcPr>
          <w:p w14:paraId="65C73A69">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2FD7DC6">
            <w:pPr>
              <w:widowControl/>
              <w:jc w:val="left"/>
              <w:textAlignment w:val="center"/>
              <w:rPr>
                <w:rFonts w:eastAsia="仿宋_GB2312"/>
                <w:color w:val="000000"/>
                <w:kern w:val="0"/>
                <w:szCs w:val="21"/>
                <w:highlight w:val="none"/>
                <w:lang w:bidi="ar"/>
              </w:rPr>
            </w:pPr>
          </w:p>
        </w:tc>
      </w:tr>
      <w:tr w14:paraId="6F40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B0A8B09">
            <w:pPr>
              <w:spacing w:line="300" w:lineRule="exact"/>
              <w:jc w:val="center"/>
              <w:rPr>
                <w:rFonts w:eastAsia="仿宋_GB2312"/>
                <w:szCs w:val="21"/>
                <w:highlight w:val="none"/>
              </w:rPr>
            </w:pPr>
          </w:p>
        </w:tc>
        <w:tc>
          <w:tcPr>
            <w:tcW w:w="244" w:type="pct"/>
            <w:vMerge w:val="continue"/>
            <w:noWrap w:val="0"/>
            <w:vAlign w:val="center"/>
          </w:tcPr>
          <w:p w14:paraId="5187FEE2">
            <w:pPr>
              <w:spacing w:line="300" w:lineRule="exact"/>
              <w:jc w:val="center"/>
              <w:rPr>
                <w:rFonts w:eastAsia="仿宋_GB2312"/>
                <w:szCs w:val="21"/>
                <w:highlight w:val="none"/>
              </w:rPr>
            </w:pPr>
          </w:p>
        </w:tc>
        <w:tc>
          <w:tcPr>
            <w:tcW w:w="244" w:type="pct"/>
            <w:vMerge w:val="continue"/>
            <w:noWrap w:val="0"/>
            <w:vAlign w:val="center"/>
          </w:tcPr>
          <w:p w14:paraId="7879CD70">
            <w:pPr>
              <w:spacing w:line="300" w:lineRule="exact"/>
              <w:jc w:val="center"/>
              <w:rPr>
                <w:rFonts w:eastAsia="仿宋_GB2312"/>
                <w:szCs w:val="21"/>
                <w:highlight w:val="none"/>
              </w:rPr>
            </w:pPr>
          </w:p>
        </w:tc>
        <w:tc>
          <w:tcPr>
            <w:tcW w:w="301" w:type="pct"/>
            <w:noWrap w:val="0"/>
            <w:vAlign w:val="center"/>
          </w:tcPr>
          <w:p w14:paraId="2FDBBF91">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其他水产品</w:t>
            </w:r>
          </w:p>
        </w:tc>
        <w:tc>
          <w:tcPr>
            <w:tcW w:w="419" w:type="pct"/>
            <w:noWrap w:val="0"/>
            <w:vAlign w:val="center"/>
          </w:tcPr>
          <w:p w14:paraId="6995FCDE">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其他水产品</w:t>
            </w:r>
            <w:r>
              <w:rPr>
                <w:rFonts w:hint="eastAsia" w:eastAsia="仿宋_GB2312"/>
                <w:color w:val="000000"/>
                <w:kern w:val="0"/>
                <w:szCs w:val="21"/>
                <w:highlight w:val="none"/>
              </w:rPr>
              <w:t>*</w:t>
            </w:r>
            <w:r>
              <w:rPr>
                <w:rFonts w:eastAsia="仿宋_GB2312"/>
                <w:color w:val="000000"/>
                <w:kern w:val="0"/>
                <w:szCs w:val="21"/>
                <w:highlight w:val="none"/>
              </w:rPr>
              <w:t>（恩诺沙星、氟苯尼考重点品种：牛蛙；镉重点品种：鱿鱼）</w:t>
            </w:r>
          </w:p>
        </w:tc>
        <w:tc>
          <w:tcPr>
            <w:tcW w:w="188" w:type="pct"/>
            <w:noWrap w:val="0"/>
            <w:vAlign w:val="center"/>
          </w:tcPr>
          <w:p w14:paraId="59A4C9AB">
            <w:pPr>
              <w:widowControl/>
              <w:spacing w:line="300" w:lineRule="exact"/>
              <w:jc w:val="center"/>
              <w:rPr>
                <w:rFonts w:eastAsia="仿宋_GB2312"/>
                <w:color w:val="000000"/>
                <w:kern w:val="0"/>
                <w:szCs w:val="21"/>
                <w:highlight w:val="none"/>
              </w:rPr>
            </w:pPr>
            <w:r>
              <w:rPr>
                <w:rFonts w:eastAsia="仿宋_GB2312"/>
                <w:color w:val="000000"/>
                <w:kern w:val="0"/>
                <w:szCs w:val="21"/>
                <w:highlight w:val="none"/>
              </w:rPr>
              <w:t>高</w:t>
            </w:r>
          </w:p>
        </w:tc>
        <w:tc>
          <w:tcPr>
            <w:tcW w:w="1229" w:type="pct"/>
            <w:noWrap w:val="0"/>
            <w:vAlign w:val="center"/>
          </w:tcPr>
          <w:p w14:paraId="718A43A5">
            <w:pPr>
              <w:widowControl/>
              <w:spacing w:line="300" w:lineRule="exact"/>
              <w:jc w:val="left"/>
              <w:rPr>
                <w:rFonts w:eastAsia="仿宋_GB2312"/>
                <w:color w:val="000000"/>
                <w:kern w:val="0"/>
                <w:szCs w:val="21"/>
                <w:highlight w:val="none"/>
              </w:rPr>
            </w:pPr>
            <w:r>
              <w:rPr>
                <w:rFonts w:eastAsia="仿宋_GB2312"/>
                <w:color w:val="000000"/>
                <w:kern w:val="0"/>
                <w:szCs w:val="21"/>
                <w:highlight w:val="none"/>
              </w:rPr>
              <w:t>恩诺沙星、氟苯尼考、氧氟沙星、呋喃唑酮代谢物、镉（以Cd计）</w:t>
            </w:r>
          </w:p>
        </w:tc>
        <w:tc>
          <w:tcPr>
            <w:tcW w:w="751" w:type="pct"/>
            <w:noWrap w:val="0"/>
            <w:vAlign w:val="center"/>
          </w:tcPr>
          <w:p w14:paraId="6EC7958C">
            <w:pPr>
              <w:widowControl/>
              <w:jc w:val="left"/>
              <w:textAlignment w:val="center"/>
              <w:rPr>
                <w:rFonts w:eastAsia="仿宋_GB2312"/>
                <w:color w:val="000000"/>
                <w:kern w:val="0"/>
                <w:szCs w:val="21"/>
                <w:highlight w:val="none"/>
              </w:rPr>
            </w:pPr>
            <w:r>
              <w:rPr>
                <w:rFonts w:eastAsia="仿宋_GB2312"/>
                <w:color w:val="000000"/>
                <w:kern w:val="0"/>
                <w:szCs w:val="21"/>
                <w:highlight w:val="none"/>
                <w:lang w:bidi="ar"/>
              </w:rPr>
              <w:t>氯霉素、呋喃西林代谢物、诺氟沙星</w:t>
            </w:r>
          </w:p>
        </w:tc>
        <w:tc>
          <w:tcPr>
            <w:tcW w:w="734" w:type="pct"/>
            <w:noWrap w:val="0"/>
            <w:vAlign w:val="center"/>
          </w:tcPr>
          <w:p w14:paraId="70FAE23A">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2A23E19">
            <w:pPr>
              <w:widowControl/>
              <w:jc w:val="left"/>
              <w:textAlignment w:val="center"/>
              <w:rPr>
                <w:rFonts w:eastAsia="仿宋_GB2312"/>
                <w:color w:val="000000"/>
                <w:kern w:val="0"/>
                <w:szCs w:val="21"/>
                <w:highlight w:val="none"/>
                <w:lang w:bidi="ar"/>
              </w:rPr>
            </w:pPr>
          </w:p>
        </w:tc>
      </w:tr>
      <w:tr w14:paraId="5F8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restart"/>
            <w:noWrap w:val="0"/>
            <w:vAlign w:val="center"/>
          </w:tcPr>
          <w:p w14:paraId="65C2211B">
            <w:pPr>
              <w:widowControl/>
              <w:spacing w:line="300" w:lineRule="exact"/>
              <w:jc w:val="center"/>
              <w:rPr>
                <w:rFonts w:eastAsia="仿宋_GB2312"/>
                <w:b/>
                <w:bCs/>
                <w:spacing w:val="5"/>
                <w:szCs w:val="21"/>
                <w:highlight w:val="none"/>
              </w:rPr>
            </w:pPr>
            <w:r>
              <w:rPr>
                <w:rFonts w:eastAsia="仿宋_GB2312"/>
                <w:color w:val="000000"/>
                <w:kern w:val="0"/>
                <w:szCs w:val="21"/>
                <w:highlight w:val="none"/>
              </w:rPr>
              <w:t>4</w:t>
            </w:r>
          </w:p>
        </w:tc>
        <w:tc>
          <w:tcPr>
            <w:tcW w:w="244" w:type="pct"/>
            <w:vMerge w:val="restart"/>
            <w:noWrap w:val="0"/>
            <w:vAlign w:val="center"/>
          </w:tcPr>
          <w:p w14:paraId="674E233E">
            <w:pPr>
              <w:spacing w:line="300" w:lineRule="exact"/>
              <w:jc w:val="center"/>
              <w:rPr>
                <w:rFonts w:eastAsia="仿宋_GB2312"/>
                <w:spacing w:val="5"/>
                <w:szCs w:val="21"/>
                <w:highlight w:val="none"/>
              </w:rPr>
            </w:pPr>
            <w:r>
              <w:rPr>
                <w:rFonts w:eastAsia="仿宋_GB2312"/>
                <w:spacing w:val="5"/>
                <w:szCs w:val="21"/>
                <w:highlight w:val="none"/>
              </w:rPr>
              <w:t>水果类</w:t>
            </w:r>
          </w:p>
        </w:tc>
        <w:tc>
          <w:tcPr>
            <w:tcW w:w="244" w:type="pct"/>
            <w:vMerge w:val="restart"/>
            <w:noWrap w:val="0"/>
            <w:vAlign w:val="center"/>
          </w:tcPr>
          <w:p w14:paraId="514540E5">
            <w:pPr>
              <w:spacing w:line="300" w:lineRule="exact"/>
              <w:jc w:val="center"/>
              <w:rPr>
                <w:rFonts w:eastAsia="仿宋_GB2312"/>
                <w:szCs w:val="21"/>
                <w:highlight w:val="none"/>
              </w:rPr>
            </w:pPr>
            <w:r>
              <w:rPr>
                <w:rFonts w:eastAsia="仿宋_GB2312"/>
                <w:spacing w:val="5"/>
                <w:szCs w:val="21"/>
                <w:highlight w:val="none"/>
              </w:rPr>
              <w:t>水果类</w:t>
            </w:r>
          </w:p>
        </w:tc>
        <w:tc>
          <w:tcPr>
            <w:tcW w:w="301" w:type="pct"/>
            <w:vMerge w:val="restart"/>
            <w:noWrap w:val="0"/>
            <w:vAlign w:val="center"/>
          </w:tcPr>
          <w:p w14:paraId="08985663">
            <w:pPr>
              <w:spacing w:line="300" w:lineRule="exact"/>
              <w:jc w:val="center"/>
              <w:rPr>
                <w:rFonts w:eastAsia="仿宋_GB2312"/>
                <w:spacing w:val="5"/>
                <w:szCs w:val="21"/>
                <w:highlight w:val="none"/>
              </w:rPr>
            </w:pPr>
            <w:r>
              <w:rPr>
                <w:rFonts w:eastAsia="仿宋_GB2312"/>
                <w:spacing w:val="5"/>
                <w:szCs w:val="21"/>
                <w:highlight w:val="none"/>
              </w:rPr>
              <w:t>仁果类水果</w:t>
            </w:r>
          </w:p>
          <w:p w14:paraId="7E31690F">
            <w:pPr>
              <w:spacing w:line="300" w:lineRule="exact"/>
              <w:jc w:val="center"/>
              <w:rPr>
                <w:rFonts w:eastAsia="仿宋_GB2312"/>
                <w:szCs w:val="21"/>
                <w:highlight w:val="none"/>
              </w:rPr>
            </w:pPr>
          </w:p>
          <w:p w14:paraId="3FA30BDC">
            <w:pPr>
              <w:spacing w:line="300" w:lineRule="exact"/>
              <w:jc w:val="center"/>
              <w:rPr>
                <w:rFonts w:eastAsia="仿宋_GB2312"/>
                <w:spacing w:val="5"/>
                <w:szCs w:val="21"/>
                <w:highlight w:val="none"/>
              </w:rPr>
            </w:pPr>
          </w:p>
        </w:tc>
        <w:tc>
          <w:tcPr>
            <w:tcW w:w="419" w:type="pct"/>
            <w:noWrap w:val="0"/>
            <w:vAlign w:val="center"/>
          </w:tcPr>
          <w:p w14:paraId="363D5899">
            <w:pPr>
              <w:spacing w:line="300" w:lineRule="exact"/>
              <w:jc w:val="center"/>
              <w:rPr>
                <w:rFonts w:eastAsia="仿宋_GB2312"/>
                <w:spacing w:val="5"/>
                <w:szCs w:val="21"/>
                <w:highlight w:val="none"/>
              </w:rPr>
            </w:pPr>
            <w:r>
              <w:rPr>
                <w:rFonts w:eastAsia="仿宋_GB2312"/>
                <w:spacing w:val="5"/>
                <w:szCs w:val="21"/>
                <w:highlight w:val="none"/>
              </w:rPr>
              <w:t>苹果</w:t>
            </w:r>
          </w:p>
        </w:tc>
        <w:tc>
          <w:tcPr>
            <w:tcW w:w="188" w:type="pct"/>
            <w:noWrap w:val="0"/>
            <w:vAlign w:val="center"/>
          </w:tcPr>
          <w:p w14:paraId="01D6C6D0">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6C5BF5B7">
            <w:pPr>
              <w:spacing w:line="300" w:lineRule="exact"/>
              <w:jc w:val="left"/>
              <w:rPr>
                <w:rFonts w:eastAsia="仿宋_GB2312"/>
                <w:spacing w:val="5"/>
                <w:szCs w:val="21"/>
                <w:highlight w:val="none"/>
              </w:rPr>
            </w:pPr>
            <w:r>
              <w:rPr>
                <w:rFonts w:eastAsia="仿宋_GB2312"/>
                <w:spacing w:val="5"/>
                <w:szCs w:val="21"/>
                <w:highlight w:val="none"/>
              </w:rPr>
              <w:t>敌敌畏、甲拌磷、克百威、氧乐果、三氯杀螨醇</w:t>
            </w:r>
          </w:p>
        </w:tc>
        <w:tc>
          <w:tcPr>
            <w:tcW w:w="751" w:type="pct"/>
            <w:noWrap w:val="0"/>
            <w:vAlign w:val="center"/>
          </w:tcPr>
          <w:p w14:paraId="7AFCAB09">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0C312715">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C10864C">
            <w:pPr>
              <w:spacing w:line="300" w:lineRule="exact"/>
              <w:jc w:val="left"/>
              <w:rPr>
                <w:rFonts w:eastAsia="仿宋_GB2312"/>
                <w:spacing w:val="5"/>
                <w:szCs w:val="21"/>
                <w:highlight w:val="none"/>
              </w:rPr>
            </w:pPr>
          </w:p>
        </w:tc>
      </w:tr>
      <w:tr w14:paraId="4778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939C29E">
            <w:pPr>
              <w:spacing w:line="300" w:lineRule="exact"/>
              <w:jc w:val="center"/>
              <w:rPr>
                <w:rFonts w:eastAsia="仿宋_GB2312"/>
                <w:szCs w:val="21"/>
                <w:highlight w:val="none"/>
              </w:rPr>
            </w:pPr>
          </w:p>
        </w:tc>
        <w:tc>
          <w:tcPr>
            <w:tcW w:w="244" w:type="pct"/>
            <w:vMerge w:val="continue"/>
            <w:noWrap w:val="0"/>
            <w:vAlign w:val="center"/>
          </w:tcPr>
          <w:p w14:paraId="32476217">
            <w:pPr>
              <w:spacing w:line="300" w:lineRule="exact"/>
              <w:jc w:val="center"/>
              <w:rPr>
                <w:rFonts w:eastAsia="仿宋_GB2312"/>
                <w:szCs w:val="21"/>
                <w:highlight w:val="none"/>
              </w:rPr>
            </w:pPr>
          </w:p>
        </w:tc>
        <w:tc>
          <w:tcPr>
            <w:tcW w:w="244" w:type="pct"/>
            <w:vMerge w:val="continue"/>
            <w:noWrap w:val="0"/>
            <w:vAlign w:val="center"/>
          </w:tcPr>
          <w:p w14:paraId="16A051FF">
            <w:pPr>
              <w:spacing w:line="300" w:lineRule="exact"/>
              <w:jc w:val="center"/>
              <w:rPr>
                <w:rFonts w:eastAsia="仿宋_GB2312"/>
                <w:szCs w:val="21"/>
                <w:highlight w:val="none"/>
              </w:rPr>
            </w:pPr>
          </w:p>
        </w:tc>
        <w:tc>
          <w:tcPr>
            <w:tcW w:w="301" w:type="pct"/>
            <w:vMerge w:val="continue"/>
            <w:noWrap w:val="0"/>
            <w:vAlign w:val="center"/>
          </w:tcPr>
          <w:p w14:paraId="5FC0334E">
            <w:pPr>
              <w:widowControl/>
              <w:spacing w:line="300" w:lineRule="exact"/>
              <w:jc w:val="center"/>
              <w:rPr>
                <w:rFonts w:eastAsia="仿宋_GB2312"/>
                <w:color w:val="000000"/>
                <w:kern w:val="0"/>
                <w:szCs w:val="21"/>
                <w:highlight w:val="none"/>
              </w:rPr>
            </w:pPr>
          </w:p>
        </w:tc>
        <w:tc>
          <w:tcPr>
            <w:tcW w:w="419" w:type="pct"/>
            <w:noWrap w:val="0"/>
            <w:vAlign w:val="center"/>
          </w:tcPr>
          <w:p w14:paraId="13259958">
            <w:pPr>
              <w:spacing w:line="300" w:lineRule="exact"/>
              <w:jc w:val="center"/>
              <w:rPr>
                <w:rFonts w:eastAsia="仿宋_GB2312"/>
                <w:spacing w:val="5"/>
                <w:szCs w:val="21"/>
                <w:highlight w:val="none"/>
              </w:rPr>
            </w:pPr>
            <w:r>
              <w:rPr>
                <w:rFonts w:eastAsia="仿宋_GB2312"/>
                <w:spacing w:val="5"/>
                <w:szCs w:val="21"/>
                <w:highlight w:val="none"/>
              </w:rPr>
              <w:t>梨</w:t>
            </w:r>
            <w:r>
              <w:rPr>
                <w:rFonts w:hint="eastAsia" w:eastAsia="仿宋_GB2312"/>
                <w:color w:val="000000"/>
                <w:kern w:val="0"/>
                <w:szCs w:val="21"/>
                <w:highlight w:val="none"/>
              </w:rPr>
              <w:t>*</w:t>
            </w:r>
          </w:p>
        </w:tc>
        <w:tc>
          <w:tcPr>
            <w:tcW w:w="188" w:type="pct"/>
            <w:noWrap w:val="0"/>
            <w:vAlign w:val="center"/>
          </w:tcPr>
          <w:p w14:paraId="69FE7E88">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357A5D58">
            <w:pPr>
              <w:spacing w:line="300" w:lineRule="exact"/>
              <w:jc w:val="left"/>
              <w:rPr>
                <w:rFonts w:eastAsia="仿宋_GB2312"/>
                <w:spacing w:val="5"/>
                <w:szCs w:val="21"/>
                <w:highlight w:val="none"/>
              </w:rPr>
            </w:pPr>
            <w:r>
              <w:rPr>
                <w:rFonts w:eastAsia="仿宋_GB2312"/>
                <w:spacing w:val="5"/>
                <w:szCs w:val="21"/>
                <w:highlight w:val="none"/>
              </w:rPr>
              <w:t>乙螨唑、咪鲜胺和咪鲜胺锰盐、苯醚甲环唑、氯氟氰菊酯和高效氯氟氰菊酯</w:t>
            </w:r>
          </w:p>
        </w:tc>
        <w:tc>
          <w:tcPr>
            <w:tcW w:w="751" w:type="pct"/>
            <w:noWrap w:val="0"/>
            <w:vAlign w:val="center"/>
          </w:tcPr>
          <w:p w14:paraId="655F45F7">
            <w:pPr>
              <w:spacing w:line="300" w:lineRule="exact"/>
              <w:jc w:val="left"/>
              <w:rPr>
                <w:rFonts w:eastAsia="仿宋_GB2312"/>
                <w:spacing w:val="5"/>
                <w:szCs w:val="21"/>
                <w:highlight w:val="none"/>
              </w:rPr>
            </w:pPr>
            <w:r>
              <w:rPr>
                <w:rFonts w:eastAsia="仿宋_GB2312"/>
                <w:spacing w:val="5"/>
                <w:szCs w:val="21"/>
                <w:highlight w:val="none"/>
              </w:rPr>
              <w:t>阿维菌素、氧乐果</w:t>
            </w:r>
          </w:p>
          <w:p w14:paraId="0630996C">
            <w:pPr>
              <w:spacing w:line="300" w:lineRule="exact"/>
              <w:jc w:val="left"/>
              <w:rPr>
                <w:rFonts w:eastAsia="仿宋_GB2312"/>
                <w:spacing w:val="5"/>
                <w:szCs w:val="21"/>
                <w:highlight w:val="none"/>
              </w:rPr>
            </w:pPr>
          </w:p>
        </w:tc>
        <w:tc>
          <w:tcPr>
            <w:tcW w:w="734" w:type="pct"/>
            <w:noWrap w:val="0"/>
            <w:vAlign w:val="center"/>
          </w:tcPr>
          <w:p w14:paraId="3F2A9CFA">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CEB5541">
            <w:pPr>
              <w:spacing w:line="300" w:lineRule="exact"/>
              <w:jc w:val="left"/>
              <w:rPr>
                <w:rFonts w:eastAsia="仿宋_GB2312"/>
                <w:spacing w:val="5"/>
                <w:szCs w:val="21"/>
                <w:highlight w:val="none"/>
              </w:rPr>
            </w:pPr>
          </w:p>
        </w:tc>
      </w:tr>
      <w:tr w14:paraId="3DB7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91A7215">
            <w:pPr>
              <w:spacing w:line="300" w:lineRule="exact"/>
              <w:jc w:val="center"/>
              <w:rPr>
                <w:rFonts w:eastAsia="仿宋_GB2312"/>
                <w:szCs w:val="21"/>
                <w:highlight w:val="none"/>
              </w:rPr>
            </w:pPr>
          </w:p>
        </w:tc>
        <w:tc>
          <w:tcPr>
            <w:tcW w:w="244" w:type="pct"/>
            <w:vMerge w:val="continue"/>
            <w:noWrap w:val="0"/>
            <w:vAlign w:val="center"/>
          </w:tcPr>
          <w:p w14:paraId="578A9E43">
            <w:pPr>
              <w:spacing w:line="300" w:lineRule="exact"/>
              <w:jc w:val="center"/>
              <w:rPr>
                <w:rFonts w:eastAsia="仿宋_GB2312"/>
                <w:szCs w:val="21"/>
                <w:highlight w:val="none"/>
              </w:rPr>
            </w:pPr>
          </w:p>
        </w:tc>
        <w:tc>
          <w:tcPr>
            <w:tcW w:w="244" w:type="pct"/>
            <w:vMerge w:val="continue"/>
            <w:noWrap w:val="0"/>
            <w:vAlign w:val="center"/>
          </w:tcPr>
          <w:p w14:paraId="0D0F89F6">
            <w:pPr>
              <w:spacing w:line="300" w:lineRule="exact"/>
              <w:jc w:val="center"/>
              <w:rPr>
                <w:rFonts w:eastAsia="仿宋_GB2312"/>
                <w:szCs w:val="21"/>
                <w:highlight w:val="none"/>
              </w:rPr>
            </w:pPr>
          </w:p>
        </w:tc>
        <w:tc>
          <w:tcPr>
            <w:tcW w:w="301" w:type="pct"/>
            <w:vMerge w:val="continue"/>
            <w:noWrap w:val="0"/>
            <w:vAlign w:val="center"/>
          </w:tcPr>
          <w:p w14:paraId="21A25630">
            <w:pPr>
              <w:spacing w:line="300" w:lineRule="exact"/>
              <w:jc w:val="center"/>
              <w:rPr>
                <w:rFonts w:eastAsia="仿宋_GB2312"/>
                <w:strike/>
                <w:spacing w:val="5"/>
                <w:szCs w:val="21"/>
                <w:highlight w:val="none"/>
              </w:rPr>
            </w:pPr>
          </w:p>
        </w:tc>
        <w:tc>
          <w:tcPr>
            <w:tcW w:w="419" w:type="pct"/>
            <w:noWrap w:val="0"/>
            <w:vAlign w:val="center"/>
          </w:tcPr>
          <w:p w14:paraId="76D00FDA">
            <w:pPr>
              <w:spacing w:line="300" w:lineRule="exact"/>
              <w:jc w:val="center"/>
              <w:rPr>
                <w:rFonts w:eastAsia="仿宋_GB2312"/>
                <w:spacing w:val="5"/>
                <w:szCs w:val="21"/>
                <w:highlight w:val="none"/>
              </w:rPr>
            </w:pPr>
            <w:r>
              <w:rPr>
                <w:rFonts w:eastAsia="仿宋_GB2312"/>
                <w:spacing w:val="5"/>
                <w:szCs w:val="21"/>
                <w:highlight w:val="none"/>
              </w:rPr>
              <w:t>枇杷</w:t>
            </w:r>
          </w:p>
        </w:tc>
        <w:tc>
          <w:tcPr>
            <w:tcW w:w="188" w:type="pct"/>
            <w:noWrap w:val="0"/>
            <w:vAlign w:val="center"/>
          </w:tcPr>
          <w:p w14:paraId="3E9EC0A5">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70949A39">
            <w:pPr>
              <w:spacing w:line="300" w:lineRule="exact"/>
              <w:jc w:val="left"/>
              <w:rPr>
                <w:rFonts w:eastAsia="仿宋_GB2312"/>
                <w:spacing w:val="5"/>
                <w:szCs w:val="21"/>
                <w:highlight w:val="none"/>
              </w:rPr>
            </w:pPr>
            <w:r>
              <w:rPr>
                <w:rFonts w:eastAsia="仿宋_GB2312"/>
                <w:spacing w:val="5"/>
                <w:szCs w:val="21"/>
                <w:highlight w:val="none"/>
              </w:rPr>
              <w:t>甲胺磷、氧乐果、水胺硫磷、氯氰菊酯和高效氯氰菊</w:t>
            </w:r>
          </w:p>
        </w:tc>
        <w:tc>
          <w:tcPr>
            <w:tcW w:w="751" w:type="pct"/>
            <w:noWrap w:val="0"/>
            <w:vAlign w:val="center"/>
          </w:tcPr>
          <w:p w14:paraId="53B0CA3D">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10C631DB">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D04AE49">
            <w:pPr>
              <w:spacing w:line="300" w:lineRule="exact"/>
              <w:jc w:val="left"/>
              <w:rPr>
                <w:rFonts w:eastAsia="仿宋_GB2312"/>
                <w:spacing w:val="5"/>
                <w:szCs w:val="21"/>
                <w:highlight w:val="none"/>
              </w:rPr>
            </w:pPr>
          </w:p>
        </w:tc>
      </w:tr>
      <w:tr w14:paraId="630D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02BFB2F4">
            <w:pPr>
              <w:spacing w:line="300" w:lineRule="exact"/>
              <w:jc w:val="center"/>
              <w:rPr>
                <w:rFonts w:eastAsia="仿宋_GB2312"/>
                <w:szCs w:val="21"/>
                <w:highlight w:val="none"/>
              </w:rPr>
            </w:pPr>
          </w:p>
        </w:tc>
        <w:tc>
          <w:tcPr>
            <w:tcW w:w="244" w:type="pct"/>
            <w:vMerge w:val="continue"/>
            <w:noWrap w:val="0"/>
            <w:vAlign w:val="center"/>
          </w:tcPr>
          <w:p w14:paraId="2F1F4A87">
            <w:pPr>
              <w:spacing w:line="300" w:lineRule="exact"/>
              <w:jc w:val="center"/>
              <w:rPr>
                <w:rFonts w:eastAsia="仿宋_GB2312"/>
                <w:szCs w:val="21"/>
                <w:highlight w:val="none"/>
              </w:rPr>
            </w:pPr>
          </w:p>
        </w:tc>
        <w:tc>
          <w:tcPr>
            <w:tcW w:w="244" w:type="pct"/>
            <w:vMerge w:val="continue"/>
            <w:noWrap w:val="0"/>
            <w:vAlign w:val="center"/>
          </w:tcPr>
          <w:p w14:paraId="16181401">
            <w:pPr>
              <w:spacing w:line="300" w:lineRule="exact"/>
              <w:jc w:val="center"/>
              <w:rPr>
                <w:rFonts w:eastAsia="仿宋_GB2312"/>
                <w:szCs w:val="21"/>
                <w:highlight w:val="none"/>
              </w:rPr>
            </w:pPr>
          </w:p>
        </w:tc>
        <w:tc>
          <w:tcPr>
            <w:tcW w:w="301" w:type="pct"/>
            <w:vMerge w:val="restart"/>
            <w:noWrap w:val="0"/>
            <w:vAlign w:val="center"/>
          </w:tcPr>
          <w:p w14:paraId="39D2B3D1">
            <w:pPr>
              <w:spacing w:line="300" w:lineRule="exact"/>
              <w:jc w:val="center"/>
              <w:rPr>
                <w:rFonts w:eastAsia="仿宋_GB2312"/>
                <w:spacing w:val="5"/>
                <w:szCs w:val="21"/>
                <w:highlight w:val="none"/>
              </w:rPr>
            </w:pPr>
            <w:r>
              <w:rPr>
                <w:rFonts w:eastAsia="仿宋_GB2312"/>
                <w:spacing w:val="5"/>
                <w:szCs w:val="21"/>
                <w:highlight w:val="none"/>
              </w:rPr>
              <w:t>核果类水果</w:t>
            </w:r>
          </w:p>
        </w:tc>
        <w:tc>
          <w:tcPr>
            <w:tcW w:w="419" w:type="pct"/>
            <w:noWrap w:val="0"/>
            <w:vAlign w:val="center"/>
          </w:tcPr>
          <w:p w14:paraId="7454DE32">
            <w:pPr>
              <w:spacing w:line="300" w:lineRule="exact"/>
              <w:jc w:val="center"/>
              <w:rPr>
                <w:rFonts w:eastAsia="仿宋_GB2312"/>
                <w:spacing w:val="5"/>
                <w:szCs w:val="21"/>
                <w:highlight w:val="none"/>
              </w:rPr>
            </w:pPr>
            <w:r>
              <w:rPr>
                <w:rFonts w:eastAsia="仿宋_GB2312"/>
                <w:spacing w:val="5"/>
                <w:szCs w:val="21"/>
                <w:highlight w:val="none"/>
              </w:rPr>
              <w:t>枣</w:t>
            </w:r>
          </w:p>
        </w:tc>
        <w:tc>
          <w:tcPr>
            <w:tcW w:w="188" w:type="pct"/>
            <w:noWrap w:val="0"/>
            <w:vAlign w:val="center"/>
          </w:tcPr>
          <w:p w14:paraId="20A71CD8">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1E3C6F60">
            <w:pPr>
              <w:spacing w:line="300" w:lineRule="exact"/>
              <w:jc w:val="left"/>
              <w:rPr>
                <w:rFonts w:eastAsia="仿宋_GB2312"/>
                <w:spacing w:val="5"/>
                <w:szCs w:val="21"/>
                <w:highlight w:val="none"/>
              </w:rPr>
            </w:pPr>
            <w:r>
              <w:rPr>
                <w:rFonts w:eastAsia="仿宋_GB2312"/>
                <w:spacing w:val="5"/>
                <w:szCs w:val="21"/>
                <w:highlight w:val="none"/>
              </w:rPr>
              <w:t>氧乐果、氟虫腈、多菌灵、糖精钠(以糖精计)、甜蜜素(以环己基氨基磺酸计)</w:t>
            </w:r>
          </w:p>
        </w:tc>
        <w:tc>
          <w:tcPr>
            <w:tcW w:w="751" w:type="pct"/>
            <w:noWrap w:val="0"/>
            <w:vAlign w:val="center"/>
          </w:tcPr>
          <w:p w14:paraId="5DE38A19">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3D629A82">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B5075B5">
            <w:pPr>
              <w:spacing w:line="300" w:lineRule="exact"/>
              <w:jc w:val="left"/>
              <w:rPr>
                <w:rFonts w:eastAsia="仿宋_GB2312"/>
                <w:spacing w:val="5"/>
                <w:szCs w:val="21"/>
                <w:highlight w:val="none"/>
              </w:rPr>
            </w:pPr>
          </w:p>
        </w:tc>
      </w:tr>
      <w:tr w14:paraId="0ECC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0597724">
            <w:pPr>
              <w:spacing w:line="300" w:lineRule="exact"/>
              <w:jc w:val="center"/>
              <w:rPr>
                <w:rFonts w:eastAsia="仿宋_GB2312"/>
                <w:szCs w:val="21"/>
                <w:highlight w:val="none"/>
              </w:rPr>
            </w:pPr>
          </w:p>
        </w:tc>
        <w:tc>
          <w:tcPr>
            <w:tcW w:w="244" w:type="pct"/>
            <w:vMerge w:val="continue"/>
            <w:noWrap w:val="0"/>
            <w:vAlign w:val="center"/>
          </w:tcPr>
          <w:p w14:paraId="62422769">
            <w:pPr>
              <w:spacing w:line="300" w:lineRule="exact"/>
              <w:jc w:val="center"/>
              <w:rPr>
                <w:rFonts w:eastAsia="仿宋_GB2312"/>
                <w:szCs w:val="21"/>
                <w:highlight w:val="none"/>
              </w:rPr>
            </w:pPr>
          </w:p>
        </w:tc>
        <w:tc>
          <w:tcPr>
            <w:tcW w:w="244" w:type="pct"/>
            <w:vMerge w:val="continue"/>
            <w:noWrap w:val="0"/>
            <w:vAlign w:val="center"/>
          </w:tcPr>
          <w:p w14:paraId="0450B73A">
            <w:pPr>
              <w:spacing w:line="300" w:lineRule="exact"/>
              <w:jc w:val="center"/>
              <w:rPr>
                <w:rFonts w:eastAsia="仿宋_GB2312"/>
                <w:szCs w:val="21"/>
                <w:highlight w:val="none"/>
              </w:rPr>
            </w:pPr>
          </w:p>
        </w:tc>
        <w:tc>
          <w:tcPr>
            <w:tcW w:w="301" w:type="pct"/>
            <w:vMerge w:val="continue"/>
            <w:noWrap w:val="0"/>
            <w:vAlign w:val="center"/>
          </w:tcPr>
          <w:p w14:paraId="39E7043C">
            <w:pPr>
              <w:widowControl/>
              <w:spacing w:line="300" w:lineRule="exact"/>
              <w:jc w:val="center"/>
              <w:rPr>
                <w:rFonts w:eastAsia="仿宋_GB2312"/>
                <w:color w:val="000000"/>
                <w:kern w:val="0"/>
                <w:szCs w:val="21"/>
                <w:highlight w:val="none"/>
              </w:rPr>
            </w:pPr>
          </w:p>
        </w:tc>
        <w:tc>
          <w:tcPr>
            <w:tcW w:w="419" w:type="pct"/>
            <w:noWrap w:val="0"/>
            <w:vAlign w:val="center"/>
          </w:tcPr>
          <w:p w14:paraId="00EFA9B1">
            <w:pPr>
              <w:spacing w:line="300" w:lineRule="exact"/>
              <w:jc w:val="center"/>
              <w:rPr>
                <w:rFonts w:eastAsia="仿宋_GB2312"/>
                <w:spacing w:val="5"/>
                <w:szCs w:val="21"/>
                <w:highlight w:val="none"/>
              </w:rPr>
            </w:pPr>
            <w:r>
              <w:rPr>
                <w:rFonts w:eastAsia="仿宋_GB2312"/>
                <w:spacing w:val="5"/>
                <w:szCs w:val="21"/>
                <w:highlight w:val="none"/>
              </w:rPr>
              <w:t>桃</w:t>
            </w:r>
          </w:p>
        </w:tc>
        <w:tc>
          <w:tcPr>
            <w:tcW w:w="188" w:type="pct"/>
            <w:noWrap w:val="0"/>
            <w:vAlign w:val="center"/>
          </w:tcPr>
          <w:p w14:paraId="61766178">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799E280">
            <w:pPr>
              <w:spacing w:line="300" w:lineRule="exact"/>
              <w:jc w:val="left"/>
              <w:rPr>
                <w:rFonts w:eastAsia="仿宋_GB2312"/>
                <w:spacing w:val="5"/>
                <w:szCs w:val="21"/>
                <w:highlight w:val="none"/>
              </w:rPr>
            </w:pPr>
            <w:r>
              <w:rPr>
                <w:rFonts w:eastAsia="仿宋_GB2312"/>
                <w:spacing w:val="5"/>
                <w:szCs w:val="21"/>
                <w:highlight w:val="none"/>
              </w:rPr>
              <w:t>克百威、氯氟氰菊酯和高效氯氟氰菊酯、苯醚甲环唑、噻虫胺、多菌灵、甲氨基阿维菌素苯甲酸盐</w:t>
            </w:r>
          </w:p>
        </w:tc>
        <w:tc>
          <w:tcPr>
            <w:tcW w:w="751" w:type="pct"/>
            <w:noWrap w:val="0"/>
            <w:vAlign w:val="center"/>
          </w:tcPr>
          <w:p w14:paraId="08E4D77B">
            <w:pPr>
              <w:spacing w:line="300" w:lineRule="exact"/>
              <w:jc w:val="left"/>
              <w:rPr>
                <w:rFonts w:eastAsia="仿宋_GB2312"/>
                <w:spacing w:val="5"/>
                <w:szCs w:val="21"/>
                <w:highlight w:val="none"/>
              </w:rPr>
            </w:pPr>
            <w:r>
              <w:rPr>
                <w:rFonts w:eastAsia="仿宋_GB2312"/>
                <w:spacing w:val="5"/>
                <w:szCs w:val="21"/>
                <w:highlight w:val="none"/>
              </w:rPr>
              <w:t>溴氰菊酯、吡虫啉</w:t>
            </w:r>
          </w:p>
        </w:tc>
        <w:tc>
          <w:tcPr>
            <w:tcW w:w="734" w:type="pct"/>
            <w:noWrap w:val="0"/>
            <w:vAlign w:val="center"/>
          </w:tcPr>
          <w:p w14:paraId="490F5652">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92EB734">
            <w:pPr>
              <w:spacing w:line="300" w:lineRule="exact"/>
              <w:jc w:val="left"/>
              <w:rPr>
                <w:rFonts w:eastAsia="仿宋_GB2312"/>
                <w:spacing w:val="5"/>
                <w:szCs w:val="21"/>
                <w:highlight w:val="none"/>
              </w:rPr>
            </w:pPr>
          </w:p>
        </w:tc>
      </w:tr>
      <w:tr w14:paraId="1841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8AB34F0">
            <w:pPr>
              <w:spacing w:line="300" w:lineRule="exact"/>
              <w:jc w:val="center"/>
              <w:rPr>
                <w:rFonts w:eastAsia="仿宋_GB2312"/>
                <w:szCs w:val="21"/>
                <w:highlight w:val="none"/>
              </w:rPr>
            </w:pPr>
          </w:p>
        </w:tc>
        <w:tc>
          <w:tcPr>
            <w:tcW w:w="244" w:type="pct"/>
            <w:vMerge w:val="continue"/>
            <w:noWrap w:val="0"/>
            <w:vAlign w:val="center"/>
          </w:tcPr>
          <w:p w14:paraId="3D226C91">
            <w:pPr>
              <w:spacing w:line="300" w:lineRule="exact"/>
              <w:jc w:val="center"/>
              <w:rPr>
                <w:rFonts w:eastAsia="仿宋_GB2312"/>
                <w:szCs w:val="21"/>
                <w:highlight w:val="none"/>
              </w:rPr>
            </w:pPr>
          </w:p>
        </w:tc>
        <w:tc>
          <w:tcPr>
            <w:tcW w:w="244" w:type="pct"/>
            <w:vMerge w:val="continue"/>
            <w:noWrap w:val="0"/>
            <w:vAlign w:val="center"/>
          </w:tcPr>
          <w:p w14:paraId="33B3470A">
            <w:pPr>
              <w:spacing w:line="300" w:lineRule="exact"/>
              <w:jc w:val="center"/>
              <w:rPr>
                <w:rFonts w:eastAsia="仿宋_GB2312"/>
                <w:szCs w:val="21"/>
                <w:highlight w:val="none"/>
              </w:rPr>
            </w:pPr>
          </w:p>
        </w:tc>
        <w:tc>
          <w:tcPr>
            <w:tcW w:w="301" w:type="pct"/>
            <w:vMerge w:val="continue"/>
            <w:noWrap w:val="0"/>
            <w:vAlign w:val="center"/>
          </w:tcPr>
          <w:p w14:paraId="711A973D">
            <w:pPr>
              <w:widowControl/>
              <w:spacing w:line="300" w:lineRule="exact"/>
              <w:jc w:val="center"/>
              <w:rPr>
                <w:rFonts w:eastAsia="仿宋_GB2312"/>
                <w:color w:val="000000"/>
                <w:kern w:val="0"/>
                <w:szCs w:val="21"/>
                <w:highlight w:val="none"/>
              </w:rPr>
            </w:pPr>
          </w:p>
        </w:tc>
        <w:tc>
          <w:tcPr>
            <w:tcW w:w="419" w:type="pct"/>
            <w:noWrap w:val="0"/>
            <w:vAlign w:val="center"/>
          </w:tcPr>
          <w:p w14:paraId="6E6642CD">
            <w:pPr>
              <w:spacing w:line="300" w:lineRule="exact"/>
              <w:jc w:val="center"/>
              <w:rPr>
                <w:rFonts w:eastAsia="仿宋_GB2312"/>
                <w:spacing w:val="5"/>
                <w:szCs w:val="21"/>
                <w:highlight w:val="none"/>
              </w:rPr>
            </w:pPr>
            <w:r>
              <w:rPr>
                <w:rFonts w:eastAsia="仿宋_GB2312"/>
                <w:spacing w:val="5"/>
                <w:szCs w:val="21"/>
                <w:highlight w:val="none"/>
              </w:rPr>
              <w:t>油桃</w:t>
            </w:r>
            <w:r>
              <w:rPr>
                <w:rFonts w:hint="eastAsia" w:eastAsia="仿宋_GB2312"/>
                <w:color w:val="000000"/>
                <w:kern w:val="0"/>
                <w:szCs w:val="21"/>
                <w:highlight w:val="none"/>
              </w:rPr>
              <w:t>*</w:t>
            </w:r>
          </w:p>
        </w:tc>
        <w:tc>
          <w:tcPr>
            <w:tcW w:w="188" w:type="pct"/>
            <w:noWrap w:val="0"/>
            <w:vAlign w:val="center"/>
          </w:tcPr>
          <w:p w14:paraId="3060236D">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9807E94">
            <w:pPr>
              <w:spacing w:line="300" w:lineRule="exact"/>
              <w:jc w:val="left"/>
              <w:rPr>
                <w:rFonts w:eastAsia="仿宋_GB2312"/>
                <w:spacing w:val="5"/>
                <w:szCs w:val="21"/>
                <w:highlight w:val="none"/>
              </w:rPr>
            </w:pPr>
            <w:r>
              <w:rPr>
                <w:rFonts w:eastAsia="仿宋_GB2312"/>
                <w:spacing w:val="5"/>
                <w:szCs w:val="21"/>
                <w:highlight w:val="none"/>
              </w:rPr>
              <w:t>噻虫胺、克百威</w:t>
            </w:r>
          </w:p>
        </w:tc>
        <w:tc>
          <w:tcPr>
            <w:tcW w:w="751" w:type="pct"/>
            <w:noWrap w:val="0"/>
            <w:vAlign w:val="center"/>
          </w:tcPr>
          <w:p w14:paraId="4EEA3DDE">
            <w:pPr>
              <w:spacing w:line="300" w:lineRule="exact"/>
              <w:jc w:val="left"/>
              <w:rPr>
                <w:rFonts w:eastAsia="仿宋_GB2312"/>
                <w:spacing w:val="5"/>
                <w:szCs w:val="21"/>
                <w:highlight w:val="none"/>
              </w:rPr>
            </w:pPr>
            <w:r>
              <w:rPr>
                <w:rFonts w:eastAsia="仿宋_GB2312"/>
                <w:spacing w:val="5"/>
                <w:szCs w:val="21"/>
                <w:highlight w:val="none"/>
              </w:rPr>
              <w:t>甲胺磷、氧乐果、敌敌畏、苯醚甲环唑</w:t>
            </w:r>
          </w:p>
        </w:tc>
        <w:tc>
          <w:tcPr>
            <w:tcW w:w="734" w:type="pct"/>
            <w:noWrap w:val="0"/>
            <w:vAlign w:val="center"/>
          </w:tcPr>
          <w:p w14:paraId="45C95A4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06A9617">
            <w:pPr>
              <w:spacing w:line="300" w:lineRule="exact"/>
              <w:jc w:val="left"/>
              <w:rPr>
                <w:rFonts w:eastAsia="仿宋_GB2312"/>
                <w:spacing w:val="5"/>
                <w:szCs w:val="21"/>
                <w:highlight w:val="none"/>
              </w:rPr>
            </w:pPr>
          </w:p>
        </w:tc>
      </w:tr>
      <w:tr w14:paraId="24DD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C388ED6">
            <w:pPr>
              <w:spacing w:line="300" w:lineRule="exact"/>
              <w:jc w:val="center"/>
              <w:rPr>
                <w:rFonts w:eastAsia="仿宋_GB2312"/>
                <w:szCs w:val="21"/>
                <w:highlight w:val="none"/>
              </w:rPr>
            </w:pPr>
          </w:p>
        </w:tc>
        <w:tc>
          <w:tcPr>
            <w:tcW w:w="244" w:type="pct"/>
            <w:vMerge w:val="continue"/>
            <w:noWrap w:val="0"/>
            <w:vAlign w:val="center"/>
          </w:tcPr>
          <w:p w14:paraId="2DD993E9">
            <w:pPr>
              <w:spacing w:line="300" w:lineRule="exact"/>
              <w:jc w:val="center"/>
              <w:rPr>
                <w:rFonts w:eastAsia="仿宋_GB2312"/>
                <w:szCs w:val="21"/>
                <w:highlight w:val="none"/>
              </w:rPr>
            </w:pPr>
          </w:p>
        </w:tc>
        <w:tc>
          <w:tcPr>
            <w:tcW w:w="244" w:type="pct"/>
            <w:vMerge w:val="continue"/>
            <w:noWrap w:val="0"/>
            <w:vAlign w:val="center"/>
          </w:tcPr>
          <w:p w14:paraId="5B4BA053">
            <w:pPr>
              <w:spacing w:line="300" w:lineRule="exact"/>
              <w:jc w:val="center"/>
              <w:rPr>
                <w:rFonts w:eastAsia="仿宋_GB2312"/>
                <w:szCs w:val="21"/>
                <w:highlight w:val="none"/>
              </w:rPr>
            </w:pPr>
          </w:p>
        </w:tc>
        <w:tc>
          <w:tcPr>
            <w:tcW w:w="301" w:type="pct"/>
            <w:vMerge w:val="continue"/>
            <w:noWrap w:val="0"/>
            <w:vAlign w:val="center"/>
          </w:tcPr>
          <w:p w14:paraId="35025ED3">
            <w:pPr>
              <w:widowControl/>
              <w:spacing w:line="300" w:lineRule="exact"/>
              <w:jc w:val="center"/>
              <w:rPr>
                <w:rFonts w:eastAsia="仿宋_GB2312"/>
                <w:color w:val="000000"/>
                <w:kern w:val="0"/>
                <w:szCs w:val="21"/>
                <w:highlight w:val="none"/>
              </w:rPr>
            </w:pPr>
          </w:p>
        </w:tc>
        <w:tc>
          <w:tcPr>
            <w:tcW w:w="419" w:type="pct"/>
            <w:noWrap w:val="0"/>
            <w:vAlign w:val="center"/>
          </w:tcPr>
          <w:p w14:paraId="676332EE">
            <w:pPr>
              <w:spacing w:line="300" w:lineRule="exact"/>
              <w:jc w:val="center"/>
              <w:rPr>
                <w:rFonts w:eastAsia="仿宋_GB2312"/>
                <w:spacing w:val="5"/>
                <w:szCs w:val="21"/>
                <w:highlight w:val="none"/>
              </w:rPr>
            </w:pPr>
            <w:r>
              <w:rPr>
                <w:rFonts w:eastAsia="仿宋_GB2312"/>
                <w:spacing w:val="5"/>
                <w:szCs w:val="21"/>
                <w:highlight w:val="none"/>
              </w:rPr>
              <w:t>李子</w:t>
            </w:r>
          </w:p>
        </w:tc>
        <w:tc>
          <w:tcPr>
            <w:tcW w:w="188" w:type="pct"/>
            <w:noWrap w:val="0"/>
            <w:vAlign w:val="center"/>
          </w:tcPr>
          <w:p w14:paraId="43BF81EF">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3DDB33C8">
            <w:pPr>
              <w:spacing w:line="300" w:lineRule="exact"/>
              <w:jc w:val="left"/>
              <w:rPr>
                <w:rFonts w:eastAsia="仿宋_GB2312"/>
                <w:spacing w:val="5"/>
                <w:szCs w:val="21"/>
                <w:highlight w:val="none"/>
              </w:rPr>
            </w:pPr>
            <w:r>
              <w:rPr>
                <w:rFonts w:eastAsia="仿宋_GB2312"/>
                <w:spacing w:val="5"/>
                <w:szCs w:val="21"/>
                <w:highlight w:val="none"/>
              </w:rPr>
              <w:t>苯醚甲环唑、多菌灵、氯氟氰菊酯和高效氯氟氰菊酯、水胺硫磷、克百威</w:t>
            </w:r>
          </w:p>
        </w:tc>
        <w:tc>
          <w:tcPr>
            <w:tcW w:w="751" w:type="pct"/>
            <w:noWrap w:val="0"/>
            <w:vAlign w:val="center"/>
          </w:tcPr>
          <w:p w14:paraId="52A57158">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16BD01FF">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A751575">
            <w:pPr>
              <w:spacing w:line="300" w:lineRule="exact"/>
              <w:jc w:val="left"/>
              <w:rPr>
                <w:rFonts w:eastAsia="仿宋_GB2312"/>
                <w:spacing w:val="5"/>
                <w:szCs w:val="21"/>
                <w:highlight w:val="none"/>
              </w:rPr>
            </w:pPr>
          </w:p>
        </w:tc>
      </w:tr>
      <w:tr w14:paraId="5600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61D88A2">
            <w:pPr>
              <w:spacing w:line="300" w:lineRule="exact"/>
              <w:jc w:val="center"/>
              <w:rPr>
                <w:rFonts w:eastAsia="仿宋_GB2312"/>
                <w:szCs w:val="21"/>
                <w:highlight w:val="none"/>
              </w:rPr>
            </w:pPr>
          </w:p>
        </w:tc>
        <w:tc>
          <w:tcPr>
            <w:tcW w:w="244" w:type="pct"/>
            <w:vMerge w:val="continue"/>
            <w:noWrap w:val="0"/>
            <w:vAlign w:val="center"/>
          </w:tcPr>
          <w:p w14:paraId="70F5EEAA">
            <w:pPr>
              <w:spacing w:line="300" w:lineRule="exact"/>
              <w:jc w:val="center"/>
              <w:rPr>
                <w:rFonts w:eastAsia="仿宋_GB2312"/>
                <w:szCs w:val="21"/>
                <w:highlight w:val="none"/>
              </w:rPr>
            </w:pPr>
          </w:p>
        </w:tc>
        <w:tc>
          <w:tcPr>
            <w:tcW w:w="244" w:type="pct"/>
            <w:vMerge w:val="continue"/>
            <w:noWrap w:val="0"/>
            <w:vAlign w:val="center"/>
          </w:tcPr>
          <w:p w14:paraId="0AC5F54F">
            <w:pPr>
              <w:spacing w:line="300" w:lineRule="exact"/>
              <w:jc w:val="center"/>
              <w:rPr>
                <w:rFonts w:eastAsia="仿宋_GB2312"/>
                <w:szCs w:val="21"/>
                <w:highlight w:val="none"/>
              </w:rPr>
            </w:pPr>
          </w:p>
        </w:tc>
        <w:tc>
          <w:tcPr>
            <w:tcW w:w="301" w:type="pct"/>
            <w:vMerge w:val="continue"/>
            <w:noWrap w:val="0"/>
            <w:vAlign w:val="center"/>
          </w:tcPr>
          <w:p w14:paraId="6F1F7A74">
            <w:pPr>
              <w:widowControl/>
              <w:spacing w:line="300" w:lineRule="exact"/>
              <w:jc w:val="center"/>
              <w:rPr>
                <w:rFonts w:eastAsia="仿宋_GB2312"/>
                <w:color w:val="000000"/>
                <w:kern w:val="0"/>
                <w:szCs w:val="21"/>
                <w:highlight w:val="none"/>
              </w:rPr>
            </w:pPr>
          </w:p>
        </w:tc>
        <w:tc>
          <w:tcPr>
            <w:tcW w:w="419" w:type="pct"/>
            <w:noWrap w:val="0"/>
            <w:vAlign w:val="center"/>
          </w:tcPr>
          <w:p w14:paraId="33C1BF90">
            <w:pPr>
              <w:spacing w:line="300" w:lineRule="exact"/>
              <w:jc w:val="center"/>
              <w:rPr>
                <w:rFonts w:eastAsia="仿宋_GB2312"/>
                <w:spacing w:val="5"/>
                <w:szCs w:val="21"/>
                <w:highlight w:val="none"/>
              </w:rPr>
            </w:pPr>
            <w:r>
              <w:rPr>
                <w:rFonts w:eastAsia="仿宋_GB2312"/>
                <w:spacing w:val="5"/>
                <w:szCs w:val="21"/>
                <w:highlight w:val="none"/>
              </w:rPr>
              <w:t>樱桃</w:t>
            </w:r>
          </w:p>
        </w:tc>
        <w:tc>
          <w:tcPr>
            <w:tcW w:w="188" w:type="pct"/>
            <w:noWrap w:val="0"/>
            <w:vAlign w:val="center"/>
          </w:tcPr>
          <w:p w14:paraId="6A1B02C3">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364FE8CA">
            <w:pPr>
              <w:spacing w:line="300" w:lineRule="exact"/>
              <w:jc w:val="left"/>
              <w:rPr>
                <w:rFonts w:eastAsia="仿宋_GB2312"/>
                <w:spacing w:val="5"/>
                <w:szCs w:val="21"/>
                <w:highlight w:val="none"/>
              </w:rPr>
            </w:pPr>
            <w:r>
              <w:rPr>
                <w:rFonts w:eastAsia="仿宋_GB2312"/>
                <w:spacing w:val="5"/>
                <w:szCs w:val="21"/>
                <w:highlight w:val="none"/>
              </w:rPr>
              <w:t>氟虫腈、啶虫脒、克百威、氧乐果、噻虫胺、噻虫嗪</w:t>
            </w:r>
          </w:p>
        </w:tc>
        <w:tc>
          <w:tcPr>
            <w:tcW w:w="751" w:type="pct"/>
            <w:noWrap w:val="0"/>
            <w:vAlign w:val="center"/>
          </w:tcPr>
          <w:p w14:paraId="4B597685">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5920C3C4">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AEA0174">
            <w:pPr>
              <w:spacing w:line="300" w:lineRule="exact"/>
              <w:jc w:val="left"/>
              <w:rPr>
                <w:rFonts w:eastAsia="仿宋_GB2312"/>
                <w:spacing w:val="5"/>
                <w:szCs w:val="21"/>
                <w:highlight w:val="none"/>
              </w:rPr>
            </w:pPr>
          </w:p>
        </w:tc>
      </w:tr>
      <w:tr w14:paraId="5FEF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6219E82">
            <w:pPr>
              <w:spacing w:line="300" w:lineRule="exact"/>
              <w:jc w:val="center"/>
              <w:rPr>
                <w:rFonts w:eastAsia="仿宋_GB2312"/>
                <w:szCs w:val="21"/>
                <w:highlight w:val="none"/>
              </w:rPr>
            </w:pPr>
          </w:p>
        </w:tc>
        <w:tc>
          <w:tcPr>
            <w:tcW w:w="244" w:type="pct"/>
            <w:vMerge w:val="continue"/>
            <w:noWrap w:val="0"/>
            <w:vAlign w:val="center"/>
          </w:tcPr>
          <w:p w14:paraId="641A9A8A">
            <w:pPr>
              <w:spacing w:line="300" w:lineRule="exact"/>
              <w:jc w:val="center"/>
              <w:rPr>
                <w:rFonts w:eastAsia="仿宋_GB2312"/>
                <w:szCs w:val="21"/>
                <w:highlight w:val="none"/>
              </w:rPr>
            </w:pPr>
          </w:p>
        </w:tc>
        <w:tc>
          <w:tcPr>
            <w:tcW w:w="244" w:type="pct"/>
            <w:vMerge w:val="continue"/>
            <w:noWrap w:val="0"/>
            <w:vAlign w:val="center"/>
          </w:tcPr>
          <w:p w14:paraId="654AB71E">
            <w:pPr>
              <w:spacing w:line="300" w:lineRule="exact"/>
              <w:jc w:val="center"/>
              <w:rPr>
                <w:rFonts w:eastAsia="仿宋_GB2312"/>
                <w:szCs w:val="21"/>
                <w:highlight w:val="none"/>
              </w:rPr>
            </w:pPr>
          </w:p>
        </w:tc>
        <w:tc>
          <w:tcPr>
            <w:tcW w:w="301" w:type="pct"/>
            <w:vMerge w:val="restart"/>
            <w:noWrap w:val="0"/>
            <w:vAlign w:val="center"/>
          </w:tcPr>
          <w:p w14:paraId="5DC98550">
            <w:pPr>
              <w:spacing w:line="300" w:lineRule="exact"/>
              <w:jc w:val="center"/>
              <w:rPr>
                <w:rFonts w:eastAsia="仿宋_GB2312"/>
                <w:spacing w:val="5"/>
                <w:szCs w:val="21"/>
                <w:highlight w:val="none"/>
              </w:rPr>
            </w:pPr>
            <w:r>
              <w:rPr>
                <w:rFonts w:eastAsia="仿宋_GB2312"/>
                <w:spacing w:val="5"/>
                <w:szCs w:val="21"/>
                <w:highlight w:val="none"/>
              </w:rPr>
              <w:t>柑橘类水果</w:t>
            </w:r>
          </w:p>
        </w:tc>
        <w:tc>
          <w:tcPr>
            <w:tcW w:w="419" w:type="pct"/>
            <w:noWrap w:val="0"/>
            <w:vAlign w:val="center"/>
          </w:tcPr>
          <w:p w14:paraId="155B31F0">
            <w:pPr>
              <w:spacing w:line="300" w:lineRule="exact"/>
              <w:jc w:val="center"/>
              <w:rPr>
                <w:rFonts w:eastAsia="仿宋_GB2312"/>
                <w:spacing w:val="5"/>
                <w:szCs w:val="21"/>
                <w:highlight w:val="none"/>
              </w:rPr>
            </w:pPr>
            <w:r>
              <w:rPr>
                <w:rFonts w:eastAsia="仿宋_GB2312"/>
                <w:spacing w:val="5"/>
                <w:szCs w:val="21"/>
                <w:highlight w:val="none"/>
              </w:rPr>
              <w:t>柑、橘</w:t>
            </w:r>
            <w:r>
              <w:rPr>
                <w:rFonts w:hint="eastAsia" w:eastAsia="仿宋_GB2312"/>
                <w:color w:val="000000"/>
                <w:kern w:val="0"/>
                <w:szCs w:val="21"/>
                <w:highlight w:val="none"/>
              </w:rPr>
              <w:t>*</w:t>
            </w:r>
          </w:p>
        </w:tc>
        <w:tc>
          <w:tcPr>
            <w:tcW w:w="188" w:type="pct"/>
            <w:noWrap w:val="0"/>
            <w:vAlign w:val="center"/>
          </w:tcPr>
          <w:p w14:paraId="3006970B">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55DAABB">
            <w:pPr>
              <w:spacing w:line="300" w:lineRule="exact"/>
              <w:jc w:val="left"/>
              <w:rPr>
                <w:rFonts w:eastAsia="仿宋_GB2312"/>
                <w:spacing w:val="5"/>
                <w:szCs w:val="21"/>
                <w:highlight w:val="none"/>
              </w:rPr>
            </w:pPr>
            <w:r>
              <w:rPr>
                <w:rFonts w:eastAsia="仿宋_GB2312"/>
                <w:spacing w:val="5"/>
                <w:szCs w:val="21"/>
                <w:highlight w:val="none"/>
              </w:rPr>
              <w:t>联苯菊酯、苯醚甲环唑、丙溴磷、2.4-滴和2.4-滴钠盐、氯氟氰菊酯和高效氯氟氰菊酯、三唑磷</w:t>
            </w:r>
          </w:p>
        </w:tc>
        <w:tc>
          <w:tcPr>
            <w:tcW w:w="751" w:type="pct"/>
            <w:noWrap w:val="0"/>
            <w:vAlign w:val="center"/>
          </w:tcPr>
          <w:p w14:paraId="6105065A">
            <w:pPr>
              <w:spacing w:line="300" w:lineRule="exact"/>
              <w:jc w:val="left"/>
              <w:rPr>
                <w:rFonts w:eastAsia="仿宋_GB2312"/>
                <w:spacing w:val="5"/>
                <w:szCs w:val="21"/>
                <w:highlight w:val="none"/>
              </w:rPr>
            </w:pPr>
            <w:r>
              <w:rPr>
                <w:rFonts w:eastAsia="仿宋_GB2312"/>
                <w:spacing w:val="5"/>
                <w:szCs w:val="21"/>
                <w:highlight w:val="none"/>
              </w:rPr>
              <w:t>氯唑磷、克百威、噻虫胺</w:t>
            </w:r>
          </w:p>
        </w:tc>
        <w:tc>
          <w:tcPr>
            <w:tcW w:w="734" w:type="pct"/>
            <w:noWrap w:val="0"/>
            <w:vAlign w:val="center"/>
          </w:tcPr>
          <w:p w14:paraId="005A520A">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0B7FE7D">
            <w:pPr>
              <w:spacing w:line="300" w:lineRule="exact"/>
              <w:jc w:val="left"/>
              <w:rPr>
                <w:rFonts w:eastAsia="仿宋_GB2312"/>
                <w:spacing w:val="5"/>
                <w:szCs w:val="21"/>
                <w:highlight w:val="none"/>
              </w:rPr>
            </w:pPr>
          </w:p>
        </w:tc>
      </w:tr>
      <w:tr w14:paraId="4ED9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58D770E">
            <w:pPr>
              <w:spacing w:line="300" w:lineRule="exact"/>
              <w:jc w:val="center"/>
              <w:rPr>
                <w:rFonts w:eastAsia="仿宋_GB2312"/>
                <w:szCs w:val="21"/>
                <w:highlight w:val="none"/>
              </w:rPr>
            </w:pPr>
          </w:p>
        </w:tc>
        <w:tc>
          <w:tcPr>
            <w:tcW w:w="244" w:type="pct"/>
            <w:vMerge w:val="continue"/>
            <w:noWrap w:val="0"/>
            <w:vAlign w:val="center"/>
          </w:tcPr>
          <w:p w14:paraId="6349FF49">
            <w:pPr>
              <w:spacing w:line="300" w:lineRule="exact"/>
              <w:jc w:val="center"/>
              <w:rPr>
                <w:rFonts w:eastAsia="仿宋_GB2312"/>
                <w:szCs w:val="21"/>
                <w:highlight w:val="none"/>
              </w:rPr>
            </w:pPr>
          </w:p>
        </w:tc>
        <w:tc>
          <w:tcPr>
            <w:tcW w:w="244" w:type="pct"/>
            <w:vMerge w:val="continue"/>
            <w:noWrap w:val="0"/>
            <w:vAlign w:val="center"/>
          </w:tcPr>
          <w:p w14:paraId="5FE06010">
            <w:pPr>
              <w:spacing w:line="300" w:lineRule="exact"/>
              <w:jc w:val="center"/>
              <w:rPr>
                <w:rFonts w:eastAsia="仿宋_GB2312"/>
                <w:szCs w:val="21"/>
                <w:highlight w:val="none"/>
              </w:rPr>
            </w:pPr>
          </w:p>
        </w:tc>
        <w:tc>
          <w:tcPr>
            <w:tcW w:w="301" w:type="pct"/>
            <w:vMerge w:val="continue"/>
            <w:noWrap w:val="0"/>
            <w:vAlign w:val="center"/>
          </w:tcPr>
          <w:p w14:paraId="434E34A2">
            <w:pPr>
              <w:widowControl/>
              <w:spacing w:line="300" w:lineRule="exact"/>
              <w:jc w:val="center"/>
              <w:rPr>
                <w:rFonts w:eastAsia="仿宋_GB2312"/>
                <w:color w:val="000000"/>
                <w:kern w:val="0"/>
                <w:szCs w:val="21"/>
                <w:highlight w:val="none"/>
              </w:rPr>
            </w:pPr>
          </w:p>
        </w:tc>
        <w:tc>
          <w:tcPr>
            <w:tcW w:w="419" w:type="pct"/>
            <w:noWrap w:val="0"/>
            <w:vAlign w:val="center"/>
          </w:tcPr>
          <w:p w14:paraId="5DC421C4">
            <w:pPr>
              <w:spacing w:line="300" w:lineRule="exact"/>
              <w:jc w:val="center"/>
              <w:rPr>
                <w:rFonts w:eastAsia="仿宋_GB2312"/>
                <w:spacing w:val="5"/>
                <w:szCs w:val="21"/>
                <w:highlight w:val="none"/>
              </w:rPr>
            </w:pPr>
            <w:r>
              <w:rPr>
                <w:rFonts w:eastAsia="仿宋_GB2312"/>
                <w:spacing w:val="5"/>
                <w:szCs w:val="21"/>
                <w:highlight w:val="none"/>
              </w:rPr>
              <w:t>柚</w:t>
            </w:r>
          </w:p>
        </w:tc>
        <w:tc>
          <w:tcPr>
            <w:tcW w:w="188" w:type="pct"/>
            <w:noWrap w:val="0"/>
            <w:vAlign w:val="center"/>
          </w:tcPr>
          <w:p w14:paraId="3246D7D6">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66038EBF">
            <w:pPr>
              <w:spacing w:line="300" w:lineRule="exact"/>
              <w:jc w:val="left"/>
              <w:rPr>
                <w:rFonts w:eastAsia="仿宋_GB2312"/>
                <w:spacing w:val="5"/>
                <w:szCs w:val="21"/>
                <w:highlight w:val="none"/>
              </w:rPr>
            </w:pPr>
            <w:r>
              <w:rPr>
                <w:rFonts w:eastAsia="仿宋_GB2312"/>
                <w:spacing w:val="5"/>
                <w:szCs w:val="21"/>
                <w:highlight w:val="none"/>
              </w:rPr>
              <w:t>水胺硫磷、联苯菊酯、氯氟氰菊酯和高效氯氟氰菊酯、氯唑磷、毒死蜱、噻虫胺</w:t>
            </w:r>
          </w:p>
        </w:tc>
        <w:tc>
          <w:tcPr>
            <w:tcW w:w="751" w:type="pct"/>
            <w:noWrap w:val="0"/>
            <w:vAlign w:val="center"/>
          </w:tcPr>
          <w:p w14:paraId="2FEF26A6">
            <w:pPr>
              <w:spacing w:line="300" w:lineRule="exact"/>
              <w:jc w:val="left"/>
              <w:rPr>
                <w:rFonts w:eastAsia="仿宋_GB2312"/>
                <w:spacing w:val="5"/>
                <w:szCs w:val="21"/>
                <w:highlight w:val="none"/>
              </w:rPr>
            </w:pPr>
            <w:r>
              <w:rPr>
                <w:rFonts w:eastAsia="仿宋_GB2312"/>
                <w:spacing w:val="5"/>
                <w:szCs w:val="21"/>
                <w:highlight w:val="none"/>
              </w:rPr>
              <w:t>多菌灵、克百威</w:t>
            </w:r>
          </w:p>
        </w:tc>
        <w:tc>
          <w:tcPr>
            <w:tcW w:w="734" w:type="pct"/>
            <w:noWrap w:val="0"/>
            <w:vAlign w:val="center"/>
          </w:tcPr>
          <w:p w14:paraId="3D4074CD">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057F11A">
            <w:pPr>
              <w:spacing w:line="300" w:lineRule="exact"/>
              <w:jc w:val="left"/>
              <w:rPr>
                <w:rFonts w:eastAsia="仿宋_GB2312"/>
                <w:spacing w:val="5"/>
                <w:szCs w:val="21"/>
                <w:highlight w:val="none"/>
              </w:rPr>
            </w:pPr>
          </w:p>
        </w:tc>
      </w:tr>
      <w:tr w14:paraId="08D7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B9B7E8C">
            <w:pPr>
              <w:spacing w:line="300" w:lineRule="exact"/>
              <w:jc w:val="center"/>
              <w:rPr>
                <w:rFonts w:eastAsia="仿宋_GB2312"/>
                <w:szCs w:val="21"/>
                <w:highlight w:val="none"/>
              </w:rPr>
            </w:pPr>
          </w:p>
        </w:tc>
        <w:tc>
          <w:tcPr>
            <w:tcW w:w="244" w:type="pct"/>
            <w:vMerge w:val="continue"/>
            <w:noWrap w:val="0"/>
            <w:vAlign w:val="center"/>
          </w:tcPr>
          <w:p w14:paraId="0C84A9EC">
            <w:pPr>
              <w:spacing w:line="300" w:lineRule="exact"/>
              <w:jc w:val="center"/>
              <w:rPr>
                <w:rFonts w:eastAsia="仿宋_GB2312"/>
                <w:szCs w:val="21"/>
                <w:highlight w:val="none"/>
              </w:rPr>
            </w:pPr>
          </w:p>
        </w:tc>
        <w:tc>
          <w:tcPr>
            <w:tcW w:w="244" w:type="pct"/>
            <w:vMerge w:val="continue"/>
            <w:noWrap w:val="0"/>
            <w:vAlign w:val="center"/>
          </w:tcPr>
          <w:p w14:paraId="5B71EBA2">
            <w:pPr>
              <w:spacing w:line="300" w:lineRule="exact"/>
              <w:jc w:val="center"/>
              <w:rPr>
                <w:rFonts w:eastAsia="仿宋_GB2312"/>
                <w:szCs w:val="21"/>
                <w:highlight w:val="none"/>
              </w:rPr>
            </w:pPr>
          </w:p>
        </w:tc>
        <w:tc>
          <w:tcPr>
            <w:tcW w:w="301" w:type="pct"/>
            <w:vMerge w:val="continue"/>
            <w:noWrap w:val="0"/>
            <w:vAlign w:val="center"/>
          </w:tcPr>
          <w:p w14:paraId="46757020">
            <w:pPr>
              <w:widowControl/>
              <w:spacing w:line="300" w:lineRule="exact"/>
              <w:jc w:val="center"/>
              <w:rPr>
                <w:rFonts w:eastAsia="仿宋_GB2312"/>
                <w:color w:val="000000"/>
                <w:kern w:val="0"/>
                <w:szCs w:val="21"/>
                <w:highlight w:val="none"/>
              </w:rPr>
            </w:pPr>
          </w:p>
        </w:tc>
        <w:tc>
          <w:tcPr>
            <w:tcW w:w="419" w:type="pct"/>
            <w:noWrap w:val="0"/>
            <w:vAlign w:val="center"/>
          </w:tcPr>
          <w:p w14:paraId="05B01849">
            <w:pPr>
              <w:spacing w:line="300" w:lineRule="exact"/>
              <w:jc w:val="center"/>
              <w:rPr>
                <w:rFonts w:eastAsia="仿宋_GB2312"/>
                <w:spacing w:val="5"/>
                <w:szCs w:val="21"/>
                <w:highlight w:val="none"/>
              </w:rPr>
            </w:pPr>
            <w:r>
              <w:rPr>
                <w:rFonts w:eastAsia="仿宋_GB2312"/>
                <w:spacing w:val="5"/>
                <w:szCs w:val="21"/>
                <w:highlight w:val="none"/>
              </w:rPr>
              <w:t>柠檬</w:t>
            </w:r>
          </w:p>
        </w:tc>
        <w:tc>
          <w:tcPr>
            <w:tcW w:w="188" w:type="pct"/>
            <w:noWrap w:val="0"/>
            <w:vAlign w:val="center"/>
          </w:tcPr>
          <w:p w14:paraId="1EB58FCC">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035AF5C3">
            <w:pPr>
              <w:spacing w:line="300" w:lineRule="exact"/>
              <w:jc w:val="left"/>
              <w:rPr>
                <w:rFonts w:eastAsia="仿宋_GB2312"/>
                <w:spacing w:val="5"/>
                <w:szCs w:val="21"/>
                <w:highlight w:val="none"/>
              </w:rPr>
            </w:pPr>
            <w:r>
              <w:rPr>
                <w:rFonts w:eastAsia="仿宋_GB2312"/>
                <w:spacing w:val="5"/>
                <w:szCs w:val="21"/>
                <w:highlight w:val="none"/>
              </w:rPr>
              <w:t>联苯菊酯、多菌灵、克百威、水胺硫磷、乙螨唑、氯唑磷</w:t>
            </w:r>
          </w:p>
        </w:tc>
        <w:tc>
          <w:tcPr>
            <w:tcW w:w="751" w:type="pct"/>
            <w:noWrap w:val="0"/>
            <w:vAlign w:val="center"/>
          </w:tcPr>
          <w:p w14:paraId="363006F9">
            <w:pPr>
              <w:spacing w:line="300" w:lineRule="exact"/>
              <w:jc w:val="left"/>
              <w:rPr>
                <w:rFonts w:eastAsia="仿宋_GB2312"/>
                <w:spacing w:val="5"/>
                <w:szCs w:val="21"/>
                <w:highlight w:val="none"/>
              </w:rPr>
            </w:pPr>
            <w:r>
              <w:rPr>
                <w:rFonts w:eastAsia="仿宋_GB2312"/>
                <w:spacing w:val="5"/>
                <w:szCs w:val="21"/>
                <w:highlight w:val="none"/>
              </w:rPr>
              <w:t>毒死蜱</w:t>
            </w:r>
          </w:p>
        </w:tc>
        <w:tc>
          <w:tcPr>
            <w:tcW w:w="734" w:type="pct"/>
            <w:noWrap w:val="0"/>
            <w:vAlign w:val="center"/>
          </w:tcPr>
          <w:p w14:paraId="66F853CE">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B56EC16">
            <w:pPr>
              <w:spacing w:line="300" w:lineRule="exact"/>
              <w:jc w:val="left"/>
              <w:rPr>
                <w:rFonts w:eastAsia="仿宋_GB2312"/>
                <w:spacing w:val="5"/>
                <w:szCs w:val="21"/>
                <w:highlight w:val="none"/>
              </w:rPr>
            </w:pPr>
          </w:p>
        </w:tc>
      </w:tr>
      <w:tr w14:paraId="11DD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4B25CE8">
            <w:pPr>
              <w:spacing w:line="300" w:lineRule="exact"/>
              <w:jc w:val="center"/>
              <w:rPr>
                <w:rFonts w:eastAsia="仿宋_GB2312"/>
                <w:szCs w:val="21"/>
                <w:highlight w:val="none"/>
              </w:rPr>
            </w:pPr>
          </w:p>
        </w:tc>
        <w:tc>
          <w:tcPr>
            <w:tcW w:w="244" w:type="pct"/>
            <w:vMerge w:val="continue"/>
            <w:noWrap w:val="0"/>
            <w:vAlign w:val="center"/>
          </w:tcPr>
          <w:p w14:paraId="73232B5C">
            <w:pPr>
              <w:spacing w:line="300" w:lineRule="exact"/>
              <w:jc w:val="center"/>
              <w:rPr>
                <w:rFonts w:eastAsia="仿宋_GB2312"/>
                <w:szCs w:val="21"/>
                <w:highlight w:val="none"/>
              </w:rPr>
            </w:pPr>
          </w:p>
        </w:tc>
        <w:tc>
          <w:tcPr>
            <w:tcW w:w="244" w:type="pct"/>
            <w:vMerge w:val="continue"/>
            <w:noWrap w:val="0"/>
            <w:vAlign w:val="center"/>
          </w:tcPr>
          <w:p w14:paraId="00E00D2F">
            <w:pPr>
              <w:spacing w:line="300" w:lineRule="exact"/>
              <w:jc w:val="center"/>
              <w:rPr>
                <w:rFonts w:eastAsia="仿宋_GB2312"/>
                <w:szCs w:val="21"/>
                <w:highlight w:val="none"/>
              </w:rPr>
            </w:pPr>
          </w:p>
        </w:tc>
        <w:tc>
          <w:tcPr>
            <w:tcW w:w="301" w:type="pct"/>
            <w:vMerge w:val="continue"/>
            <w:noWrap w:val="0"/>
            <w:vAlign w:val="center"/>
          </w:tcPr>
          <w:p w14:paraId="0CE1B370">
            <w:pPr>
              <w:widowControl/>
              <w:spacing w:line="300" w:lineRule="exact"/>
              <w:jc w:val="center"/>
              <w:rPr>
                <w:rFonts w:eastAsia="仿宋_GB2312"/>
                <w:color w:val="000000"/>
                <w:kern w:val="0"/>
                <w:szCs w:val="21"/>
                <w:highlight w:val="none"/>
              </w:rPr>
            </w:pPr>
          </w:p>
        </w:tc>
        <w:tc>
          <w:tcPr>
            <w:tcW w:w="419" w:type="pct"/>
            <w:noWrap w:val="0"/>
            <w:vAlign w:val="center"/>
          </w:tcPr>
          <w:p w14:paraId="314EF4D3">
            <w:pPr>
              <w:spacing w:line="300" w:lineRule="exact"/>
              <w:jc w:val="center"/>
              <w:rPr>
                <w:rFonts w:eastAsia="仿宋_GB2312"/>
                <w:spacing w:val="5"/>
                <w:szCs w:val="21"/>
                <w:highlight w:val="none"/>
              </w:rPr>
            </w:pPr>
            <w:r>
              <w:rPr>
                <w:rFonts w:eastAsia="仿宋_GB2312"/>
                <w:spacing w:val="5"/>
                <w:szCs w:val="21"/>
                <w:highlight w:val="none"/>
              </w:rPr>
              <w:t>橙</w:t>
            </w:r>
            <w:r>
              <w:rPr>
                <w:rFonts w:hint="eastAsia" w:eastAsia="仿宋_GB2312"/>
                <w:color w:val="000000"/>
                <w:kern w:val="0"/>
                <w:szCs w:val="21"/>
                <w:highlight w:val="none"/>
              </w:rPr>
              <w:t>*</w:t>
            </w:r>
          </w:p>
        </w:tc>
        <w:tc>
          <w:tcPr>
            <w:tcW w:w="188" w:type="pct"/>
            <w:noWrap w:val="0"/>
            <w:vAlign w:val="center"/>
          </w:tcPr>
          <w:p w14:paraId="2B348EE2">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70521FC5">
            <w:pPr>
              <w:spacing w:line="300" w:lineRule="exact"/>
              <w:jc w:val="left"/>
              <w:rPr>
                <w:rFonts w:eastAsia="仿宋_GB2312"/>
                <w:spacing w:val="5"/>
                <w:szCs w:val="21"/>
                <w:highlight w:val="none"/>
              </w:rPr>
            </w:pPr>
            <w:r>
              <w:rPr>
                <w:rFonts w:eastAsia="仿宋_GB2312"/>
                <w:spacing w:val="5"/>
                <w:szCs w:val="21"/>
                <w:highlight w:val="none"/>
              </w:rPr>
              <w:t>氯唑磷、联苯菊酯、苯醚甲环唑、丙溴磷、2.4-滴和2,4-滴钠盐</w:t>
            </w:r>
          </w:p>
          <w:p w14:paraId="6FBE419B">
            <w:pPr>
              <w:spacing w:line="300" w:lineRule="exact"/>
              <w:jc w:val="left"/>
              <w:rPr>
                <w:rFonts w:eastAsia="仿宋_GB2312"/>
                <w:spacing w:val="5"/>
                <w:szCs w:val="21"/>
                <w:highlight w:val="none"/>
              </w:rPr>
            </w:pPr>
          </w:p>
        </w:tc>
        <w:tc>
          <w:tcPr>
            <w:tcW w:w="751" w:type="pct"/>
            <w:noWrap w:val="0"/>
            <w:vAlign w:val="center"/>
          </w:tcPr>
          <w:p w14:paraId="0036D059">
            <w:pPr>
              <w:spacing w:line="300" w:lineRule="exact"/>
              <w:jc w:val="left"/>
              <w:rPr>
                <w:rFonts w:eastAsia="仿宋_GB2312"/>
                <w:spacing w:val="5"/>
                <w:szCs w:val="21"/>
                <w:highlight w:val="none"/>
              </w:rPr>
            </w:pPr>
            <w:r>
              <w:rPr>
                <w:rFonts w:eastAsia="仿宋_GB2312"/>
                <w:spacing w:val="5"/>
                <w:szCs w:val="21"/>
                <w:highlight w:val="none"/>
              </w:rPr>
              <w:t>克百威、三唑磷</w:t>
            </w:r>
          </w:p>
        </w:tc>
        <w:tc>
          <w:tcPr>
            <w:tcW w:w="734" w:type="pct"/>
            <w:noWrap w:val="0"/>
            <w:vAlign w:val="center"/>
          </w:tcPr>
          <w:p w14:paraId="23EE6992">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57E5938">
            <w:pPr>
              <w:spacing w:line="300" w:lineRule="exact"/>
              <w:jc w:val="left"/>
              <w:rPr>
                <w:rFonts w:eastAsia="仿宋_GB2312"/>
                <w:spacing w:val="5"/>
                <w:szCs w:val="21"/>
                <w:highlight w:val="none"/>
              </w:rPr>
            </w:pPr>
          </w:p>
        </w:tc>
      </w:tr>
      <w:tr w14:paraId="2552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42EFBA6">
            <w:pPr>
              <w:spacing w:line="300" w:lineRule="exact"/>
              <w:jc w:val="center"/>
              <w:rPr>
                <w:rFonts w:eastAsia="仿宋_GB2312"/>
                <w:szCs w:val="21"/>
                <w:highlight w:val="none"/>
              </w:rPr>
            </w:pPr>
          </w:p>
        </w:tc>
        <w:tc>
          <w:tcPr>
            <w:tcW w:w="244" w:type="pct"/>
            <w:vMerge w:val="continue"/>
            <w:noWrap w:val="0"/>
            <w:vAlign w:val="center"/>
          </w:tcPr>
          <w:p w14:paraId="349EC3F0">
            <w:pPr>
              <w:spacing w:line="300" w:lineRule="exact"/>
              <w:jc w:val="center"/>
              <w:rPr>
                <w:rFonts w:eastAsia="仿宋_GB2312"/>
                <w:szCs w:val="21"/>
                <w:highlight w:val="none"/>
              </w:rPr>
            </w:pPr>
          </w:p>
        </w:tc>
        <w:tc>
          <w:tcPr>
            <w:tcW w:w="244" w:type="pct"/>
            <w:vMerge w:val="continue"/>
            <w:noWrap w:val="0"/>
            <w:vAlign w:val="center"/>
          </w:tcPr>
          <w:p w14:paraId="6CB03CE1">
            <w:pPr>
              <w:spacing w:line="300" w:lineRule="exact"/>
              <w:jc w:val="center"/>
              <w:rPr>
                <w:rFonts w:eastAsia="仿宋_GB2312"/>
                <w:szCs w:val="21"/>
                <w:highlight w:val="none"/>
              </w:rPr>
            </w:pPr>
          </w:p>
        </w:tc>
        <w:tc>
          <w:tcPr>
            <w:tcW w:w="301" w:type="pct"/>
            <w:vMerge w:val="continue"/>
            <w:noWrap w:val="0"/>
            <w:vAlign w:val="center"/>
          </w:tcPr>
          <w:p w14:paraId="5F7CE8B2">
            <w:pPr>
              <w:widowControl/>
              <w:spacing w:line="300" w:lineRule="exact"/>
              <w:jc w:val="center"/>
              <w:rPr>
                <w:rFonts w:eastAsia="仿宋_GB2312"/>
                <w:color w:val="000000"/>
                <w:kern w:val="0"/>
                <w:szCs w:val="21"/>
                <w:highlight w:val="none"/>
              </w:rPr>
            </w:pPr>
          </w:p>
        </w:tc>
        <w:tc>
          <w:tcPr>
            <w:tcW w:w="419" w:type="pct"/>
            <w:noWrap w:val="0"/>
            <w:vAlign w:val="center"/>
          </w:tcPr>
          <w:p w14:paraId="79BC24BD">
            <w:pPr>
              <w:spacing w:line="300" w:lineRule="exact"/>
              <w:jc w:val="center"/>
              <w:rPr>
                <w:rFonts w:eastAsia="仿宋_GB2312"/>
                <w:spacing w:val="5"/>
                <w:szCs w:val="21"/>
                <w:highlight w:val="none"/>
              </w:rPr>
            </w:pPr>
            <w:r>
              <w:rPr>
                <w:rFonts w:eastAsia="仿宋_GB2312"/>
                <w:spacing w:val="5"/>
                <w:szCs w:val="21"/>
                <w:highlight w:val="none"/>
              </w:rPr>
              <w:t>金橘</w:t>
            </w:r>
          </w:p>
        </w:tc>
        <w:tc>
          <w:tcPr>
            <w:tcW w:w="188" w:type="pct"/>
            <w:noWrap w:val="0"/>
            <w:vAlign w:val="center"/>
          </w:tcPr>
          <w:p w14:paraId="45C33B2C">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03991919">
            <w:pPr>
              <w:spacing w:line="300" w:lineRule="exact"/>
              <w:jc w:val="left"/>
              <w:rPr>
                <w:rFonts w:eastAsia="仿宋_GB2312"/>
                <w:spacing w:val="5"/>
                <w:szCs w:val="21"/>
                <w:highlight w:val="none"/>
              </w:rPr>
            </w:pPr>
            <w:r>
              <w:rPr>
                <w:rFonts w:eastAsia="仿宋_GB2312"/>
                <w:spacing w:val="5"/>
                <w:szCs w:val="21"/>
                <w:highlight w:val="none"/>
              </w:rPr>
              <w:t>乙螨唑、噻虫胺、氯氰菊酯和高效氯氰菊酯、苯醚甲环唑、阿维菌素</w:t>
            </w:r>
            <w:r>
              <w:rPr>
                <w:rFonts w:hint="eastAsia" w:eastAsia="仿宋_GB2312"/>
                <w:spacing w:val="5"/>
                <w:szCs w:val="21"/>
                <w:highlight w:val="none"/>
              </w:rPr>
              <w:t>、溴氰菊酯</w:t>
            </w:r>
          </w:p>
        </w:tc>
        <w:tc>
          <w:tcPr>
            <w:tcW w:w="751" w:type="pct"/>
            <w:noWrap w:val="0"/>
            <w:vAlign w:val="center"/>
          </w:tcPr>
          <w:p w14:paraId="6E37A674">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6AFEB6E9">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B9B5AD8">
            <w:pPr>
              <w:spacing w:line="300" w:lineRule="exact"/>
              <w:jc w:val="left"/>
              <w:rPr>
                <w:rFonts w:eastAsia="仿宋_GB2312"/>
                <w:spacing w:val="5"/>
                <w:szCs w:val="21"/>
                <w:highlight w:val="none"/>
              </w:rPr>
            </w:pPr>
          </w:p>
        </w:tc>
      </w:tr>
      <w:tr w14:paraId="760E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18FEE0B">
            <w:pPr>
              <w:spacing w:line="300" w:lineRule="exact"/>
              <w:jc w:val="center"/>
              <w:rPr>
                <w:rFonts w:eastAsia="仿宋_GB2312"/>
                <w:szCs w:val="21"/>
                <w:highlight w:val="none"/>
              </w:rPr>
            </w:pPr>
          </w:p>
        </w:tc>
        <w:tc>
          <w:tcPr>
            <w:tcW w:w="244" w:type="pct"/>
            <w:vMerge w:val="continue"/>
            <w:noWrap w:val="0"/>
            <w:vAlign w:val="center"/>
          </w:tcPr>
          <w:p w14:paraId="23D4F256">
            <w:pPr>
              <w:spacing w:line="300" w:lineRule="exact"/>
              <w:jc w:val="center"/>
              <w:rPr>
                <w:rFonts w:eastAsia="仿宋_GB2312"/>
                <w:szCs w:val="21"/>
                <w:highlight w:val="none"/>
              </w:rPr>
            </w:pPr>
          </w:p>
        </w:tc>
        <w:tc>
          <w:tcPr>
            <w:tcW w:w="244" w:type="pct"/>
            <w:vMerge w:val="continue"/>
            <w:noWrap w:val="0"/>
            <w:vAlign w:val="center"/>
          </w:tcPr>
          <w:p w14:paraId="4A022750">
            <w:pPr>
              <w:spacing w:line="300" w:lineRule="exact"/>
              <w:jc w:val="center"/>
              <w:rPr>
                <w:rFonts w:eastAsia="仿宋_GB2312"/>
                <w:szCs w:val="21"/>
                <w:highlight w:val="none"/>
              </w:rPr>
            </w:pPr>
          </w:p>
        </w:tc>
        <w:tc>
          <w:tcPr>
            <w:tcW w:w="301" w:type="pct"/>
            <w:vMerge w:val="restart"/>
            <w:noWrap w:val="0"/>
            <w:vAlign w:val="center"/>
          </w:tcPr>
          <w:p w14:paraId="6A769676">
            <w:pPr>
              <w:spacing w:line="300" w:lineRule="exact"/>
              <w:jc w:val="center"/>
              <w:rPr>
                <w:rFonts w:eastAsia="仿宋_GB2312"/>
                <w:spacing w:val="5"/>
                <w:szCs w:val="21"/>
                <w:highlight w:val="none"/>
              </w:rPr>
            </w:pPr>
            <w:r>
              <w:rPr>
                <w:rFonts w:eastAsia="仿宋_GB2312"/>
                <w:spacing w:val="5"/>
                <w:szCs w:val="21"/>
                <w:highlight w:val="none"/>
              </w:rPr>
              <w:t>浆果和其他小型水果</w:t>
            </w:r>
          </w:p>
        </w:tc>
        <w:tc>
          <w:tcPr>
            <w:tcW w:w="419" w:type="pct"/>
            <w:noWrap w:val="0"/>
            <w:vAlign w:val="center"/>
          </w:tcPr>
          <w:p w14:paraId="724584D0">
            <w:pPr>
              <w:spacing w:line="300" w:lineRule="exact"/>
              <w:jc w:val="center"/>
              <w:rPr>
                <w:rFonts w:eastAsia="仿宋_GB2312"/>
                <w:spacing w:val="5"/>
                <w:szCs w:val="21"/>
                <w:highlight w:val="none"/>
              </w:rPr>
            </w:pPr>
            <w:r>
              <w:rPr>
                <w:rFonts w:eastAsia="仿宋_GB2312"/>
                <w:spacing w:val="5"/>
                <w:szCs w:val="21"/>
                <w:highlight w:val="none"/>
              </w:rPr>
              <w:t>葡萄</w:t>
            </w:r>
          </w:p>
        </w:tc>
        <w:tc>
          <w:tcPr>
            <w:tcW w:w="188" w:type="pct"/>
            <w:noWrap w:val="0"/>
            <w:vAlign w:val="center"/>
          </w:tcPr>
          <w:p w14:paraId="6F8E6921">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081000F8">
            <w:pPr>
              <w:spacing w:line="300" w:lineRule="exact"/>
              <w:jc w:val="left"/>
              <w:rPr>
                <w:rFonts w:eastAsia="仿宋_GB2312"/>
                <w:spacing w:val="5"/>
                <w:szCs w:val="21"/>
                <w:highlight w:val="none"/>
              </w:rPr>
            </w:pPr>
            <w:r>
              <w:rPr>
                <w:rFonts w:eastAsia="仿宋_GB2312"/>
                <w:spacing w:val="5"/>
                <w:szCs w:val="21"/>
                <w:highlight w:val="none"/>
              </w:rPr>
              <w:t>苯醚甲环唑、己唑醇、腈苯唑、氯吡脲、氯氰菊酯和高效氯氰菊酯、氧乐果</w:t>
            </w:r>
          </w:p>
        </w:tc>
        <w:tc>
          <w:tcPr>
            <w:tcW w:w="751" w:type="pct"/>
            <w:noWrap w:val="0"/>
            <w:vAlign w:val="center"/>
          </w:tcPr>
          <w:p w14:paraId="25A706B7">
            <w:pPr>
              <w:spacing w:line="300" w:lineRule="exact"/>
              <w:jc w:val="left"/>
              <w:rPr>
                <w:rFonts w:eastAsia="仿宋_GB2312"/>
                <w:spacing w:val="5"/>
                <w:szCs w:val="21"/>
                <w:highlight w:val="none"/>
              </w:rPr>
            </w:pPr>
            <w:r>
              <w:rPr>
                <w:rFonts w:eastAsia="仿宋_GB2312"/>
                <w:spacing w:val="5"/>
                <w:szCs w:val="21"/>
                <w:highlight w:val="none"/>
              </w:rPr>
              <w:t>联苯菊酯、氟虫腈</w:t>
            </w:r>
          </w:p>
        </w:tc>
        <w:tc>
          <w:tcPr>
            <w:tcW w:w="734" w:type="pct"/>
            <w:noWrap w:val="0"/>
            <w:vAlign w:val="center"/>
          </w:tcPr>
          <w:p w14:paraId="45838D9A">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57F37E5">
            <w:pPr>
              <w:spacing w:line="300" w:lineRule="exact"/>
              <w:jc w:val="left"/>
              <w:rPr>
                <w:rFonts w:eastAsia="仿宋_GB2312"/>
                <w:spacing w:val="5"/>
                <w:szCs w:val="21"/>
                <w:highlight w:val="none"/>
              </w:rPr>
            </w:pPr>
          </w:p>
        </w:tc>
      </w:tr>
      <w:tr w14:paraId="3A27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 w:type="pct"/>
            <w:vMerge w:val="continue"/>
            <w:noWrap w:val="0"/>
            <w:vAlign w:val="center"/>
          </w:tcPr>
          <w:p w14:paraId="67E8CD04">
            <w:pPr>
              <w:spacing w:line="300" w:lineRule="exact"/>
              <w:jc w:val="center"/>
              <w:rPr>
                <w:rFonts w:eastAsia="仿宋_GB2312"/>
                <w:szCs w:val="21"/>
                <w:highlight w:val="none"/>
              </w:rPr>
            </w:pPr>
          </w:p>
        </w:tc>
        <w:tc>
          <w:tcPr>
            <w:tcW w:w="244" w:type="pct"/>
            <w:vMerge w:val="continue"/>
            <w:noWrap w:val="0"/>
            <w:vAlign w:val="center"/>
          </w:tcPr>
          <w:p w14:paraId="3B121157">
            <w:pPr>
              <w:spacing w:line="300" w:lineRule="exact"/>
              <w:jc w:val="center"/>
              <w:rPr>
                <w:rFonts w:eastAsia="仿宋_GB2312"/>
                <w:szCs w:val="21"/>
                <w:highlight w:val="none"/>
              </w:rPr>
            </w:pPr>
          </w:p>
        </w:tc>
        <w:tc>
          <w:tcPr>
            <w:tcW w:w="244" w:type="pct"/>
            <w:vMerge w:val="continue"/>
            <w:noWrap w:val="0"/>
            <w:vAlign w:val="center"/>
          </w:tcPr>
          <w:p w14:paraId="1E577807">
            <w:pPr>
              <w:spacing w:line="300" w:lineRule="exact"/>
              <w:jc w:val="center"/>
              <w:rPr>
                <w:rFonts w:eastAsia="仿宋_GB2312"/>
                <w:szCs w:val="21"/>
                <w:highlight w:val="none"/>
              </w:rPr>
            </w:pPr>
          </w:p>
        </w:tc>
        <w:tc>
          <w:tcPr>
            <w:tcW w:w="301" w:type="pct"/>
            <w:vMerge w:val="continue"/>
            <w:noWrap w:val="0"/>
            <w:vAlign w:val="center"/>
          </w:tcPr>
          <w:p w14:paraId="0F2518C3">
            <w:pPr>
              <w:widowControl/>
              <w:spacing w:line="300" w:lineRule="exact"/>
              <w:jc w:val="center"/>
              <w:rPr>
                <w:rFonts w:eastAsia="仿宋_GB2312"/>
                <w:color w:val="000000"/>
                <w:kern w:val="0"/>
                <w:szCs w:val="21"/>
                <w:highlight w:val="none"/>
              </w:rPr>
            </w:pPr>
          </w:p>
        </w:tc>
        <w:tc>
          <w:tcPr>
            <w:tcW w:w="419" w:type="pct"/>
            <w:noWrap w:val="0"/>
            <w:vAlign w:val="center"/>
          </w:tcPr>
          <w:p w14:paraId="18011332">
            <w:pPr>
              <w:spacing w:line="300" w:lineRule="exact"/>
              <w:jc w:val="center"/>
              <w:rPr>
                <w:rFonts w:eastAsia="仿宋_GB2312"/>
                <w:spacing w:val="5"/>
                <w:szCs w:val="21"/>
                <w:highlight w:val="none"/>
              </w:rPr>
            </w:pPr>
            <w:r>
              <w:rPr>
                <w:rFonts w:eastAsia="仿宋_GB2312"/>
                <w:spacing w:val="5"/>
                <w:szCs w:val="21"/>
                <w:highlight w:val="none"/>
              </w:rPr>
              <w:t>草莓</w:t>
            </w:r>
          </w:p>
        </w:tc>
        <w:tc>
          <w:tcPr>
            <w:tcW w:w="188" w:type="pct"/>
            <w:noWrap w:val="0"/>
            <w:vAlign w:val="center"/>
          </w:tcPr>
          <w:p w14:paraId="0B4B9A51">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6EF9A0F1">
            <w:pPr>
              <w:spacing w:line="300" w:lineRule="exact"/>
              <w:jc w:val="left"/>
              <w:rPr>
                <w:rFonts w:eastAsia="仿宋_GB2312"/>
                <w:spacing w:val="5"/>
                <w:szCs w:val="21"/>
                <w:highlight w:val="none"/>
              </w:rPr>
            </w:pPr>
            <w:r>
              <w:rPr>
                <w:rFonts w:eastAsia="仿宋_GB2312"/>
                <w:spacing w:val="5"/>
                <w:szCs w:val="21"/>
                <w:highlight w:val="none"/>
              </w:rPr>
              <w:t>烯酰吗啉、克百威、毒死蜱、多菌灵、草甘膦</w:t>
            </w:r>
          </w:p>
        </w:tc>
        <w:tc>
          <w:tcPr>
            <w:tcW w:w="751" w:type="pct"/>
            <w:noWrap w:val="0"/>
            <w:vAlign w:val="center"/>
          </w:tcPr>
          <w:p w14:paraId="433E30DD">
            <w:pPr>
              <w:widowControl/>
              <w:spacing w:line="300" w:lineRule="exact"/>
              <w:jc w:val="left"/>
              <w:rPr>
                <w:rFonts w:eastAsia="仿宋_GB2312"/>
                <w:spacing w:val="5"/>
                <w:szCs w:val="21"/>
                <w:highlight w:val="none"/>
              </w:rPr>
            </w:pPr>
            <w:r>
              <w:rPr>
                <w:rFonts w:eastAsia="仿宋_GB2312"/>
                <w:spacing w:val="5"/>
                <w:szCs w:val="21"/>
                <w:highlight w:val="none"/>
              </w:rPr>
              <w:t>镉、敌敌畏、敌百虫、噻虫嗪、氯氟氰菊酯和高效氯氟氰菊酯</w:t>
            </w:r>
          </w:p>
        </w:tc>
        <w:tc>
          <w:tcPr>
            <w:tcW w:w="734" w:type="pct"/>
            <w:noWrap w:val="0"/>
            <w:vAlign w:val="center"/>
          </w:tcPr>
          <w:p w14:paraId="59C5991B">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3A8A803D">
            <w:pPr>
              <w:widowControl/>
              <w:spacing w:line="300" w:lineRule="exact"/>
              <w:jc w:val="left"/>
              <w:rPr>
                <w:rFonts w:eastAsia="仿宋_GB2312"/>
                <w:spacing w:val="5"/>
                <w:szCs w:val="21"/>
                <w:highlight w:val="none"/>
              </w:rPr>
            </w:pPr>
          </w:p>
        </w:tc>
      </w:tr>
      <w:tr w14:paraId="2FA8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1A6E3C4">
            <w:pPr>
              <w:spacing w:line="300" w:lineRule="exact"/>
              <w:jc w:val="center"/>
              <w:rPr>
                <w:rFonts w:eastAsia="仿宋_GB2312"/>
                <w:szCs w:val="21"/>
                <w:highlight w:val="none"/>
              </w:rPr>
            </w:pPr>
          </w:p>
        </w:tc>
        <w:tc>
          <w:tcPr>
            <w:tcW w:w="244" w:type="pct"/>
            <w:vMerge w:val="continue"/>
            <w:noWrap w:val="0"/>
            <w:vAlign w:val="center"/>
          </w:tcPr>
          <w:p w14:paraId="4604460C">
            <w:pPr>
              <w:spacing w:line="300" w:lineRule="exact"/>
              <w:jc w:val="center"/>
              <w:rPr>
                <w:rFonts w:eastAsia="仿宋_GB2312"/>
                <w:szCs w:val="21"/>
                <w:highlight w:val="none"/>
              </w:rPr>
            </w:pPr>
          </w:p>
        </w:tc>
        <w:tc>
          <w:tcPr>
            <w:tcW w:w="244" w:type="pct"/>
            <w:vMerge w:val="continue"/>
            <w:noWrap w:val="0"/>
            <w:vAlign w:val="center"/>
          </w:tcPr>
          <w:p w14:paraId="5905DD73">
            <w:pPr>
              <w:spacing w:line="300" w:lineRule="exact"/>
              <w:jc w:val="center"/>
              <w:rPr>
                <w:rFonts w:eastAsia="仿宋_GB2312"/>
                <w:szCs w:val="21"/>
                <w:highlight w:val="none"/>
              </w:rPr>
            </w:pPr>
          </w:p>
        </w:tc>
        <w:tc>
          <w:tcPr>
            <w:tcW w:w="301" w:type="pct"/>
            <w:vMerge w:val="continue"/>
            <w:noWrap w:val="0"/>
            <w:vAlign w:val="center"/>
          </w:tcPr>
          <w:p w14:paraId="56D6C2AB">
            <w:pPr>
              <w:widowControl/>
              <w:spacing w:line="300" w:lineRule="exact"/>
              <w:jc w:val="center"/>
              <w:rPr>
                <w:rFonts w:eastAsia="仿宋_GB2312"/>
                <w:color w:val="000000"/>
                <w:kern w:val="0"/>
                <w:szCs w:val="21"/>
                <w:highlight w:val="none"/>
              </w:rPr>
            </w:pPr>
          </w:p>
        </w:tc>
        <w:tc>
          <w:tcPr>
            <w:tcW w:w="419" w:type="pct"/>
            <w:noWrap w:val="0"/>
            <w:vAlign w:val="center"/>
          </w:tcPr>
          <w:p w14:paraId="2A74C6D1">
            <w:pPr>
              <w:spacing w:line="300" w:lineRule="exact"/>
              <w:jc w:val="center"/>
              <w:rPr>
                <w:rFonts w:eastAsia="仿宋_GB2312"/>
                <w:spacing w:val="5"/>
                <w:szCs w:val="21"/>
                <w:highlight w:val="none"/>
              </w:rPr>
            </w:pPr>
            <w:r>
              <w:rPr>
                <w:rFonts w:eastAsia="仿宋_GB2312"/>
                <w:spacing w:val="5"/>
                <w:szCs w:val="21"/>
                <w:highlight w:val="none"/>
              </w:rPr>
              <w:t>猕猴桃</w:t>
            </w:r>
          </w:p>
        </w:tc>
        <w:tc>
          <w:tcPr>
            <w:tcW w:w="188" w:type="pct"/>
            <w:noWrap w:val="0"/>
            <w:vAlign w:val="center"/>
          </w:tcPr>
          <w:p w14:paraId="5EC1D34D">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756B9C55">
            <w:pPr>
              <w:spacing w:line="300" w:lineRule="exact"/>
              <w:jc w:val="left"/>
              <w:rPr>
                <w:rFonts w:eastAsia="仿宋_GB2312"/>
                <w:spacing w:val="5"/>
                <w:szCs w:val="21"/>
                <w:highlight w:val="none"/>
              </w:rPr>
            </w:pPr>
            <w:r>
              <w:rPr>
                <w:rFonts w:eastAsia="仿宋_GB2312"/>
                <w:spacing w:val="5"/>
                <w:szCs w:val="21"/>
                <w:highlight w:val="none"/>
              </w:rPr>
              <w:t>氯吡脲、氧乐果、敌敌畏、多菌灵、吡唑醚菌酯</w:t>
            </w:r>
          </w:p>
        </w:tc>
        <w:tc>
          <w:tcPr>
            <w:tcW w:w="751" w:type="pct"/>
            <w:noWrap w:val="0"/>
            <w:vAlign w:val="center"/>
          </w:tcPr>
          <w:p w14:paraId="6CD6D4C4">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1CCF0C12">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45A2E98">
            <w:pPr>
              <w:spacing w:line="300" w:lineRule="exact"/>
              <w:jc w:val="left"/>
              <w:rPr>
                <w:rFonts w:eastAsia="仿宋_GB2312"/>
                <w:spacing w:val="5"/>
                <w:szCs w:val="21"/>
                <w:highlight w:val="none"/>
              </w:rPr>
            </w:pPr>
          </w:p>
        </w:tc>
      </w:tr>
      <w:tr w14:paraId="32B4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ECC75E8">
            <w:pPr>
              <w:spacing w:line="300" w:lineRule="exact"/>
              <w:jc w:val="center"/>
              <w:rPr>
                <w:rFonts w:eastAsia="仿宋_GB2312"/>
                <w:szCs w:val="21"/>
                <w:highlight w:val="none"/>
              </w:rPr>
            </w:pPr>
          </w:p>
        </w:tc>
        <w:tc>
          <w:tcPr>
            <w:tcW w:w="244" w:type="pct"/>
            <w:vMerge w:val="continue"/>
            <w:noWrap w:val="0"/>
            <w:vAlign w:val="center"/>
          </w:tcPr>
          <w:p w14:paraId="21D1CFDB">
            <w:pPr>
              <w:spacing w:line="300" w:lineRule="exact"/>
              <w:jc w:val="center"/>
              <w:rPr>
                <w:rFonts w:eastAsia="仿宋_GB2312"/>
                <w:szCs w:val="21"/>
                <w:highlight w:val="none"/>
              </w:rPr>
            </w:pPr>
          </w:p>
        </w:tc>
        <w:tc>
          <w:tcPr>
            <w:tcW w:w="244" w:type="pct"/>
            <w:vMerge w:val="continue"/>
            <w:noWrap w:val="0"/>
            <w:vAlign w:val="center"/>
          </w:tcPr>
          <w:p w14:paraId="2D662D19">
            <w:pPr>
              <w:spacing w:line="300" w:lineRule="exact"/>
              <w:jc w:val="center"/>
              <w:rPr>
                <w:rFonts w:eastAsia="仿宋_GB2312"/>
                <w:szCs w:val="21"/>
                <w:highlight w:val="none"/>
              </w:rPr>
            </w:pPr>
          </w:p>
        </w:tc>
        <w:tc>
          <w:tcPr>
            <w:tcW w:w="301" w:type="pct"/>
            <w:vMerge w:val="continue"/>
            <w:noWrap w:val="0"/>
            <w:vAlign w:val="center"/>
          </w:tcPr>
          <w:p w14:paraId="4F31A3F9">
            <w:pPr>
              <w:widowControl/>
              <w:spacing w:line="300" w:lineRule="exact"/>
              <w:jc w:val="center"/>
              <w:rPr>
                <w:rFonts w:eastAsia="仿宋_GB2312"/>
                <w:color w:val="000000"/>
                <w:kern w:val="0"/>
                <w:szCs w:val="21"/>
                <w:highlight w:val="none"/>
              </w:rPr>
            </w:pPr>
          </w:p>
        </w:tc>
        <w:tc>
          <w:tcPr>
            <w:tcW w:w="419" w:type="pct"/>
            <w:noWrap w:val="0"/>
            <w:vAlign w:val="center"/>
          </w:tcPr>
          <w:p w14:paraId="14A4718C">
            <w:pPr>
              <w:spacing w:line="300" w:lineRule="exact"/>
              <w:jc w:val="center"/>
              <w:rPr>
                <w:rFonts w:eastAsia="仿宋_GB2312"/>
                <w:spacing w:val="5"/>
                <w:szCs w:val="21"/>
                <w:highlight w:val="none"/>
              </w:rPr>
            </w:pPr>
            <w:r>
              <w:rPr>
                <w:rFonts w:eastAsia="仿宋_GB2312"/>
                <w:spacing w:val="5"/>
                <w:szCs w:val="21"/>
                <w:highlight w:val="none"/>
              </w:rPr>
              <w:t>桑葚</w:t>
            </w:r>
            <w:r>
              <w:rPr>
                <w:rFonts w:hint="eastAsia" w:eastAsia="仿宋_GB2312"/>
                <w:color w:val="000000"/>
                <w:kern w:val="0"/>
                <w:szCs w:val="21"/>
                <w:highlight w:val="none"/>
              </w:rPr>
              <w:t>*</w:t>
            </w:r>
          </w:p>
        </w:tc>
        <w:tc>
          <w:tcPr>
            <w:tcW w:w="188" w:type="pct"/>
            <w:noWrap w:val="0"/>
            <w:vAlign w:val="center"/>
          </w:tcPr>
          <w:p w14:paraId="198D8ACC">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441DEFB">
            <w:pPr>
              <w:spacing w:line="300" w:lineRule="exact"/>
              <w:jc w:val="left"/>
              <w:rPr>
                <w:rFonts w:eastAsia="仿宋_GB2312"/>
                <w:spacing w:val="5"/>
                <w:szCs w:val="21"/>
                <w:highlight w:val="none"/>
              </w:rPr>
            </w:pPr>
            <w:r>
              <w:rPr>
                <w:rFonts w:eastAsia="仿宋_GB2312"/>
                <w:spacing w:val="5"/>
                <w:szCs w:val="21"/>
                <w:highlight w:val="none"/>
              </w:rPr>
              <w:t>脱氢乙酸及其钠盐（以脱氢乙酸计）、糖精钠（以糖精计）、甜蜜素（以环己基氨基磺酸计）、多菌灵</w:t>
            </w:r>
          </w:p>
        </w:tc>
        <w:tc>
          <w:tcPr>
            <w:tcW w:w="751" w:type="pct"/>
            <w:noWrap w:val="0"/>
            <w:vAlign w:val="center"/>
          </w:tcPr>
          <w:p w14:paraId="049A645F">
            <w:pPr>
              <w:spacing w:line="300" w:lineRule="exact"/>
              <w:jc w:val="left"/>
              <w:rPr>
                <w:rFonts w:eastAsia="仿宋_GB2312"/>
                <w:spacing w:val="5"/>
                <w:szCs w:val="21"/>
                <w:highlight w:val="none"/>
              </w:rPr>
            </w:pPr>
            <w:r>
              <w:rPr>
                <w:rFonts w:eastAsia="仿宋_GB2312"/>
                <w:spacing w:val="5"/>
                <w:szCs w:val="21"/>
                <w:highlight w:val="none"/>
              </w:rPr>
              <w:t>苯甲酸及其钠盐(以苯甲酸计)、山梨酸及其钾盐(以山梨酸计)、三氯蔗糖、纽甜</w:t>
            </w:r>
          </w:p>
        </w:tc>
        <w:tc>
          <w:tcPr>
            <w:tcW w:w="734" w:type="pct"/>
            <w:noWrap w:val="0"/>
            <w:vAlign w:val="center"/>
          </w:tcPr>
          <w:p w14:paraId="4246E09C">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271210F">
            <w:pPr>
              <w:spacing w:line="300" w:lineRule="exact"/>
              <w:jc w:val="left"/>
              <w:rPr>
                <w:rFonts w:eastAsia="仿宋_GB2312"/>
                <w:spacing w:val="5"/>
                <w:szCs w:val="21"/>
                <w:highlight w:val="none"/>
              </w:rPr>
            </w:pPr>
          </w:p>
        </w:tc>
      </w:tr>
      <w:tr w14:paraId="4AA8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186C39E">
            <w:pPr>
              <w:spacing w:line="300" w:lineRule="exact"/>
              <w:jc w:val="center"/>
              <w:rPr>
                <w:rFonts w:eastAsia="仿宋_GB2312"/>
                <w:szCs w:val="21"/>
                <w:highlight w:val="none"/>
              </w:rPr>
            </w:pPr>
          </w:p>
        </w:tc>
        <w:tc>
          <w:tcPr>
            <w:tcW w:w="244" w:type="pct"/>
            <w:vMerge w:val="continue"/>
            <w:noWrap w:val="0"/>
            <w:vAlign w:val="center"/>
          </w:tcPr>
          <w:p w14:paraId="26B26313">
            <w:pPr>
              <w:spacing w:line="300" w:lineRule="exact"/>
              <w:jc w:val="center"/>
              <w:rPr>
                <w:rFonts w:eastAsia="仿宋_GB2312"/>
                <w:szCs w:val="21"/>
                <w:highlight w:val="none"/>
              </w:rPr>
            </w:pPr>
          </w:p>
        </w:tc>
        <w:tc>
          <w:tcPr>
            <w:tcW w:w="244" w:type="pct"/>
            <w:vMerge w:val="continue"/>
            <w:noWrap w:val="0"/>
            <w:vAlign w:val="center"/>
          </w:tcPr>
          <w:p w14:paraId="10B10284">
            <w:pPr>
              <w:spacing w:line="300" w:lineRule="exact"/>
              <w:jc w:val="center"/>
              <w:rPr>
                <w:rFonts w:eastAsia="仿宋_GB2312"/>
                <w:szCs w:val="21"/>
                <w:highlight w:val="none"/>
              </w:rPr>
            </w:pPr>
          </w:p>
        </w:tc>
        <w:tc>
          <w:tcPr>
            <w:tcW w:w="301" w:type="pct"/>
            <w:vMerge w:val="continue"/>
            <w:noWrap w:val="0"/>
            <w:vAlign w:val="center"/>
          </w:tcPr>
          <w:p w14:paraId="69710859">
            <w:pPr>
              <w:widowControl/>
              <w:spacing w:line="300" w:lineRule="exact"/>
              <w:jc w:val="center"/>
              <w:rPr>
                <w:rFonts w:eastAsia="仿宋_GB2312"/>
                <w:color w:val="000000"/>
                <w:kern w:val="0"/>
                <w:szCs w:val="21"/>
                <w:highlight w:val="none"/>
              </w:rPr>
            </w:pPr>
          </w:p>
        </w:tc>
        <w:tc>
          <w:tcPr>
            <w:tcW w:w="419" w:type="pct"/>
            <w:noWrap w:val="0"/>
            <w:vAlign w:val="center"/>
          </w:tcPr>
          <w:p w14:paraId="58DD7799">
            <w:pPr>
              <w:spacing w:line="300" w:lineRule="exact"/>
              <w:jc w:val="center"/>
              <w:rPr>
                <w:rFonts w:eastAsia="仿宋_GB2312"/>
                <w:spacing w:val="5"/>
                <w:szCs w:val="21"/>
                <w:highlight w:val="none"/>
              </w:rPr>
            </w:pPr>
            <w:r>
              <w:rPr>
                <w:rFonts w:eastAsia="仿宋_GB2312"/>
                <w:spacing w:val="5"/>
                <w:szCs w:val="21"/>
                <w:highlight w:val="none"/>
              </w:rPr>
              <w:t>西番莲</w:t>
            </w:r>
          </w:p>
          <w:p w14:paraId="4F625399">
            <w:pPr>
              <w:spacing w:line="300" w:lineRule="exact"/>
              <w:jc w:val="center"/>
              <w:rPr>
                <w:rFonts w:eastAsia="仿宋_GB2312"/>
                <w:spacing w:val="5"/>
                <w:szCs w:val="21"/>
                <w:highlight w:val="none"/>
              </w:rPr>
            </w:pPr>
            <w:r>
              <w:rPr>
                <w:rFonts w:eastAsia="仿宋_GB2312"/>
                <w:spacing w:val="5"/>
                <w:szCs w:val="21"/>
                <w:highlight w:val="none"/>
              </w:rPr>
              <w:t>(百香果）</w:t>
            </w:r>
          </w:p>
        </w:tc>
        <w:tc>
          <w:tcPr>
            <w:tcW w:w="188" w:type="pct"/>
            <w:noWrap w:val="0"/>
            <w:vAlign w:val="center"/>
          </w:tcPr>
          <w:p w14:paraId="2D8A1535">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AFED943">
            <w:pPr>
              <w:spacing w:line="300" w:lineRule="exact"/>
              <w:jc w:val="left"/>
              <w:rPr>
                <w:rFonts w:eastAsia="仿宋_GB2312"/>
                <w:spacing w:val="5"/>
                <w:szCs w:val="21"/>
                <w:highlight w:val="none"/>
              </w:rPr>
            </w:pPr>
            <w:r>
              <w:rPr>
                <w:rFonts w:eastAsia="仿宋_GB2312"/>
                <w:spacing w:val="5"/>
                <w:szCs w:val="21"/>
                <w:highlight w:val="none"/>
              </w:rPr>
              <w:t>苯醚甲环唑、噻虫胺、氧乐果、镉(以Cd计)、戊唑醇、乙酰甲胺磷</w:t>
            </w:r>
          </w:p>
        </w:tc>
        <w:tc>
          <w:tcPr>
            <w:tcW w:w="751" w:type="pct"/>
            <w:noWrap w:val="0"/>
            <w:vAlign w:val="center"/>
          </w:tcPr>
          <w:p w14:paraId="32F4F4B1">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4C6721EE">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5C29AAF">
            <w:pPr>
              <w:spacing w:line="300" w:lineRule="exact"/>
              <w:jc w:val="left"/>
              <w:rPr>
                <w:rFonts w:eastAsia="仿宋_GB2312"/>
                <w:spacing w:val="5"/>
                <w:szCs w:val="21"/>
                <w:highlight w:val="none"/>
              </w:rPr>
            </w:pPr>
          </w:p>
        </w:tc>
      </w:tr>
      <w:tr w14:paraId="16EC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82017EC">
            <w:pPr>
              <w:spacing w:line="300" w:lineRule="exact"/>
              <w:jc w:val="center"/>
              <w:rPr>
                <w:rFonts w:eastAsia="仿宋_GB2312"/>
                <w:szCs w:val="21"/>
                <w:highlight w:val="none"/>
              </w:rPr>
            </w:pPr>
          </w:p>
        </w:tc>
        <w:tc>
          <w:tcPr>
            <w:tcW w:w="244" w:type="pct"/>
            <w:vMerge w:val="continue"/>
            <w:noWrap w:val="0"/>
            <w:vAlign w:val="center"/>
          </w:tcPr>
          <w:p w14:paraId="6ED95480">
            <w:pPr>
              <w:spacing w:line="300" w:lineRule="exact"/>
              <w:jc w:val="center"/>
              <w:rPr>
                <w:rFonts w:eastAsia="仿宋_GB2312"/>
                <w:szCs w:val="21"/>
                <w:highlight w:val="none"/>
              </w:rPr>
            </w:pPr>
          </w:p>
        </w:tc>
        <w:tc>
          <w:tcPr>
            <w:tcW w:w="244" w:type="pct"/>
            <w:vMerge w:val="continue"/>
            <w:noWrap w:val="0"/>
            <w:vAlign w:val="center"/>
          </w:tcPr>
          <w:p w14:paraId="71DCBA36">
            <w:pPr>
              <w:spacing w:line="300" w:lineRule="exact"/>
              <w:jc w:val="center"/>
              <w:rPr>
                <w:rFonts w:eastAsia="仿宋_GB2312"/>
                <w:szCs w:val="21"/>
                <w:highlight w:val="none"/>
              </w:rPr>
            </w:pPr>
          </w:p>
        </w:tc>
        <w:tc>
          <w:tcPr>
            <w:tcW w:w="301" w:type="pct"/>
            <w:vMerge w:val="restart"/>
            <w:noWrap w:val="0"/>
            <w:vAlign w:val="center"/>
          </w:tcPr>
          <w:p w14:paraId="78940E21">
            <w:pPr>
              <w:spacing w:line="300" w:lineRule="exact"/>
              <w:jc w:val="center"/>
              <w:rPr>
                <w:rFonts w:eastAsia="仿宋_GB2312"/>
                <w:spacing w:val="5"/>
                <w:szCs w:val="21"/>
                <w:highlight w:val="none"/>
              </w:rPr>
            </w:pPr>
            <w:r>
              <w:rPr>
                <w:rFonts w:eastAsia="仿宋_GB2312"/>
                <w:spacing w:val="5"/>
                <w:szCs w:val="21"/>
                <w:highlight w:val="none"/>
              </w:rPr>
              <w:t>热带和亚热带水果</w:t>
            </w:r>
          </w:p>
        </w:tc>
        <w:tc>
          <w:tcPr>
            <w:tcW w:w="419" w:type="pct"/>
            <w:noWrap w:val="0"/>
            <w:vAlign w:val="center"/>
          </w:tcPr>
          <w:p w14:paraId="3EDA9DAD">
            <w:pPr>
              <w:spacing w:line="300" w:lineRule="exact"/>
              <w:jc w:val="center"/>
              <w:rPr>
                <w:rFonts w:eastAsia="仿宋_GB2312"/>
                <w:spacing w:val="5"/>
                <w:szCs w:val="21"/>
                <w:highlight w:val="none"/>
              </w:rPr>
            </w:pPr>
            <w:r>
              <w:rPr>
                <w:rFonts w:eastAsia="仿宋_GB2312"/>
                <w:spacing w:val="5"/>
                <w:szCs w:val="21"/>
                <w:highlight w:val="none"/>
              </w:rPr>
              <w:t>香蕉</w:t>
            </w:r>
            <w:r>
              <w:rPr>
                <w:rFonts w:hint="eastAsia" w:eastAsia="仿宋_GB2312"/>
                <w:color w:val="000000"/>
                <w:kern w:val="0"/>
                <w:szCs w:val="21"/>
                <w:highlight w:val="none"/>
              </w:rPr>
              <w:t>*</w:t>
            </w:r>
          </w:p>
        </w:tc>
        <w:tc>
          <w:tcPr>
            <w:tcW w:w="188" w:type="pct"/>
            <w:noWrap w:val="0"/>
            <w:vAlign w:val="center"/>
          </w:tcPr>
          <w:p w14:paraId="655122A4">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09FB1509">
            <w:pPr>
              <w:spacing w:line="300" w:lineRule="exact"/>
              <w:jc w:val="left"/>
              <w:rPr>
                <w:rFonts w:eastAsia="仿宋_GB2312"/>
                <w:spacing w:val="5"/>
                <w:szCs w:val="21"/>
                <w:highlight w:val="none"/>
              </w:rPr>
            </w:pPr>
            <w:r>
              <w:rPr>
                <w:rFonts w:eastAsia="仿宋_GB2312"/>
                <w:spacing w:val="5"/>
                <w:szCs w:val="21"/>
                <w:highlight w:val="none"/>
              </w:rPr>
              <w:t>吡虫啉、噻虫嗪、噻虫胺、腈苯唑、氟唑菌酰胺</w:t>
            </w:r>
          </w:p>
        </w:tc>
        <w:tc>
          <w:tcPr>
            <w:tcW w:w="751" w:type="pct"/>
            <w:noWrap w:val="0"/>
            <w:vAlign w:val="center"/>
          </w:tcPr>
          <w:p w14:paraId="7C82C17A">
            <w:pPr>
              <w:spacing w:line="300" w:lineRule="exact"/>
              <w:jc w:val="left"/>
              <w:rPr>
                <w:rFonts w:eastAsia="仿宋_GB2312"/>
                <w:spacing w:val="5"/>
                <w:szCs w:val="21"/>
                <w:highlight w:val="none"/>
              </w:rPr>
            </w:pPr>
            <w:r>
              <w:rPr>
                <w:rFonts w:eastAsia="仿宋_GB2312"/>
                <w:spacing w:val="5"/>
                <w:szCs w:val="21"/>
                <w:highlight w:val="none"/>
              </w:rPr>
              <w:t>吡唑醚菌酯、苯醚甲环唑、氧乐果、氯氟氰菊酯和高效氯氟氰菊</w:t>
            </w:r>
          </w:p>
        </w:tc>
        <w:tc>
          <w:tcPr>
            <w:tcW w:w="734" w:type="pct"/>
            <w:noWrap w:val="0"/>
            <w:vAlign w:val="center"/>
          </w:tcPr>
          <w:p w14:paraId="6EC716CE">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1233851">
            <w:pPr>
              <w:spacing w:line="300" w:lineRule="exact"/>
              <w:jc w:val="left"/>
              <w:rPr>
                <w:rFonts w:eastAsia="仿宋_GB2312"/>
                <w:spacing w:val="5"/>
                <w:szCs w:val="21"/>
                <w:highlight w:val="none"/>
              </w:rPr>
            </w:pPr>
          </w:p>
        </w:tc>
      </w:tr>
      <w:tr w14:paraId="4304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7B35336">
            <w:pPr>
              <w:spacing w:line="300" w:lineRule="exact"/>
              <w:jc w:val="center"/>
              <w:rPr>
                <w:rFonts w:eastAsia="仿宋_GB2312"/>
                <w:szCs w:val="21"/>
                <w:highlight w:val="none"/>
              </w:rPr>
            </w:pPr>
          </w:p>
        </w:tc>
        <w:tc>
          <w:tcPr>
            <w:tcW w:w="244" w:type="pct"/>
            <w:vMerge w:val="continue"/>
            <w:noWrap w:val="0"/>
            <w:vAlign w:val="center"/>
          </w:tcPr>
          <w:p w14:paraId="6A0BB41D">
            <w:pPr>
              <w:spacing w:line="300" w:lineRule="exact"/>
              <w:jc w:val="center"/>
              <w:rPr>
                <w:rFonts w:eastAsia="仿宋_GB2312"/>
                <w:szCs w:val="21"/>
                <w:highlight w:val="none"/>
              </w:rPr>
            </w:pPr>
          </w:p>
        </w:tc>
        <w:tc>
          <w:tcPr>
            <w:tcW w:w="244" w:type="pct"/>
            <w:vMerge w:val="continue"/>
            <w:noWrap w:val="0"/>
            <w:vAlign w:val="center"/>
          </w:tcPr>
          <w:p w14:paraId="253E7826">
            <w:pPr>
              <w:spacing w:line="300" w:lineRule="exact"/>
              <w:jc w:val="center"/>
              <w:rPr>
                <w:rFonts w:eastAsia="仿宋_GB2312"/>
                <w:szCs w:val="21"/>
                <w:highlight w:val="none"/>
              </w:rPr>
            </w:pPr>
          </w:p>
        </w:tc>
        <w:tc>
          <w:tcPr>
            <w:tcW w:w="301" w:type="pct"/>
            <w:vMerge w:val="continue"/>
            <w:noWrap w:val="0"/>
            <w:vAlign w:val="center"/>
          </w:tcPr>
          <w:p w14:paraId="13596967">
            <w:pPr>
              <w:widowControl/>
              <w:spacing w:line="300" w:lineRule="exact"/>
              <w:jc w:val="center"/>
              <w:rPr>
                <w:rFonts w:eastAsia="仿宋_GB2312"/>
                <w:color w:val="000000"/>
                <w:kern w:val="0"/>
                <w:szCs w:val="21"/>
                <w:highlight w:val="none"/>
              </w:rPr>
            </w:pPr>
          </w:p>
        </w:tc>
        <w:tc>
          <w:tcPr>
            <w:tcW w:w="419" w:type="pct"/>
            <w:noWrap w:val="0"/>
            <w:vAlign w:val="center"/>
          </w:tcPr>
          <w:p w14:paraId="3B8471F7">
            <w:pPr>
              <w:spacing w:line="300" w:lineRule="exact"/>
              <w:jc w:val="center"/>
              <w:rPr>
                <w:rFonts w:eastAsia="仿宋_GB2312"/>
                <w:b/>
                <w:bCs/>
                <w:spacing w:val="5"/>
                <w:szCs w:val="21"/>
                <w:highlight w:val="none"/>
              </w:rPr>
            </w:pPr>
            <w:r>
              <w:rPr>
                <w:rFonts w:eastAsia="仿宋_GB2312"/>
                <w:spacing w:val="5"/>
                <w:szCs w:val="21"/>
                <w:highlight w:val="none"/>
              </w:rPr>
              <w:t>芒果</w:t>
            </w:r>
            <w:r>
              <w:rPr>
                <w:rFonts w:hint="eastAsia" w:eastAsia="仿宋_GB2312"/>
                <w:color w:val="000000"/>
                <w:kern w:val="0"/>
                <w:szCs w:val="21"/>
                <w:highlight w:val="none"/>
              </w:rPr>
              <w:t>*</w:t>
            </w:r>
          </w:p>
        </w:tc>
        <w:tc>
          <w:tcPr>
            <w:tcW w:w="188" w:type="pct"/>
            <w:noWrap w:val="0"/>
            <w:vAlign w:val="center"/>
          </w:tcPr>
          <w:p w14:paraId="08537FC2">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701DD397">
            <w:pPr>
              <w:spacing w:line="300" w:lineRule="exact"/>
              <w:jc w:val="left"/>
              <w:rPr>
                <w:rFonts w:eastAsia="仿宋_GB2312"/>
                <w:spacing w:val="5"/>
                <w:szCs w:val="21"/>
                <w:highlight w:val="none"/>
              </w:rPr>
            </w:pPr>
            <w:r>
              <w:rPr>
                <w:rFonts w:eastAsia="仿宋_GB2312"/>
                <w:spacing w:val="5"/>
                <w:szCs w:val="21"/>
                <w:highlight w:val="none"/>
              </w:rPr>
              <w:t>吡唑醚菌酯、噻虫胺、戊唑醇、苯醚甲环唑、乙酰甲胺磷、噻嗪酮、吡虫啉</w:t>
            </w:r>
          </w:p>
        </w:tc>
        <w:tc>
          <w:tcPr>
            <w:tcW w:w="751" w:type="pct"/>
            <w:noWrap w:val="0"/>
            <w:vAlign w:val="center"/>
          </w:tcPr>
          <w:p w14:paraId="55A16152">
            <w:pPr>
              <w:spacing w:line="300" w:lineRule="exact"/>
              <w:jc w:val="left"/>
              <w:rPr>
                <w:rFonts w:eastAsia="仿宋_GB2312"/>
                <w:spacing w:val="5"/>
                <w:szCs w:val="21"/>
                <w:highlight w:val="none"/>
              </w:rPr>
            </w:pPr>
            <w:r>
              <w:rPr>
                <w:rFonts w:eastAsia="仿宋_GB2312"/>
                <w:spacing w:val="5"/>
                <w:szCs w:val="21"/>
                <w:highlight w:val="none"/>
              </w:rPr>
              <w:t>氧乐果、克百威、氯氟氰菊酯和高效氯氟氰菊酯</w:t>
            </w:r>
          </w:p>
        </w:tc>
        <w:tc>
          <w:tcPr>
            <w:tcW w:w="734" w:type="pct"/>
            <w:noWrap w:val="0"/>
            <w:vAlign w:val="center"/>
          </w:tcPr>
          <w:p w14:paraId="3C7DFE80">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0E64EA8">
            <w:pPr>
              <w:spacing w:line="300" w:lineRule="exact"/>
              <w:jc w:val="left"/>
              <w:rPr>
                <w:rFonts w:eastAsia="仿宋_GB2312"/>
                <w:spacing w:val="5"/>
                <w:szCs w:val="21"/>
                <w:highlight w:val="none"/>
              </w:rPr>
            </w:pPr>
          </w:p>
        </w:tc>
      </w:tr>
      <w:tr w14:paraId="2926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BD9E231">
            <w:pPr>
              <w:spacing w:line="300" w:lineRule="exact"/>
              <w:jc w:val="center"/>
              <w:rPr>
                <w:rFonts w:eastAsia="仿宋_GB2312"/>
                <w:szCs w:val="21"/>
                <w:highlight w:val="none"/>
              </w:rPr>
            </w:pPr>
          </w:p>
        </w:tc>
        <w:tc>
          <w:tcPr>
            <w:tcW w:w="244" w:type="pct"/>
            <w:vMerge w:val="continue"/>
            <w:noWrap w:val="0"/>
            <w:vAlign w:val="center"/>
          </w:tcPr>
          <w:p w14:paraId="78FA8424">
            <w:pPr>
              <w:spacing w:line="300" w:lineRule="exact"/>
              <w:jc w:val="center"/>
              <w:rPr>
                <w:rFonts w:eastAsia="仿宋_GB2312"/>
                <w:szCs w:val="21"/>
                <w:highlight w:val="none"/>
              </w:rPr>
            </w:pPr>
          </w:p>
        </w:tc>
        <w:tc>
          <w:tcPr>
            <w:tcW w:w="244" w:type="pct"/>
            <w:vMerge w:val="continue"/>
            <w:noWrap w:val="0"/>
            <w:vAlign w:val="center"/>
          </w:tcPr>
          <w:p w14:paraId="523AC86C">
            <w:pPr>
              <w:spacing w:line="300" w:lineRule="exact"/>
              <w:jc w:val="center"/>
              <w:rPr>
                <w:rFonts w:eastAsia="仿宋_GB2312"/>
                <w:szCs w:val="21"/>
                <w:highlight w:val="none"/>
              </w:rPr>
            </w:pPr>
          </w:p>
        </w:tc>
        <w:tc>
          <w:tcPr>
            <w:tcW w:w="301" w:type="pct"/>
            <w:vMerge w:val="continue"/>
            <w:noWrap w:val="0"/>
            <w:vAlign w:val="center"/>
          </w:tcPr>
          <w:p w14:paraId="088C1075">
            <w:pPr>
              <w:widowControl/>
              <w:spacing w:line="300" w:lineRule="exact"/>
              <w:jc w:val="center"/>
              <w:rPr>
                <w:rFonts w:eastAsia="仿宋_GB2312"/>
                <w:color w:val="000000"/>
                <w:kern w:val="0"/>
                <w:szCs w:val="21"/>
                <w:highlight w:val="none"/>
              </w:rPr>
            </w:pPr>
          </w:p>
        </w:tc>
        <w:tc>
          <w:tcPr>
            <w:tcW w:w="419" w:type="pct"/>
            <w:noWrap w:val="0"/>
            <w:vAlign w:val="center"/>
          </w:tcPr>
          <w:p w14:paraId="6DD7F53E">
            <w:pPr>
              <w:spacing w:line="300" w:lineRule="exact"/>
              <w:jc w:val="center"/>
              <w:rPr>
                <w:rFonts w:eastAsia="仿宋_GB2312"/>
                <w:spacing w:val="5"/>
                <w:szCs w:val="21"/>
                <w:highlight w:val="none"/>
              </w:rPr>
            </w:pPr>
            <w:r>
              <w:rPr>
                <w:rFonts w:eastAsia="仿宋_GB2312"/>
                <w:spacing w:val="5"/>
                <w:szCs w:val="21"/>
                <w:highlight w:val="none"/>
              </w:rPr>
              <w:t>火龙果</w:t>
            </w:r>
          </w:p>
        </w:tc>
        <w:tc>
          <w:tcPr>
            <w:tcW w:w="188" w:type="pct"/>
            <w:noWrap w:val="0"/>
            <w:vAlign w:val="center"/>
          </w:tcPr>
          <w:p w14:paraId="74B7D28D">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5C4125D5">
            <w:pPr>
              <w:spacing w:line="300" w:lineRule="exact"/>
              <w:jc w:val="left"/>
              <w:rPr>
                <w:rFonts w:eastAsia="仿宋_GB2312"/>
                <w:spacing w:val="5"/>
                <w:szCs w:val="21"/>
                <w:highlight w:val="none"/>
              </w:rPr>
            </w:pPr>
            <w:r>
              <w:rPr>
                <w:rFonts w:eastAsia="仿宋_GB2312"/>
                <w:spacing w:val="5"/>
                <w:szCs w:val="21"/>
                <w:highlight w:val="none"/>
              </w:rPr>
              <w:t>乙酰甲胺磷、克百威、氧乐果、甲胺磷、噻虫嗪、咪鲜胺和咪鲜胺锰盐</w:t>
            </w:r>
          </w:p>
        </w:tc>
        <w:tc>
          <w:tcPr>
            <w:tcW w:w="751" w:type="pct"/>
            <w:noWrap w:val="0"/>
            <w:vAlign w:val="center"/>
          </w:tcPr>
          <w:p w14:paraId="28E1B18B">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4B034D2B">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0FE2EB8">
            <w:pPr>
              <w:spacing w:line="300" w:lineRule="exact"/>
              <w:jc w:val="left"/>
              <w:rPr>
                <w:rFonts w:eastAsia="仿宋_GB2312"/>
                <w:spacing w:val="5"/>
                <w:szCs w:val="21"/>
                <w:highlight w:val="none"/>
              </w:rPr>
            </w:pPr>
          </w:p>
        </w:tc>
      </w:tr>
      <w:tr w14:paraId="708B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347F71A6">
            <w:pPr>
              <w:spacing w:line="300" w:lineRule="exact"/>
              <w:jc w:val="center"/>
              <w:rPr>
                <w:rFonts w:eastAsia="仿宋_GB2312"/>
                <w:szCs w:val="21"/>
                <w:highlight w:val="none"/>
              </w:rPr>
            </w:pPr>
          </w:p>
        </w:tc>
        <w:tc>
          <w:tcPr>
            <w:tcW w:w="244" w:type="pct"/>
            <w:vMerge w:val="continue"/>
            <w:noWrap w:val="0"/>
            <w:vAlign w:val="center"/>
          </w:tcPr>
          <w:p w14:paraId="005CA373">
            <w:pPr>
              <w:spacing w:line="300" w:lineRule="exact"/>
              <w:jc w:val="center"/>
              <w:rPr>
                <w:rFonts w:eastAsia="仿宋_GB2312"/>
                <w:szCs w:val="21"/>
                <w:highlight w:val="none"/>
              </w:rPr>
            </w:pPr>
          </w:p>
        </w:tc>
        <w:tc>
          <w:tcPr>
            <w:tcW w:w="244" w:type="pct"/>
            <w:vMerge w:val="continue"/>
            <w:noWrap w:val="0"/>
            <w:vAlign w:val="center"/>
          </w:tcPr>
          <w:p w14:paraId="0CC5F2C4">
            <w:pPr>
              <w:spacing w:line="300" w:lineRule="exact"/>
              <w:jc w:val="center"/>
              <w:rPr>
                <w:rFonts w:eastAsia="仿宋_GB2312"/>
                <w:szCs w:val="21"/>
                <w:highlight w:val="none"/>
              </w:rPr>
            </w:pPr>
          </w:p>
        </w:tc>
        <w:tc>
          <w:tcPr>
            <w:tcW w:w="301" w:type="pct"/>
            <w:vMerge w:val="continue"/>
            <w:noWrap w:val="0"/>
            <w:vAlign w:val="center"/>
          </w:tcPr>
          <w:p w14:paraId="2B3894C8">
            <w:pPr>
              <w:widowControl/>
              <w:spacing w:line="300" w:lineRule="exact"/>
              <w:jc w:val="center"/>
              <w:rPr>
                <w:rFonts w:eastAsia="仿宋_GB2312"/>
                <w:color w:val="000000"/>
                <w:kern w:val="0"/>
                <w:szCs w:val="21"/>
                <w:highlight w:val="none"/>
              </w:rPr>
            </w:pPr>
          </w:p>
        </w:tc>
        <w:tc>
          <w:tcPr>
            <w:tcW w:w="419" w:type="pct"/>
            <w:noWrap w:val="0"/>
            <w:vAlign w:val="center"/>
          </w:tcPr>
          <w:p w14:paraId="26126130">
            <w:pPr>
              <w:spacing w:line="300" w:lineRule="exact"/>
              <w:jc w:val="center"/>
              <w:rPr>
                <w:rFonts w:eastAsia="仿宋_GB2312"/>
                <w:spacing w:val="5"/>
                <w:szCs w:val="21"/>
                <w:highlight w:val="none"/>
              </w:rPr>
            </w:pPr>
            <w:r>
              <w:rPr>
                <w:rFonts w:eastAsia="仿宋_GB2312"/>
                <w:spacing w:val="5"/>
                <w:szCs w:val="21"/>
                <w:highlight w:val="none"/>
              </w:rPr>
              <w:t>荔枝</w:t>
            </w:r>
            <w:r>
              <w:rPr>
                <w:rFonts w:hint="eastAsia" w:eastAsia="仿宋_GB2312"/>
                <w:color w:val="000000"/>
                <w:kern w:val="0"/>
                <w:szCs w:val="21"/>
                <w:highlight w:val="none"/>
              </w:rPr>
              <w:t>*</w:t>
            </w:r>
          </w:p>
        </w:tc>
        <w:tc>
          <w:tcPr>
            <w:tcW w:w="188" w:type="pct"/>
            <w:noWrap w:val="0"/>
            <w:vAlign w:val="center"/>
          </w:tcPr>
          <w:p w14:paraId="31E5FD65">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7AEE7AE">
            <w:pPr>
              <w:spacing w:line="300" w:lineRule="exact"/>
              <w:jc w:val="left"/>
              <w:rPr>
                <w:rFonts w:eastAsia="仿宋_GB2312"/>
                <w:spacing w:val="5"/>
                <w:szCs w:val="21"/>
                <w:highlight w:val="none"/>
              </w:rPr>
            </w:pPr>
            <w:r>
              <w:rPr>
                <w:rFonts w:eastAsia="仿宋_GB2312"/>
                <w:spacing w:val="5"/>
                <w:szCs w:val="21"/>
                <w:highlight w:val="none"/>
              </w:rPr>
              <w:t>氯氟氰菊酯和高效氯氟氰菊酯、吡唑醚菌酯、除虫脲、苯醚甲环唑、氰霜唑</w:t>
            </w:r>
          </w:p>
        </w:tc>
        <w:tc>
          <w:tcPr>
            <w:tcW w:w="751" w:type="pct"/>
            <w:noWrap w:val="0"/>
            <w:vAlign w:val="center"/>
          </w:tcPr>
          <w:p w14:paraId="32D8EF47">
            <w:pPr>
              <w:spacing w:line="300" w:lineRule="exact"/>
              <w:jc w:val="left"/>
              <w:rPr>
                <w:rFonts w:eastAsia="仿宋_GB2312"/>
                <w:spacing w:val="5"/>
                <w:szCs w:val="21"/>
                <w:highlight w:val="none"/>
              </w:rPr>
            </w:pPr>
            <w:r>
              <w:rPr>
                <w:rFonts w:eastAsia="仿宋_GB2312"/>
                <w:spacing w:val="5"/>
                <w:szCs w:val="21"/>
                <w:highlight w:val="none"/>
              </w:rPr>
              <w:t>氯氰菊酯和高效氯氰菊酯、氟吗啉、溴氰菊酯、氧乐果</w:t>
            </w:r>
          </w:p>
        </w:tc>
        <w:tc>
          <w:tcPr>
            <w:tcW w:w="734" w:type="pct"/>
            <w:noWrap w:val="0"/>
            <w:vAlign w:val="center"/>
          </w:tcPr>
          <w:p w14:paraId="6BD85861">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C6D5AFE">
            <w:pPr>
              <w:spacing w:line="300" w:lineRule="exact"/>
              <w:jc w:val="left"/>
              <w:rPr>
                <w:rFonts w:eastAsia="仿宋_GB2312"/>
                <w:spacing w:val="5"/>
                <w:szCs w:val="21"/>
                <w:highlight w:val="none"/>
              </w:rPr>
            </w:pPr>
          </w:p>
        </w:tc>
      </w:tr>
      <w:tr w14:paraId="4D99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51B8F710">
            <w:pPr>
              <w:spacing w:line="300" w:lineRule="exact"/>
              <w:jc w:val="center"/>
              <w:rPr>
                <w:rFonts w:eastAsia="仿宋_GB2312"/>
                <w:szCs w:val="21"/>
                <w:highlight w:val="none"/>
              </w:rPr>
            </w:pPr>
          </w:p>
        </w:tc>
        <w:tc>
          <w:tcPr>
            <w:tcW w:w="244" w:type="pct"/>
            <w:vMerge w:val="continue"/>
            <w:noWrap w:val="0"/>
            <w:vAlign w:val="center"/>
          </w:tcPr>
          <w:p w14:paraId="6509B1EA">
            <w:pPr>
              <w:spacing w:line="300" w:lineRule="exact"/>
              <w:jc w:val="center"/>
              <w:rPr>
                <w:rFonts w:eastAsia="仿宋_GB2312"/>
                <w:szCs w:val="21"/>
                <w:highlight w:val="none"/>
              </w:rPr>
            </w:pPr>
          </w:p>
        </w:tc>
        <w:tc>
          <w:tcPr>
            <w:tcW w:w="244" w:type="pct"/>
            <w:vMerge w:val="continue"/>
            <w:noWrap w:val="0"/>
            <w:vAlign w:val="center"/>
          </w:tcPr>
          <w:p w14:paraId="5E616CB4">
            <w:pPr>
              <w:spacing w:line="300" w:lineRule="exact"/>
              <w:jc w:val="center"/>
              <w:rPr>
                <w:rFonts w:eastAsia="仿宋_GB2312"/>
                <w:szCs w:val="21"/>
                <w:highlight w:val="none"/>
              </w:rPr>
            </w:pPr>
          </w:p>
        </w:tc>
        <w:tc>
          <w:tcPr>
            <w:tcW w:w="301" w:type="pct"/>
            <w:vMerge w:val="continue"/>
            <w:noWrap w:val="0"/>
            <w:vAlign w:val="center"/>
          </w:tcPr>
          <w:p w14:paraId="05FB5C7C">
            <w:pPr>
              <w:widowControl/>
              <w:spacing w:line="300" w:lineRule="exact"/>
              <w:jc w:val="center"/>
              <w:rPr>
                <w:rFonts w:eastAsia="仿宋_GB2312"/>
                <w:color w:val="000000"/>
                <w:kern w:val="0"/>
                <w:szCs w:val="21"/>
                <w:highlight w:val="none"/>
              </w:rPr>
            </w:pPr>
          </w:p>
        </w:tc>
        <w:tc>
          <w:tcPr>
            <w:tcW w:w="419" w:type="pct"/>
            <w:noWrap w:val="0"/>
            <w:vAlign w:val="center"/>
          </w:tcPr>
          <w:p w14:paraId="6E9B8466">
            <w:pPr>
              <w:spacing w:line="300" w:lineRule="exact"/>
              <w:jc w:val="center"/>
              <w:rPr>
                <w:rFonts w:eastAsia="仿宋_GB2312"/>
                <w:spacing w:val="5"/>
                <w:szCs w:val="21"/>
                <w:highlight w:val="none"/>
              </w:rPr>
            </w:pPr>
            <w:r>
              <w:rPr>
                <w:rFonts w:eastAsia="仿宋_GB2312"/>
                <w:spacing w:val="5"/>
                <w:szCs w:val="21"/>
                <w:highlight w:val="none"/>
              </w:rPr>
              <w:t>杨梅</w:t>
            </w:r>
            <w:r>
              <w:rPr>
                <w:rFonts w:hint="eastAsia" w:eastAsia="仿宋_GB2312"/>
                <w:color w:val="000000"/>
                <w:kern w:val="0"/>
                <w:szCs w:val="21"/>
                <w:highlight w:val="none"/>
              </w:rPr>
              <w:t>*</w:t>
            </w:r>
          </w:p>
        </w:tc>
        <w:tc>
          <w:tcPr>
            <w:tcW w:w="188" w:type="pct"/>
            <w:noWrap w:val="0"/>
            <w:vAlign w:val="center"/>
          </w:tcPr>
          <w:p w14:paraId="47CFEBA4">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4E0B38B9">
            <w:pPr>
              <w:spacing w:line="300" w:lineRule="exact"/>
              <w:jc w:val="left"/>
              <w:rPr>
                <w:rFonts w:eastAsia="仿宋_GB2312"/>
                <w:spacing w:val="5"/>
                <w:szCs w:val="21"/>
                <w:highlight w:val="none"/>
              </w:rPr>
            </w:pPr>
            <w:r>
              <w:rPr>
                <w:rFonts w:eastAsia="仿宋_GB2312"/>
                <w:spacing w:val="5"/>
                <w:szCs w:val="21"/>
                <w:highlight w:val="none"/>
              </w:rPr>
              <w:t>脱氢乙酸及其钠盐(以脱氢乙酸计)、糖精钠(以糖精计)、甜蜜素(以环己基氨基磺酸计)、啶虫脒</w:t>
            </w:r>
          </w:p>
        </w:tc>
        <w:tc>
          <w:tcPr>
            <w:tcW w:w="751" w:type="pct"/>
            <w:noWrap w:val="0"/>
            <w:vAlign w:val="center"/>
          </w:tcPr>
          <w:p w14:paraId="7DAC950F">
            <w:pPr>
              <w:spacing w:line="300" w:lineRule="exact"/>
              <w:jc w:val="left"/>
              <w:rPr>
                <w:rFonts w:eastAsia="仿宋_GB2312"/>
                <w:spacing w:val="5"/>
                <w:szCs w:val="21"/>
                <w:highlight w:val="none"/>
              </w:rPr>
            </w:pPr>
            <w:r>
              <w:rPr>
                <w:rFonts w:eastAsia="仿宋_GB2312"/>
                <w:spacing w:val="5"/>
                <w:szCs w:val="21"/>
                <w:highlight w:val="none"/>
              </w:rPr>
              <w:t>山梨酸及其钾盐(以山梨酸计)、阿维菌素、纽甜、三氯蔗糖、</w:t>
            </w:r>
          </w:p>
        </w:tc>
        <w:tc>
          <w:tcPr>
            <w:tcW w:w="734" w:type="pct"/>
            <w:noWrap w:val="0"/>
            <w:vAlign w:val="center"/>
          </w:tcPr>
          <w:p w14:paraId="1660CCB7">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B29ED66">
            <w:pPr>
              <w:spacing w:line="300" w:lineRule="exact"/>
              <w:jc w:val="left"/>
              <w:rPr>
                <w:rFonts w:eastAsia="仿宋_GB2312"/>
                <w:spacing w:val="5"/>
                <w:szCs w:val="21"/>
                <w:highlight w:val="none"/>
              </w:rPr>
            </w:pPr>
          </w:p>
        </w:tc>
      </w:tr>
      <w:tr w14:paraId="7130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5C2280BF">
            <w:pPr>
              <w:spacing w:line="300" w:lineRule="exact"/>
              <w:jc w:val="center"/>
              <w:rPr>
                <w:rFonts w:eastAsia="仿宋_GB2312"/>
                <w:szCs w:val="21"/>
                <w:highlight w:val="none"/>
              </w:rPr>
            </w:pPr>
          </w:p>
        </w:tc>
        <w:tc>
          <w:tcPr>
            <w:tcW w:w="244" w:type="pct"/>
            <w:vMerge w:val="continue"/>
            <w:noWrap w:val="0"/>
            <w:vAlign w:val="center"/>
          </w:tcPr>
          <w:p w14:paraId="338DD5D4">
            <w:pPr>
              <w:spacing w:line="300" w:lineRule="exact"/>
              <w:jc w:val="center"/>
              <w:rPr>
                <w:rFonts w:eastAsia="仿宋_GB2312"/>
                <w:szCs w:val="21"/>
                <w:highlight w:val="none"/>
              </w:rPr>
            </w:pPr>
          </w:p>
        </w:tc>
        <w:tc>
          <w:tcPr>
            <w:tcW w:w="244" w:type="pct"/>
            <w:vMerge w:val="continue"/>
            <w:noWrap w:val="0"/>
            <w:vAlign w:val="center"/>
          </w:tcPr>
          <w:p w14:paraId="3630E28B">
            <w:pPr>
              <w:spacing w:line="300" w:lineRule="exact"/>
              <w:jc w:val="center"/>
              <w:rPr>
                <w:rFonts w:eastAsia="仿宋_GB2312"/>
                <w:szCs w:val="21"/>
                <w:highlight w:val="none"/>
              </w:rPr>
            </w:pPr>
          </w:p>
        </w:tc>
        <w:tc>
          <w:tcPr>
            <w:tcW w:w="301" w:type="pct"/>
            <w:vMerge w:val="continue"/>
            <w:noWrap w:val="0"/>
            <w:vAlign w:val="center"/>
          </w:tcPr>
          <w:p w14:paraId="12068E3A">
            <w:pPr>
              <w:widowControl/>
              <w:spacing w:line="300" w:lineRule="exact"/>
              <w:jc w:val="center"/>
              <w:rPr>
                <w:rFonts w:eastAsia="仿宋_GB2312"/>
                <w:color w:val="000000"/>
                <w:kern w:val="0"/>
                <w:szCs w:val="21"/>
                <w:highlight w:val="none"/>
              </w:rPr>
            </w:pPr>
          </w:p>
        </w:tc>
        <w:tc>
          <w:tcPr>
            <w:tcW w:w="419" w:type="pct"/>
            <w:noWrap w:val="0"/>
            <w:vAlign w:val="center"/>
          </w:tcPr>
          <w:p w14:paraId="1F498D88">
            <w:pPr>
              <w:spacing w:line="300" w:lineRule="exact"/>
              <w:jc w:val="center"/>
              <w:rPr>
                <w:rFonts w:eastAsia="仿宋_GB2312"/>
                <w:spacing w:val="5"/>
                <w:szCs w:val="21"/>
                <w:highlight w:val="none"/>
              </w:rPr>
            </w:pPr>
            <w:r>
              <w:rPr>
                <w:rFonts w:eastAsia="仿宋_GB2312"/>
                <w:spacing w:val="5"/>
                <w:szCs w:val="21"/>
                <w:highlight w:val="none"/>
              </w:rPr>
              <w:t>龙眼</w:t>
            </w:r>
            <w:r>
              <w:rPr>
                <w:rFonts w:hint="eastAsia" w:eastAsia="仿宋_GB2312"/>
                <w:color w:val="000000"/>
                <w:kern w:val="0"/>
                <w:szCs w:val="21"/>
                <w:highlight w:val="none"/>
              </w:rPr>
              <w:t>*</w:t>
            </w:r>
          </w:p>
        </w:tc>
        <w:tc>
          <w:tcPr>
            <w:tcW w:w="188" w:type="pct"/>
            <w:noWrap w:val="0"/>
            <w:vAlign w:val="center"/>
          </w:tcPr>
          <w:p w14:paraId="644CF01E">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368C4540">
            <w:pPr>
              <w:spacing w:line="300" w:lineRule="exact"/>
              <w:jc w:val="left"/>
              <w:rPr>
                <w:rFonts w:eastAsia="仿宋_GB2312"/>
                <w:spacing w:val="5"/>
                <w:szCs w:val="21"/>
                <w:highlight w:val="none"/>
              </w:rPr>
            </w:pPr>
            <w:r>
              <w:rPr>
                <w:rFonts w:eastAsia="仿宋_GB2312"/>
                <w:spacing w:val="5"/>
                <w:szCs w:val="21"/>
                <w:highlight w:val="none"/>
              </w:rPr>
              <w:t>二氧化硫残留量、氧乐果、氯氰菊酯和高效氯氰菊酯</w:t>
            </w:r>
          </w:p>
        </w:tc>
        <w:tc>
          <w:tcPr>
            <w:tcW w:w="751" w:type="pct"/>
            <w:noWrap w:val="0"/>
            <w:vAlign w:val="center"/>
          </w:tcPr>
          <w:p w14:paraId="4BB4087B">
            <w:pPr>
              <w:spacing w:line="300" w:lineRule="exact"/>
              <w:jc w:val="left"/>
              <w:rPr>
                <w:rFonts w:eastAsia="仿宋_GB2312"/>
                <w:spacing w:val="5"/>
                <w:szCs w:val="21"/>
                <w:highlight w:val="none"/>
              </w:rPr>
            </w:pPr>
            <w:r>
              <w:rPr>
                <w:rFonts w:eastAsia="仿宋_GB2312"/>
                <w:szCs w:val="21"/>
                <w:highlight w:val="none"/>
              </w:rPr>
              <w:t>氟虫腈、</w:t>
            </w:r>
            <w:r>
              <w:rPr>
                <w:rFonts w:eastAsia="仿宋_GB2312"/>
                <w:spacing w:val="5"/>
                <w:szCs w:val="21"/>
                <w:highlight w:val="none"/>
              </w:rPr>
              <w:t>克百威</w:t>
            </w:r>
          </w:p>
        </w:tc>
        <w:tc>
          <w:tcPr>
            <w:tcW w:w="734" w:type="pct"/>
            <w:noWrap w:val="0"/>
            <w:vAlign w:val="center"/>
          </w:tcPr>
          <w:p w14:paraId="385734EE">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821164D">
            <w:pPr>
              <w:spacing w:line="300" w:lineRule="exact"/>
              <w:jc w:val="left"/>
              <w:rPr>
                <w:rFonts w:eastAsia="仿宋_GB2312"/>
                <w:szCs w:val="21"/>
                <w:highlight w:val="none"/>
              </w:rPr>
            </w:pPr>
          </w:p>
        </w:tc>
      </w:tr>
      <w:tr w14:paraId="2C2E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1C39077">
            <w:pPr>
              <w:spacing w:line="300" w:lineRule="exact"/>
              <w:jc w:val="center"/>
              <w:rPr>
                <w:rFonts w:eastAsia="仿宋_GB2312"/>
                <w:szCs w:val="21"/>
                <w:highlight w:val="none"/>
              </w:rPr>
            </w:pPr>
          </w:p>
        </w:tc>
        <w:tc>
          <w:tcPr>
            <w:tcW w:w="244" w:type="pct"/>
            <w:vMerge w:val="continue"/>
            <w:noWrap w:val="0"/>
            <w:vAlign w:val="center"/>
          </w:tcPr>
          <w:p w14:paraId="27108E52">
            <w:pPr>
              <w:spacing w:line="300" w:lineRule="exact"/>
              <w:jc w:val="center"/>
              <w:rPr>
                <w:rFonts w:eastAsia="仿宋_GB2312"/>
                <w:szCs w:val="21"/>
                <w:highlight w:val="none"/>
              </w:rPr>
            </w:pPr>
          </w:p>
        </w:tc>
        <w:tc>
          <w:tcPr>
            <w:tcW w:w="244" w:type="pct"/>
            <w:vMerge w:val="continue"/>
            <w:noWrap w:val="0"/>
            <w:vAlign w:val="center"/>
          </w:tcPr>
          <w:p w14:paraId="4DAB3617">
            <w:pPr>
              <w:spacing w:line="300" w:lineRule="exact"/>
              <w:jc w:val="center"/>
              <w:rPr>
                <w:rFonts w:eastAsia="仿宋_GB2312"/>
                <w:szCs w:val="21"/>
                <w:highlight w:val="none"/>
              </w:rPr>
            </w:pPr>
          </w:p>
        </w:tc>
        <w:tc>
          <w:tcPr>
            <w:tcW w:w="301" w:type="pct"/>
            <w:vMerge w:val="continue"/>
            <w:noWrap w:val="0"/>
            <w:vAlign w:val="center"/>
          </w:tcPr>
          <w:p w14:paraId="32531527">
            <w:pPr>
              <w:widowControl/>
              <w:spacing w:line="300" w:lineRule="exact"/>
              <w:jc w:val="center"/>
              <w:rPr>
                <w:rFonts w:eastAsia="仿宋_GB2312"/>
                <w:color w:val="000000"/>
                <w:kern w:val="0"/>
                <w:szCs w:val="21"/>
                <w:highlight w:val="none"/>
              </w:rPr>
            </w:pPr>
          </w:p>
        </w:tc>
        <w:tc>
          <w:tcPr>
            <w:tcW w:w="419" w:type="pct"/>
            <w:noWrap w:val="0"/>
            <w:vAlign w:val="center"/>
          </w:tcPr>
          <w:p w14:paraId="6AC5F555">
            <w:pPr>
              <w:spacing w:line="300" w:lineRule="exact"/>
              <w:jc w:val="center"/>
              <w:rPr>
                <w:rFonts w:eastAsia="仿宋_GB2312"/>
                <w:spacing w:val="5"/>
                <w:szCs w:val="21"/>
                <w:highlight w:val="none"/>
              </w:rPr>
            </w:pPr>
            <w:r>
              <w:rPr>
                <w:rFonts w:eastAsia="仿宋_GB2312"/>
                <w:spacing w:val="5"/>
                <w:szCs w:val="21"/>
                <w:highlight w:val="none"/>
              </w:rPr>
              <w:t>橄榄</w:t>
            </w:r>
          </w:p>
        </w:tc>
        <w:tc>
          <w:tcPr>
            <w:tcW w:w="188" w:type="pct"/>
            <w:noWrap w:val="0"/>
            <w:vAlign w:val="center"/>
          </w:tcPr>
          <w:p w14:paraId="45B09E51">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27F656DE">
            <w:pPr>
              <w:spacing w:line="300" w:lineRule="exact"/>
              <w:jc w:val="left"/>
              <w:rPr>
                <w:rFonts w:eastAsia="仿宋_GB2312"/>
                <w:spacing w:val="5"/>
                <w:szCs w:val="21"/>
                <w:highlight w:val="none"/>
              </w:rPr>
            </w:pPr>
            <w:r>
              <w:rPr>
                <w:rFonts w:eastAsia="仿宋_GB2312"/>
                <w:spacing w:val="5"/>
                <w:szCs w:val="21"/>
                <w:highlight w:val="none"/>
              </w:rPr>
              <w:t>三氯蔗糖、多菌灵、甲胺磷、戊唑醇、乙酰甲胺磷</w:t>
            </w:r>
          </w:p>
        </w:tc>
        <w:tc>
          <w:tcPr>
            <w:tcW w:w="751" w:type="pct"/>
            <w:noWrap w:val="0"/>
            <w:vAlign w:val="center"/>
          </w:tcPr>
          <w:p w14:paraId="48FA15F7">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1891243E">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A05AEDA">
            <w:pPr>
              <w:spacing w:line="300" w:lineRule="exact"/>
              <w:jc w:val="left"/>
              <w:rPr>
                <w:rFonts w:eastAsia="仿宋_GB2312"/>
                <w:spacing w:val="5"/>
                <w:szCs w:val="21"/>
                <w:highlight w:val="none"/>
              </w:rPr>
            </w:pPr>
          </w:p>
        </w:tc>
      </w:tr>
      <w:tr w14:paraId="19F5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7A05F41">
            <w:pPr>
              <w:spacing w:line="300" w:lineRule="exact"/>
              <w:jc w:val="center"/>
              <w:rPr>
                <w:rFonts w:eastAsia="仿宋_GB2312"/>
                <w:szCs w:val="21"/>
                <w:highlight w:val="none"/>
              </w:rPr>
            </w:pPr>
          </w:p>
        </w:tc>
        <w:tc>
          <w:tcPr>
            <w:tcW w:w="244" w:type="pct"/>
            <w:vMerge w:val="continue"/>
            <w:noWrap w:val="0"/>
            <w:vAlign w:val="center"/>
          </w:tcPr>
          <w:p w14:paraId="5D882182">
            <w:pPr>
              <w:spacing w:line="300" w:lineRule="exact"/>
              <w:jc w:val="center"/>
              <w:rPr>
                <w:rFonts w:eastAsia="仿宋_GB2312"/>
                <w:szCs w:val="21"/>
                <w:highlight w:val="none"/>
              </w:rPr>
            </w:pPr>
          </w:p>
        </w:tc>
        <w:tc>
          <w:tcPr>
            <w:tcW w:w="244" w:type="pct"/>
            <w:vMerge w:val="continue"/>
            <w:noWrap w:val="0"/>
            <w:vAlign w:val="center"/>
          </w:tcPr>
          <w:p w14:paraId="6B87AB21">
            <w:pPr>
              <w:spacing w:line="300" w:lineRule="exact"/>
              <w:jc w:val="center"/>
              <w:rPr>
                <w:rFonts w:eastAsia="仿宋_GB2312"/>
                <w:szCs w:val="21"/>
                <w:highlight w:val="none"/>
              </w:rPr>
            </w:pPr>
          </w:p>
        </w:tc>
        <w:tc>
          <w:tcPr>
            <w:tcW w:w="301" w:type="pct"/>
            <w:vMerge w:val="continue"/>
            <w:noWrap w:val="0"/>
            <w:vAlign w:val="center"/>
          </w:tcPr>
          <w:p w14:paraId="3D9E1698">
            <w:pPr>
              <w:widowControl/>
              <w:spacing w:line="300" w:lineRule="exact"/>
              <w:jc w:val="center"/>
              <w:rPr>
                <w:rFonts w:eastAsia="仿宋_GB2312"/>
                <w:color w:val="000000"/>
                <w:kern w:val="0"/>
                <w:szCs w:val="21"/>
                <w:highlight w:val="none"/>
              </w:rPr>
            </w:pPr>
          </w:p>
        </w:tc>
        <w:tc>
          <w:tcPr>
            <w:tcW w:w="419" w:type="pct"/>
            <w:noWrap w:val="0"/>
            <w:vAlign w:val="center"/>
          </w:tcPr>
          <w:p w14:paraId="6153237A">
            <w:pPr>
              <w:spacing w:line="300" w:lineRule="exact"/>
              <w:jc w:val="center"/>
              <w:rPr>
                <w:rFonts w:eastAsia="仿宋_GB2312"/>
                <w:spacing w:val="5"/>
                <w:szCs w:val="21"/>
                <w:highlight w:val="none"/>
              </w:rPr>
            </w:pPr>
            <w:r>
              <w:rPr>
                <w:rFonts w:eastAsia="仿宋_GB2312"/>
                <w:spacing w:val="5"/>
                <w:szCs w:val="21"/>
                <w:highlight w:val="none"/>
              </w:rPr>
              <w:t>番木瓜</w:t>
            </w:r>
            <w:r>
              <w:rPr>
                <w:rFonts w:hint="eastAsia" w:eastAsia="仿宋_GB2312"/>
                <w:color w:val="000000"/>
                <w:kern w:val="0"/>
                <w:szCs w:val="21"/>
                <w:highlight w:val="none"/>
              </w:rPr>
              <w:t>*</w:t>
            </w:r>
          </w:p>
        </w:tc>
        <w:tc>
          <w:tcPr>
            <w:tcW w:w="188" w:type="pct"/>
            <w:noWrap w:val="0"/>
            <w:vAlign w:val="center"/>
          </w:tcPr>
          <w:p w14:paraId="02A810AD">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08F9369F">
            <w:pPr>
              <w:spacing w:line="300" w:lineRule="exact"/>
              <w:jc w:val="left"/>
              <w:rPr>
                <w:rFonts w:eastAsia="仿宋_GB2312"/>
                <w:spacing w:val="5"/>
                <w:szCs w:val="21"/>
                <w:highlight w:val="none"/>
              </w:rPr>
            </w:pPr>
            <w:r>
              <w:rPr>
                <w:rFonts w:eastAsia="仿宋_GB2312"/>
                <w:spacing w:val="5"/>
                <w:szCs w:val="21"/>
                <w:highlight w:val="none"/>
              </w:rPr>
              <w:t>噻虫胺、噻虫嗪、乙酰甲胺磷</w:t>
            </w:r>
          </w:p>
        </w:tc>
        <w:tc>
          <w:tcPr>
            <w:tcW w:w="751" w:type="pct"/>
            <w:noWrap w:val="0"/>
            <w:vAlign w:val="center"/>
          </w:tcPr>
          <w:p w14:paraId="2C0D18C2">
            <w:pPr>
              <w:spacing w:line="300" w:lineRule="exact"/>
              <w:jc w:val="left"/>
              <w:rPr>
                <w:rFonts w:eastAsia="仿宋_GB2312"/>
                <w:spacing w:val="5"/>
                <w:szCs w:val="21"/>
                <w:highlight w:val="none"/>
              </w:rPr>
            </w:pPr>
            <w:r>
              <w:rPr>
                <w:rFonts w:eastAsia="仿宋_GB2312"/>
                <w:spacing w:val="5"/>
                <w:szCs w:val="21"/>
                <w:highlight w:val="none"/>
              </w:rPr>
              <w:t>克百威、氧乐果</w:t>
            </w:r>
          </w:p>
        </w:tc>
        <w:tc>
          <w:tcPr>
            <w:tcW w:w="734" w:type="pct"/>
            <w:noWrap w:val="0"/>
            <w:vAlign w:val="center"/>
          </w:tcPr>
          <w:p w14:paraId="72980095">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E244623">
            <w:pPr>
              <w:spacing w:line="300" w:lineRule="exact"/>
              <w:jc w:val="left"/>
              <w:rPr>
                <w:rFonts w:eastAsia="仿宋_GB2312"/>
                <w:spacing w:val="5"/>
                <w:szCs w:val="21"/>
                <w:highlight w:val="none"/>
              </w:rPr>
            </w:pPr>
          </w:p>
        </w:tc>
      </w:tr>
      <w:tr w14:paraId="09EE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6BD17DEF">
            <w:pPr>
              <w:spacing w:line="300" w:lineRule="exact"/>
              <w:jc w:val="center"/>
              <w:rPr>
                <w:rFonts w:eastAsia="仿宋_GB2312"/>
                <w:szCs w:val="21"/>
                <w:highlight w:val="none"/>
              </w:rPr>
            </w:pPr>
          </w:p>
        </w:tc>
        <w:tc>
          <w:tcPr>
            <w:tcW w:w="244" w:type="pct"/>
            <w:vMerge w:val="continue"/>
            <w:noWrap w:val="0"/>
            <w:vAlign w:val="center"/>
          </w:tcPr>
          <w:p w14:paraId="72E48104">
            <w:pPr>
              <w:spacing w:line="300" w:lineRule="exact"/>
              <w:jc w:val="center"/>
              <w:rPr>
                <w:rFonts w:eastAsia="仿宋_GB2312"/>
                <w:szCs w:val="21"/>
                <w:highlight w:val="none"/>
              </w:rPr>
            </w:pPr>
          </w:p>
        </w:tc>
        <w:tc>
          <w:tcPr>
            <w:tcW w:w="244" w:type="pct"/>
            <w:vMerge w:val="continue"/>
            <w:noWrap w:val="0"/>
            <w:vAlign w:val="center"/>
          </w:tcPr>
          <w:p w14:paraId="48781E3B">
            <w:pPr>
              <w:spacing w:line="300" w:lineRule="exact"/>
              <w:jc w:val="center"/>
              <w:rPr>
                <w:rFonts w:eastAsia="仿宋_GB2312"/>
                <w:szCs w:val="21"/>
                <w:highlight w:val="none"/>
              </w:rPr>
            </w:pPr>
          </w:p>
        </w:tc>
        <w:tc>
          <w:tcPr>
            <w:tcW w:w="301" w:type="pct"/>
            <w:vMerge w:val="continue"/>
            <w:noWrap w:val="0"/>
            <w:vAlign w:val="center"/>
          </w:tcPr>
          <w:p w14:paraId="4D03C063">
            <w:pPr>
              <w:widowControl/>
              <w:spacing w:line="300" w:lineRule="exact"/>
              <w:jc w:val="center"/>
              <w:rPr>
                <w:rFonts w:eastAsia="仿宋_GB2312"/>
                <w:color w:val="000000"/>
                <w:kern w:val="0"/>
                <w:szCs w:val="21"/>
                <w:highlight w:val="none"/>
              </w:rPr>
            </w:pPr>
          </w:p>
        </w:tc>
        <w:tc>
          <w:tcPr>
            <w:tcW w:w="419" w:type="pct"/>
            <w:noWrap w:val="0"/>
            <w:vAlign w:val="center"/>
          </w:tcPr>
          <w:p w14:paraId="5A3ED882">
            <w:pPr>
              <w:spacing w:line="300" w:lineRule="exact"/>
              <w:jc w:val="center"/>
              <w:rPr>
                <w:rFonts w:eastAsia="仿宋_GB2312"/>
                <w:spacing w:val="5"/>
                <w:szCs w:val="21"/>
                <w:highlight w:val="none"/>
              </w:rPr>
            </w:pPr>
            <w:r>
              <w:rPr>
                <w:rFonts w:eastAsia="仿宋_GB2312"/>
                <w:spacing w:val="5"/>
                <w:szCs w:val="21"/>
                <w:highlight w:val="none"/>
              </w:rPr>
              <w:t>柿子</w:t>
            </w:r>
          </w:p>
        </w:tc>
        <w:tc>
          <w:tcPr>
            <w:tcW w:w="188" w:type="pct"/>
            <w:noWrap w:val="0"/>
            <w:vAlign w:val="center"/>
          </w:tcPr>
          <w:p w14:paraId="2B9E45DA">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59B073A5">
            <w:pPr>
              <w:spacing w:line="300" w:lineRule="exact"/>
              <w:jc w:val="left"/>
              <w:rPr>
                <w:rFonts w:eastAsia="仿宋_GB2312"/>
                <w:spacing w:val="5"/>
                <w:szCs w:val="21"/>
                <w:highlight w:val="none"/>
              </w:rPr>
            </w:pPr>
            <w:r>
              <w:rPr>
                <w:rFonts w:eastAsia="仿宋_GB2312"/>
                <w:spacing w:val="5"/>
                <w:szCs w:val="21"/>
                <w:highlight w:val="none"/>
              </w:rPr>
              <w:t>吡唑醚菌酯、氧乐果、甲胺磷、啶虫脒、水胺硫磷、克百威</w:t>
            </w:r>
          </w:p>
        </w:tc>
        <w:tc>
          <w:tcPr>
            <w:tcW w:w="751" w:type="pct"/>
            <w:noWrap w:val="0"/>
            <w:vAlign w:val="center"/>
          </w:tcPr>
          <w:p w14:paraId="79FC7595">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335DFFCA">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E252C3B">
            <w:pPr>
              <w:spacing w:line="300" w:lineRule="exact"/>
              <w:jc w:val="left"/>
              <w:rPr>
                <w:rFonts w:eastAsia="仿宋_GB2312"/>
                <w:spacing w:val="5"/>
                <w:szCs w:val="21"/>
                <w:highlight w:val="none"/>
              </w:rPr>
            </w:pPr>
          </w:p>
        </w:tc>
      </w:tr>
      <w:tr w14:paraId="10D9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442DBD1F">
            <w:pPr>
              <w:spacing w:line="300" w:lineRule="exact"/>
              <w:jc w:val="center"/>
              <w:rPr>
                <w:rFonts w:eastAsia="仿宋_GB2312"/>
                <w:szCs w:val="21"/>
                <w:highlight w:val="none"/>
              </w:rPr>
            </w:pPr>
          </w:p>
        </w:tc>
        <w:tc>
          <w:tcPr>
            <w:tcW w:w="244" w:type="pct"/>
            <w:vMerge w:val="continue"/>
            <w:noWrap w:val="0"/>
            <w:vAlign w:val="center"/>
          </w:tcPr>
          <w:p w14:paraId="2D4C3D10">
            <w:pPr>
              <w:spacing w:line="300" w:lineRule="exact"/>
              <w:jc w:val="center"/>
              <w:rPr>
                <w:rFonts w:eastAsia="仿宋_GB2312"/>
                <w:szCs w:val="21"/>
                <w:highlight w:val="none"/>
              </w:rPr>
            </w:pPr>
          </w:p>
        </w:tc>
        <w:tc>
          <w:tcPr>
            <w:tcW w:w="244" w:type="pct"/>
            <w:vMerge w:val="continue"/>
            <w:noWrap w:val="0"/>
            <w:vAlign w:val="center"/>
          </w:tcPr>
          <w:p w14:paraId="11347656">
            <w:pPr>
              <w:spacing w:line="300" w:lineRule="exact"/>
              <w:jc w:val="center"/>
              <w:rPr>
                <w:rFonts w:eastAsia="仿宋_GB2312"/>
                <w:szCs w:val="21"/>
                <w:highlight w:val="none"/>
              </w:rPr>
            </w:pPr>
          </w:p>
        </w:tc>
        <w:tc>
          <w:tcPr>
            <w:tcW w:w="301" w:type="pct"/>
            <w:vMerge w:val="continue"/>
            <w:noWrap w:val="0"/>
            <w:vAlign w:val="center"/>
          </w:tcPr>
          <w:p w14:paraId="590C1E42">
            <w:pPr>
              <w:widowControl/>
              <w:spacing w:line="300" w:lineRule="exact"/>
              <w:jc w:val="center"/>
              <w:rPr>
                <w:rFonts w:eastAsia="仿宋_GB2312"/>
                <w:color w:val="000000"/>
                <w:kern w:val="0"/>
                <w:szCs w:val="21"/>
                <w:highlight w:val="none"/>
              </w:rPr>
            </w:pPr>
          </w:p>
        </w:tc>
        <w:tc>
          <w:tcPr>
            <w:tcW w:w="419" w:type="pct"/>
            <w:noWrap w:val="0"/>
            <w:vAlign w:val="center"/>
          </w:tcPr>
          <w:p w14:paraId="1561BC94">
            <w:pPr>
              <w:spacing w:line="300" w:lineRule="exact"/>
              <w:jc w:val="center"/>
              <w:rPr>
                <w:rFonts w:eastAsia="仿宋_GB2312"/>
                <w:spacing w:val="5"/>
                <w:szCs w:val="21"/>
                <w:highlight w:val="none"/>
              </w:rPr>
            </w:pPr>
            <w:r>
              <w:rPr>
                <w:rFonts w:eastAsia="仿宋_GB2312"/>
                <w:spacing w:val="5"/>
                <w:szCs w:val="21"/>
                <w:highlight w:val="none"/>
              </w:rPr>
              <w:t>菠萝</w:t>
            </w:r>
          </w:p>
        </w:tc>
        <w:tc>
          <w:tcPr>
            <w:tcW w:w="188" w:type="pct"/>
            <w:noWrap w:val="0"/>
            <w:vAlign w:val="center"/>
          </w:tcPr>
          <w:p w14:paraId="43505012">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6ABF4601">
            <w:pPr>
              <w:spacing w:line="300" w:lineRule="exact"/>
              <w:jc w:val="left"/>
              <w:rPr>
                <w:rFonts w:eastAsia="仿宋_GB2312"/>
                <w:spacing w:val="5"/>
                <w:szCs w:val="21"/>
                <w:highlight w:val="none"/>
              </w:rPr>
            </w:pPr>
            <w:r>
              <w:rPr>
                <w:rFonts w:eastAsia="仿宋_GB2312"/>
                <w:spacing w:val="5"/>
                <w:szCs w:val="21"/>
                <w:highlight w:val="none"/>
              </w:rPr>
              <w:t>甜蜜素（以环己基氨基磺酸计）、柠檬黄、脱氢乙酸及其钠盐（以脱氢乙酸计）、三氯蔗糖、糖精钠（以糖精计）、苯醚甲环唑</w:t>
            </w:r>
          </w:p>
        </w:tc>
        <w:tc>
          <w:tcPr>
            <w:tcW w:w="751" w:type="pct"/>
            <w:noWrap w:val="0"/>
            <w:vAlign w:val="center"/>
          </w:tcPr>
          <w:p w14:paraId="2522D9BE">
            <w:pPr>
              <w:spacing w:line="300" w:lineRule="exact"/>
              <w:jc w:val="left"/>
              <w:rPr>
                <w:rFonts w:eastAsia="仿宋_GB2312"/>
                <w:spacing w:val="5"/>
                <w:szCs w:val="21"/>
                <w:highlight w:val="none"/>
              </w:rPr>
            </w:pPr>
            <w:r>
              <w:rPr>
                <w:rFonts w:eastAsia="仿宋_GB2312"/>
                <w:spacing w:val="5"/>
                <w:szCs w:val="21"/>
                <w:highlight w:val="none"/>
              </w:rPr>
              <w:t>多菌灵、咪鲜胺和咪鲜胺锰盐</w:t>
            </w:r>
          </w:p>
        </w:tc>
        <w:tc>
          <w:tcPr>
            <w:tcW w:w="734" w:type="pct"/>
            <w:noWrap w:val="0"/>
            <w:vAlign w:val="center"/>
          </w:tcPr>
          <w:p w14:paraId="3BE5A176">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76399D9C">
            <w:pPr>
              <w:spacing w:line="300" w:lineRule="exact"/>
              <w:jc w:val="left"/>
              <w:rPr>
                <w:rFonts w:eastAsia="仿宋_GB2312"/>
                <w:spacing w:val="5"/>
                <w:szCs w:val="21"/>
                <w:highlight w:val="none"/>
              </w:rPr>
            </w:pPr>
          </w:p>
        </w:tc>
      </w:tr>
      <w:tr w14:paraId="7B2B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28AE8BF">
            <w:pPr>
              <w:spacing w:line="300" w:lineRule="exact"/>
              <w:jc w:val="center"/>
              <w:rPr>
                <w:rFonts w:eastAsia="仿宋_GB2312"/>
                <w:szCs w:val="21"/>
                <w:highlight w:val="none"/>
              </w:rPr>
            </w:pPr>
          </w:p>
        </w:tc>
        <w:tc>
          <w:tcPr>
            <w:tcW w:w="244" w:type="pct"/>
            <w:vMerge w:val="continue"/>
            <w:noWrap w:val="0"/>
            <w:vAlign w:val="center"/>
          </w:tcPr>
          <w:p w14:paraId="728FEBA1">
            <w:pPr>
              <w:spacing w:line="300" w:lineRule="exact"/>
              <w:jc w:val="center"/>
              <w:rPr>
                <w:rFonts w:eastAsia="仿宋_GB2312"/>
                <w:szCs w:val="21"/>
                <w:highlight w:val="none"/>
              </w:rPr>
            </w:pPr>
          </w:p>
        </w:tc>
        <w:tc>
          <w:tcPr>
            <w:tcW w:w="244" w:type="pct"/>
            <w:vMerge w:val="continue"/>
            <w:noWrap w:val="0"/>
            <w:vAlign w:val="center"/>
          </w:tcPr>
          <w:p w14:paraId="3F49BD69">
            <w:pPr>
              <w:spacing w:line="300" w:lineRule="exact"/>
              <w:jc w:val="center"/>
              <w:rPr>
                <w:rFonts w:eastAsia="仿宋_GB2312"/>
                <w:szCs w:val="21"/>
                <w:highlight w:val="none"/>
              </w:rPr>
            </w:pPr>
          </w:p>
        </w:tc>
        <w:tc>
          <w:tcPr>
            <w:tcW w:w="301" w:type="pct"/>
            <w:vMerge w:val="continue"/>
            <w:noWrap w:val="0"/>
            <w:vAlign w:val="center"/>
          </w:tcPr>
          <w:p w14:paraId="12B99B21">
            <w:pPr>
              <w:widowControl/>
              <w:spacing w:line="300" w:lineRule="exact"/>
              <w:jc w:val="center"/>
              <w:rPr>
                <w:rFonts w:eastAsia="仿宋_GB2312"/>
                <w:color w:val="000000"/>
                <w:kern w:val="0"/>
                <w:szCs w:val="21"/>
                <w:highlight w:val="none"/>
              </w:rPr>
            </w:pPr>
          </w:p>
        </w:tc>
        <w:tc>
          <w:tcPr>
            <w:tcW w:w="419" w:type="pct"/>
            <w:noWrap w:val="0"/>
            <w:vAlign w:val="center"/>
          </w:tcPr>
          <w:p w14:paraId="477AC3B1">
            <w:pPr>
              <w:spacing w:line="300" w:lineRule="exact"/>
              <w:jc w:val="center"/>
              <w:rPr>
                <w:rFonts w:eastAsia="仿宋_GB2312"/>
                <w:spacing w:val="5"/>
                <w:szCs w:val="21"/>
                <w:highlight w:val="none"/>
              </w:rPr>
            </w:pPr>
            <w:r>
              <w:rPr>
                <w:rFonts w:eastAsia="仿宋_GB2312"/>
                <w:spacing w:val="5"/>
                <w:szCs w:val="21"/>
                <w:highlight w:val="none"/>
              </w:rPr>
              <w:t>黄皮</w:t>
            </w:r>
          </w:p>
        </w:tc>
        <w:tc>
          <w:tcPr>
            <w:tcW w:w="188" w:type="pct"/>
            <w:noWrap w:val="0"/>
            <w:vAlign w:val="center"/>
          </w:tcPr>
          <w:p w14:paraId="0D6E4883">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0502E7C4">
            <w:pPr>
              <w:spacing w:line="300" w:lineRule="exact"/>
              <w:jc w:val="left"/>
              <w:rPr>
                <w:rFonts w:eastAsia="仿宋_GB2312"/>
                <w:spacing w:val="5"/>
                <w:szCs w:val="21"/>
                <w:highlight w:val="none"/>
              </w:rPr>
            </w:pPr>
            <w:r>
              <w:rPr>
                <w:rFonts w:eastAsia="仿宋_GB2312"/>
                <w:spacing w:val="5"/>
                <w:szCs w:val="21"/>
                <w:highlight w:val="none"/>
              </w:rPr>
              <w:t>甲胺磷、氧乐果、甲拌磷、甲基异柳磷</w:t>
            </w:r>
          </w:p>
        </w:tc>
        <w:tc>
          <w:tcPr>
            <w:tcW w:w="751" w:type="pct"/>
            <w:noWrap w:val="0"/>
            <w:vAlign w:val="center"/>
          </w:tcPr>
          <w:p w14:paraId="486FCE6E">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5E5F69CD">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53252D7B">
            <w:pPr>
              <w:spacing w:line="300" w:lineRule="exact"/>
              <w:jc w:val="left"/>
              <w:rPr>
                <w:rFonts w:eastAsia="仿宋_GB2312"/>
                <w:spacing w:val="5"/>
                <w:szCs w:val="21"/>
                <w:highlight w:val="none"/>
              </w:rPr>
            </w:pPr>
          </w:p>
        </w:tc>
      </w:tr>
      <w:tr w14:paraId="5E3D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E7E8AF1">
            <w:pPr>
              <w:spacing w:line="300" w:lineRule="exact"/>
              <w:jc w:val="center"/>
              <w:rPr>
                <w:rFonts w:eastAsia="仿宋_GB2312"/>
                <w:szCs w:val="21"/>
                <w:highlight w:val="none"/>
              </w:rPr>
            </w:pPr>
          </w:p>
        </w:tc>
        <w:tc>
          <w:tcPr>
            <w:tcW w:w="244" w:type="pct"/>
            <w:vMerge w:val="continue"/>
            <w:noWrap w:val="0"/>
            <w:vAlign w:val="center"/>
          </w:tcPr>
          <w:p w14:paraId="616A6E44">
            <w:pPr>
              <w:spacing w:line="300" w:lineRule="exact"/>
              <w:jc w:val="center"/>
              <w:rPr>
                <w:rFonts w:eastAsia="仿宋_GB2312"/>
                <w:szCs w:val="21"/>
                <w:highlight w:val="none"/>
              </w:rPr>
            </w:pPr>
          </w:p>
        </w:tc>
        <w:tc>
          <w:tcPr>
            <w:tcW w:w="244" w:type="pct"/>
            <w:vMerge w:val="continue"/>
            <w:noWrap w:val="0"/>
            <w:vAlign w:val="center"/>
          </w:tcPr>
          <w:p w14:paraId="46279EB8">
            <w:pPr>
              <w:spacing w:line="300" w:lineRule="exact"/>
              <w:jc w:val="center"/>
              <w:rPr>
                <w:rFonts w:eastAsia="仿宋_GB2312"/>
                <w:szCs w:val="21"/>
                <w:highlight w:val="none"/>
              </w:rPr>
            </w:pPr>
          </w:p>
        </w:tc>
        <w:tc>
          <w:tcPr>
            <w:tcW w:w="301" w:type="pct"/>
            <w:vMerge w:val="continue"/>
            <w:noWrap w:val="0"/>
            <w:vAlign w:val="center"/>
          </w:tcPr>
          <w:p w14:paraId="0B365036">
            <w:pPr>
              <w:widowControl/>
              <w:spacing w:line="300" w:lineRule="exact"/>
              <w:jc w:val="center"/>
              <w:rPr>
                <w:rFonts w:eastAsia="仿宋_GB2312"/>
                <w:color w:val="000000"/>
                <w:kern w:val="0"/>
                <w:szCs w:val="21"/>
                <w:highlight w:val="none"/>
              </w:rPr>
            </w:pPr>
          </w:p>
        </w:tc>
        <w:tc>
          <w:tcPr>
            <w:tcW w:w="419" w:type="pct"/>
            <w:noWrap w:val="0"/>
            <w:vAlign w:val="center"/>
          </w:tcPr>
          <w:p w14:paraId="716EFB13">
            <w:pPr>
              <w:spacing w:line="300" w:lineRule="exact"/>
              <w:jc w:val="center"/>
              <w:rPr>
                <w:rFonts w:eastAsia="仿宋_GB2312"/>
                <w:spacing w:val="5"/>
                <w:szCs w:val="21"/>
                <w:highlight w:val="none"/>
              </w:rPr>
            </w:pPr>
            <w:r>
              <w:rPr>
                <w:rFonts w:eastAsia="仿宋_GB2312"/>
                <w:spacing w:val="5"/>
                <w:szCs w:val="21"/>
                <w:highlight w:val="none"/>
              </w:rPr>
              <w:t>榴莲</w:t>
            </w:r>
          </w:p>
        </w:tc>
        <w:tc>
          <w:tcPr>
            <w:tcW w:w="188" w:type="pct"/>
            <w:noWrap w:val="0"/>
            <w:vAlign w:val="center"/>
          </w:tcPr>
          <w:p w14:paraId="2E94F31D">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3D98FF9C">
            <w:pPr>
              <w:spacing w:line="300" w:lineRule="exact"/>
              <w:jc w:val="left"/>
              <w:rPr>
                <w:rFonts w:eastAsia="仿宋_GB2312"/>
                <w:spacing w:val="5"/>
                <w:szCs w:val="21"/>
                <w:highlight w:val="none"/>
              </w:rPr>
            </w:pPr>
            <w:r>
              <w:rPr>
                <w:rFonts w:eastAsia="仿宋_GB2312"/>
                <w:spacing w:val="5"/>
                <w:szCs w:val="21"/>
                <w:highlight w:val="none"/>
              </w:rPr>
              <w:t>氯氰菊酯和高效氯氰菊酯、甲胺磷、甲拌磷、氧乐果、镉(以Cd计)</w:t>
            </w:r>
          </w:p>
        </w:tc>
        <w:tc>
          <w:tcPr>
            <w:tcW w:w="751" w:type="pct"/>
            <w:noWrap w:val="0"/>
            <w:vAlign w:val="center"/>
          </w:tcPr>
          <w:p w14:paraId="4770DF86">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376F0C15">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28A16161">
            <w:pPr>
              <w:spacing w:line="300" w:lineRule="exact"/>
              <w:jc w:val="left"/>
              <w:rPr>
                <w:rFonts w:eastAsia="仿宋_GB2312"/>
                <w:spacing w:val="5"/>
                <w:szCs w:val="21"/>
                <w:highlight w:val="none"/>
              </w:rPr>
            </w:pPr>
          </w:p>
        </w:tc>
      </w:tr>
      <w:tr w14:paraId="3F5F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486F44B">
            <w:pPr>
              <w:spacing w:line="300" w:lineRule="exact"/>
              <w:jc w:val="center"/>
              <w:rPr>
                <w:rFonts w:eastAsia="仿宋_GB2312"/>
                <w:szCs w:val="21"/>
                <w:highlight w:val="none"/>
              </w:rPr>
            </w:pPr>
          </w:p>
        </w:tc>
        <w:tc>
          <w:tcPr>
            <w:tcW w:w="244" w:type="pct"/>
            <w:vMerge w:val="continue"/>
            <w:noWrap w:val="0"/>
            <w:vAlign w:val="center"/>
          </w:tcPr>
          <w:p w14:paraId="4C5AB909">
            <w:pPr>
              <w:spacing w:line="300" w:lineRule="exact"/>
              <w:jc w:val="center"/>
              <w:rPr>
                <w:rFonts w:eastAsia="仿宋_GB2312"/>
                <w:szCs w:val="21"/>
                <w:highlight w:val="none"/>
              </w:rPr>
            </w:pPr>
          </w:p>
        </w:tc>
        <w:tc>
          <w:tcPr>
            <w:tcW w:w="244" w:type="pct"/>
            <w:vMerge w:val="continue"/>
            <w:noWrap w:val="0"/>
            <w:vAlign w:val="center"/>
          </w:tcPr>
          <w:p w14:paraId="42D11555">
            <w:pPr>
              <w:spacing w:line="300" w:lineRule="exact"/>
              <w:jc w:val="center"/>
              <w:rPr>
                <w:rFonts w:eastAsia="仿宋_GB2312"/>
                <w:szCs w:val="21"/>
                <w:highlight w:val="none"/>
              </w:rPr>
            </w:pPr>
          </w:p>
        </w:tc>
        <w:tc>
          <w:tcPr>
            <w:tcW w:w="301" w:type="pct"/>
            <w:vMerge w:val="restart"/>
            <w:noWrap w:val="0"/>
            <w:vAlign w:val="center"/>
          </w:tcPr>
          <w:p w14:paraId="265C6E1E">
            <w:pPr>
              <w:spacing w:line="300" w:lineRule="exact"/>
              <w:jc w:val="center"/>
              <w:rPr>
                <w:rFonts w:eastAsia="仿宋_GB2312"/>
                <w:spacing w:val="5"/>
                <w:szCs w:val="21"/>
                <w:highlight w:val="none"/>
              </w:rPr>
            </w:pPr>
            <w:r>
              <w:rPr>
                <w:rFonts w:eastAsia="仿宋_GB2312"/>
                <w:spacing w:val="5"/>
                <w:szCs w:val="21"/>
                <w:highlight w:val="none"/>
              </w:rPr>
              <w:t>瓜果类水果</w:t>
            </w:r>
          </w:p>
        </w:tc>
        <w:tc>
          <w:tcPr>
            <w:tcW w:w="419" w:type="pct"/>
            <w:noWrap w:val="0"/>
            <w:vAlign w:val="center"/>
          </w:tcPr>
          <w:p w14:paraId="2A16021C">
            <w:pPr>
              <w:spacing w:line="300" w:lineRule="exact"/>
              <w:jc w:val="center"/>
              <w:rPr>
                <w:rFonts w:eastAsia="仿宋_GB2312"/>
                <w:spacing w:val="5"/>
                <w:szCs w:val="21"/>
                <w:highlight w:val="none"/>
              </w:rPr>
            </w:pPr>
            <w:r>
              <w:rPr>
                <w:rFonts w:eastAsia="仿宋_GB2312"/>
                <w:spacing w:val="5"/>
                <w:szCs w:val="21"/>
                <w:highlight w:val="none"/>
              </w:rPr>
              <w:t>西瓜</w:t>
            </w:r>
          </w:p>
        </w:tc>
        <w:tc>
          <w:tcPr>
            <w:tcW w:w="188" w:type="pct"/>
            <w:noWrap w:val="0"/>
            <w:vAlign w:val="center"/>
          </w:tcPr>
          <w:p w14:paraId="15CB30AD">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3B188451">
            <w:pPr>
              <w:spacing w:line="300" w:lineRule="exact"/>
              <w:jc w:val="left"/>
              <w:rPr>
                <w:rFonts w:eastAsia="仿宋_GB2312"/>
                <w:spacing w:val="5"/>
                <w:szCs w:val="21"/>
                <w:highlight w:val="none"/>
              </w:rPr>
            </w:pPr>
            <w:r>
              <w:rPr>
                <w:rFonts w:eastAsia="仿宋_GB2312"/>
                <w:spacing w:val="5"/>
                <w:szCs w:val="21"/>
                <w:highlight w:val="none"/>
              </w:rPr>
              <w:t>克百威、噻虫嗪、氧乐果、乙酰甲胺磷、苯醚甲环唑、氯氟氰菊酯和高效氯氟氰菊酯</w:t>
            </w:r>
          </w:p>
        </w:tc>
        <w:tc>
          <w:tcPr>
            <w:tcW w:w="751" w:type="pct"/>
            <w:noWrap w:val="0"/>
            <w:vAlign w:val="center"/>
          </w:tcPr>
          <w:p w14:paraId="015836F9">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76D406B1">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1648271F">
            <w:pPr>
              <w:spacing w:line="300" w:lineRule="exact"/>
              <w:jc w:val="left"/>
              <w:rPr>
                <w:rFonts w:eastAsia="仿宋_GB2312"/>
                <w:spacing w:val="5"/>
                <w:szCs w:val="21"/>
                <w:highlight w:val="none"/>
              </w:rPr>
            </w:pPr>
          </w:p>
        </w:tc>
      </w:tr>
      <w:tr w14:paraId="6975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14CD0C56">
            <w:pPr>
              <w:spacing w:line="300" w:lineRule="exact"/>
              <w:jc w:val="center"/>
              <w:rPr>
                <w:rFonts w:eastAsia="仿宋_GB2312"/>
                <w:szCs w:val="21"/>
                <w:highlight w:val="none"/>
              </w:rPr>
            </w:pPr>
          </w:p>
        </w:tc>
        <w:tc>
          <w:tcPr>
            <w:tcW w:w="244" w:type="pct"/>
            <w:vMerge w:val="continue"/>
            <w:noWrap w:val="0"/>
            <w:vAlign w:val="center"/>
          </w:tcPr>
          <w:p w14:paraId="3525637F">
            <w:pPr>
              <w:spacing w:line="300" w:lineRule="exact"/>
              <w:jc w:val="center"/>
              <w:rPr>
                <w:rFonts w:eastAsia="仿宋_GB2312"/>
                <w:szCs w:val="21"/>
                <w:highlight w:val="none"/>
              </w:rPr>
            </w:pPr>
          </w:p>
        </w:tc>
        <w:tc>
          <w:tcPr>
            <w:tcW w:w="244" w:type="pct"/>
            <w:vMerge w:val="continue"/>
            <w:noWrap w:val="0"/>
            <w:vAlign w:val="center"/>
          </w:tcPr>
          <w:p w14:paraId="6D51E9C2">
            <w:pPr>
              <w:spacing w:line="300" w:lineRule="exact"/>
              <w:jc w:val="center"/>
              <w:rPr>
                <w:rFonts w:eastAsia="仿宋_GB2312"/>
                <w:szCs w:val="21"/>
                <w:highlight w:val="none"/>
              </w:rPr>
            </w:pPr>
          </w:p>
        </w:tc>
        <w:tc>
          <w:tcPr>
            <w:tcW w:w="301" w:type="pct"/>
            <w:vMerge w:val="continue"/>
            <w:noWrap w:val="0"/>
            <w:vAlign w:val="center"/>
          </w:tcPr>
          <w:p w14:paraId="024556FA">
            <w:pPr>
              <w:widowControl/>
              <w:spacing w:line="300" w:lineRule="exact"/>
              <w:jc w:val="center"/>
              <w:rPr>
                <w:rFonts w:eastAsia="仿宋_GB2312"/>
                <w:color w:val="000000"/>
                <w:kern w:val="0"/>
                <w:szCs w:val="21"/>
                <w:highlight w:val="none"/>
              </w:rPr>
            </w:pPr>
          </w:p>
        </w:tc>
        <w:tc>
          <w:tcPr>
            <w:tcW w:w="419" w:type="pct"/>
            <w:noWrap w:val="0"/>
            <w:vAlign w:val="center"/>
          </w:tcPr>
          <w:p w14:paraId="65D1A460">
            <w:pPr>
              <w:spacing w:line="300" w:lineRule="exact"/>
              <w:jc w:val="center"/>
              <w:rPr>
                <w:rFonts w:eastAsia="仿宋_GB2312"/>
                <w:spacing w:val="5"/>
                <w:szCs w:val="21"/>
                <w:highlight w:val="none"/>
              </w:rPr>
            </w:pPr>
            <w:r>
              <w:rPr>
                <w:rFonts w:eastAsia="仿宋_GB2312"/>
                <w:spacing w:val="5"/>
                <w:szCs w:val="21"/>
                <w:highlight w:val="none"/>
              </w:rPr>
              <w:t>甜瓜类</w:t>
            </w:r>
          </w:p>
        </w:tc>
        <w:tc>
          <w:tcPr>
            <w:tcW w:w="188" w:type="pct"/>
            <w:noWrap w:val="0"/>
            <w:vAlign w:val="center"/>
          </w:tcPr>
          <w:p w14:paraId="7A17E5C3">
            <w:pPr>
              <w:spacing w:line="300" w:lineRule="exact"/>
              <w:jc w:val="center"/>
              <w:rPr>
                <w:rFonts w:eastAsia="仿宋_GB2312"/>
                <w:spacing w:val="5"/>
                <w:szCs w:val="21"/>
                <w:highlight w:val="none"/>
              </w:rPr>
            </w:pPr>
            <w:r>
              <w:rPr>
                <w:rFonts w:eastAsia="仿宋_GB2312"/>
                <w:spacing w:val="5"/>
                <w:szCs w:val="21"/>
                <w:highlight w:val="none"/>
              </w:rPr>
              <w:t>较高</w:t>
            </w:r>
          </w:p>
        </w:tc>
        <w:tc>
          <w:tcPr>
            <w:tcW w:w="1229" w:type="pct"/>
            <w:noWrap w:val="0"/>
            <w:vAlign w:val="center"/>
          </w:tcPr>
          <w:p w14:paraId="7A3654D4">
            <w:pPr>
              <w:spacing w:line="300" w:lineRule="exact"/>
              <w:jc w:val="left"/>
              <w:rPr>
                <w:rFonts w:eastAsia="仿宋_GB2312"/>
                <w:spacing w:val="5"/>
                <w:szCs w:val="21"/>
                <w:highlight w:val="none"/>
              </w:rPr>
            </w:pPr>
            <w:r>
              <w:rPr>
                <w:rFonts w:eastAsia="仿宋_GB2312"/>
                <w:spacing w:val="5"/>
                <w:szCs w:val="21"/>
                <w:highlight w:val="none"/>
              </w:rPr>
              <w:t>乙酰甲胺磷、烯酰吗啉、氧乐果、克百威</w:t>
            </w:r>
          </w:p>
        </w:tc>
        <w:tc>
          <w:tcPr>
            <w:tcW w:w="751" w:type="pct"/>
            <w:noWrap w:val="0"/>
            <w:vAlign w:val="center"/>
          </w:tcPr>
          <w:p w14:paraId="07DFD571">
            <w:pPr>
              <w:spacing w:line="300" w:lineRule="exact"/>
              <w:jc w:val="left"/>
              <w:rPr>
                <w:rFonts w:eastAsia="仿宋_GB2312"/>
                <w:spacing w:val="5"/>
                <w:szCs w:val="21"/>
                <w:highlight w:val="none"/>
              </w:rPr>
            </w:pPr>
            <w:r>
              <w:rPr>
                <w:rFonts w:eastAsia="仿宋_GB2312"/>
                <w:spacing w:val="5"/>
                <w:szCs w:val="21"/>
                <w:highlight w:val="none"/>
              </w:rPr>
              <w:t>/</w:t>
            </w:r>
          </w:p>
        </w:tc>
        <w:tc>
          <w:tcPr>
            <w:tcW w:w="734" w:type="pct"/>
            <w:noWrap w:val="0"/>
            <w:vAlign w:val="center"/>
          </w:tcPr>
          <w:p w14:paraId="596E75E2">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DCC1359">
            <w:pPr>
              <w:spacing w:line="300" w:lineRule="exact"/>
              <w:jc w:val="left"/>
              <w:rPr>
                <w:rFonts w:eastAsia="仿宋_GB2312"/>
                <w:spacing w:val="5"/>
                <w:szCs w:val="21"/>
                <w:highlight w:val="none"/>
              </w:rPr>
            </w:pPr>
          </w:p>
        </w:tc>
      </w:tr>
      <w:tr w14:paraId="5F34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50" w:type="pct"/>
            <w:vMerge w:val="restart"/>
            <w:noWrap w:val="0"/>
            <w:vAlign w:val="center"/>
          </w:tcPr>
          <w:p w14:paraId="35A2699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5</w:t>
            </w:r>
          </w:p>
        </w:tc>
        <w:tc>
          <w:tcPr>
            <w:tcW w:w="244" w:type="pct"/>
            <w:vMerge w:val="restart"/>
            <w:noWrap w:val="0"/>
            <w:vAlign w:val="center"/>
          </w:tcPr>
          <w:p w14:paraId="172C55DA">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鲜蛋</w:t>
            </w:r>
          </w:p>
        </w:tc>
        <w:tc>
          <w:tcPr>
            <w:tcW w:w="244" w:type="pct"/>
            <w:vMerge w:val="restart"/>
            <w:noWrap w:val="0"/>
            <w:vAlign w:val="center"/>
          </w:tcPr>
          <w:p w14:paraId="155047D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鲜蛋</w:t>
            </w:r>
          </w:p>
        </w:tc>
        <w:tc>
          <w:tcPr>
            <w:tcW w:w="301" w:type="pct"/>
            <w:vMerge w:val="restart"/>
            <w:noWrap w:val="0"/>
            <w:vAlign w:val="center"/>
          </w:tcPr>
          <w:p w14:paraId="16618E2E">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鲜蛋</w:t>
            </w:r>
          </w:p>
        </w:tc>
        <w:tc>
          <w:tcPr>
            <w:tcW w:w="419" w:type="pct"/>
            <w:noWrap w:val="0"/>
            <w:vAlign w:val="center"/>
          </w:tcPr>
          <w:p w14:paraId="2F33323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鸡蛋</w:t>
            </w:r>
            <w:r>
              <w:rPr>
                <w:rFonts w:hint="eastAsia" w:eastAsia="仿宋_GB2312"/>
                <w:color w:val="000000"/>
                <w:kern w:val="0"/>
                <w:szCs w:val="21"/>
                <w:highlight w:val="none"/>
              </w:rPr>
              <w:t>*</w:t>
            </w:r>
          </w:p>
        </w:tc>
        <w:tc>
          <w:tcPr>
            <w:tcW w:w="188" w:type="pct"/>
            <w:noWrap w:val="0"/>
            <w:vAlign w:val="center"/>
          </w:tcPr>
          <w:p w14:paraId="0137693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高</w:t>
            </w:r>
          </w:p>
        </w:tc>
        <w:tc>
          <w:tcPr>
            <w:tcW w:w="1229" w:type="pct"/>
            <w:noWrap w:val="0"/>
            <w:vAlign w:val="center"/>
          </w:tcPr>
          <w:p w14:paraId="7D6040FD">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szCs w:val="21"/>
                <w:highlight w:val="none"/>
              </w:rPr>
            </w:pPr>
            <w:r>
              <w:rPr>
                <w:rFonts w:eastAsia="仿宋_GB2312"/>
                <w:spacing w:val="-6"/>
                <w:kern w:val="0"/>
                <w:szCs w:val="21"/>
                <w:highlight w:val="none"/>
              </w:rPr>
              <w:t>多西环素、甲氧苄啶、磺胺类(总量)、甲硝唑、氟苯尼考、地美硝唑</w:t>
            </w:r>
            <w:r>
              <w:rPr>
                <w:rFonts w:eastAsia="仿宋_GB2312"/>
                <w:kern w:val="0"/>
                <w:szCs w:val="21"/>
                <w:highlight w:val="none"/>
              </w:rPr>
              <w:t>、</w:t>
            </w:r>
            <w:r>
              <w:rPr>
                <w:rFonts w:eastAsia="仿宋_GB2312"/>
                <w:spacing w:val="-6"/>
                <w:kern w:val="0"/>
                <w:szCs w:val="21"/>
                <w:highlight w:val="none"/>
              </w:rPr>
              <w:t>恩诺沙星、托曲珠利</w:t>
            </w:r>
          </w:p>
        </w:tc>
        <w:tc>
          <w:tcPr>
            <w:tcW w:w="751" w:type="pct"/>
            <w:noWrap w:val="0"/>
            <w:vAlign w:val="center"/>
          </w:tcPr>
          <w:p w14:paraId="30D1FAE6">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kern w:val="0"/>
                <w:szCs w:val="21"/>
                <w:highlight w:val="none"/>
              </w:rPr>
            </w:pPr>
            <w:r>
              <w:rPr>
                <w:rFonts w:eastAsia="仿宋_GB2312"/>
                <w:spacing w:val="-6"/>
                <w:kern w:val="0"/>
                <w:szCs w:val="21"/>
                <w:highlight w:val="none"/>
              </w:rPr>
              <w:t>氯霉素、氧氟沙星、沙拉沙星</w:t>
            </w:r>
          </w:p>
        </w:tc>
        <w:tc>
          <w:tcPr>
            <w:tcW w:w="734" w:type="pct"/>
            <w:noWrap w:val="0"/>
            <w:vAlign w:val="center"/>
          </w:tcPr>
          <w:p w14:paraId="7DA57037">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BEE72B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spacing w:val="-6"/>
                <w:kern w:val="0"/>
                <w:szCs w:val="21"/>
                <w:highlight w:val="none"/>
              </w:rPr>
            </w:pPr>
          </w:p>
        </w:tc>
      </w:tr>
      <w:tr w14:paraId="3A0A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50" w:type="pct"/>
            <w:vMerge w:val="continue"/>
            <w:noWrap w:val="0"/>
            <w:vAlign w:val="center"/>
          </w:tcPr>
          <w:p w14:paraId="6EA148B1">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p>
        </w:tc>
        <w:tc>
          <w:tcPr>
            <w:tcW w:w="244" w:type="pct"/>
            <w:vMerge w:val="continue"/>
            <w:noWrap w:val="0"/>
            <w:vAlign w:val="center"/>
          </w:tcPr>
          <w:p w14:paraId="4D1C40C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p>
        </w:tc>
        <w:tc>
          <w:tcPr>
            <w:tcW w:w="244" w:type="pct"/>
            <w:vMerge w:val="continue"/>
            <w:noWrap w:val="0"/>
            <w:vAlign w:val="center"/>
          </w:tcPr>
          <w:p w14:paraId="46660D2C">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p>
        </w:tc>
        <w:tc>
          <w:tcPr>
            <w:tcW w:w="301" w:type="pct"/>
            <w:vMerge w:val="continue"/>
            <w:noWrap w:val="0"/>
            <w:vAlign w:val="center"/>
          </w:tcPr>
          <w:p w14:paraId="184CB1BF">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p>
        </w:tc>
        <w:tc>
          <w:tcPr>
            <w:tcW w:w="419" w:type="pct"/>
            <w:noWrap w:val="0"/>
            <w:vAlign w:val="center"/>
          </w:tcPr>
          <w:p w14:paraId="1DCB6DA8">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其他禽蛋</w:t>
            </w:r>
            <w:r>
              <w:rPr>
                <w:rFonts w:hint="eastAsia" w:eastAsia="仿宋_GB2312"/>
                <w:color w:val="000000"/>
                <w:kern w:val="0"/>
                <w:szCs w:val="21"/>
                <w:highlight w:val="none"/>
              </w:rPr>
              <w:t>*</w:t>
            </w:r>
          </w:p>
        </w:tc>
        <w:tc>
          <w:tcPr>
            <w:tcW w:w="188" w:type="pct"/>
            <w:noWrap w:val="0"/>
            <w:vAlign w:val="center"/>
          </w:tcPr>
          <w:p w14:paraId="5FBA7E5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center"/>
              <w:textAlignment w:val="baseline"/>
              <w:rPr>
                <w:rFonts w:eastAsia="仿宋_GB2312"/>
                <w:szCs w:val="21"/>
                <w:highlight w:val="none"/>
              </w:rPr>
            </w:pPr>
            <w:r>
              <w:rPr>
                <w:rFonts w:eastAsia="仿宋_GB2312"/>
                <w:spacing w:val="-6"/>
                <w:kern w:val="0"/>
                <w:szCs w:val="21"/>
                <w:highlight w:val="none"/>
              </w:rPr>
              <w:t>高</w:t>
            </w:r>
          </w:p>
        </w:tc>
        <w:tc>
          <w:tcPr>
            <w:tcW w:w="1229" w:type="pct"/>
            <w:noWrap w:val="0"/>
            <w:vAlign w:val="center"/>
          </w:tcPr>
          <w:p w14:paraId="64FF2987">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szCs w:val="21"/>
                <w:highlight w:val="none"/>
              </w:rPr>
            </w:pPr>
            <w:r>
              <w:rPr>
                <w:rFonts w:eastAsia="仿宋_GB2312"/>
                <w:spacing w:val="-6"/>
                <w:kern w:val="0"/>
                <w:szCs w:val="21"/>
                <w:highlight w:val="none"/>
              </w:rPr>
              <w:t>磺胺类(总量)、多西环素</w:t>
            </w:r>
          </w:p>
        </w:tc>
        <w:tc>
          <w:tcPr>
            <w:tcW w:w="751" w:type="pct"/>
            <w:noWrap w:val="0"/>
            <w:vAlign w:val="center"/>
          </w:tcPr>
          <w:p w14:paraId="2B038A74">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kern w:val="0"/>
                <w:szCs w:val="21"/>
                <w:highlight w:val="none"/>
              </w:rPr>
            </w:pPr>
            <w:r>
              <w:rPr>
                <w:rFonts w:eastAsia="仿宋_GB2312"/>
                <w:spacing w:val="-6"/>
                <w:kern w:val="0"/>
                <w:szCs w:val="21"/>
                <w:highlight w:val="none"/>
              </w:rPr>
              <w:t>呋喃唑酮代谢物</w:t>
            </w:r>
            <w:r>
              <w:rPr>
                <w:rFonts w:eastAsia="仿宋_GB2312"/>
                <w:kern w:val="0"/>
                <w:szCs w:val="21"/>
                <w:highlight w:val="none"/>
              </w:rPr>
              <w:t>、呋喃西林代谢物</w:t>
            </w:r>
            <w:r>
              <w:rPr>
                <w:rFonts w:eastAsia="仿宋_GB2312"/>
                <w:spacing w:val="-6"/>
                <w:kern w:val="0"/>
                <w:szCs w:val="21"/>
                <w:highlight w:val="none"/>
              </w:rPr>
              <w:t>、氯霉素</w:t>
            </w:r>
          </w:p>
        </w:tc>
        <w:tc>
          <w:tcPr>
            <w:tcW w:w="734" w:type="pct"/>
            <w:noWrap w:val="0"/>
            <w:vAlign w:val="center"/>
          </w:tcPr>
          <w:p w14:paraId="04FB09C8">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68C37003">
            <w:pPr>
              <w:pBdr>
                <w:top w:val="none" w:color="auto" w:sz="0" w:space="1"/>
                <w:left w:val="none" w:color="auto" w:sz="0" w:space="4"/>
                <w:bottom w:val="none" w:color="auto" w:sz="0" w:space="1"/>
                <w:right w:val="none" w:color="auto" w:sz="0" w:space="4"/>
              </w:pBdr>
              <w:autoSpaceDE w:val="0"/>
              <w:autoSpaceDN w:val="0"/>
              <w:adjustRightInd w:val="0"/>
              <w:snapToGrid w:val="0"/>
              <w:spacing w:line="300" w:lineRule="exact"/>
              <w:jc w:val="left"/>
              <w:textAlignment w:val="baseline"/>
              <w:rPr>
                <w:rFonts w:eastAsia="仿宋_GB2312"/>
                <w:spacing w:val="-6"/>
                <w:kern w:val="0"/>
                <w:szCs w:val="21"/>
                <w:highlight w:val="none"/>
              </w:rPr>
            </w:pPr>
          </w:p>
        </w:tc>
      </w:tr>
      <w:tr w14:paraId="5F83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50" w:type="pct"/>
            <w:noWrap w:val="0"/>
            <w:vAlign w:val="center"/>
          </w:tcPr>
          <w:p w14:paraId="09DB2457">
            <w:pPr>
              <w:widowControl/>
              <w:spacing w:line="300" w:lineRule="exact"/>
              <w:jc w:val="center"/>
              <w:rPr>
                <w:rFonts w:eastAsia="仿宋_GB2312"/>
                <w:szCs w:val="21"/>
                <w:highlight w:val="none"/>
              </w:rPr>
            </w:pPr>
            <w:r>
              <w:rPr>
                <w:rFonts w:eastAsia="仿宋_GB2312"/>
                <w:color w:val="000000"/>
                <w:kern w:val="0"/>
                <w:szCs w:val="21"/>
                <w:highlight w:val="none"/>
              </w:rPr>
              <w:t>6</w:t>
            </w:r>
          </w:p>
        </w:tc>
        <w:tc>
          <w:tcPr>
            <w:tcW w:w="244" w:type="pct"/>
            <w:noWrap w:val="0"/>
            <w:vAlign w:val="center"/>
          </w:tcPr>
          <w:p w14:paraId="75136AFF">
            <w:pPr>
              <w:widowControl/>
              <w:spacing w:line="300" w:lineRule="exact"/>
              <w:jc w:val="center"/>
              <w:rPr>
                <w:rFonts w:eastAsia="仿宋_GB2312"/>
                <w:szCs w:val="21"/>
                <w:highlight w:val="none"/>
              </w:rPr>
            </w:pPr>
            <w:r>
              <w:rPr>
                <w:rFonts w:eastAsia="仿宋_GB2312"/>
                <w:color w:val="000000"/>
                <w:kern w:val="0"/>
                <w:szCs w:val="21"/>
                <w:highlight w:val="none"/>
              </w:rPr>
              <w:t>豆类</w:t>
            </w:r>
          </w:p>
        </w:tc>
        <w:tc>
          <w:tcPr>
            <w:tcW w:w="244" w:type="pct"/>
            <w:noWrap w:val="0"/>
            <w:vAlign w:val="center"/>
          </w:tcPr>
          <w:p w14:paraId="4E4D51C7">
            <w:pPr>
              <w:widowControl/>
              <w:spacing w:line="300" w:lineRule="exact"/>
              <w:jc w:val="center"/>
              <w:rPr>
                <w:rFonts w:eastAsia="仿宋_GB2312"/>
                <w:szCs w:val="21"/>
                <w:highlight w:val="none"/>
              </w:rPr>
            </w:pPr>
            <w:r>
              <w:rPr>
                <w:rFonts w:eastAsia="仿宋_GB2312"/>
                <w:color w:val="000000"/>
                <w:kern w:val="0"/>
                <w:szCs w:val="21"/>
                <w:highlight w:val="none"/>
              </w:rPr>
              <w:t>豆类</w:t>
            </w:r>
          </w:p>
        </w:tc>
        <w:tc>
          <w:tcPr>
            <w:tcW w:w="301" w:type="pct"/>
            <w:noWrap w:val="0"/>
            <w:vAlign w:val="center"/>
          </w:tcPr>
          <w:p w14:paraId="47274F2F">
            <w:pPr>
              <w:widowControl/>
              <w:spacing w:line="300" w:lineRule="exact"/>
              <w:jc w:val="center"/>
              <w:rPr>
                <w:rFonts w:eastAsia="仿宋_GB2312"/>
                <w:szCs w:val="21"/>
                <w:highlight w:val="none"/>
              </w:rPr>
            </w:pPr>
            <w:r>
              <w:rPr>
                <w:rFonts w:eastAsia="仿宋_GB2312"/>
                <w:color w:val="000000"/>
                <w:kern w:val="0"/>
                <w:szCs w:val="21"/>
                <w:highlight w:val="none"/>
              </w:rPr>
              <w:t>豆类</w:t>
            </w:r>
          </w:p>
        </w:tc>
        <w:tc>
          <w:tcPr>
            <w:tcW w:w="419" w:type="pct"/>
            <w:noWrap w:val="0"/>
            <w:vAlign w:val="center"/>
          </w:tcPr>
          <w:p w14:paraId="1680583F">
            <w:pPr>
              <w:widowControl/>
              <w:spacing w:line="300" w:lineRule="exact"/>
              <w:jc w:val="center"/>
              <w:rPr>
                <w:rFonts w:eastAsia="仿宋_GB2312"/>
                <w:spacing w:val="-6"/>
                <w:kern w:val="0"/>
                <w:szCs w:val="21"/>
                <w:highlight w:val="none"/>
              </w:rPr>
            </w:pPr>
            <w:r>
              <w:rPr>
                <w:rFonts w:eastAsia="仿宋_GB2312"/>
                <w:color w:val="000000"/>
                <w:kern w:val="0"/>
                <w:szCs w:val="21"/>
                <w:highlight w:val="none"/>
              </w:rPr>
              <w:t>豆类</w:t>
            </w:r>
          </w:p>
        </w:tc>
        <w:tc>
          <w:tcPr>
            <w:tcW w:w="188" w:type="pct"/>
            <w:noWrap w:val="0"/>
            <w:vAlign w:val="center"/>
          </w:tcPr>
          <w:p w14:paraId="46AE89F0">
            <w:pPr>
              <w:widowControl/>
              <w:spacing w:line="300" w:lineRule="exact"/>
              <w:jc w:val="center"/>
              <w:rPr>
                <w:rFonts w:eastAsia="仿宋_GB2312"/>
                <w:spacing w:val="-6"/>
                <w:kern w:val="0"/>
                <w:szCs w:val="21"/>
                <w:highlight w:val="none"/>
              </w:rPr>
            </w:pPr>
            <w:r>
              <w:rPr>
                <w:rFonts w:eastAsia="仿宋_GB2312"/>
                <w:color w:val="000000"/>
                <w:kern w:val="0"/>
                <w:szCs w:val="21"/>
                <w:highlight w:val="none"/>
              </w:rPr>
              <w:t>一般</w:t>
            </w:r>
          </w:p>
        </w:tc>
        <w:tc>
          <w:tcPr>
            <w:tcW w:w="1229" w:type="pct"/>
            <w:noWrap w:val="0"/>
            <w:vAlign w:val="center"/>
          </w:tcPr>
          <w:p w14:paraId="275647E1">
            <w:pPr>
              <w:widowControl/>
              <w:spacing w:line="300" w:lineRule="exact"/>
              <w:jc w:val="left"/>
              <w:rPr>
                <w:rFonts w:eastAsia="仿宋_GB2312"/>
                <w:spacing w:val="-6"/>
                <w:kern w:val="0"/>
                <w:szCs w:val="21"/>
                <w:highlight w:val="none"/>
              </w:rPr>
            </w:pPr>
            <w:r>
              <w:rPr>
                <w:rFonts w:eastAsia="仿宋_GB2312"/>
                <w:color w:val="000000"/>
                <w:kern w:val="0"/>
                <w:szCs w:val="21"/>
                <w:highlight w:val="none"/>
              </w:rPr>
              <w:t>铅（以Pb计）、铬（以Cr计）、赭曲霉毒素A、吡虫啉、环丙唑醇、噻虫胺、噻虫嗪</w:t>
            </w:r>
          </w:p>
        </w:tc>
        <w:tc>
          <w:tcPr>
            <w:tcW w:w="751" w:type="pct"/>
            <w:noWrap w:val="0"/>
            <w:vAlign w:val="center"/>
          </w:tcPr>
          <w:p w14:paraId="3CDAFB9E">
            <w:pPr>
              <w:widowControl/>
              <w:spacing w:line="300" w:lineRule="exact"/>
              <w:jc w:val="left"/>
              <w:rPr>
                <w:rFonts w:eastAsia="仿宋_GB2312"/>
                <w:spacing w:val="-6"/>
                <w:kern w:val="0"/>
                <w:szCs w:val="21"/>
                <w:highlight w:val="none"/>
              </w:rPr>
            </w:pPr>
            <w:r>
              <w:rPr>
                <w:rFonts w:eastAsia="仿宋_GB2312"/>
                <w:color w:val="000000"/>
                <w:kern w:val="0"/>
                <w:szCs w:val="21"/>
                <w:highlight w:val="none"/>
              </w:rPr>
              <w:t>/</w:t>
            </w:r>
          </w:p>
        </w:tc>
        <w:tc>
          <w:tcPr>
            <w:tcW w:w="734" w:type="pct"/>
            <w:noWrap w:val="0"/>
            <w:vAlign w:val="center"/>
          </w:tcPr>
          <w:p w14:paraId="150A3A72">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61904E1">
            <w:pPr>
              <w:widowControl/>
              <w:spacing w:line="300" w:lineRule="exact"/>
              <w:jc w:val="left"/>
              <w:rPr>
                <w:rFonts w:eastAsia="仿宋_GB2312"/>
                <w:color w:val="000000"/>
                <w:kern w:val="0"/>
                <w:szCs w:val="21"/>
                <w:highlight w:val="none"/>
              </w:rPr>
            </w:pPr>
          </w:p>
        </w:tc>
      </w:tr>
      <w:tr w14:paraId="0357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restart"/>
            <w:noWrap w:val="0"/>
            <w:vAlign w:val="center"/>
          </w:tcPr>
          <w:p w14:paraId="11EC25A9">
            <w:pPr>
              <w:spacing w:line="300" w:lineRule="exact"/>
              <w:jc w:val="center"/>
              <w:rPr>
                <w:rFonts w:eastAsia="仿宋_GB2312"/>
                <w:szCs w:val="21"/>
                <w:highlight w:val="none"/>
              </w:rPr>
            </w:pPr>
            <w:r>
              <w:rPr>
                <w:rFonts w:eastAsia="仿宋_GB2312"/>
                <w:szCs w:val="21"/>
                <w:highlight w:val="none"/>
              </w:rPr>
              <w:t>7</w:t>
            </w:r>
          </w:p>
          <w:p w14:paraId="70AB210F">
            <w:pPr>
              <w:spacing w:line="300" w:lineRule="exact"/>
              <w:jc w:val="center"/>
              <w:rPr>
                <w:rFonts w:eastAsia="仿宋_GB2312"/>
                <w:szCs w:val="21"/>
                <w:highlight w:val="none"/>
              </w:rPr>
            </w:pPr>
          </w:p>
        </w:tc>
        <w:tc>
          <w:tcPr>
            <w:tcW w:w="244" w:type="pct"/>
            <w:vMerge w:val="restart"/>
            <w:noWrap w:val="0"/>
            <w:vAlign w:val="center"/>
          </w:tcPr>
          <w:p w14:paraId="1C017FCF">
            <w:pPr>
              <w:spacing w:line="300" w:lineRule="exact"/>
              <w:jc w:val="center"/>
              <w:rPr>
                <w:rFonts w:eastAsia="仿宋_GB2312"/>
                <w:szCs w:val="21"/>
                <w:highlight w:val="none"/>
              </w:rPr>
            </w:pPr>
            <w:r>
              <w:rPr>
                <w:rFonts w:eastAsia="仿宋_GB2312"/>
                <w:szCs w:val="21"/>
                <w:highlight w:val="none"/>
              </w:rPr>
              <w:t>生干坚果与籽类食品</w:t>
            </w:r>
          </w:p>
        </w:tc>
        <w:tc>
          <w:tcPr>
            <w:tcW w:w="244" w:type="pct"/>
            <w:vMerge w:val="restart"/>
            <w:noWrap w:val="0"/>
            <w:vAlign w:val="center"/>
          </w:tcPr>
          <w:p w14:paraId="7D00C238">
            <w:pPr>
              <w:spacing w:line="300" w:lineRule="exact"/>
              <w:jc w:val="center"/>
              <w:rPr>
                <w:rFonts w:eastAsia="仿宋_GB2312"/>
                <w:szCs w:val="21"/>
                <w:highlight w:val="none"/>
              </w:rPr>
            </w:pPr>
            <w:r>
              <w:rPr>
                <w:rFonts w:eastAsia="仿宋_GB2312"/>
                <w:szCs w:val="21"/>
                <w:highlight w:val="none"/>
              </w:rPr>
              <w:t>生干坚果与籽类食品</w:t>
            </w:r>
          </w:p>
        </w:tc>
        <w:tc>
          <w:tcPr>
            <w:tcW w:w="301" w:type="pct"/>
            <w:vMerge w:val="restart"/>
            <w:noWrap w:val="0"/>
            <w:vAlign w:val="center"/>
          </w:tcPr>
          <w:p w14:paraId="42164FDC">
            <w:pPr>
              <w:spacing w:line="300" w:lineRule="exact"/>
              <w:jc w:val="center"/>
              <w:rPr>
                <w:rFonts w:eastAsia="仿宋_GB2312"/>
                <w:szCs w:val="21"/>
                <w:highlight w:val="none"/>
              </w:rPr>
            </w:pPr>
            <w:r>
              <w:rPr>
                <w:rFonts w:eastAsia="仿宋_GB2312"/>
                <w:szCs w:val="21"/>
                <w:highlight w:val="none"/>
              </w:rPr>
              <w:t>生干坚果与籽类食品</w:t>
            </w:r>
          </w:p>
        </w:tc>
        <w:tc>
          <w:tcPr>
            <w:tcW w:w="419" w:type="pct"/>
            <w:noWrap w:val="0"/>
            <w:vAlign w:val="center"/>
          </w:tcPr>
          <w:p w14:paraId="189EBC42">
            <w:pPr>
              <w:spacing w:line="300" w:lineRule="exact"/>
              <w:jc w:val="center"/>
              <w:rPr>
                <w:rFonts w:eastAsia="仿宋_GB2312"/>
                <w:szCs w:val="21"/>
                <w:highlight w:val="none"/>
              </w:rPr>
            </w:pPr>
            <w:r>
              <w:rPr>
                <w:rFonts w:eastAsia="仿宋_GB2312"/>
                <w:szCs w:val="21"/>
                <w:highlight w:val="none"/>
              </w:rPr>
              <w:t>生干坚果</w:t>
            </w:r>
          </w:p>
        </w:tc>
        <w:tc>
          <w:tcPr>
            <w:tcW w:w="188" w:type="pct"/>
            <w:noWrap w:val="0"/>
            <w:vAlign w:val="center"/>
          </w:tcPr>
          <w:p w14:paraId="479BDD95">
            <w:pPr>
              <w:spacing w:line="300" w:lineRule="exact"/>
              <w:jc w:val="center"/>
              <w:rPr>
                <w:rFonts w:eastAsia="仿宋_GB2312"/>
                <w:szCs w:val="21"/>
                <w:highlight w:val="none"/>
              </w:rPr>
            </w:pPr>
            <w:r>
              <w:rPr>
                <w:rFonts w:eastAsia="仿宋_GB2312"/>
                <w:szCs w:val="21"/>
                <w:highlight w:val="none"/>
              </w:rPr>
              <w:t>一般</w:t>
            </w:r>
          </w:p>
        </w:tc>
        <w:tc>
          <w:tcPr>
            <w:tcW w:w="1229" w:type="pct"/>
            <w:noWrap w:val="0"/>
            <w:vAlign w:val="center"/>
          </w:tcPr>
          <w:p w14:paraId="1BA013EA">
            <w:pPr>
              <w:spacing w:line="300" w:lineRule="exact"/>
              <w:jc w:val="left"/>
              <w:rPr>
                <w:rFonts w:eastAsia="仿宋_GB2312"/>
                <w:szCs w:val="21"/>
                <w:highlight w:val="none"/>
              </w:rPr>
            </w:pPr>
            <w:r>
              <w:rPr>
                <w:rFonts w:eastAsia="仿宋_GB2312"/>
                <w:szCs w:val="21"/>
                <w:highlight w:val="none"/>
              </w:rPr>
              <w:t>酸价(以脂肪计)(KOH)、过氧化值(以脂肪计)、二氧化硫残留量、吡虫啉</w:t>
            </w:r>
          </w:p>
        </w:tc>
        <w:tc>
          <w:tcPr>
            <w:tcW w:w="751" w:type="pct"/>
            <w:noWrap w:val="0"/>
            <w:vAlign w:val="center"/>
          </w:tcPr>
          <w:p w14:paraId="1136140B">
            <w:pPr>
              <w:spacing w:line="300" w:lineRule="exact"/>
              <w:jc w:val="left"/>
              <w:rPr>
                <w:rFonts w:eastAsia="仿宋_GB2312"/>
                <w:szCs w:val="21"/>
                <w:highlight w:val="none"/>
              </w:rPr>
            </w:pPr>
            <w:r>
              <w:rPr>
                <w:rFonts w:eastAsia="仿宋_GB2312"/>
                <w:szCs w:val="21"/>
                <w:highlight w:val="none"/>
              </w:rPr>
              <w:t>/</w:t>
            </w:r>
          </w:p>
        </w:tc>
        <w:tc>
          <w:tcPr>
            <w:tcW w:w="734" w:type="pct"/>
            <w:noWrap w:val="0"/>
            <w:vAlign w:val="center"/>
          </w:tcPr>
          <w:p w14:paraId="79CBEFCA">
            <w:pPr>
              <w:pageBreakBefore w:val="0"/>
              <w:wordWrap/>
              <w:overflowPunct/>
              <w:topLinePunct w:val="0"/>
              <w:bidi w:val="0"/>
              <w:spacing w:line="300" w:lineRule="exact"/>
              <w:jc w:val="center"/>
              <w:rPr>
                <w:rFonts w:hint="default" w:ascii="Times New Roman" w:hAnsi="Times New Roman" w:eastAsia="仿宋_GB2312" w:cs="Times New Roman"/>
                <w:snapToGrid w:val="0"/>
                <w:color w:val="auto"/>
                <w:sz w:val="21"/>
                <w:szCs w:val="21"/>
                <w:highlight w:val="none"/>
                <w:lang w:val="en-US" w:eastAsia="en-US"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C272FA3">
            <w:pPr>
              <w:spacing w:line="300" w:lineRule="exact"/>
              <w:jc w:val="left"/>
              <w:rPr>
                <w:rFonts w:eastAsia="仿宋_GB2312"/>
                <w:szCs w:val="21"/>
                <w:highlight w:val="none"/>
              </w:rPr>
            </w:pPr>
          </w:p>
        </w:tc>
      </w:tr>
      <w:tr w14:paraId="461F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7583CE4B">
            <w:pPr>
              <w:spacing w:line="300" w:lineRule="exact"/>
              <w:jc w:val="center"/>
              <w:rPr>
                <w:rFonts w:eastAsia="仿宋_GB2312"/>
                <w:szCs w:val="21"/>
                <w:highlight w:val="none"/>
              </w:rPr>
            </w:pPr>
          </w:p>
        </w:tc>
        <w:tc>
          <w:tcPr>
            <w:tcW w:w="244" w:type="pct"/>
            <w:vMerge w:val="continue"/>
            <w:noWrap w:val="0"/>
            <w:vAlign w:val="center"/>
          </w:tcPr>
          <w:p w14:paraId="34B85C5F">
            <w:pPr>
              <w:spacing w:line="300" w:lineRule="exact"/>
              <w:jc w:val="center"/>
              <w:rPr>
                <w:rFonts w:eastAsia="仿宋_GB2312"/>
                <w:szCs w:val="21"/>
                <w:highlight w:val="none"/>
              </w:rPr>
            </w:pPr>
          </w:p>
        </w:tc>
        <w:tc>
          <w:tcPr>
            <w:tcW w:w="244" w:type="pct"/>
            <w:vMerge w:val="continue"/>
            <w:noWrap w:val="0"/>
            <w:vAlign w:val="center"/>
          </w:tcPr>
          <w:p w14:paraId="27527BB6">
            <w:pPr>
              <w:spacing w:line="300" w:lineRule="exact"/>
              <w:jc w:val="center"/>
              <w:rPr>
                <w:rFonts w:eastAsia="仿宋_GB2312"/>
                <w:szCs w:val="21"/>
                <w:highlight w:val="none"/>
              </w:rPr>
            </w:pPr>
          </w:p>
        </w:tc>
        <w:tc>
          <w:tcPr>
            <w:tcW w:w="301" w:type="pct"/>
            <w:vMerge w:val="continue"/>
            <w:noWrap w:val="0"/>
            <w:vAlign w:val="center"/>
          </w:tcPr>
          <w:p w14:paraId="6E5CAF43">
            <w:pPr>
              <w:spacing w:line="300" w:lineRule="exact"/>
              <w:jc w:val="center"/>
              <w:rPr>
                <w:rFonts w:eastAsia="仿宋_GB2312"/>
                <w:szCs w:val="21"/>
                <w:highlight w:val="none"/>
              </w:rPr>
            </w:pPr>
          </w:p>
        </w:tc>
        <w:tc>
          <w:tcPr>
            <w:tcW w:w="419" w:type="pct"/>
            <w:noWrap w:val="0"/>
            <w:vAlign w:val="center"/>
          </w:tcPr>
          <w:p w14:paraId="4AE61641">
            <w:pPr>
              <w:spacing w:line="300" w:lineRule="exact"/>
              <w:jc w:val="center"/>
              <w:rPr>
                <w:rFonts w:eastAsia="仿宋_GB2312"/>
                <w:szCs w:val="21"/>
                <w:highlight w:val="none"/>
              </w:rPr>
            </w:pPr>
            <w:r>
              <w:rPr>
                <w:rFonts w:eastAsia="仿宋_GB2312"/>
                <w:szCs w:val="21"/>
                <w:highlight w:val="none"/>
              </w:rPr>
              <w:t>花生</w:t>
            </w:r>
            <w:r>
              <w:rPr>
                <w:rFonts w:hint="eastAsia" w:eastAsia="仿宋_GB2312"/>
                <w:color w:val="000000"/>
                <w:kern w:val="0"/>
                <w:szCs w:val="21"/>
                <w:highlight w:val="none"/>
              </w:rPr>
              <w:t>*</w:t>
            </w:r>
          </w:p>
        </w:tc>
        <w:tc>
          <w:tcPr>
            <w:tcW w:w="188" w:type="pct"/>
            <w:noWrap w:val="0"/>
            <w:vAlign w:val="center"/>
          </w:tcPr>
          <w:p w14:paraId="7B145E0A">
            <w:pPr>
              <w:spacing w:line="300" w:lineRule="exact"/>
              <w:jc w:val="center"/>
              <w:rPr>
                <w:rFonts w:eastAsia="仿宋_GB2312"/>
                <w:szCs w:val="21"/>
                <w:highlight w:val="none"/>
              </w:rPr>
            </w:pPr>
            <w:r>
              <w:rPr>
                <w:rFonts w:eastAsia="仿宋_GB2312"/>
                <w:szCs w:val="21"/>
                <w:highlight w:val="none"/>
              </w:rPr>
              <w:t>一般</w:t>
            </w:r>
          </w:p>
        </w:tc>
        <w:tc>
          <w:tcPr>
            <w:tcW w:w="1229" w:type="pct"/>
            <w:noWrap w:val="0"/>
            <w:vAlign w:val="center"/>
          </w:tcPr>
          <w:p w14:paraId="1B55B427">
            <w:pPr>
              <w:spacing w:line="300" w:lineRule="exact"/>
              <w:jc w:val="left"/>
              <w:rPr>
                <w:rFonts w:eastAsia="仿宋_GB2312"/>
                <w:szCs w:val="21"/>
                <w:highlight w:val="none"/>
              </w:rPr>
            </w:pPr>
            <w:r>
              <w:rPr>
                <w:rFonts w:eastAsia="仿宋_GB2312"/>
                <w:szCs w:val="21"/>
                <w:highlight w:val="none"/>
              </w:rPr>
              <w:t>酸价 (以脂肪计) (KOH)、黄曲霉毒素 B</w:t>
            </w:r>
            <w:r>
              <w:rPr>
                <w:rFonts w:eastAsia="仿宋_GB2312"/>
                <w:szCs w:val="21"/>
                <w:highlight w:val="none"/>
                <w:vertAlign w:val="subscript"/>
              </w:rPr>
              <w:t>1</w:t>
            </w:r>
          </w:p>
        </w:tc>
        <w:tc>
          <w:tcPr>
            <w:tcW w:w="751" w:type="pct"/>
            <w:noWrap w:val="0"/>
            <w:vAlign w:val="center"/>
          </w:tcPr>
          <w:p w14:paraId="68330FCE">
            <w:pPr>
              <w:spacing w:line="300" w:lineRule="exact"/>
              <w:jc w:val="left"/>
              <w:rPr>
                <w:rFonts w:eastAsia="仿宋_GB2312"/>
                <w:szCs w:val="21"/>
                <w:highlight w:val="none"/>
              </w:rPr>
            </w:pPr>
            <w:r>
              <w:rPr>
                <w:rFonts w:eastAsia="仿宋_GB2312"/>
                <w:szCs w:val="21"/>
                <w:highlight w:val="none"/>
              </w:rPr>
              <w:t>铅 (以Pb计)、镉（以 Cd 计）、噻虫嗪 、噻虫胺、过氧化值(以脂肪计)</w:t>
            </w:r>
          </w:p>
        </w:tc>
        <w:tc>
          <w:tcPr>
            <w:tcW w:w="734" w:type="pct"/>
            <w:noWrap w:val="0"/>
            <w:vAlign w:val="center"/>
          </w:tcPr>
          <w:p w14:paraId="5BB6668D">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0F608831">
            <w:pPr>
              <w:spacing w:line="300" w:lineRule="exact"/>
              <w:jc w:val="left"/>
              <w:rPr>
                <w:rFonts w:eastAsia="仿宋_GB2312"/>
                <w:szCs w:val="21"/>
                <w:highlight w:val="none"/>
              </w:rPr>
            </w:pPr>
          </w:p>
        </w:tc>
      </w:tr>
      <w:tr w14:paraId="6A69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noWrap w:val="0"/>
            <w:vAlign w:val="center"/>
          </w:tcPr>
          <w:p w14:paraId="2F801F95">
            <w:pPr>
              <w:spacing w:line="300" w:lineRule="exact"/>
              <w:jc w:val="center"/>
              <w:rPr>
                <w:rFonts w:eastAsia="仿宋_GB2312"/>
                <w:szCs w:val="21"/>
                <w:highlight w:val="none"/>
              </w:rPr>
            </w:pPr>
          </w:p>
        </w:tc>
        <w:tc>
          <w:tcPr>
            <w:tcW w:w="244" w:type="pct"/>
            <w:vMerge w:val="continue"/>
            <w:noWrap w:val="0"/>
            <w:vAlign w:val="center"/>
          </w:tcPr>
          <w:p w14:paraId="3287AB28">
            <w:pPr>
              <w:spacing w:line="300" w:lineRule="exact"/>
              <w:jc w:val="center"/>
              <w:rPr>
                <w:rFonts w:eastAsia="仿宋_GB2312"/>
                <w:szCs w:val="21"/>
                <w:highlight w:val="none"/>
              </w:rPr>
            </w:pPr>
          </w:p>
        </w:tc>
        <w:tc>
          <w:tcPr>
            <w:tcW w:w="244" w:type="pct"/>
            <w:vMerge w:val="continue"/>
            <w:noWrap w:val="0"/>
            <w:vAlign w:val="center"/>
          </w:tcPr>
          <w:p w14:paraId="137291BD">
            <w:pPr>
              <w:spacing w:line="300" w:lineRule="exact"/>
              <w:jc w:val="center"/>
              <w:rPr>
                <w:rFonts w:eastAsia="仿宋_GB2312"/>
                <w:szCs w:val="21"/>
                <w:highlight w:val="none"/>
              </w:rPr>
            </w:pPr>
          </w:p>
        </w:tc>
        <w:tc>
          <w:tcPr>
            <w:tcW w:w="301" w:type="pct"/>
            <w:vMerge w:val="continue"/>
            <w:noWrap w:val="0"/>
            <w:vAlign w:val="center"/>
          </w:tcPr>
          <w:p w14:paraId="10085AD2">
            <w:pPr>
              <w:spacing w:line="300" w:lineRule="exact"/>
              <w:jc w:val="center"/>
              <w:rPr>
                <w:rFonts w:eastAsia="仿宋_GB2312"/>
                <w:szCs w:val="21"/>
                <w:highlight w:val="none"/>
              </w:rPr>
            </w:pPr>
          </w:p>
        </w:tc>
        <w:tc>
          <w:tcPr>
            <w:tcW w:w="419" w:type="pct"/>
            <w:noWrap w:val="0"/>
            <w:vAlign w:val="center"/>
          </w:tcPr>
          <w:p w14:paraId="24F1A5BB">
            <w:pPr>
              <w:spacing w:line="300" w:lineRule="exact"/>
              <w:jc w:val="center"/>
              <w:rPr>
                <w:rFonts w:eastAsia="仿宋_GB2312"/>
                <w:szCs w:val="21"/>
                <w:highlight w:val="none"/>
              </w:rPr>
            </w:pPr>
            <w:r>
              <w:rPr>
                <w:rFonts w:eastAsia="仿宋_GB2312"/>
                <w:szCs w:val="21"/>
                <w:highlight w:val="none"/>
              </w:rPr>
              <w:t>其他籽类</w:t>
            </w:r>
          </w:p>
        </w:tc>
        <w:tc>
          <w:tcPr>
            <w:tcW w:w="188" w:type="pct"/>
            <w:noWrap w:val="0"/>
            <w:vAlign w:val="center"/>
          </w:tcPr>
          <w:p w14:paraId="5D13C27A">
            <w:pPr>
              <w:spacing w:line="300" w:lineRule="exact"/>
              <w:jc w:val="center"/>
              <w:rPr>
                <w:rFonts w:eastAsia="仿宋_GB2312"/>
                <w:szCs w:val="21"/>
                <w:highlight w:val="none"/>
              </w:rPr>
            </w:pPr>
            <w:r>
              <w:rPr>
                <w:rFonts w:eastAsia="仿宋_GB2312"/>
                <w:szCs w:val="21"/>
                <w:highlight w:val="none"/>
              </w:rPr>
              <w:t>一般</w:t>
            </w:r>
          </w:p>
        </w:tc>
        <w:tc>
          <w:tcPr>
            <w:tcW w:w="1229" w:type="pct"/>
            <w:noWrap w:val="0"/>
            <w:vAlign w:val="center"/>
          </w:tcPr>
          <w:p w14:paraId="191FCD7E">
            <w:pPr>
              <w:spacing w:line="300" w:lineRule="exact"/>
              <w:jc w:val="left"/>
              <w:rPr>
                <w:rFonts w:eastAsia="仿宋_GB2312"/>
                <w:szCs w:val="21"/>
                <w:highlight w:val="none"/>
              </w:rPr>
            </w:pPr>
            <w:r>
              <w:rPr>
                <w:rFonts w:eastAsia="仿宋_GB2312"/>
                <w:szCs w:val="21"/>
                <w:highlight w:val="none"/>
              </w:rPr>
              <w:t>酸价 (以脂肪计) (KOH)、过氧化值(以脂肪计)、铅 (以 Pb 计)、噻虫嗪 、噻虫胺</w:t>
            </w:r>
          </w:p>
        </w:tc>
        <w:tc>
          <w:tcPr>
            <w:tcW w:w="751" w:type="pct"/>
            <w:noWrap w:val="0"/>
            <w:vAlign w:val="center"/>
          </w:tcPr>
          <w:p w14:paraId="5905A536">
            <w:pPr>
              <w:spacing w:line="300" w:lineRule="exact"/>
              <w:jc w:val="left"/>
              <w:rPr>
                <w:rFonts w:eastAsia="仿宋_GB2312"/>
                <w:szCs w:val="21"/>
                <w:highlight w:val="none"/>
              </w:rPr>
            </w:pPr>
            <w:r>
              <w:rPr>
                <w:rFonts w:eastAsia="仿宋_GB2312"/>
                <w:szCs w:val="21"/>
                <w:highlight w:val="none"/>
              </w:rPr>
              <w:t>/</w:t>
            </w:r>
          </w:p>
        </w:tc>
        <w:tc>
          <w:tcPr>
            <w:tcW w:w="734" w:type="pct"/>
            <w:noWrap w:val="0"/>
            <w:vAlign w:val="center"/>
          </w:tcPr>
          <w:p w14:paraId="68F6F4CA">
            <w:pPr>
              <w:pageBreakBefore w:val="0"/>
              <w:wordWrap/>
              <w:overflowPunct/>
              <w:topLinePunct w:val="0"/>
              <w:bidi w:val="0"/>
              <w:spacing w:line="300" w:lineRule="exact"/>
              <w:jc w:val="center"/>
              <w:rPr>
                <w:rFonts w:hint="eastAsia" w:ascii="Times New Roman" w:hAnsi="Times New Roman" w:eastAsia="仿宋_GB2312" w:cs="Times New Roman"/>
                <w:snapToGrid w:val="0"/>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rPr>
              <w:t>是□  否□</w:t>
            </w:r>
          </w:p>
        </w:tc>
        <w:tc>
          <w:tcPr>
            <w:tcW w:w="734" w:type="pct"/>
            <w:noWrap w:val="0"/>
            <w:vAlign w:val="center"/>
          </w:tcPr>
          <w:p w14:paraId="4BD3452D">
            <w:pPr>
              <w:spacing w:line="300" w:lineRule="exact"/>
              <w:jc w:val="left"/>
              <w:rPr>
                <w:rFonts w:eastAsia="仿宋_GB2312"/>
                <w:szCs w:val="21"/>
                <w:highlight w:val="none"/>
              </w:rPr>
            </w:pPr>
          </w:p>
        </w:tc>
      </w:tr>
    </w:tbl>
    <w:p w14:paraId="6C8E8430">
      <w:pPr>
        <w:rPr>
          <w:highlight w:val="none"/>
        </w:rPr>
      </w:pPr>
    </w:p>
    <w:p w14:paraId="22A0347E">
      <w:pPr>
        <w:spacing w:line="360" w:lineRule="auto"/>
        <w:jc w:val="left"/>
        <w:rPr>
          <w:rFonts w:hint="eastAsia" w:ascii="宋体" w:hAnsi="宋体" w:cs="宋体"/>
          <w:b/>
          <w:color w:val="auto"/>
          <w:sz w:val="24"/>
          <w:highlight w:val="none"/>
        </w:rPr>
        <w:sectPr>
          <w:footerReference r:id="rId12" w:type="first"/>
          <w:headerReference r:id="rId9" w:type="default"/>
          <w:footerReference r:id="rId10" w:type="default"/>
          <w:footerReference r:id="rId11" w:type="even"/>
          <w:pgSz w:w="16838" w:h="11906" w:orient="landscape"/>
          <w:pgMar w:top="1678" w:right="1134" w:bottom="1503" w:left="1559" w:header="851" w:footer="992" w:gutter="0"/>
          <w:pgBorders>
            <w:top w:val="none" w:sz="0" w:space="0"/>
            <w:left w:val="none" w:sz="0" w:space="0"/>
            <w:bottom w:val="none" w:sz="0" w:space="0"/>
            <w:right w:val="none" w:sz="0" w:space="0"/>
          </w:pgBorders>
          <w:cols w:space="720" w:num="1"/>
          <w:titlePg/>
          <w:docGrid w:linePitch="312" w:charSpace="0"/>
        </w:sectPr>
      </w:pPr>
    </w:p>
    <w:p w14:paraId="755F1109">
      <w:pPr>
        <w:spacing w:line="360" w:lineRule="auto"/>
        <w:jc w:val="left"/>
        <w:rPr>
          <w:rFonts w:hint="eastAsia" w:ascii="宋体" w:hAnsi="宋体" w:cs="宋体"/>
          <w:b/>
          <w:bCs/>
          <w:color w:val="auto"/>
          <w:sz w:val="32"/>
          <w:szCs w:val="32"/>
          <w:highlight w:val="none"/>
        </w:rPr>
      </w:pPr>
      <w:r>
        <w:rPr>
          <w:rFonts w:hint="eastAsia" w:ascii="宋体" w:hAnsi="宋体" w:cs="宋体"/>
          <w:b/>
          <w:color w:val="auto"/>
          <w:sz w:val="24"/>
          <w:highlight w:val="none"/>
        </w:rPr>
        <w:t>12.质疑函（格式）</w:t>
      </w:r>
    </w:p>
    <w:p w14:paraId="5ED006C7">
      <w:pPr>
        <w:spacing w:line="360" w:lineRule="auto"/>
        <w:jc w:val="center"/>
        <w:rPr>
          <w:rFonts w:hint="eastAsia" w:ascii="宋体" w:hAnsi="宋体" w:cs="宋体"/>
          <w:color w:val="auto"/>
          <w:sz w:val="44"/>
          <w:szCs w:val="44"/>
          <w:highlight w:val="none"/>
        </w:rPr>
      </w:pPr>
      <w:r>
        <w:rPr>
          <w:rFonts w:hint="eastAsia" w:ascii="宋体" w:hAnsi="宋体" w:cs="宋体"/>
          <w:color w:val="auto"/>
          <w:sz w:val="44"/>
          <w:szCs w:val="44"/>
          <w:highlight w:val="none"/>
        </w:rPr>
        <w:t>质疑函（格式）</w:t>
      </w:r>
    </w:p>
    <w:p w14:paraId="48476B5D">
      <w:pPr>
        <w:pStyle w:val="25"/>
        <w:snapToGrid w:val="0"/>
        <w:spacing w:line="360" w:lineRule="auto"/>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55540F4A">
      <w:pPr>
        <w:pStyle w:val="25"/>
        <w:snapToGrid w:val="0"/>
        <w:spacing w:line="360" w:lineRule="auto"/>
        <w:ind w:firstLine="480" w:firstLineChars="200"/>
        <w:rPr>
          <w:rFonts w:hint="eastAsia"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105CFDA">
      <w:pPr>
        <w:pStyle w:val="25"/>
        <w:snapToGrid w:val="0"/>
        <w:spacing w:line="360" w:lineRule="auto"/>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FE36EA5">
      <w:pPr>
        <w:pStyle w:val="25"/>
        <w:snapToGrid w:val="0"/>
        <w:spacing w:line="360" w:lineRule="auto"/>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7501514C">
      <w:pPr>
        <w:pStyle w:val="25"/>
        <w:snapToGrid w:val="0"/>
        <w:spacing w:line="360" w:lineRule="auto"/>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p>
    <w:p w14:paraId="2163AF2B">
      <w:pPr>
        <w:pStyle w:val="25"/>
        <w:snapToGrid w:val="0"/>
        <w:spacing w:line="360" w:lineRule="auto"/>
        <w:ind w:firstLine="480" w:firstLineChars="200"/>
        <w:rPr>
          <w:rFonts w:hint="eastAsia"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26204EF3">
      <w:pPr>
        <w:pStyle w:val="25"/>
        <w:snapToGrid w:val="0"/>
        <w:spacing w:line="360" w:lineRule="auto"/>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277B078">
      <w:pPr>
        <w:pStyle w:val="25"/>
        <w:snapToGrid w:val="0"/>
        <w:spacing w:line="360" w:lineRule="auto"/>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二、质疑项目基本情况：</w:t>
      </w:r>
    </w:p>
    <w:p w14:paraId="5DE755DA">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6B5223B2">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53268654">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3E14823F">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质疑事项：</w:t>
      </w:r>
    </w:p>
    <w:p w14:paraId="204EC19D">
      <w:pPr>
        <w:pStyle w:val="25"/>
        <w:spacing w:line="360" w:lineRule="auto"/>
        <w:ind w:left="25" w:leftChars="12" w:firstLine="352" w:firstLineChars="147"/>
        <w:rPr>
          <w:rFonts w:hint="eastAsia" w:hAnsi="宋体" w:cs="宋体"/>
          <w:color w:val="auto"/>
          <w:sz w:val="24"/>
          <w:szCs w:val="24"/>
          <w:highlight w:val="none"/>
        </w:rPr>
      </w:pPr>
      <w:r>
        <w:rPr>
          <w:rFonts w:hint="eastAsia" w:hAnsi="宋体" w:cs="宋体"/>
          <w:color w:val="auto"/>
          <w:sz w:val="24"/>
          <w:szCs w:val="24"/>
          <w:highlight w:val="none"/>
        </w:rPr>
        <w:t>□采购文件   采购文件获取日期：</w:t>
      </w:r>
      <w:r>
        <w:rPr>
          <w:rFonts w:hint="eastAsia" w:hAnsi="宋体" w:cs="宋体"/>
          <w:bCs/>
          <w:color w:val="auto"/>
          <w:sz w:val="24"/>
          <w:szCs w:val="24"/>
          <w:highlight w:val="none"/>
          <w:u w:val="single"/>
        </w:rPr>
        <w:t xml:space="preserve">                                   </w:t>
      </w:r>
    </w:p>
    <w:p w14:paraId="5B43522E">
      <w:pPr>
        <w:pStyle w:val="25"/>
        <w:spacing w:line="360" w:lineRule="auto"/>
        <w:ind w:left="25" w:leftChars="12" w:firstLine="352" w:firstLineChars="147"/>
        <w:rPr>
          <w:rFonts w:hint="eastAsia" w:hAnsi="宋体" w:cs="宋体"/>
          <w:color w:val="auto"/>
          <w:sz w:val="24"/>
          <w:szCs w:val="24"/>
          <w:highlight w:val="none"/>
        </w:rPr>
      </w:pPr>
      <w:r>
        <w:rPr>
          <w:rFonts w:hint="eastAsia" w:hAnsi="宋体" w:cs="宋体"/>
          <w:color w:val="auto"/>
          <w:sz w:val="24"/>
          <w:szCs w:val="24"/>
          <w:highlight w:val="none"/>
        </w:rPr>
        <w:t xml:space="preserve">□采购过程   </w:t>
      </w:r>
    </w:p>
    <w:p w14:paraId="02CF110B">
      <w:pPr>
        <w:pStyle w:val="25"/>
        <w:spacing w:line="360" w:lineRule="auto"/>
        <w:ind w:left="25" w:leftChars="12" w:firstLine="352" w:firstLineChars="147"/>
        <w:rPr>
          <w:rFonts w:hint="eastAsia" w:hAnsi="宋体" w:cs="宋体"/>
          <w:bCs/>
          <w:color w:val="auto"/>
          <w:sz w:val="24"/>
          <w:szCs w:val="24"/>
          <w:highlight w:val="none"/>
          <w:u w:val="single"/>
        </w:rPr>
      </w:pPr>
      <w:r>
        <w:rPr>
          <w:rFonts w:hint="eastAsia" w:hAnsi="宋体" w:cs="宋体"/>
          <w:color w:val="auto"/>
          <w:sz w:val="24"/>
          <w:szCs w:val="24"/>
          <w:highlight w:val="none"/>
        </w:rPr>
        <w:t xml:space="preserve">□采购结果   </w:t>
      </w:r>
    </w:p>
    <w:p w14:paraId="626416A8">
      <w:pPr>
        <w:pStyle w:val="25"/>
        <w:spacing w:line="360" w:lineRule="auto"/>
        <w:ind w:left="25" w:leftChars="12"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三、质疑事项具体内容</w:t>
      </w:r>
    </w:p>
    <w:p w14:paraId="77E1CCA1">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质疑事项1：</w:t>
      </w:r>
      <w:r>
        <w:rPr>
          <w:rFonts w:hint="eastAsia" w:hAnsi="宋体" w:cs="宋体"/>
          <w:bCs/>
          <w:color w:val="auto"/>
          <w:sz w:val="24"/>
          <w:szCs w:val="24"/>
          <w:highlight w:val="none"/>
          <w:u w:val="single"/>
        </w:rPr>
        <w:t xml:space="preserve">                                                                    </w:t>
      </w:r>
    </w:p>
    <w:p w14:paraId="1633F7A1">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事实依据：</w:t>
      </w:r>
      <w:r>
        <w:rPr>
          <w:rFonts w:hint="eastAsia" w:hAnsi="宋体" w:cs="宋体"/>
          <w:bCs/>
          <w:color w:val="auto"/>
          <w:sz w:val="24"/>
          <w:szCs w:val="24"/>
          <w:highlight w:val="none"/>
          <w:u w:val="single"/>
        </w:rPr>
        <w:t xml:space="preserve">                                                                      </w:t>
      </w:r>
    </w:p>
    <w:p w14:paraId="366CF1BC">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法律依据：</w:t>
      </w:r>
      <w:r>
        <w:rPr>
          <w:rFonts w:hint="eastAsia" w:hAnsi="宋体" w:cs="宋体"/>
          <w:color w:val="auto"/>
          <w:sz w:val="24"/>
          <w:szCs w:val="24"/>
          <w:highlight w:val="none"/>
          <w:u w:val="single"/>
        </w:rPr>
        <w:t xml:space="preserve">                                                        </w:t>
      </w:r>
      <w:r>
        <w:rPr>
          <w:rFonts w:hint="eastAsia" w:hAnsi="宋体" w:cs="宋体"/>
          <w:bCs/>
          <w:color w:val="auto"/>
          <w:sz w:val="24"/>
          <w:szCs w:val="24"/>
          <w:highlight w:val="none"/>
          <w:u w:val="single"/>
        </w:rPr>
        <w:t xml:space="preserve">               </w:t>
      </w:r>
    </w:p>
    <w:p w14:paraId="3B33C7C1">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质疑事项2</w:t>
      </w:r>
    </w:p>
    <w:p w14:paraId="6B6EB5E5">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w:t>
      </w:r>
    </w:p>
    <w:p w14:paraId="38F05352">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四、与质疑事项相关的质疑请求：</w:t>
      </w:r>
    </w:p>
    <w:p w14:paraId="35EF6FEB">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4BCC40F0">
      <w:pPr>
        <w:pStyle w:val="25"/>
        <w:spacing w:line="360" w:lineRule="auto"/>
        <w:ind w:left="25" w:leftChars="12" w:firstLine="352" w:firstLineChars="147"/>
        <w:rPr>
          <w:rFonts w:hint="eastAsia" w:hAnsi="宋体" w:cs="宋体"/>
          <w:color w:val="auto"/>
          <w:sz w:val="24"/>
          <w:szCs w:val="24"/>
          <w:highlight w:val="none"/>
        </w:rPr>
      </w:pPr>
    </w:p>
    <w:p w14:paraId="32578D2C">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签字（签章）：                                       公章：</w:t>
      </w:r>
    </w:p>
    <w:p w14:paraId="187FAFA1">
      <w:pPr>
        <w:pStyle w:val="25"/>
        <w:spacing w:line="360" w:lineRule="auto"/>
        <w:ind w:left="25" w:leftChars="12" w:firstLine="352" w:firstLineChars="147"/>
        <w:rPr>
          <w:rFonts w:hint="eastAsia" w:hAnsi="宋体" w:cs="宋体"/>
          <w:color w:val="auto"/>
          <w:sz w:val="24"/>
          <w:szCs w:val="24"/>
          <w:highlight w:val="none"/>
        </w:rPr>
      </w:pPr>
    </w:p>
    <w:p w14:paraId="1739C071">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日期：</w:t>
      </w:r>
    </w:p>
    <w:p w14:paraId="5CF1BA3A">
      <w:pPr>
        <w:pStyle w:val="25"/>
        <w:snapToGrid w:val="0"/>
        <w:spacing w:line="360" w:lineRule="auto"/>
        <w:rPr>
          <w:rFonts w:hint="eastAsia" w:hAnsi="宋体" w:cs="宋体"/>
          <w:b/>
          <w:color w:val="auto"/>
          <w:sz w:val="24"/>
          <w:szCs w:val="24"/>
          <w:highlight w:val="none"/>
        </w:rPr>
      </w:pPr>
    </w:p>
    <w:p w14:paraId="6BCD500A">
      <w:pPr>
        <w:pStyle w:val="25"/>
        <w:snapToGrid w:val="0"/>
        <w:spacing w:line="360" w:lineRule="auto"/>
        <w:rPr>
          <w:rFonts w:hint="eastAsia" w:hAnsi="宋体" w:cs="宋体"/>
          <w:b/>
          <w:color w:val="auto"/>
          <w:sz w:val="24"/>
          <w:szCs w:val="24"/>
          <w:highlight w:val="none"/>
        </w:rPr>
      </w:pPr>
      <w:r>
        <w:rPr>
          <w:rFonts w:hint="eastAsia" w:hAnsi="宋体" w:cs="宋体"/>
          <w:b/>
          <w:color w:val="auto"/>
          <w:sz w:val="24"/>
          <w:szCs w:val="24"/>
          <w:highlight w:val="none"/>
        </w:rPr>
        <w:t>说明：</w:t>
      </w:r>
    </w:p>
    <w:p w14:paraId="0FE57297">
      <w:pPr>
        <w:pStyle w:val="25"/>
        <w:spacing w:line="360" w:lineRule="auto"/>
        <w:ind w:left="25" w:leftChars="12" w:firstLine="354" w:firstLineChars="147"/>
        <w:rPr>
          <w:rFonts w:hint="eastAsia"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025FAF41">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53E4A0">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077A6D12">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5E148ECF">
      <w:pPr>
        <w:pStyle w:val="25"/>
        <w:spacing w:line="360" w:lineRule="auto"/>
        <w:ind w:left="25" w:leftChars="12" w:firstLine="354" w:firstLineChars="147"/>
        <w:rPr>
          <w:rFonts w:hint="eastAsia" w:hAnsi="宋体" w:cs="宋体"/>
          <w:b/>
          <w:color w:val="auto"/>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3A8FFD18">
      <w:pPr>
        <w:spacing w:line="460" w:lineRule="exact"/>
        <w:rPr>
          <w:rFonts w:hint="eastAsia" w:ascii="宋体" w:hAnsi="宋体" w:cs="宋体"/>
          <w:color w:val="auto"/>
          <w:sz w:val="44"/>
          <w:highlight w:val="none"/>
        </w:rPr>
      </w:pPr>
    </w:p>
    <w:p w14:paraId="3C5A1CFF">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13.投诉书（格式）</w:t>
      </w:r>
    </w:p>
    <w:p w14:paraId="6DF8CE10">
      <w:pPr>
        <w:spacing w:line="360" w:lineRule="auto"/>
        <w:jc w:val="center"/>
        <w:rPr>
          <w:rFonts w:hint="eastAsia" w:ascii="宋体" w:hAnsi="宋体" w:cs="宋体"/>
          <w:color w:val="auto"/>
          <w:sz w:val="44"/>
          <w:szCs w:val="44"/>
          <w:highlight w:val="none"/>
        </w:rPr>
      </w:pPr>
      <w:r>
        <w:rPr>
          <w:rFonts w:hint="eastAsia" w:ascii="宋体" w:hAnsi="宋体" w:cs="宋体"/>
          <w:color w:val="auto"/>
          <w:sz w:val="44"/>
          <w:szCs w:val="44"/>
          <w:highlight w:val="none"/>
        </w:rPr>
        <w:t>投诉书（格式）</w:t>
      </w:r>
    </w:p>
    <w:p w14:paraId="11D2BF27">
      <w:pPr>
        <w:pStyle w:val="25"/>
        <w:snapToGrid w:val="0"/>
        <w:spacing w:line="360" w:lineRule="auto"/>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2A79CB4E">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投标人：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2446AA9C">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C347165">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bCs/>
          <w:color w:val="auto"/>
          <w:sz w:val="24"/>
          <w:szCs w:val="24"/>
          <w:highlight w:val="none"/>
          <w:u w:val="single"/>
        </w:rPr>
        <w:t xml:space="preserve">                                                         </w:t>
      </w:r>
    </w:p>
    <w:p w14:paraId="46AB8BDD">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19D3D53D">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903B971">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162AF650">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5FD508C">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被投诉人1：</w:t>
      </w:r>
    </w:p>
    <w:p w14:paraId="5C77200F">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3A5ABC3D">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26B5C81">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38B05B54">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被投诉人2：</w:t>
      </w:r>
    </w:p>
    <w:p w14:paraId="71065DAE">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w:t>
      </w:r>
    </w:p>
    <w:p w14:paraId="61CB91B5">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bCs/>
          <w:color w:val="auto"/>
          <w:sz w:val="24"/>
          <w:szCs w:val="24"/>
          <w:highlight w:val="none"/>
          <w:u w:val="single"/>
        </w:rPr>
        <w:t xml:space="preserve">                                                                       </w:t>
      </w:r>
    </w:p>
    <w:p w14:paraId="28A1699D">
      <w:pPr>
        <w:pStyle w:val="25"/>
        <w:snapToGrid w:val="0"/>
        <w:spacing w:line="360" w:lineRule="auto"/>
        <w:ind w:firstLine="480" w:firstLineChars="200"/>
        <w:jc w:val="left"/>
        <w:rPr>
          <w:rFonts w:hint="eastAsia"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p>
    <w:p w14:paraId="6B1542F2">
      <w:pPr>
        <w:pStyle w:val="25"/>
        <w:snapToGrid w:val="0"/>
        <w:spacing w:line="360" w:lineRule="auto"/>
        <w:ind w:firstLine="480" w:firstLineChars="200"/>
        <w:jc w:val="left"/>
        <w:rPr>
          <w:rFonts w:hint="eastAsia"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5C62FB4D">
      <w:pPr>
        <w:pStyle w:val="25"/>
        <w:snapToGrid w:val="0"/>
        <w:spacing w:line="360" w:lineRule="auto"/>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二、投诉项目基本情况：</w:t>
      </w:r>
    </w:p>
    <w:p w14:paraId="42FC4945">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77253CD9">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719A2413">
      <w:pPr>
        <w:pStyle w:val="25"/>
        <w:spacing w:line="360" w:lineRule="auto"/>
        <w:ind w:left="25" w:leftChars="12" w:firstLine="472" w:firstLineChars="197"/>
        <w:rPr>
          <w:rFonts w:hint="eastAsia"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55E47452">
      <w:pPr>
        <w:pStyle w:val="25"/>
        <w:spacing w:line="360" w:lineRule="auto"/>
        <w:ind w:left="25" w:leftChars="12" w:firstLine="472" w:firstLineChars="197"/>
        <w:rPr>
          <w:rFonts w:hint="eastAsia" w:hAnsi="宋体" w:cs="宋体"/>
          <w:bCs/>
          <w:color w:val="auto"/>
          <w:sz w:val="24"/>
          <w:szCs w:val="24"/>
          <w:highlight w:val="none"/>
          <w:u w:val="single"/>
        </w:rPr>
      </w:pPr>
      <w:r>
        <w:rPr>
          <w:rFonts w:hint="eastAsia" w:hAnsi="宋体" w:cs="宋体"/>
          <w:color w:val="auto"/>
          <w:sz w:val="24"/>
          <w:szCs w:val="24"/>
          <w:highlight w:val="none"/>
        </w:rPr>
        <w:t>代理机构名称：</w:t>
      </w:r>
      <w:r>
        <w:rPr>
          <w:rFonts w:hint="eastAsia" w:hAnsi="宋体" w:cs="宋体"/>
          <w:bCs/>
          <w:color w:val="auto"/>
          <w:sz w:val="24"/>
          <w:szCs w:val="24"/>
          <w:highlight w:val="none"/>
          <w:u w:val="single"/>
        </w:rPr>
        <w:t xml:space="preserve">                                                                      </w:t>
      </w:r>
    </w:p>
    <w:p w14:paraId="70D2D4C7">
      <w:pPr>
        <w:pStyle w:val="25"/>
        <w:spacing w:line="360" w:lineRule="auto"/>
        <w:ind w:left="25" w:leftChars="12" w:firstLine="472" w:firstLineChars="197"/>
        <w:rPr>
          <w:rFonts w:hint="eastAsia" w:hAnsi="宋体" w:cs="宋体"/>
          <w:bCs/>
          <w:color w:val="auto"/>
          <w:sz w:val="24"/>
          <w:szCs w:val="24"/>
          <w:highlight w:val="none"/>
          <w:u w:val="single"/>
        </w:rPr>
      </w:pPr>
      <w:r>
        <w:rPr>
          <w:rFonts w:hint="eastAsia" w:hAnsi="宋体" w:cs="宋体"/>
          <w:bCs/>
          <w:color w:val="auto"/>
          <w:sz w:val="24"/>
          <w:szCs w:val="24"/>
          <w:highlight w:val="none"/>
        </w:rPr>
        <w:t>采购文件公告：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6E9A3C96">
      <w:pPr>
        <w:pStyle w:val="25"/>
        <w:spacing w:line="360" w:lineRule="auto"/>
        <w:ind w:left="25" w:leftChars="12" w:firstLine="472" w:firstLineChars="197"/>
        <w:rPr>
          <w:rFonts w:hint="eastAsia"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1C0335B6">
      <w:pPr>
        <w:pStyle w:val="25"/>
        <w:spacing w:line="360" w:lineRule="auto"/>
        <w:ind w:left="25" w:leftChars="12"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三、质疑基本情况</w:t>
      </w:r>
    </w:p>
    <w:p w14:paraId="1813513A">
      <w:pPr>
        <w:pStyle w:val="25"/>
        <w:spacing w:line="360" w:lineRule="auto"/>
        <w:ind w:left="25" w:leftChars="12" w:firstLine="480" w:firstLineChars="200"/>
        <w:rPr>
          <w:rFonts w:hint="eastAsia" w:hAnsi="宋体" w:cs="宋体"/>
          <w:color w:val="auto"/>
          <w:sz w:val="24"/>
          <w:szCs w:val="24"/>
          <w:highlight w:val="none"/>
        </w:rPr>
      </w:pPr>
      <w:r>
        <w:rPr>
          <w:rFonts w:hint="eastAsia" w:hAnsi="宋体" w:cs="宋体"/>
          <w:color w:val="auto"/>
          <w:sz w:val="24"/>
          <w:szCs w:val="24"/>
          <w:highlight w:val="none"/>
        </w:rPr>
        <w:t>投诉人于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日，向</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提出质疑，质疑事项为：</w:t>
      </w:r>
    </w:p>
    <w:p w14:paraId="0443CEF4">
      <w:pPr>
        <w:pStyle w:val="25"/>
        <w:spacing w:line="360" w:lineRule="auto"/>
        <w:ind w:firstLine="241"/>
        <w:rPr>
          <w:rFonts w:hint="eastAsia" w:hAnsi="宋体" w:cs="宋体"/>
          <w:bCs/>
          <w:color w:val="auto"/>
          <w:sz w:val="24"/>
          <w:szCs w:val="24"/>
          <w:highlight w:val="none"/>
          <w:u w:val="single"/>
        </w:rPr>
      </w:pP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53E4B921">
      <w:pPr>
        <w:pStyle w:val="25"/>
        <w:spacing w:line="360" w:lineRule="auto"/>
        <w:ind w:firstLine="241"/>
        <w:rPr>
          <w:rFonts w:hint="eastAsia"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037C78F9">
      <w:pPr>
        <w:pStyle w:val="25"/>
        <w:spacing w:line="360" w:lineRule="auto"/>
        <w:ind w:firstLine="480" w:firstLineChars="200"/>
        <w:rPr>
          <w:rFonts w:hint="eastAsia"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hAnsi="宋体" w:cs="宋体"/>
          <w:bCs/>
          <w:color w:val="auto"/>
          <w:sz w:val="24"/>
          <w:szCs w:val="24"/>
          <w:highlight w:val="none"/>
        </w:rPr>
        <w:t xml:space="preserve">就质疑事项作出了答复/没有在法定期限内作出答复。                                                                                             </w:t>
      </w:r>
    </w:p>
    <w:p w14:paraId="76F08E08">
      <w:pPr>
        <w:pStyle w:val="25"/>
        <w:spacing w:line="360" w:lineRule="auto"/>
        <w:ind w:left="25" w:leftChars="12"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四、投诉事项具体内容</w:t>
      </w:r>
    </w:p>
    <w:p w14:paraId="670210EA">
      <w:pPr>
        <w:pStyle w:val="25"/>
        <w:spacing w:line="360" w:lineRule="auto"/>
        <w:ind w:left="25" w:leftChars="12" w:firstLine="472" w:firstLineChars="197"/>
        <w:rPr>
          <w:rFonts w:hint="eastAsia" w:hAnsi="宋体" w:cs="宋体"/>
          <w:bCs/>
          <w:color w:val="auto"/>
          <w:sz w:val="24"/>
          <w:szCs w:val="24"/>
          <w:highlight w:val="none"/>
          <w:u w:val="single"/>
        </w:rPr>
      </w:pPr>
      <w:r>
        <w:rPr>
          <w:rFonts w:hint="eastAsia" w:hAnsi="宋体" w:cs="宋体"/>
          <w:color w:val="auto"/>
          <w:sz w:val="24"/>
          <w:szCs w:val="24"/>
          <w:highlight w:val="none"/>
        </w:rPr>
        <w:t>投诉事项1：</w:t>
      </w:r>
      <w:r>
        <w:rPr>
          <w:rFonts w:hint="eastAsia" w:hAnsi="宋体" w:cs="宋体"/>
          <w:bCs/>
          <w:color w:val="auto"/>
          <w:sz w:val="24"/>
          <w:szCs w:val="24"/>
          <w:highlight w:val="none"/>
          <w:u w:val="single"/>
        </w:rPr>
        <w:t xml:space="preserve">                                                                           </w:t>
      </w:r>
    </w:p>
    <w:p w14:paraId="4A0138DE">
      <w:pPr>
        <w:pStyle w:val="25"/>
        <w:spacing w:line="360" w:lineRule="auto"/>
        <w:ind w:firstLine="480" w:firstLineChars="200"/>
        <w:rPr>
          <w:rFonts w:hint="eastAsia" w:hAnsi="宋体" w:cs="宋体"/>
          <w:bCs/>
          <w:color w:val="auto"/>
          <w:sz w:val="24"/>
          <w:szCs w:val="24"/>
          <w:highlight w:val="none"/>
          <w:u w:val="single"/>
        </w:rPr>
      </w:pPr>
      <w:r>
        <w:rPr>
          <w:rFonts w:hint="eastAsia" w:hAnsi="宋体" w:cs="宋体"/>
          <w:bCs/>
          <w:color w:val="auto"/>
          <w:sz w:val="24"/>
          <w:szCs w:val="24"/>
          <w:highlight w:val="none"/>
        </w:rPr>
        <w:t>事实依据：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48B6487C">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bCs/>
          <w:color w:val="auto"/>
          <w:sz w:val="24"/>
          <w:szCs w:val="24"/>
          <w:highlight w:val="none"/>
          <w:u w:val="single"/>
        </w:rPr>
        <w:t xml:space="preserve">                                                                                        </w:t>
      </w:r>
    </w:p>
    <w:p w14:paraId="3195089F">
      <w:pPr>
        <w:pStyle w:val="25"/>
        <w:spacing w:line="360" w:lineRule="auto"/>
        <w:ind w:firstLine="480" w:firstLineChars="200"/>
        <w:rPr>
          <w:rFonts w:hint="eastAsia" w:hAnsi="宋体" w:cs="宋体"/>
          <w:bCs/>
          <w:color w:val="auto"/>
          <w:sz w:val="24"/>
          <w:szCs w:val="24"/>
          <w:highlight w:val="none"/>
          <w:u w:val="single"/>
        </w:rPr>
      </w:pPr>
      <w:r>
        <w:rPr>
          <w:rFonts w:hint="eastAsia" w:hAnsi="宋体" w:cs="宋体"/>
          <w:bCs/>
          <w:color w:val="auto"/>
          <w:sz w:val="24"/>
          <w:szCs w:val="24"/>
          <w:highlight w:val="none"/>
        </w:rPr>
        <w:t>法律依据：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505F20FE">
      <w:pPr>
        <w:pStyle w:val="25"/>
        <w:spacing w:line="360" w:lineRule="auto"/>
        <w:ind w:left="25" w:leftChars="12" w:firstLine="352" w:firstLineChars="147"/>
        <w:rPr>
          <w:rFonts w:hint="eastAsia"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51A2B30B">
      <w:pPr>
        <w:pStyle w:val="25"/>
        <w:spacing w:line="360" w:lineRule="auto"/>
        <w:ind w:left="25" w:leftChars="12" w:firstLine="472" w:firstLineChars="197"/>
        <w:rPr>
          <w:rFonts w:hint="eastAsia" w:hAnsi="宋体" w:cs="宋体"/>
          <w:bCs/>
          <w:color w:val="auto"/>
          <w:sz w:val="24"/>
          <w:szCs w:val="24"/>
          <w:highlight w:val="none"/>
        </w:rPr>
      </w:pPr>
      <w:r>
        <w:rPr>
          <w:rFonts w:hint="eastAsia" w:hAnsi="宋体" w:cs="宋体"/>
          <w:color w:val="auto"/>
          <w:sz w:val="24"/>
          <w:szCs w:val="24"/>
          <w:highlight w:val="none"/>
        </w:rPr>
        <w:t xml:space="preserve">投诉事项2  </w:t>
      </w:r>
      <w:r>
        <w:rPr>
          <w:rFonts w:hint="eastAsia" w:hAnsi="宋体" w:cs="宋体"/>
          <w:bCs/>
          <w:color w:val="auto"/>
          <w:sz w:val="24"/>
          <w:szCs w:val="24"/>
          <w:highlight w:val="none"/>
        </w:rPr>
        <w:t xml:space="preserve">   </w:t>
      </w:r>
    </w:p>
    <w:p w14:paraId="36DE721E">
      <w:pPr>
        <w:pStyle w:val="25"/>
        <w:spacing w:line="360" w:lineRule="auto"/>
        <w:ind w:left="25" w:leftChars="12" w:firstLine="472" w:firstLineChars="197"/>
        <w:rPr>
          <w:rFonts w:hint="eastAsia" w:hAnsi="宋体" w:cs="宋体"/>
          <w:bCs/>
          <w:color w:val="auto"/>
          <w:sz w:val="24"/>
          <w:szCs w:val="24"/>
          <w:highlight w:val="none"/>
        </w:rPr>
      </w:pPr>
      <w:r>
        <w:rPr>
          <w:rFonts w:hint="eastAsia" w:hAnsi="宋体" w:cs="宋体"/>
          <w:bCs/>
          <w:color w:val="auto"/>
          <w:sz w:val="24"/>
          <w:szCs w:val="24"/>
          <w:highlight w:val="none"/>
        </w:rPr>
        <w:t>……</w:t>
      </w:r>
    </w:p>
    <w:p w14:paraId="624239C1">
      <w:pPr>
        <w:pStyle w:val="25"/>
        <w:spacing w:line="360" w:lineRule="auto"/>
        <w:ind w:left="25" w:leftChars="12"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27574481">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249382E4">
      <w:pPr>
        <w:pStyle w:val="25"/>
        <w:spacing w:line="360" w:lineRule="auto"/>
        <w:ind w:left="25" w:leftChars="12" w:firstLine="352" w:firstLineChars="147"/>
        <w:rPr>
          <w:rFonts w:hint="eastAsia" w:hAnsi="宋体" w:cs="宋体"/>
          <w:color w:val="auto"/>
          <w:sz w:val="24"/>
          <w:szCs w:val="24"/>
          <w:highlight w:val="none"/>
        </w:rPr>
      </w:pPr>
    </w:p>
    <w:p w14:paraId="59195334">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签字（签章）：                                       公章：</w:t>
      </w:r>
    </w:p>
    <w:p w14:paraId="6F5B2915">
      <w:pPr>
        <w:pStyle w:val="25"/>
        <w:spacing w:line="360" w:lineRule="auto"/>
        <w:ind w:left="25" w:leftChars="12" w:firstLine="352" w:firstLineChars="147"/>
        <w:rPr>
          <w:rFonts w:hint="eastAsia" w:hAnsi="宋体" w:cs="宋体"/>
          <w:color w:val="auto"/>
          <w:sz w:val="24"/>
          <w:szCs w:val="24"/>
          <w:highlight w:val="none"/>
        </w:rPr>
      </w:pPr>
    </w:p>
    <w:p w14:paraId="14BC93EE">
      <w:pPr>
        <w:pStyle w:val="25"/>
        <w:spacing w:line="360" w:lineRule="auto"/>
        <w:ind w:left="25" w:leftChars="12" w:firstLine="472" w:firstLineChars="197"/>
        <w:rPr>
          <w:rFonts w:hint="eastAsia" w:hAnsi="宋体" w:cs="宋体"/>
          <w:color w:val="auto"/>
          <w:sz w:val="24"/>
          <w:szCs w:val="24"/>
          <w:highlight w:val="none"/>
        </w:rPr>
      </w:pPr>
      <w:r>
        <w:rPr>
          <w:rFonts w:hint="eastAsia" w:hAnsi="宋体" w:cs="宋体"/>
          <w:color w:val="auto"/>
          <w:sz w:val="24"/>
          <w:szCs w:val="24"/>
          <w:highlight w:val="none"/>
        </w:rPr>
        <w:t>日期：</w:t>
      </w:r>
    </w:p>
    <w:p w14:paraId="149B792C">
      <w:pPr>
        <w:pStyle w:val="25"/>
        <w:spacing w:line="360" w:lineRule="auto"/>
        <w:ind w:left="25" w:leftChars="12" w:firstLine="472" w:firstLineChars="197"/>
        <w:rPr>
          <w:rFonts w:hint="eastAsia" w:hAnsi="宋体" w:cs="宋体"/>
          <w:b/>
          <w:color w:val="auto"/>
          <w:sz w:val="24"/>
          <w:szCs w:val="24"/>
          <w:highlight w:val="none"/>
        </w:rPr>
      </w:pPr>
      <w:r>
        <w:rPr>
          <w:rFonts w:hint="eastAsia" w:hAnsi="宋体" w:cs="宋体"/>
          <w:bCs/>
          <w:color w:val="auto"/>
          <w:sz w:val="24"/>
          <w:szCs w:val="24"/>
          <w:highlight w:val="none"/>
        </w:rPr>
        <w:t xml:space="preserve">                                                                                </w:t>
      </w:r>
      <w:r>
        <w:rPr>
          <w:rFonts w:hint="eastAsia" w:hAnsi="宋体" w:cs="宋体"/>
          <w:b/>
          <w:color w:val="auto"/>
          <w:sz w:val="24"/>
          <w:szCs w:val="24"/>
          <w:highlight w:val="none"/>
        </w:rPr>
        <w:t>说明：</w:t>
      </w:r>
    </w:p>
    <w:p w14:paraId="600E1F18">
      <w:pPr>
        <w:pStyle w:val="25"/>
        <w:spacing w:line="360" w:lineRule="auto"/>
        <w:ind w:left="25" w:leftChars="12" w:firstLine="354" w:firstLineChars="147"/>
        <w:rPr>
          <w:rFonts w:hint="eastAsia"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19934CE7">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2C15690">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0972C10D">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12A101E2">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135D6ECF">
      <w:pPr>
        <w:pStyle w:val="25"/>
        <w:spacing w:line="360" w:lineRule="auto"/>
        <w:ind w:left="25" w:leftChars="12" w:firstLine="354" w:firstLineChars="147"/>
        <w:rPr>
          <w:rFonts w:hint="eastAsia" w:hAnsi="宋体" w:cs="宋体"/>
          <w:b/>
          <w:color w:val="auto"/>
          <w:sz w:val="24"/>
          <w:szCs w:val="24"/>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p>
    <w:p w14:paraId="2ECA097D">
      <w:pPr>
        <w:pStyle w:val="25"/>
        <w:spacing w:line="360" w:lineRule="auto"/>
        <w:rPr>
          <w:rFonts w:hint="eastAsia" w:hAnsi="宋体" w:cs="宋体"/>
          <w:b/>
          <w:color w:val="auto"/>
          <w:sz w:val="24"/>
          <w:szCs w:val="24"/>
          <w:highlight w:val="none"/>
          <w:lang w:val="en-US" w:eastAsia="zh-CN"/>
        </w:rPr>
      </w:pPr>
      <w:r>
        <w:rPr>
          <w:rFonts w:hint="eastAsia" w:hAnsi="宋体" w:cs="宋体"/>
          <w:b/>
          <w:color w:val="auto"/>
          <w:sz w:val="24"/>
          <w:szCs w:val="24"/>
          <w:highlight w:val="none"/>
        </w:rPr>
        <w:br w:type="page"/>
      </w:r>
      <w:r>
        <w:rPr>
          <w:rFonts w:hint="eastAsia" w:hAnsi="宋体" w:cs="宋体"/>
          <w:b/>
          <w:color w:val="auto"/>
          <w:sz w:val="24"/>
          <w:szCs w:val="24"/>
          <w:highlight w:val="none"/>
          <w:lang w:val="en-US" w:eastAsia="zh-CN"/>
        </w:rPr>
        <w:t>附件：</w:t>
      </w:r>
    </w:p>
    <w:p w14:paraId="7DEA60F1">
      <w:pPr>
        <w:pStyle w:val="25"/>
        <w:spacing w:line="360" w:lineRule="auto"/>
        <w:jc w:val="center"/>
        <w:rPr>
          <w:rFonts w:hint="eastAsia" w:hAnsi="宋体" w:cs="宋体"/>
          <w:b/>
          <w:color w:val="auto"/>
          <w:sz w:val="24"/>
          <w:szCs w:val="24"/>
          <w:highlight w:val="none"/>
          <w:lang w:val="en-US" w:eastAsia="zh-CN"/>
        </w:rPr>
      </w:pPr>
      <w:r>
        <w:rPr>
          <w:rFonts w:hint="eastAsia" w:hAnsi="宋体" w:cs="宋体"/>
          <w:b/>
          <w:color w:val="auto"/>
          <w:sz w:val="24"/>
          <w:szCs w:val="24"/>
          <w:highlight w:val="none"/>
          <w:lang w:val="en-US" w:eastAsia="zh-CN"/>
        </w:rPr>
        <w:t>2026年柳州市市场监督管理局自治区转移食品抽样检测服务项目中标公告</w:t>
      </w:r>
    </w:p>
    <w:p w14:paraId="27A545AB">
      <w:pPr>
        <w:pStyle w:val="25"/>
        <w:spacing w:line="360" w:lineRule="auto"/>
        <w:rPr>
          <w:rFonts w:hint="eastAsia" w:hAnsi="宋体" w:cs="宋体"/>
          <w:b/>
          <w:color w:val="auto"/>
          <w:highlight w:val="none"/>
        </w:rPr>
      </w:pPr>
      <w:r>
        <w:drawing>
          <wp:inline distT="0" distB="0" distL="114300" distR="114300">
            <wp:extent cx="5537200" cy="8009890"/>
            <wp:effectExtent l="0" t="0" r="6350" b="1016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4"/>
                    <a:stretch>
                      <a:fillRect/>
                    </a:stretch>
                  </pic:blipFill>
                  <pic:spPr>
                    <a:xfrm>
                      <a:off x="0" y="0"/>
                      <a:ext cx="5537200" cy="8009890"/>
                    </a:xfrm>
                    <a:prstGeom prst="rect">
                      <a:avLst/>
                    </a:prstGeom>
                    <a:noFill/>
                    <a:ln>
                      <a:noFill/>
                    </a:ln>
                  </pic:spPr>
                </pic:pic>
              </a:graphicData>
            </a:graphic>
          </wp:inline>
        </w:drawing>
      </w:r>
      <w:r>
        <w:drawing>
          <wp:inline distT="0" distB="0" distL="114300" distR="114300">
            <wp:extent cx="5536565" cy="8053705"/>
            <wp:effectExtent l="0" t="0" r="6985" b="444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5"/>
                    <a:stretch>
                      <a:fillRect/>
                    </a:stretch>
                  </pic:blipFill>
                  <pic:spPr>
                    <a:xfrm>
                      <a:off x="0" y="0"/>
                      <a:ext cx="5536565" cy="8053705"/>
                    </a:xfrm>
                    <a:prstGeom prst="rect">
                      <a:avLst/>
                    </a:prstGeom>
                    <a:noFill/>
                    <a:ln>
                      <a:noFill/>
                    </a:ln>
                  </pic:spPr>
                </pic:pic>
              </a:graphicData>
            </a:graphic>
          </wp:inline>
        </w:drawing>
      </w:r>
      <w:r>
        <w:drawing>
          <wp:inline distT="0" distB="0" distL="114300" distR="114300">
            <wp:extent cx="5536565" cy="6094730"/>
            <wp:effectExtent l="0" t="0" r="6985" b="127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6"/>
                    <a:stretch>
                      <a:fillRect/>
                    </a:stretch>
                  </pic:blipFill>
                  <pic:spPr>
                    <a:xfrm>
                      <a:off x="0" y="0"/>
                      <a:ext cx="5536565" cy="6094730"/>
                    </a:xfrm>
                    <a:prstGeom prst="rect">
                      <a:avLst/>
                    </a:prstGeom>
                    <a:noFill/>
                    <a:ln>
                      <a:noFill/>
                    </a:ln>
                  </pic:spPr>
                </pic:pic>
              </a:graphicData>
            </a:graphic>
          </wp:inline>
        </w:drawing>
      </w:r>
    </w:p>
    <w:sectPr>
      <w:pgSz w:w="11906" w:h="16838"/>
      <w:pgMar w:top="1134" w:right="1503" w:bottom="1559" w:left="167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09AB6F-239B-41F9-A708-D5818587E512}"/>
  </w:font>
  <w:font w:name="Courier New">
    <w:panose1 w:val="02070309020205020404"/>
    <w:charset w:val="01"/>
    <w:family w:val="modern"/>
    <w:pitch w:val="default"/>
    <w:sig w:usb0="E0002EFF" w:usb1="C0007843" w:usb2="00000009" w:usb3="00000000" w:csb0="400001FF" w:csb1="FFFF0000"/>
    <w:embedRegular r:id="rId2" w:fontKey="{1391D794-0829-4F09-886E-1903771C4E6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B48DB15-B53D-4111-B907-8CE6589A525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4" w:fontKey="{3E6E2962-A5A6-4EA3-B9E6-E370110CCE80}"/>
  </w:font>
  <w:font w:name="仿宋">
    <w:panose1 w:val="02010609060101010101"/>
    <w:charset w:val="86"/>
    <w:family w:val="modern"/>
    <w:pitch w:val="default"/>
    <w:sig w:usb0="800002BF" w:usb1="38CF7CFA" w:usb2="00000016" w:usb3="00000000" w:csb0="00040001" w:csb1="00000000"/>
    <w:embedRegular r:id="rId5" w:fontKey="{A1DAE315-5CCE-4327-9CC8-9F05549A8AC7}"/>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Century">
    <w:panose1 w:val="02040604050505020304"/>
    <w:charset w:val="00"/>
    <w:family w:val="roman"/>
    <w:pitch w:val="default"/>
    <w:sig w:usb0="00000287"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6" w:fontKey="{C3C4849D-45D9-4909-B6C5-2EFF5685463C}"/>
  </w:font>
  <w:font w:name="Cambria Math">
    <w:panose1 w:val="02040503050406030204"/>
    <w:charset w:val="00"/>
    <w:family w:val="auto"/>
    <w:pitch w:val="default"/>
    <w:sig w:usb0="E00006FF" w:usb1="420024FF" w:usb2="02000000" w:usb3="00000000" w:csb0="2000019F" w:csb1="00000000"/>
    <w:embedRegular r:id="rId7" w:fontKey="{F5CCEE6E-9280-4744-83D9-4FF4EF63F28A}"/>
  </w:font>
  <w:font w:name="Segoe UI Symbol">
    <w:panose1 w:val="020B0502040204020203"/>
    <w:charset w:val="00"/>
    <w:family w:val="swiss"/>
    <w:pitch w:val="default"/>
    <w:sig w:usb0="800001E3" w:usb1="1200FFEF" w:usb2="00040000" w:usb3="04000000" w:csb0="00000001" w:csb1="40000000"/>
    <w:embedRegular r:id="rId8" w:fontKey="{0E228F6C-9BB9-42AD-B9A5-D62A0565776D}"/>
  </w:font>
  <w:font w:name="Wingdings 2">
    <w:panose1 w:val="05020102010507070707"/>
    <w:charset w:val="02"/>
    <w:family w:val="auto"/>
    <w:pitch w:val="default"/>
    <w:sig w:usb0="00000000" w:usb1="00000000" w:usb2="00000000" w:usb3="00000000" w:csb0="80000000" w:csb1="00000000"/>
    <w:embedRegular r:id="rId9" w:fontKey="{EC9D3DCD-1B6B-45A9-9866-DB19A19BE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42724">
    <w:pPr>
      <w:pStyle w:val="31"/>
      <w:framePr w:wrap="around" w:vAnchor="text" w:hAnchor="margin" w:xAlign="center" w:y="1"/>
      <w:rPr>
        <w:rStyle w:val="53"/>
      </w:rPr>
    </w:pPr>
    <w:r>
      <w:fldChar w:fldCharType="begin"/>
    </w:r>
    <w:r>
      <w:rPr>
        <w:rStyle w:val="53"/>
      </w:rPr>
      <w:instrText xml:space="preserve">PAGE  </w:instrText>
    </w:r>
    <w:r>
      <w:fldChar w:fldCharType="end"/>
    </w:r>
  </w:p>
  <w:p w14:paraId="35DB432A">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8B9E3">
    <w:pPr>
      <w:pStyle w:val="31"/>
      <w:ind w:right="360"/>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C3DEE">
    <w:pPr>
      <w:pStyle w:val="31"/>
      <w:jc w:val="center"/>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DC25F">
                          <w:pPr>
                            <w:pStyle w:val="31"/>
                          </w:pPr>
                          <w:r>
                            <w:fldChar w:fldCharType="begin"/>
                          </w:r>
                          <w:r>
                            <w:instrText xml:space="preserve"> PAGE  \* MERGEFORMAT </w:instrText>
                          </w:r>
                          <w:r>
                            <w:fldChar w:fldCharType="separate"/>
                          </w:r>
                          <w:r>
                            <w:t>76</w:t>
                          </w:r>
                          <w: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2MXssBAACcAwAADgAAAGRycy9lMm9Eb2MueG1srVPNjtMwEL4j8Q6W&#10;79Rp0aI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1lW&#10;L2+y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bdjF7LAQAAnAMAAA4AAAAAAAAAAQAgAAAAHgEAAGRycy9lMm9E&#10;b2MueG1sUEsFBgAAAAAGAAYAWQEAAFsFAAAAAA==&#10;">
              <v:fill on="f" focussize="0,0"/>
              <v:stroke on="f"/>
              <v:imagedata o:title=""/>
              <o:lock v:ext="edit" aspectratio="f"/>
              <v:textbox inset="0mm,0mm,0mm,0mm" style="mso-fit-shape-to-text:t;">
                <w:txbxContent>
                  <w:p w14:paraId="673DC25F">
                    <w:pPr>
                      <w:pStyle w:val="31"/>
                    </w:pPr>
                    <w:r>
                      <w:fldChar w:fldCharType="begin"/>
                    </w:r>
                    <w:r>
                      <w:instrText xml:space="preserve"> PAGE  \* MERGEFORMAT </w:instrText>
                    </w:r>
                    <w:r>
                      <w:fldChar w:fldCharType="separate"/>
                    </w:r>
                    <w:r>
                      <w:t>76</w:t>
                    </w:r>
                    <w:r>
                      <w:fldChar w:fldCharType="end"/>
                    </w:r>
                  </w:p>
                </w:txbxContent>
              </v:textbox>
            </v:shape>
          </w:pict>
        </mc:Fallback>
      </mc:AlternateContent>
    </w:r>
    <w:r>
      <w:rPr>
        <w:rFonts w:hint="eastAsia"/>
        <w:lang w:val="en-US" w:eastAsia="zh-CN"/>
      </w:rPr>
      <w:t xml:space="preserve">  </w:t>
    </w:r>
  </w:p>
  <w:p w14:paraId="672EABC5">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AC670">
    <w:pPr>
      <w:pStyle w:val="3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4284D4">
                          <w:pPr>
                            <w:pStyle w:val="31"/>
                          </w:pPr>
                          <w:r>
                            <w:fldChar w:fldCharType="begin"/>
                          </w:r>
                          <w:r>
                            <w:instrText xml:space="preserve"> PAGE  \* MERGEFORMAT </w:instrText>
                          </w:r>
                          <w:r>
                            <w:fldChar w:fldCharType="separate"/>
                          </w:r>
                          <w:r>
                            <w:t>146</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qPM8oBAACcAwAADgAAAGRycy9lMm9Eb2MueG1srVPNjtMwEL4j8Q6W&#10;79Rph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sqPM8oBAACcAwAADgAAAAAAAAABACAAAAAeAQAAZHJzL2Uyb0Rv&#10;Yy54bWxQSwUGAAAAAAYABgBZAQAAWgUAAAAA&#10;">
              <v:fill on="f" focussize="0,0"/>
              <v:stroke on="f"/>
              <v:imagedata o:title=""/>
              <o:lock v:ext="edit" aspectratio="f"/>
              <v:textbox inset="0mm,0mm,0mm,0mm" style="mso-fit-shape-to-text:t;">
                <w:txbxContent>
                  <w:p w14:paraId="5A4284D4">
                    <w:pPr>
                      <w:pStyle w:val="31"/>
                    </w:pPr>
                    <w:r>
                      <w:fldChar w:fldCharType="begin"/>
                    </w:r>
                    <w:r>
                      <w:instrText xml:space="preserve"> PAGE  \* MERGEFORMAT </w:instrText>
                    </w:r>
                    <w:r>
                      <w:fldChar w:fldCharType="separate"/>
                    </w:r>
                    <w:r>
                      <w:t>146</w:t>
                    </w:r>
                    <w:r>
                      <w:fldChar w:fldCharType="end"/>
                    </w:r>
                  </w:p>
                </w:txbxContent>
              </v:textbox>
            </v:shape>
          </w:pict>
        </mc:Fallback>
      </mc:AlternateContent>
    </w:r>
  </w:p>
  <w:p w14:paraId="447482EA">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53940">
    <w:pPr>
      <w:pStyle w:val="31"/>
      <w:framePr w:wrap="around" w:vAnchor="text" w:hAnchor="margin" w:xAlign="center" w:y="1"/>
      <w:rPr>
        <w:rStyle w:val="53"/>
      </w:rPr>
    </w:pPr>
    <w:r>
      <w:fldChar w:fldCharType="begin"/>
    </w:r>
    <w:r>
      <w:rPr>
        <w:rStyle w:val="53"/>
      </w:rPr>
      <w:instrText xml:space="preserve">PAGE  </w:instrText>
    </w:r>
    <w:r>
      <w:fldChar w:fldCharType="end"/>
    </w:r>
  </w:p>
  <w:p w14:paraId="35BE91BC">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CD23A">
    <w:pPr>
      <w:pStyle w:val="31"/>
      <w:ind w:right="360"/>
      <w:jc w:val="both"/>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8DAD2">
                          <w:pPr>
                            <w:pStyle w:val="31"/>
                          </w:pPr>
                          <w:r>
                            <w:fldChar w:fldCharType="begin"/>
                          </w:r>
                          <w:r>
                            <w:instrText xml:space="preserve"> PAGE  \* MERGEFORMAT </w:instrText>
                          </w:r>
                          <w:r>
                            <w:fldChar w:fldCharType="separate"/>
                          </w:r>
                          <w:r>
                            <w:t>105</w:t>
                          </w:r>
                          <w: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tzqMsBAACcAwAADgAAAGRycy9lMm9Eb2MueG1srVNLjtswDN0X6B0E&#10;7SdyMkAbGHEGLYIpChRtgekcQJHlWIB+EJXYuUB7g6666b7nyjlKyXYyn80sZiNTJPXI90ivbnqj&#10;yUEGUM5WdD4rKJFWuFrZXUXvf9xeLSmByG3NtbOyokcJ9Gb99s2q86VcuNbpWgaCIBbKzle0jdGX&#10;jIFopeEwc15aDDYuGB7xGnasDrxDdKPZoijesc6F2gcnJAB6N0OQjojhJYCuaZSQGyf2Rto4oAap&#10;eURK0CoPdJ27bRop4remARmJrigyjfnEImhv08nWK17uAvetEmML/CUtPOFkuLJY9Ay14ZGTfVDP&#10;oIwSwYFr4kw4wwYiWRFkMS+eaHPXci8zF5Qa/Fl0eD1Y8fXwPRBVV/Q9JZYbHPjp96/Tn3+nvz/J&#10;vLjOCnUeSky885ga+4+ux71JyiU/oDMR75tg0hcpEYyjvsezvrKPRKRHy8VyWWBIYGy6IA67PPcB&#10;4ifpDElGRQMOMOvKD18gDqlTSqpm3a3SOg9R20cOxEwedukxWbHf9mPjW1cfkU+Hs6+oxVWnRH+2&#10;KG1ak8kIk7GdjL0PatfmPUr1wH/YR2wi95YqDLBjYRxaZjcuWNqKh/ecdfmp1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Qbc6jLAQAAnAMAAA4AAAAAAAAAAQAgAAAAHgEAAGRycy9lMm9E&#10;b2MueG1sUEsFBgAAAAAGAAYAWQEAAFsFAAAAAA==&#10;">
              <v:fill on="f" focussize="0,0"/>
              <v:stroke on="f"/>
              <v:imagedata o:title=""/>
              <o:lock v:ext="edit" aspectratio="f"/>
              <v:textbox inset="0mm,0mm,0mm,0mm" style="mso-fit-shape-to-text:t;">
                <w:txbxContent>
                  <w:p w14:paraId="5F88DAD2">
                    <w:pPr>
                      <w:pStyle w:val="31"/>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B89B">
    <w:pPr>
      <w:pStyle w:val="32"/>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21F8">
    <w:pPr>
      <w:pStyle w:val="32"/>
      <w:pBdr>
        <w:bottom w:val="none" w:color="auto" w:sz="0" w:space="1"/>
      </w:pBdr>
      <w:tabs>
        <w:tab w:val="center" w:pos="4153"/>
        <w:tab w:val="right" w:pos="8306"/>
        <w:tab w:val="clear" w:pos="0"/>
      </w:tabs>
      <w:jc w:val="both"/>
      <w:rPr>
        <w:rFonts w:hint="eastAsia"/>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4935" cy="131445"/>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2D326516">
                          <w:pPr>
                            <w:snapToGrid w:val="0"/>
                            <w:rPr>
                              <w:rFonts w:hint="eastAsia"/>
                              <w:sz w:val="18"/>
                            </w:rPr>
                          </w:pP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0.35pt;width:9.05pt;mso-position-horizontal:right;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Z9Oe7/AQAADwQAAA4AAABkcnMvZTJvRG9jLnhtbK1TTW/bMAy9D9h/&#10;EHRfHKdpsRlxiq5BhgHdB9DuB8iyHAuzRIFSYme/fpRsZ1136WEXg5bIR77Hp83tYDp2Uug12JLn&#10;iyVnykqotT2U/MfT/t17znwQthYdWFXys/L8dvv2zaZ3hVpBC12tkBGI9UXvSt6G4Ios87JVRvgF&#10;OGXpsgE0ItAvHrIaRU/opstWy+VN1gPWDkEq7+l0N17yCRFfAwhNo6XagTwaZcOIiqoTgSj5VjvP&#10;t2naplEyfGsarwLrSk5MQ/pSE4qr+M22G1EcULhWy2kE8ZoRXnAyQltqeoHaiSDYEfU/UEZLBA9N&#10;WEgw2UgkKUIs8uULbR5b4VTiQlJ7dxHd/z9Y+fX0HZmuS37DmRWGFv6khsA+wsBWUZ3e+YKSHh2l&#10;hYGOyTOJqXcPIH96ZuG+Ffag7hChb5Woabo8VmbPSkccH0Gq/gvU1EYcAySgoUETpSMxGKHTZs6X&#10;zcRRZGyZrz9cXXMm6Sq/ytfr69RBFHOxQx8+KTAsBiVHWnwCF6cHH+IwophTYi8Le911afmd/euA&#10;EscTldwzVUcqcfqRRxiqYZKmgvpMpBBGZ9G7oqAF/MVZT64quaVHxFn32ZIs0YBzgHNQzYGwkgpL&#10;Hjgbw/swGvXoUB9awp2FvyPp9jrRioONM0yCk08S28nT0YjP/1PWn3e8/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5X5J0AAAAAMBAAAPAAAAAAAAAAEAIAAAACIAAABkcnMvZG93bnJldi54bWxQ&#10;SwECFAAUAAAACACHTuJAFn057v8BAAAPBAAADgAAAAAAAAABACAAAAAfAQAAZHJzL2Uyb0RvYy54&#10;bWxQSwUGAAAAAAYABgBZAQAAkAUAAAAA&#10;">
              <v:fill on="f" focussize="0,0"/>
              <v:stroke on="f"/>
              <v:imagedata o:title=""/>
              <o:lock v:ext="edit" aspectratio="f"/>
              <v:textbox inset="0mm,0mm,0mm,0mm" style="mso-fit-shape-to-text:t;">
                <w:txbxContent>
                  <w:p w14:paraId="2D326516">
                    <w:pPr>
                      <w:snapToGrid w:val="0"/>
                      <w:rPr>
                        <w:rFonts w:hint="eastAsia"/>
                        <w:sz w:val="18"/>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F080">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DC9D">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1">
    <w:nsid w:val="26A53406"/>
    <w:multiLevelType w:val="singleLevel"/>
    <w:tmpl w:val="26A53406"/>
    <w:lvl w:ilvl="0" w:tentative="0">
      <w:start w:val="1"/>
      <w:numFmt w:val="decimal"/>
      <w:lvlText w:val="%1."/>
      <w:lvlJc w:val="left"/>
      <w:pPr>
        <w:tabs>
          <w:tab w:val="left" w:pos="312"/>
        </w:tabs>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8"/>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3">
    <w:nsid w:val="3B5BAEAB"/>
    <w:multiLevelType w:val="singleLevel"/>
    <w:tmpl w:val="3B5BAEAB"/>
    <w:lvl w:ilvl="0" w:tentative="0">
      <w:start w:val="1"/>
      <w:numFmt w:val="chineseCounting"/>
      <w:suff w:val="space"/>
      <w:lvlText w:val="第%1章"/>
      <w:lvlJc w:val="left"/>
      <w:rPr>
        <w:rFonts w:hint="eastAsia"/>
      </w:rPr>
    </w:lvl>
  </w:abstractNum>
  <w:abstractNum w:abstractNumId="4">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2"/>
  </w:num>
  <w:num w:numId="2">
    <w:abstractNumId w:val="0"/>
  </w:num>
  <w:num w:numId="3">
    <w:abstractNumId w:val="3"/>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formatting="1" w:enforcement="0"/>
  <w:defaultTabStop w:val="42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1MGVjZGFkMzhiNGMyZWRlYzFiNjExMDViMmQzNWQifQ=="/>
  </w:docVars>
  <w:rsids>
    <w:rsidRoot w:val="00F9008B"/>
    <w:rsid w:val="0000010C"/>
    <w:rsid w:val="000002F9"/>
    <w:rsid w:val="00000364"/>
    <w:rsid w:val="00000D21"/>
    <w:rsid w:val="00000FE0"/>
    <w:rsid w:val="00001068"/>
    <w:rsid w:val="000010B8"/>
    <w:rsid w:val="0000114A"/>
    <w:rsid w:val="00001731"/>
    <w:rsid w:val="00001C2D"/>
    <w:rsid w:val="00001C55"/>
    <w:rsid w:val="00001CA8"/>
    <w:rsid w:val="00001FAE"/>
    <w:rsid w:val="00002291"/>
    <w:rsid w:val="00002644"/>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5C8"/>
    <w:rsid w:val="00020607"/>
    <w:rsid w:val="0002103A"/>
    <w:rsid w:val="000217E4"/>
    <w:rsid w:val="00021852"/>
    <w:rsid w:val="00021A12"/>
    <w:rsid w:val="00022622"/>
    <w:rsid w:val="00023363"/>
    <w:rsid w:val="000235F3"/>
    <w:rsid w:val="00023644"/>
    <w:rsid w:val="00023712"/>
    <w:rsid w:val="0002476C"/>
    <w:rsid w:val="00024E3C"/>
    <w:rsid w:val="00024EB0"/>
    <w:rsid w:val="00024EC8"/>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2CE5"/>
    <w:rsid w:val="0003304A"/>
    <w:rsid w:val="0003317E"/>
    <w:rsid w:val="00033413"/>
    <w:rsid w:val="000337F3"/>
    <w:rsid w:val="00034C27"/>
    <w:rsid w:val="00034E2A"/>
    <w:rsid w:val="0003577F"/>
    <w:rsid w:val="000361E7"/>
    <w:rsid w:val="00036466"/>
    <w:rsid w:val="0003675E"/>
    <w:rsid w:val="00037354"/>
    <w:rsid w:val="00037633"/>
    <w:rsid w:val="00037E9E"/>
    <w:rsid w:val="00037F87"/>
    <w:rsid w:val="00037FA2"/>
    <w:rsid w:val="000400D0"/>
    <w:rsid w:val="0004044E"/>
    <w:rsid w:val="000425AC"/>
    <w:rsid w:val="00042F4A"/>
    <w:rsid w:val="00043BE5"/>
    <w:rsid w:val="00044003"/>
    <w:rsid w:val="00044527"/>
    <w:rsid w:val="0004469E"/>
    <w:rsid w:val="00044897"/>
    <w:rsid w:val="00044ACF"/>
    <w:rsid w:val="00044D83"/>
    <w:rsid w:val="00044E06"/>
    <w:rsid w:val="00045258"/>
    <w:rsid w:val="000454F4"/>
    <w:rsid w:val="00045670"/>
    <w:rsid w:val="00045D1E"/>
    <w:rsid w:val="00045E69"/>
    <w:rsid w:val="00045EF4"/>
    <w:rsid w:val="00046547"/>
    <w:rsid w:val="000466D7"/>
    <w:rsid w:val="00046753"/>
    <w:rsid w:val="00047254"/>
    <w:rsid w:val="000472FD"/>
    <w:rsid w:val="0005022B"/>
    <w:rsid w:val="00050771"/>
    <w:rsid w:val="000513F3"/>
    <w:rsid w:val="00052287"/>
    <w:rsid w:val="000522E0"/>
    <w:rsid w:val="00052609"/>
    <w:rsid w:val="000532F4"/>
    <w:rsid w:val="000536AE"/>
    <w:rsid w:val="00054CD5"/>
    <w:rsid w:val="00054D03"/>
    <w:rsid w:val="0005500B"/>
    <w:rsid w:val="000550AC"/>
    <w:rsid w:val="0005580E"/>
    <w:rsid w:val="0005584D"/>
    <w:rsid w:val="00055CC3"/>
    <w:rsid w:val="00055CEE"/>
    <w:rsid w:val="000560F8"/>
    <w:rsid w:val="000566FA"/>
    <w:rsid w:val="00056A2B"/>
    <w:rsid w:val="00056ADC"/>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3587"/>
    <w:rsid w:val="00063BE6"/>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A09"/>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789"/>
    <w:rsid w:val="00085C12"/>
    <w:rsid w:val="00085DA0"/>
    <w:rsid w:val="00085F82"/>
    <w:rsid w:val="00086506"/>
    <w:rsid w:val="00086B6E"/>
    <w:rsid w:val="00086C64"/>
    <w:rsid w:val="00086E15"/>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3C5"/>
    <w:rsid w:val="00095B82"/>
    <w:rsid w:val="00096098"/>
    <w:rsid w:val="000961C5"/>
    <w:rsid w:val="000968AF"/>
    <w:rsid w:val="000969D9"/>
    <w:rsid w:val="00096F37"/>
    <w:rsid w:val="00097036"/>
    <w:rsid w:val="00097FE5"/>
    <w:rsid w:val="000A0354"/>
    <w:rsid w:val="000A091F"/>
    <w:rsid w:val="000A0958"/>
    <w:rsid w:val="000A0FCC"/>
    <w:rsid w:val="000A1033"/>
    <w:rsid w:val="000A12F3"/>
    <w:rsid w:val="000A2712"/>
    <w:rsid w:val="000A2877"/>
    <w:rsid w:val="000A2D31"/>
    <w:rsid w:val="000A355D"/>
    <w:rsid w:val="000A35DA"/>
    <w:rsid w:val="000A371E"/>
    <w:rsid w:val="000A3DE5"/>
    <w:rsid w:val="000A3E35"/>
    <w:rsid w:val="000A4011"/>
    <w:rsid w:val="000A4397"/>
    <w:rsid w:val="000A45D5"/>
    <w:rsid w:val="000A490E"/>
    <w:rsid w:val="000A5B49"/>
    <w:rsid w:val="000A5FE5"/>
    <w:rsid w:val="000A688F"/>
    <w:rsid w:val="000A7218"/>
    <w:rsid w:val="000A740A"/>
    <w:rsid w:val="000A7446"/>
    <w:rsid w:val="000A7A56"/>
    <w:rsid w:val="000A7E7F"/>
    <w:rsid w:val="000A7ECD"/>
    <w:rsid w:val="000B0379"/>
    <w:rsid w:val="000B04DD"/>
    <w:rsid w:val="000B0AE4"/>
    <w:rsid w:val="000B0F01"/>
    <w:rsid w:val="000B1079"/>
    <w:rsid w:val="000B1346"/>
    <w:rsid w:val="000B1795"/>
    <w:rsid w:val="000B1914"/>
    <w:rsid w:val="000B1926"/>
    <w:rsid w:val="000B19DC"/>
    <w:rsid w:val="000B1C6B"/>
    <w:rsid w:val="000B1CA2"/>
    <w:rsid w:val="000B202E"/>
    <w:rsid w:val="000B2293"/>
    <w:rsid w:val="000B24A4"/>
    <w:rsid w:val="000B255A"/>
    <w:rsid w:val="000B255C"/>
    <w:rsid w:val="000B292B"/>
    <w:rsid w:val="000B395E"/>
    <w:rsid w:val="000B39C3"/>
    <w:rsid w:val="000B3A00"/>
    <w:rsid w:val="000B3BFD"/>
    <w:rsid w:val="000B4840"/>
    <w:rsid w:val="000B4AFB"/>
    <w:rsid w:val="000B4D79"/>
    <w:rsid w:val="000B5627"/>
    <w:rsid w:val="000B5671"/>
    <w:rsid w:val="000B602E"/>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A71"/>
    <w:rsid w:val="000C4E24"/>
    <w:rsid w:val="000C5C4A"/>
    <w:rsid w:val="000C5F01"/>
    <w:rsid w:val="000C6079"/>
    <w:rsid w:val="000C63C4"/>
    <w:rsid w:val="000C66C1"/>
    <w:rsid w:val="000C69A6"/>
    <w:rsid w:val="000C6F0B"/>
    <w:rsid w:val="000C6F32"/>
    <w:rsid w:val="000C6F79"/>
    <w:rsid w:val="000C708E"/>
    <w:rsid w:val="000C778C"/>
    <w:rsid w:val="000C7833"/>
    <w:rsid w:val="000C7DFB"/>
    <w:rsid w:val="000C7E1B"/>
    <w:rsid w:val="000C7E73"/>
    <w:rsid w:val="000D001B"/>
    <w:rsid w:val="000D0A45"/>
    <w:rsid w:val="000D0ECE"/>
    <w:rsid w:val="000D136E"/>
    <w:rsid w:val="000D14AC"/>
    <w:rsid w:val="000D15BA"/>
    <w:rsid w:val="000D1606"/>
    <w:rsid w:val="000D2C9B"/>
    <w:rsid w:val="000D35FD"/>
    <w:rsid w:val="000D39FB"/>
    <w:rsid w:val="000D3D2D"/>
    <w:rsid w:val="000D3D9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D7E23"/>
    <w:rsid w:val="000E042A"/>
    <w:rsid w:val="000E04D6"/>
    <w:rsid w:val="000E0644"/>
    <w:rsid w:val="000E076D"/>
    <w:rsid w:val="000E0CD2"/>
    <w:rsid w:val="000E0CD5"/>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5F12"/>
    <w:rsid w:val="000E65D2"/>
    <w:rsid w:val="000E6919"/>
    <w:rsid w:val="000E6B1B"/>
    <w:rsid w:val="000E6F0C"/>
    <w:rsid w:val="000E732D"/>
    <w:rsid w:val="000E7359"/>
    <w:rsid w:val="000F07ED"/>
    <w:rsid w:val="000F0CF2"/>
    <w:rsid w:val="000F14F6"/>
    <w:rsid w:val="000F1A32"/>
    <w:rsid w:val="000F1CC2"/>
    <w:rsid w:val="000F1D15"/>
    <w:rsid w:val="000F270A"/>
    <w:rsid w:val="000F27E3"/>
    <w:rsid w:val="000F34C8"/>
    <w:rsid w:val="000F38BC"/>
    <w:rsid w:val="000F3E2A"/>
    <w:rsid w:val="000F4D26"/>
    <w:rsid w:val="000F5639"/>
    <w:rsid w:val="000F58A4"/>
    <w:rsid w:val="000F6833"/>
    <w:rsid w:val="000F6A24"/>
    <w:rsid w:val="000F7603"/>
    <w:rsid w:val="000F7616"/>
    <w:rsid w:val="000F7DE9"/>
    <w:rsid w:val="000F7F7A"/>
    <w:rsid w:val="0010004B"/>
    <w:rsid w:val="001002F4"/>
    <w:rsid w:val="001011FC"/>
    <w:rsid w:val="0010165F"/>
    <w:rsid w:val="001018C1"/>
    <w:rsid w:val="00101E7C"/>
    <w:rsid w:val="00102260"/>
    <w:rsid w:val="001023DC"/>
    <w:rsid w:val="0010256D"/>
    <w:rsid w:val="00102572"/>
    <w:rsid w:val="001028BB"/>
    <w:rsid w:val="00102946"/>
    <w:rsid w:val="00102FBF"/>
    <w:rsid w:val="0010333D"/>
    <w:rsid w:val="0010372A"/>
    <w:rsid w:val="00103F41"/>
    <w:rsid w:val="00104E77"/>
    <w:rsid w:val="00104F34"/>
    <w:rsid w:val="00104F3E"/>
    <w:rsid w:val="001053C5"/>
    <w:rsid w:val="001055AD"/>
    <w:rsid w:val="0010593C"/>
    <w:rsid w:val="00105C14"/>
    <w:rsid w:val="00105C28"/>
    <w:rsid w:val="001065A3"/>
    <w:rsid w:val="0010691D"/>
    <w:rsid w:val="00106B33"/>
    <w:rsid w:val="00106E69"/>
    <w:rsid w:val="00106FAB"/>
    <w:rsid w:val="00110764"/>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05F"/>
    <w:rsid w:val="001153EF"/>
    <w:rsid w:val="00115965"/>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3EA"/>
    <w:rsid w:val="00125B99"/>
    <w:rsid w:val="00126160"/>
    <w:rsid w:val="00126DB5"/>
    <w:rsid w:val="00127178"/>
    <w:rsid w:val="0012755B"/>
    <w:rsid w:val="00127D2B"/>
    <w:rsid w:val="00127F09"/>
    <w:rsid w:val="0013002A"/>
    <w:rsid w:val="0013085D"/>
    <w:rsid w:val="0013089C"/>
    <w:rsid w:val="00130A2D"/>
    <w:rsid w:val="00130F54"/>
    <w:rsid w:val="00131888"/>
    <w:rsid w:val="00131F17"/>
    <w:rsid w:val="001323F9"/>
    <w:rsid w:val="0013251F"/>
    <w:rsid w:val="00132E1E"/>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B92"/>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4D95"/>
    <w:rsid w:val="001454B8"/>
    <w:rsid w:val="00145A17"/>
    <w:rsid w:val="00145BBE"/>
    <w:rsid w:val="00145D7F"/>
    <w:rsid w:val="001460B5"/>
    <w:rsid w:val="0014641F"/>
    <w:rsid w:val="001464A8"/>
    <w:rsid w:val="00146618"/>
    <w:rsid w:val="001467BB"/>
    <w:rsid w:val="00146AB3"/>
    <w:rsid w:val="00146CA8"/>
    <w:rsid w:val="001472A5"/>
    <w:rsid w:val="00147884"/>
    <w:rsid w:val="00150669"/>
    <w:rsid w:val="00150827"/>
    <w:rsid w:val="00150B0D"/>
    <w:rsid w:val="00151E31"/>
    <w:rsid w:val="00151F9B"/>
    <w:rsid w:val="00151FB1"/>
    <w:rsid w:val="00152095"/>
    <w:rsid w:val="00152289"/>
    <w:rsid w:val="00152425"/>
    <w:rsid w:val="00152BAD"/>
    <w:rsid w:val="00152CE3"/>
    <w:rsid w:val="00153633"/>
    <w:rsid w:val="00153652"/>
    <w:rsid w:val="00153697"/>
    <w:rsid w:val="00153956"/>
    <w:rsid w:val="00153B95"/>
    <w:rsid w:val="00154146"/>
    <w:rsid w:val="00154190"/>
    <w:rsid w:val="001545EA"/>
    <w:rsid w:val="001548F2"/>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8D6"/>
    <w:rsid w:val="00164E0A"/>
    <w:rsid w:val="0016520F"/>
    <w:rsid w:val="001652D7"/>
    <w:rsid w:val="0016596E"/>
    <w:rsid w:val="00165A5F"/>
    <w:rsid w:val="00166223"/>
    <w:rsid w:val="00166492"/>
    <w:rsid w:val="001670D8"/>
    <w:rsid w:val="0016793E"/>
    <w:rsid w:val="00167D4D"/>
    <w:rsid w:val="00167F5A"/>
    <w:rsid w:val="00170635"/>
    <w:rsid w:val="0017070D"/>
    <w:rsid w:val="00170837"/>
    <w:rsid w:val="00171035"/>
    <w:rsid w:val="001713B7"/>
    <w:rsid w:val="00171ADB"/>
    <w:rsid w:val="00172029"/>
    <w:rsid w:val="00172B84"/>
    <w:rsid w:val="001733A4"/>
    <w:rsid w:val="00173AB9"/>
    <w:rsid w:val="00173EED"/>
    <w:rsid w:val="00174368"/>
    <w:rsid w:val="001744EA"/>
    <w:rsid w:val="001745FB"/>
    <w:rsid w:val="00174D82"/>
    <w:rsid w:val="00174E44"/>
    <w:rsid w:val="00175053"/>
    <w:rsid w:val="001753B7"/>
    <w:rsid w:val="001757E7"/>
    <w:rsid w:val="00175873"/>
    <w:rsid w:val="0017592E"/>
    <w:rsid w:val="00175C59"/>
    <w:rsid w:val="001760BC"/>
    <w:rsid w:val="00176674"/>
    <w:rsid w:val="0017670B"/>
    <w:rsid w:val="00176818"/>
    <w:rsid w:val="00176B82"/>
    <w:rsid w:val="00176E3B"/>
    <w:rsid w:val="00176ECB"/>
    <w:rsid w:val="0017716E"/>
    <w:rsid w:val="0017752D"/>
    <w:rsid w:val="0017759F"/>
    <w:rsid w:val="00177832"/>
    <w:rsid w:val="00177D48"/>
    <w:rsid w:val="001801E1"/>
    <w:rsid w:val="00181178"/>
    <w:rsid w:val="0018119E"/>
    <w:rsid w:val="00181EEF"/>
    <w:rsid w:val="00181F3E"/>
    <w:rsid w:val="0018208B"/>
    <w:rsid w:val="00182575"/>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0ED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856"/>
    <w:rsid w:val="00197FFE"/>
    <w:rsid w:val="001A0D25"/>
    <w:rsid w:val="001A1570"/>
    <w:rsid w:val="001A1917"/>
    <w:rsid w:val="001A1BD5"/>
    <w:rsid w:val="001A1C64"/>
    <w:rsid w:val="001A1E7F"/>
    <w:rsid w:val="001A228D"/>
    <w:rsid w:val="001A2918"/>
    <w:rsid w:val="001A2D02"/>
    <w:rsid w:val="001A2DFE"/>
    <w:rsid w:val="001A3076"/>
    <w:rsid w:val="001A3120"/>
    <w:rsid w:val="001A31A5"/>
    <w:rsid w:val="001A389C"/>
    <w:rsid w:val="001A3B75"/>
    <w:rsid w:val="001A46FB"/>
    <w:rsid w:val="001A5878"/>
    <w:rsid w:val="001A5944"/>
    <w:rsid w:val="001A5FB1"/>
    <w:rsid w:val="001A698A"/>
    <w:rsid w:val="001A6CCC"/>
    <w:rsid w:val="001A70C8"/>
    <w:rsid w:val="001A71C9"/>
    <w:rsid w:val="001A7429"/>
    <w:rsid w:val="001A760C"/>
    <w:rsid w:val="001A799B"/>
    <w:rsid w:val="001A7AC7"/>
    <w:rsid w:val="001A7C38"/>
    <w:rsid w:val="001B02F8"/>
    <w:rsid w:val="001B0DBB"/>
    <w:rsid w:val="001B1602"/>
    <w:rsid w:val="001B2104"/>
    <w:rsid w:val="001B2255"/>
    <w:rsid w:val="001B2279"/>
    <w:rsid w:val="001B2729"/>
    <w:rsid w:val="001B2866"/>
    <w:rsid w:val="001B2881"/>
    <w:rsid w:val="001B2EEB"/>
    <w:rsid w:val="001B30D6"/>
    <w:rsid w:val="001B34A3"/>
    <w:rsid w:val="001B3675"/>
    <w:rsid w:val="001B37C8"/>
    <w:rsid w:val="001B3E0F"/>
    <w:rsid w:val="001B4B2C"/>
    <w:rsid w:val="001B4F10"/>
    <w:rsid w:val="001B5026"/>
    <w:rsid w:val="001B5154"/>
    <w:rsid w:val="001B5B75"/>
    <w:rsid w:val="001B6E30"/>
    <w:rsid w:val="001B7C83"/>
    <w:rsid w:val="001B7F9E"/>
    <w:rsid w:val="001C0206"/>
    <w:rsid w:val="001C0246"/>
    <w:rsid w:val="001C04D4"/>
    <w:rsid w:val="001C0B34"/>
    <w:rsid w:val="001C12A3"/>
    <w:rsid w:val="001C158C"/>
    <w:rsid w:val="001C17BB"/>
    <w:rsid w:val="001C187E"/>
    <w:rsid w:val="001C1A37"/>
    <w:rsid w:val="001C1C49"/>
    <w:rsid w:val="001C23D4"/>
    <w:rsid w:val="001C286F"/>
    <w:rsid w:val="001C2B86"/>
    <w:rsid w:val="001C2F54"/>
    <w:rsid w:val="001C2FBE"/>
    <w:rsid w:val="001C3308"/>
    <w:rsid w:val="001C35F3"/>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5A65"/>
    <w:rsid w:val="001D5AFA"/>
    <w:rsid w:val="001D666E"/>
    <w:rsid w:val="001D7177"/>
    <w:rsid w:val="001D756E"/>
    <w:rsid w:val="001D784A"/>
    <w:rsid w:val="001E04A4"/>
    <w:rsid w:val="001E04EE"/>
    <w:rsid w:val="001E07C5"/>
    <w:rsid w:val="001E176D"/>
    <w:rsid w:val="001E1BCE"/>
    <w:rsid w:val="001E1E05"/>
    <w:rsid w:val="001E2086"/>
    <w:rsid w:val="001E23B9"/>
    <w:rsid w:val="001E2CA7"/>
    <w:rsid w:val="001E339F"/>
    <w:rsid w:val="001E3629"/>
    <w:rsid w:val="001E3B2C"/>
    <w:rsid w:val="001E40F0"/>
    <w:rsid w:val="001E4172"/>
    <w:rsid w:val="001E4AC7"/>
    <w:rsid w:val="001E522E"/>
    <w:rsid w:val="001E5490"/>
    <w:rsid w:val="001E5513"/>
    <w:rsid w:val="001E5730"/>
    <w:rsid w:val="001E5879"/>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AA9"/>
    <w:rsid w:val="00201D06"/>
    <w:rsid w:val="00201E9F"/>
    <w:rsid w:val="00202F25"/>
    <w:rsid w:val="002035B3"/>
    <w:rsid w:val="00203929"/>
    <w:rsid w:val="00203B3D"/>
    <w:rsid w:val="00203CD6"/>
    <w:rsid w:val="00203F0A"/>
    <w:rsid w:val="00204460"/>
    <w:rsid w:val="00204987"/>
    <w:rsid w:val="002051EA"/>
    <w:rsid w:val="00205CBC"/>
    <w:rsid w:val="00205E9E"/>
    <w:rsid w:val="00206259"/>
    <w:rsid w:val="00206CE5"/>
    <w:rsid w:val="002074B7"/>
    <w:rsid w:val="0020758D"/>
    <w:rsid w:val="00207C7B"/>
    <w:rsid w:val="00211470"/>
    <w:rsid w:val="00211922"/>
    <w:rsid w:val="00211A66"/>
    <w:rsid w:val="0021213A"/>
    <w:rsid w:val="0021265F"/>
    <w:rsid w:val="002126A4"/>
    <w:rsid w:val="00213817"/>
    <w:rsid w:val="00214428"/>
    <w:rsid w:val="002145EB"/>
    <w:rsid w:val="00215834"/>
    <w:rsid w:val="00215CC2"/>
    <w:rsid w:val="00215ED8"/>
    <w:rsid w:val="002161AE"/>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E21"/>
    <w:rsid w:val="00230178"/>
    <w:rsid w:val="00231D05"/>
    <w:rsid w:val="00233343"/>
    <w:rsid w:val="002336E2"/>
    <w:rsid w:val="00233AC2"/>
    <w:rsid w:val="00233BAF"/>
    <w:rsid w:val="0023518F"/>
    <w:rsid w:val="00235420"/>
    <w:rsid w:val="002356A5"/>
    <w:rsid w:val="00235DAA"/>
    <w:rsid w:val="002365E8"/>
    <w:rsid w:val="0024065B"/>
    <w:rsid w:val="002409A6"/>
    <w:rsid w:val="00240EA5"/>
    <w:rsid w:val="00241132"/>
    <w:rsid w:val="00241205"/>
    <w:rsid w:val="002418C5"/>
    <w:rsid w:val="002419ED"/>
    <w:rsid w:val="002421FE"/>
    <w:rsid w:val="0024261D"/>
    <w:rsid w:val="00242DFB"/>
    <w:rsid w:val="00243807"/>
    <w:rsid w:val="002440AC"/>
    <w:rsid w:val="00244365"/>
    <w:rsid w:val="0024459A"/>
    <w:rsid w:val="00244771"/>
    <w:rsid w:val="00244903"/>
    <w:rsid w:val="00244AFB"/>
    <w:rsid w:val="00244BBF"/>
    <w:rsid w:val="002453DF"/>
    <w:rsid w:val="00245A81"/>
    <w:rsid w:val="00245D50"/>
    <w:rsid w:val="00246B86"/>
    <w:rsid w:val="00247335"/>
    <w:rsid w:val="002473EF"/>
    <w:rsid w:val="002477B9"/>
    <w:rsid w:val="00247B2A"/>
    <w:rsid w:val="00247CBE"/>
    <w:rsid w:val="00250100"/>
    <w:rsid w:val="00250976"/>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5E6F"/>
    <w:rsid w:val="0025615C"/>
    <w:rsid w:val="00257059"/>
    <w:rsid w:val="0025712F"/>
    <w:rsid w:val="00257395"/>
    <w:rsid w:val="00257857"/>
    <w:rsid w:val="002578DA"/>
    <w:rsid w:val="00257CBC"/>
    <w:rsid w:val="00257D01"/>
    <w:rsid w:val="002602C2"/>
    <w:rsid w:val="002602DA"/>
    <w:rsid w:val="0026040B"/>
    <w:rsid w:val="00260802"/>
    <w:rsid w:val="002609E3"/>
    <w:rsid w:val="00261223"/>
    <w:rsid w:val="002617AB"/>
    <w:rsid w:val="00261D08"/>
    <w:rsid w:val="00261DCC"/>
    <w:rsid w:val="002624D0"/>
    <w:rsid w:val="00263AE7"/>
    <w:rsid w:val="00263EC7"/>
    <w:rsid w:val="00264441"/>
    <w:rsid w:val="0026491B"/>
    <w:rsid w:val="00264A36"/>
    <w:rsid w:val="00264A99"/>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2278"/>
    <w:rsid w:val="00272432"/>
    <w:rsid w:val="00272633"/>
    <w:rsid w:val="00272CAB"/>
    <w:rsid w:val="00272FBF"/>
    <w:rsid w:val="00273A10"/>
    <w:rsid w:val="00273A58"/>
    <w:rsid w:val="00273BF9"/>
    <w:rsid w:val="00273FBB"/>
    <w:rsid w:val="00274CAB"/>
    <w:rsid w:val="00274E8A"/>
    <w:rsid w:val="0027507D"/>
    <w:rsid w:val="00275FA4"/>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2BE"/>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2DB9"/>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6BDD"/>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10B"/>
    <w:rsid w:val="002B1617"/>
    <w:rsid w:val="002B194B"/>
    <w:rsid w:val="002B1D11"/>
    <w:rsid w:val="002B273B"/>
    <w:rsid w:val="002B29AA"/>
    <w:rsid w:val="002B2A7E"/>
    <w:rsid w:val="002B2F1B"/>
    <w:rsid w:val="002B4A32"/>
    <w:rsid w:val="002B4C6B"/>
    <w:rsid w:val="002B5AFB"/>
    <w:rsid w:val="002B5F09"/>
    <w:rsid w:val="002B6320"/>
    <w:rsid w:val="002B66AC"/>
    <w:rsid w:val="002B6852"/>
    <w:rsid w:val="002B77E1"/>
    <w:rsid w:val="002C0714"/>
    <w:rsid w:val="002C0A96"/>
    <w:rsid w:val="002C10A8"/>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0B8"/>
    <w:rsid w:val="002C7193"/>
    <w:rsid w:val="002C7699"/>
    <w:rsid w:val="002C7A49"/>
    <w:rsid w:val="002C7B1A"/>
    <w:rsid w:val="002D0128"/>
    <w:rsid w:val="002D0E85"/>
    <w:rsid w:val="002D0FA7"/>
    <w:rsid w:val="002D12FB"/>
    <w:rsid w:val="002D1306"/>
    <w:rsid w:val="002D172B"/>
    <w:rsid w:val="002D19D1"/>
    <w:rsid w:val="002D1F35"/>
    <w:rsid w:val="002D1F5F"/>
    <w:rsid w:val="002D1FA3"/>
    <w:rsid w:val="002D20CD"/>
    <w:rsid w:val="002D235B"/>
    <w:rsid w:val="002D23C6"/>
    <w:rsid w:val="002D24F0"/>
    <w:rsid w:val="002D25EB"/>
    <w:rsid w:val="002D29F3"/>
    <w:rsid w:val="002D2C75"/>
    <w:rsid w:val="002D3126"/>
    <w:rsid w:val="002D3529"/>
    <w:rsid w:val="002D3BB2"/>
    <w:rsid w:val="002D3D0A"/>
    <w:rsid w:val="002D4770"/>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08"/>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E7DE8"/>
    <w:rsid w:val="002F0F36"/>
    <w:rsid w:val="002F1276"/>
    <w:rsid w:val="002F1986"/>
    <w:rsid w:val="002F1E5F"/>
    <w:rsid w:val="002F2A49"/>
    <w:rsid w:val="002F2CB9"/>
    <w:rsid w:val="002F3550"/>
    <w:rsid w:val="002F3B63"/>
    <w:rsid w:val="002F3C56"/>
    <w:rsid w:val="002F46B0"/>
    <w:rsid w:val="002F4B17"/>
    <w:rsid w:val="002F5150"/>
    <w:rsid w:val="002F5463"/>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380"/>
    <w:rsid w:val="00301392"/>
    <w:rsid w:val="00301E89"/>
    <w:rsid w:val="00302052"/>
    <w:rsid w:val="00302142"/>
    <w:rsid w:val="00302169"/>
    <w:rsid w:val="00302612"/>
    <w:rsid w:val="00302C92"/>
    <w:rsid w:val="00303254"/>
    <w:rsid w:val="00303B08"/>
    <w:rsid w:val="00303E50"/>
    <w:rsid w:val="0030408D"/>
    <w:rsid w:val="003044D9"/>
    <w:rsid w:val="00304D8A"/>
    <w:rsid w:val="00305216"/>
    <w:rsid w:val="0030555B"/>
    <w:rsid w:val="00305BFD"/>
    <w:rsid w:val="003061F5"/>
    <w:rsid w:val="00306D27"/>
    <w:rsid w:val="0030739C"/>
    <w:rsid w:val="00310D51"/>
    <w:rsid w:val="00311AAC"/>
    <w:rsid w:val="00311B36"/>
    <w:rsid w:val="00311C92"/>
    <w:rsid w:val="003133AE"/>
    <w:rsid w:val="00313414"/>
    <w:rsid w:val="0031371B"/>
    <w:rsid w:val="00313F2D"/>
    <w:rsid w:val="00314156"/>
    <w:rsid w:val="00314B91"/>
    <w:rsid w:val="00315081"/>
    <w:rsid w:val="0031535B"/>
    <w:rsid w:val="00316324"/>
    <w:rsid w:val="003170F4"/>
    <w:rsid w:val="0031750F"/>
    <w:rsid w:val="00320291"/>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4BEB"/>
    <w:rsid w:val="0032522F"/>
    <w:rsid w:val="003253C4"/>
    <w:rsid w:val="0032550F"/>
    <w:rsid w:val="00325992"/>
    <w:rsid w:val="00325B74"/>
    <w:rsid w:val="0032638F"/>
    <w:rsid w:val="00326B59"/>
    <w:rsid w:val="003272C6"/>
    <w:rsid w:val="0032746C"/>
    <w:rsid w:val="003276B4"/>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459A"/>
    <w:rsid w:val="003350E9"/>
    <w:rsid w:val="003351BA"/>
    <w:rsid w:val="0033520F"/>
    <w:rsid w:val="00335519"/>
    <w:rsid w:val="0033596B"/>
    <w:rsid w:val="00335A93"/>
    <w:rsid w:val="00335B37"/>
    <w:rsid w:val="0033650E"/>
    <w:rsid w:val="003366EF"/>
    <w:rsid w:val="00336907"/>
    <w:rsid w:val="003369DF"/>
    <w:rsid w:val="00336C71"/>
    <w:rsid w:val="00336D96"/>
    <w:rsid w:val="00336DFC"/>
    <w:rsid w:val="00337230"/>
    <w:rsid w:val="00337588"/>
    <w:rsid w:val="003377D0"/>
    <w:rsid w:val="00337D75"/>
    <w:rsid w:val="00337FA2"/>
    <w:rsid w:val="00340020"/>
    <w:rsid w:val="0034081A"/>
    <w:rsid w:val="00341162"/>
    <w:rsid w:val="00341866"/>
    <w:rsid w:val="00341D7E"/>
    <w:rsid w:val="00341DAF"/>
    <w:rsid w:val="00342181"/>
    <w:rsid w:val="003432E4"/>
    <w:rsid w:val="0034339B"/>
    <w:rsid w:val="00343560"/>
    <w:rsid w:val="00343A20"/>
    <w:rsid w:val="00343BA6"/>
    <w:rsid w:val="0034402B"/>
    <w:rsid w:val="0034449E"/>
    <w:rsid w:val="0034487C"/>
    <w:rsid w:val="00344D46"/>
    <w:rsid w:val="0034621B"/>
    <w:rsid w:val="003465A5"/>
    <w:rsid w:val="00346817"/>
    <w:rsid w:val="00347440"/>
    <w:rsid w:val="003475EA"/>
    <w:rsid w:val="0034792D"/>
    <w:rsid w:val="00347A27"/>
    <w:rsid w:val="00347CD4"/>
    <w:rsid w:val="00350A55"/>
    <w:rsid w:val="00350DF8"/>
    <w:rsid w:val="00351A8A"/>
    <w:rsid w:val="00351AFB"/>
    <w:rsid w:val="00352541"/>
    <w:rsid w:val="0035266A"/>
    <w:rsid w:val="00352700"/>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6B0C"/>
    <w:rsid w:val="00357424"/>
    <w:rsid w:val="0036101A"/>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B74"/>
    <w:rsid w:val="00363DDC"/>
    <w:rsid w:val="00363E41"/>
    <w:rsid w:val="00363ED8"/>
    <w:rsid w:val="00363FD2"/>
    <w:rsid w:val="003644D0"/>
    <w:rsid w:val="003651F5"/>
    <w:rsid w:val="0036572E"/>
    <w:rsid w:val="003663D9"/>
    <w:rsid w:val="003666BF"/>
    <w:rsid w:val="00366707"/>
    <w:rsid w:val="00366C79"/>
    <w:rsid w:val="00366FA9"/>
    <w:rsid w:val="00367E49"/>
    <w:rsid w:val="003700E6"/>
    <w:rsid w:val="00371C86"/>
    <w:rsid w:val="0037236C"/>
    <w:rsid w:val="003729DE"/>
    <w:rsid w:val="003735D3"/>
    <w:rsid w:val="0037386D"/>
    <w:rsid w:val="00373956"/>
    <w:rsid w:val="00373F1E"/>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6869"/>
    <w:rsid w:val="0038709E"/>
    <w:rsid w:val="00387D30"/>
    <w:rsid w:val="00390A4D"/>
    <w:rsid w:val="00391753"/>
    <w:rsid w:val="00391C7F"/>
    <w:rsid w:val="00392454"/>
    <w:rsid w:val="00392A6C"/>
    <w:rsid w:val="00392C85"/>
    <w:rsid w:val="00392FD8"/>
    <w:rsid w:val="00393A99"/>
    <w:rsid w:val="00393E11"/>
    <w:rsid w:val="00394475"/>
    <w:rsid w:val="00394C48"/>
    <w:rsid w:val="0039517A"/>
    <w:rsid w:val="00395B51"/>
    <w:rsid w:val="00396796"/>
    <w:rsid w:val="00396B28"/>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4E6F"/>
    <w:rsid w:val="003A595F"/>
    <w:rsid w:val="003A5EEC"/>
    <w:rsid w:val="003A79AE"/>
    <w:rsid w:val="003A7CA3"/>
    <w:rsid w:val="003B00B6"/>
    <w:rsid w:val="003B01C4"/>
    <w:rsid w:val="003B0BB0"/>
    <w:rsid w:val="003B11EE"/>
    <w:rsid w:val="003B1332"/>
    <w:rsid w:val="003B15F8"/>
    <w:rsid w:val="003B18EB"/>
    <w:rsid w:val="003B1D0D"/>
    <w:rsid w:val="003B230B"/>
    <w:rsid w:val="003B23BC"/>
    <w:rsid w:val="003B2DB5"/>
    <w:rsid w:val="003B2F05"/>
    <w:rsid w:val="003B3966"/>
    <w:rsid w:val="003B39B7"/>
    <w:rsid w:val="003B4EB0"/>
    <w:rsid w:val="003B5F6A"/>
    <w:rsid w:val="003B6B7F"/>
    <w:rsid w:val="003B7820"/>
    <w:rsid w:val="003B7D8C"/>
    <w:rsid w:val="003C01A4"/>
    <w:rsid w:val="003C0219"/>
    <w:rsid w:val="003C07FE"/>
    <w:rsid w:val="003C0C12"/>
    <w:rsid w:val="003C16EE"/>
    <w:rsid w:val="003C1C87"/>
    <w:rsid w:val="003C2C85"/>
    <w:rsid w:val="003C2F61"/>
    <w:rsid w:val="003C345E"/>
    <w:rsid w:val="003C4409"/>
    <w:rsid w:val="003C474B"/>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4AE"/>
    <w:rsid w:val="003D16EF"/>
    <w:rsid w:val="003D1816"/>
    <w:rsid w:val="003D191E"/>
    <w:rsid w:val="003D22A5"/>
    <w:rsid w:val="003D22C7"/>
    <w:rsid w:val="003D23A4"/>
    <w:rsid w:val="003D3414"/>
    <w:rsid w:val="003D3426"/>
    <w:rsid w:val="003D353F"/>
    <w:rsid w:val="003D3721"/>
    <w:rsid w:val="003D46BA"/>
    <w:rsid w:val="003D590A"/>
    <w:rsid w:val="003D5F4D"/>
    <w:rsid w:val="003D6722"/>
    <w:rsid w:val="003D69AE"/>
    <w:rsid w:val="003D6E60"/>
    <w:rsid w:val="003D7428"/>
    <w:rsid w:val="003D77F2"/>
    <w:rsid w:val="003D78CC"/>
    <w:rsid w:val="003D7901"/>
    <w:rsid w:val="003D7D01"/>
    <w:rsid w:val="003D7E28"/>
    <w:rsid w:val="003D7ED8"/>
    <w:rsid w:val="003E0003"/>
    <w:rsid w:val="003E0099"/>
    <w:rsid w:val="003E08C7"/>
    <w:rsid w:val="003E0992"/>
    <w:rsid w:val="003E1A72"/>
    <w:rsid w:val="003E2603"/>
    <w:rsid w:val="003E2880"/>
    <w:rsid w:val="003E28FB"/>
    <w:rsid w:val="003E2A00"/>
    <w:rsid w:val="003E382C"/>
    <w:rsid w:val="003E3D00"/>
    <w:rsid w:val="003E3FD6"/>
    <w:rsid w:val="003E4531"/>
    <w:rsid w:val="003E4771"/>
    <w:rsid w:val="003E4DE4"/>
    <w:rsid w:val="003E54A8"/>
    <w:rsid w:val="003E550E"/>
    <w:rsid w:val="003E5833"/>
    <w:rsid w:val="003E5DA8"/>
    <w:rsid w:val="003E7109"/>
    <w:rsid w:val="003E75B1"/>
    <w:rsid w:val="003E77DC"/>
    <w:rsid w:val="003E7BC1"/>
    <w:rsid w:val="003F02C6"/>
    <w:rsid w:val="003F0453"/>
    <w:rsid w:val="003F097D"/>
    <w:rsid w:val="003F0C9F"/>
    <w:rsid w:val="003F144A"/>
    <w:rsid w:val="003F1B02"/>
    <w:rsid w:val="003F1EFE"/>
    <w:rsid w:val="003F1FB5"/>
    <w:rsid w:val="003F2212"/>
    <w:rsid w:val="003F2240"/>
    <w:rsid w:val="003F2460"/>
    <w:rsid w:val="003F2BD1"/>
    <w:rsid w:val="003F2E7B"/>
    <w:rsid w:val="003F3932"/>
    <w:rsid w:val="003F39C7"/>
    <w:rsid w:val="003F3CD5"/>
    <w:rsid w:val="003F4473"/>
    <w:rsid w:val="003F4CF5"/>
    <w:rsid w:val="003F4E31"/>
    <w:rsid w:val="003F51EE"/>
    <w:rsid w:val="003F574E"/>
    <w:rsid w:val="003F60C9"/>
    <w:rsid w:val="003F60D6"/>
    <w:rsid w:val="003F68E9"/>
    <w:rsid w:val="003F73EA"/>
    <w:rsid w:val="003F7E15"/>
    <w:rsid w:val="003F7FDA"/>
    <w:rsid w:val="00400623"/>
    <w:rsid w:val="00400DE4"/>
    <w:rsid w:val="004013AD"/>
    <w:rsid w:val="004021C0"/>
    <w:rsid w:val="004025B5"/>
    <w:rsid w:val="004028CE"/>
    <w:rsid w:val="0040313D"/>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66C"/>
    <w:rsid w:val="00415773"/>
    <w:rsid w:val="00415CAE"/>
    <w:rsid w:val="00415EE7"/>
    <w:rsid w:val="004160FA"/>
    <w:rsid w:val="004161E9"/>
    <w:rsid w:val="004164AE"/>
    <w:rsid w:val="0041669E"/>
    <w:rsid w:val="00416ACA"/>
    <w:rsid w:val="00416C56"/>
    <w:rsid w:val="00417294"/>
    <w:rsid w:val="004176B8"/>
    <w:rsid w:val="00417B99"/>
    <w:rsid w:val="00417CE0"/>
    <w:rsid w:val="004209D5"/>
    <w:rsid w:val="00420FAF"/>
    <w:rsid w:val="00421184"/>
    <w:rsid w:val="004212C1"/>
    <w:rsid w:val="004214B7"/>
    <w:rsid w:val="00421988"/>
    <w:rsid w:val="00421FB5"/>
    <w:rsid w:val="0042219F"/>
    <w:rsid w:val="004226ED"/>
    <w:rsid w:val="00422AF4"/>
    <w:rsid w:val="004235F4"/>
    <w:rsid w:val="004236C9"/>
    <w:rsid w:val="00423CF3"/>
    <w:rsid w:val="00423E18"/>
    <w:rsid w:val="00424B7C"/>
    <w:rsid w:val="0042500C"/>
    <w:rsid w:val="00425514"/>
    <w:rsid w:val="00425570"/>
    <w:rsid w:val="004256BD"/>
    <w:rsid w:val="00425863"/>
    <w:rsid w:val="00425D02"/>
    <w:rsid w:val="00425EDC"/>
    <w:rsid w:val="00426C3E"/>
    <w:rsid w:val="004275CD"/>
    <w:rsid w:val="0042788C"/>
    <w:rsid w:val="00427FEB"/>
    <w:rsid w:val="00427FF2"/>
    <w:rsid w:val="004305C0"/>
    <w:rsid w:val="00430B20"/>
    <w:rsid w:val="00430B6C"/>
    <w:rsid w:val="0043135D"/>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463F"/>
    <w:rsid w:val="00445CBA"/>
    <w:rsid w:val="004463CB"/>
    <w:rsid w:val="004466F7"/>
    <w:rsid w:val="00446858"/>
    <w:rsid w:val="00447304"/>
    <w:rsid w:val="00450127"/>
    <w:rsid w:val="0045075F"/>
    <w:rsid w:val="004516AD"/>
    <w:rsid w:val="00451E84"/>
    <w:rsid w:val="00451EA3"/>
    <w:rsid w:val="00451F01"/>
    <w:rsid w:val="00452089"/>
    <w:rsid w:val="00453120"/>
    <w:rsid w:val="00453349"/>
    <w:rsid w:val="004546A7"/>
    <w:rsid w:val="00454831"/>
    <w:rsid w:val="004548DF"/>
    <w:rsid w:val="00455B98"/>
    <w:rsid w:val="00455E25"/>
    <w:rsid w:val="00456A08"/>
    <w:rsid w:val="00456CC0"/>
    <w:rsid w:val="0045755C"/>
    <w:rsid w:val="00457933"/>
    <w:rsid w:val="00457A6F"/>
    <w:rsid w:val="00457C78"/>
    <w:rsid w:val="00460136"/>
    <w:rsid w:val="0046071A"/>
    <w:rsid w:val="00460735"/>
    <w:rsid w:val="00460919"/>
    <w:rsid w:val="00460AD5"/>
    <w:rsid w:val="00460EB8"/>
    <w:rsid w:val="00461090"/>
    <w:rsid w:val="004611D5"/>
    <w:rsid w:val="004617D8"/>
    <w:rsid w:val="00461991"/>
    <w:rsid w:val="00461A6B"/>
    <w:rsid w:val="00461C43"/>
    <w:rsid w:val="00462125"/>
    <w:rsid w:val="00463216"/>
    <w:rsid w:val="0046334D"/>
    <w:rsid w:val="0046382E"/>
    <w:rsid w:val="00463848"/>
    <w:rsid w:val="00463BBF"/>
    <w:rsid w:val="00463C95"/>
    <w:rsid w:val="00463E1C"/>
    <w:rsid w:val="00464052"/>
    <w:rsid w:val="004640FB"/>
    <w:rsid w:val="00464C9C"/>
    <w:rsid w:val="00464CAF"/>
    <w:rsid w:val="00464E23"/>
    <w:rsid w:val="00465153"/>
    <w:rsid w:val="00465602"/>
    <w:rsid w:val="004669A6"/>
    <w:rsid w:val="00466AFD"/>
    <w:rsid w:val="00466E99"/>
    <w:rsid w:val="00467D85"/>
    <w:rsid w:val="00470563"/>
    <w:rsid w:val="00470696"/>
    <w:rsid w:val="004713A0"/>
    <w:rsid w:val="004724C9"/>
    <w:rsid w:val="00472585"/>
    <w:rsid w:val="004729FD"/>
    <w:rsid w:val="00473045"/>
    <w:rsid w:val="00473451"/>
    <w:rsid w:val="00474130"/>
    <w:rsid w:val="00475498"/>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40F"/>
    <w:rsid w:val="0048384A"/>
    <w:rsid w:val="0048423C"/>
    <w:rsid w:val="00484449"/>
    <w:rsid w:val="004845A6"/>
    <w:rsid w:val="00484C71"/>
    <w:rsid w:val="004852CE"/>
    <w:rsid w:val="0048540C"/>
    <w:rsid w:val="0048561D"/>
    <w:rsid w:val="00485E2F"/>
    <w:rsid w:val="00485EDD"/>
    <w:rsid w:val="00485F92"/>
    <w:rsid w:val="004860BD"/>
    <w:rsid w:val="004866E1"/>
    <w:rsid w:val="00486C72"/>
    <w:rsid w:val="0049030D"/>
    <w:rsid w:val="0049042A"/>
    <w:rsid w:val="00490954"/>
    <w:rsid w:val="004921DC"/>
    <w:rsid w:val="0049277A"/>
    <w:rsid w:val="00492B38"/>
    <w:rsid w:val="00492FE4"/>
    <w:rsid w:val="00493035"/>
    <w:rsid w:val="00493321"/>
    <w:rsid w:val="004936DE"/>
    <w:rsid w:val="00495396"/>
    <w:rsid w:val="0049544E"/>
    <w:rsid w:val="004954A1"/>
    <w:rsid w:val="00495670"/>
    <w:rsid w:val="0049604B"/>
    <w:rsid w:val="00496AC9"/>
    <w:rsid w:val="004A040E"/>
    <w:rsid w:val="004A042D"/>
    <w:rsid w:val="004A11E0"/>
    <w:rsid w:val="004A1FC5"/>
    <w:rsid w:val="004A2158"/>
    <w:rsid w:val="004A2224"/>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F21"/>
    <w:rsid w:val="004B08DB"/>
    <w:rsid w:val="004B10EC"/>
    <w:rsid w:val="004B1422"/>
    <w:rsid w:val="004B24EB"/>
    <w:rsid w:val="004B29AC"/>
    <w:rsid w:val="004B3C8B"/>
    <w:rsid w:val="004B44A9"/>
    <w:rsid w:val="004B4509"/>
    <w:rsid w:val="004B452A"/>
    <w:rsid w:val="004B4871"/>
    <w:rsid w:val="004B4ADF"/>
    <w:rsid w:val="004B4B0E"/>
    <w:rsid w:val="004B4C00"/>
    <w:rsid w:val="004B4E06"/>
    <w:rsid w:val="004B5493"/>
    <w:rsid w:val="004B5914"/>
    <w:rsid w:val="004B5EEA"/>
    <w:rsid w:val="004B64CA"/>
    <w:rsid w:val="004B6C77"/>
    <w:rsid w:val="004B6D0A"/>
    <w:rsid w:val="004B7995"/>
    <w:rsid w:val="004C02B3"/>
    <w:rsid w:val="004C098E"/>
    <w:rsid w:val="004C0BBE"/>
    <w:rsid w:val="004C0E2F"/>
    <w:rsid w:val="004C1194"/>
    <w:rsid w:val="004C222E"/>
    <w:rsid w:val="004C2561"/>
    <w:rsid w:val="004C2806"/>
    <w:rsid w:val="004C3ADD"/>
    <w:rsid w:val="004C428E"/>
    <w:rsid w:val="004C4775"/>
    <w:rsid w:val="004C483D"/>
    <w:rsid w:val="004C48A9"/>
    <w:rsid w:val="004C590B"/>
    <w:rsid w:val="004C6326"/>
    <w:rsid w:val="004C63C7"/>
    <w:rsid w:val="004C6D39"/>
    <w:rsid w:val="004C6D98"/>
    <w:rsid w:val="004C7217"/>
    <w:rsid w:val="004C75B5"/>
    <w:rsid w:val="004C7743"/>
    <w:rsid w:val="004C77A7"/>
    <w:rsid w:val="004C7C7C"/>
    <w:rsid w:val="004C7DBE"/>
    <w:rsid w:val="004C7F57"/>
    <w:rsid w:val="004D032B"/>
    <w:rsid w:val="004D039E"/>
    <w:rsid w:val="004D04A3"/>
    <w:rsid w:val="004D0C9F"/>
    <w:rsid w:val="004D15FD"/>
    <w:rsid w:val="004D2369"/>
    <w:rsid w:val="004D2485"/>
    <w:rsid w:val="004D2998"/>
    <w:rsid w:val="004D3A57"/>
    <w:rsid w:val="004D3B2A"/>
    <w:rsid w:val="004D47FF"/>
    <w:rsid w:val="004D4D35"/>
    <w:rsid w:val="004D518F"/>
    <w:rsid w:val="004D54D7"/>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A78"/>
    <w:rsid w:val="004E4DDB"/>
    <w:rsid w:val="004E551E"/>
    <w:rsid w:val="004E58F6"/>
    <w:rsid w:val="004E5E37"/>
    <w:rsid w:val="004E5E4C"/>
    <w:rsid w:val="004E623E"/>
    <w:rsid w:val="004E6CF9"/>
    <w:rsid w:val="004E734E"/>
    <w:rsid w:val="004E7EC0"/>
    <w:rsid w:val="004E7F48"/>
    <w:rsid w:val="004F014E"/>
    <w:rsid w:val="004F05D0"/>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D4C"/>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63E6"/>
    <w:rsid w:val="00516648"/>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3FEE"/>
    <w:rsid w:val="005245D5"/>
    <w:rsid w:val="00524889"/>
    <w:rsid w:val="0052575D"/>
    <w:rsid w:val="00525A53"/>
    <w:rsid w:val="00525C1F"/>
    <w:rsid w:val="00526569"/>
    <w:rsid w:val="00526684"/>
    <w:rsid w:val="00526726"/>
    <w:rsid w:val="00527256"/>
    <w:rsid w:val="00527B57"/>
    <w:rsid w:val="00527C8D"/>
    <w:rsid w:val="0053021B"/>
    <w:rsid w:val="00530AC4"/>
    <w:rsid w:val="00532115"/>
    <w:rsid w:val="00532129"/>
    <w:rsid w:val="0053265B"/>
    <w:rsid w:val="00533169"/>
    <w:rsid w:val="00533194"/>
    <w:rsid w:val="005332C8"/>
    <w:rsid w:val="0053464E"/>
    <w:rsid w:val="005346C8"/>
    <w:rsid w:val="005352C8"/>
    <w:rsid w:val="005354C1"/>
    <w:rsid w:val="00535F99"/>
    <w:rsid w:val="00536356"/>
    <w:rsid w:val="00536CBB"/>
    <w:rsid w:val="00536DDD"/>
    <w:rsid w:val="00537033"/>
    <w:rsid w:val="00537085"/>
    <w:rsid w:val="00540A37"/>
    <w:rsid w:val="00540B49"/>
    <w:rsid w:val="005418DB"/>
    <w:rsid w:val="005434EA"/>
    <w:rsid w:val="005450BF"/>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93F"/>
    <w:rsid w:val="00555DE6"/>
    <w:rsid w:val="00555EB3"/>
    <w:rsid w:val="005567F6"/>
    <w:rsid w:val="00556E29"/>
    <w:rsid w:val="00557474"/>
    <w:rsid w:val="005575C9"/>
    <w:rsid w:val="00557DAA"/>
    <w:rsid w:val="00557DAD"/>
    <w:rsid w:val="00560304"/>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7196"/>
    <w:rsid w:val="0056725A"/>
    <w:rsid w:val="0056741F"/>
    <w:rsid w:val="00567647"/>
    <w:rsid w:val="0056781B"/>
    <w:rsid w:val="00567BE2"/>
    <w:rsid w:val="00570102"/>
    <w:rsid w:val="00570505"/>
    <w:rsid w:val="005712E6"/>
    <w:rsid w:val="00572942"/>
    <w:rsid w:val="005730DB"/>
    <w:rsid w:val="00573251"/>
    <w:rsid w:val="005733A8"/>
    <w:rsid w:val="00573B5B"/>
    <w:rsid w:val="00573F55"/>
    <w:rsid w:val="00574251"/>
    <w:rsid w:val="0057540E"/>
    <w:rsid w:val="005757B6"/>
    <w:rsid w:val="00576C7B"/>
    <w:rsid w:val="00576EB8"/>
    <w:rsid w:val="0058000F"/>
    <w:rsid w:val="00580557"/>
    <w:rsid w:val="0058074F"/>
    <w:rsid w:val="005808F3"/>
    <w:rsid w:val="00580A76"/>
    <w:rsid w:val="00581042"/>
    <w:rsid w:val="00581703"/>
    <w:rsid w:val="00581B15"/>
    <w:rsid w:val="005821DD"/>
    <w:rsid w:val="00582E42"/>
    <w:rsid w:val="00583908"/>
    <w:rsid w:val="005842FB"/>
    <w:rsid w:val="00584757"/>
    <w:rsid w:val="00584E21"/>
    <w:rsid w:val="005855D4"/>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081"/>
    <w:rsid w:val="005A28A6"/>
    <w:rsid w:val="005A29B1"/>
    <w:rsid w:val="005A2EBF"/>
    <w:rsid w:val="005A311E"/>
    <w:rsid w:val="005A380B"/>
    <w:rsid w:val="005A4890"/>
    <w:rsid w:val="005A49D4"/>
    <w:rsid w:val="005A4D7C"/>
    <w:rsid w:val="005A51C9"/>
    <w:rsid w:val="005A5DC0"/>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3B2D"/>
    <w:rsid w:val="005B3EBD"/>
    <w:rsid w:val="005B4669"/>
    <w:rsid w:val="005B48E8"/>
    <w:rsid w:val="005B56D9"/>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2DB"/>
    <w:rsid w:val="005C6400"/>
    <w:rsid w:val="005C6605"/>
    <w:rsid w:val="005C71A0"/>
    <w:rsid w:val="005C73D6"/>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B21"/>
    <w:rsid w:val="005D4019"/>
    <w:rsid w:val="005D41DC"/>
    <w:rsid w:val="005D43C3"/>
    <w:rsid w:val="005D460F"/>
    <w:rsid w:val="005D4638"/>
    <w:rsid w:val="005D4D7D"/>
    <w:rsid w:val="005D4D9A"/>
    <w:rsid w:val="005D4DC5"/>
    <w:rsid w:val="005D5C22"/>
    <w:rsid w:val="005D5E6C"/>
    <w:rsid w:val="005D63A9"/>
    <w:rsid w:val="005D65D5"/>
    <w:rsid w:val="005D6C56"/>
    <w:rsid w:val="005D6C9A"/>
    <w:rsid w:val="005D6F49"/>
    <w:rsid w:val="005D7E8A"/>
    <w:rsid w:val="005E06FA"/>
    <w:rsid w:val="005E11A5"/>
    <w:rsid w:val="005E13D4"/>
    <w:rsid w:val="005E1435"/>
    <w:rsid w:val="005E21F3"/>
    <w:rsid w:val="005E235C"/>
    <w:rsid w:val="005E3078"/>
    <w:rsid w:val="005E34C0"/>
    <w:rsid w:val="005E3D71"/>
    <w:rsid w:val="005E44F1"/>
    <w:rsid w:val="005E49CA"/>
    <w:rsid w:val="005E4D52"/>
    <w:rsid w:val="005E5427"/>
    <w:rsid w:val="005E5428"/>
    <w:rsid w:val="005E5A7C"/>
    <w:rsid w:val="005E5C33"/>
    <w:rsid w:val="005E5F53"/>
    <w:rsid w:val="005E6976"/>
    <w:rsid w:val="005E6E12"/>
    <w:rsid w:val="005E70CD"/>
    <w:rsid w:val="005E74B3"/>
    <w:rsid w:val="005E74EC"/>
    <w:rsid w:val="005E7AB6"/>
    <w:rsid w:val="005E7B1E"/>
    <w:rsid w:val="005E7CBC"/>
    <w:rsid w:val="005E7CE2"/>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4C"/>
    <w:rsid w:val="005F7A22"/>
    <w:rsid w:val="005F7B9D"/>
    <w:rsid w:val="00600501"/>
    <w:rsid w:val="006006CD"/>
    <w:rsid w:val="00600B0C"/>
    <w:rsid w:val="00601078"/>
    <w:rsid w:val="006024DA"/>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2BCA"/>
    <w:rsid w:val="00613009"/>
    <w:rsid w:val="006132EA"/>
    <w:rsid w:val="0061401C"/>
    <w:rsid w:val="0061420B"/>
    <w:rsid w:val="00614931"/>
    <w:rsid w:val="00614D33"/>
    <w:rsid w:val="0061537D"/>
    <w:rsid w:val="0061537F"/>
    <w:rsid w:val="00615DEA"/>
    <w:rsid w:val="00616A60"/>
    <w:rsid w:val="00616DC8"/>
    <w:rsid w:val="00616EE6"/>
    <w:rsid w:val="006171FB"/>
    <w:rsid w:val="00617A2A"/>
    <w:rsid w:val="006207F4"/>
    <w:rsid w:val="00620C67"/>
    <w:rsid w:val="00621646"/>
    <w:rsid w:val="00621803"/>
    <w:rsid w:val="006220F1"/>
    <w:rsid w:val="00623C68"/>
    <w:rsid w:val="00623E46"/>
    <w:rsid w:val="00624604"/>
    <w:rsid w:val="00624D2C"/>
    <w:rsid w:val="00624EF1"/>
    <w:rsid w:val="00625145"/>
    <w:rsid w:val="00627402"/>
    <w:rsid w:val="00630480"/>
    <w:rsid w:val="0063058E"/>
    <w:rsid w:val="006305F8"/>
    <w:rsid w:val="00631DA7"/>
    <w:rsid w:val="00632B1C"/>
    <w:rsid w:val="00632B9C"/>
    <w:rsid w:val="00632F18"/>
    <w:rsid w:val="006332D7"/>
    <w:rsid w:val="0063333D"/>
    <w:rsid w:val="00634225"/>
    <w:rsid w:val="00635003"/>
    <w:rsid w:val="006351CE"/>
    <w:rsid w:val="006352FD"/>
    <w:rsid w:val="00635B15"/>
    <w:rsid w:val="006362E1"/>
    <w:rsid w:val="006367DA"/>
    <w:rsid w:val="00636FAD"/>
    <w:rsid w:val="006370E1"/>
    <w:rsid w:val="006375B2"/>
    <w:rsid w:val="006375BB"/>
    <w:rsid w:val="006379DE"/>
    <w:rsid w:val="00637E3A"/>
    <w:rsid w:val="006407FE"/>
    <w:rsid w:val="006409EE"/>
    <w:rsid w:val="00640BF7"/>
    <w:rsid w:val="00640C7D"/>
    <w:rsid w:val="00640E7E"/>
    <w:rsid w:val="00640FFF"/>
    <w:rsid w:val="006413E7"/>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E90"/>
    <w:rsid w:val="00647FA3"/>
    <w:rsid w:val="006500F7"/>
    <w:rsid w:val="00650769"/>
    <w:rsid w:val="00650DF8"/>
    <w:rsid w:val="00651486"/>
    <w:rsid w:val="006516B7"/>
    <w:rsid w:val="006518E4"/>
    <w:rsid w:val="00651FB8"/>
    <w:rsid w:val="00652BA0"/>
    <w:rsid w:val="00652DF6"/>
    <w:rsid w:val="00652FCA"/>
    <w:rsid w:val="00653045"/>
    <w:rsid w:val="00653A25"/>
    <w:rsid w:val="00653D93"/>
    <w:rsid w:val="00653FDA"/>
    <w:rsid w:val="006541A0"/>
    <w:rsid w:val="00654218"/>
    <w:rsid w:val="00654E99"/>
    <w:rsid w:val="00655104"/>
    <w:rsid w:val="0065548F"/>
    <w:rsid w:val="0065558B"/>
    <w:rsid w:val="006555C8"/>
    <w:rsid w:val="00655633"/>
    <w:rsid w:val="006559BB"/>
    <w:rsid w:val="00655A93"/>
    <w:rsid w:val="00655D93"/>
    <w:rsid w:val="00655E86"/>
    <w:rsid w:val="00656614"/>
    <w:rsid w:val="00656AC2"/>
    <w:rsid w:val="00656C4D"/>
    <w:rsid w:val="006575D1"/>
    <w:rsid w:val="006577CD"/>
    <w:rsid w:val="006578A6"/>
    <w:rsid w:val="00657CCC"/>
    <w:rsid w:val="00660162"/>
    <w:rsid w:val="0066036D"/>
    <w:rsid w:val="006604FA"/>
    <w:rsid w:val="00660879"/>
    <w:rsid w:val="00661639"/>
    <w:rsid w:val="0066174D"/>
    <w:rsid w:val="00661E36"/>
    <w:rsid w:val="00661F03"/>
    <w:rsid w:val="00662923"/>
    <w:rsid w:val="006631D3"/>
    <w:rsid w:val="00663D0F"/>
    <w:rsid w:val="00664525"/>
    <w:rsid w:val="0066465B"/>
    <w:rsid w:val="00664C81"/>
    <w:rsid w:val="0066521A"/>
    <w:rsid w:val="0066540C"/>
    <w:rsid w:val="00665EAE"/>
    <w:rsid w:val="006661EA"/>
    <w:rsid w:val="00666909"/>
    <w:rsid w:val="00666C93"/>
    <w:rsid w:val="00666EBC"/>
    <w:rsid w:val="00667034"/>
    <w:rsid w:val="00667189"/>
    <w:rsid w:val="0066749E"/>
    <w:rsid w:val="00667B4B"/>
    <w:rsid w:val="00667CCB"/>
    <w:rsid w:val="00667EFD"/>
    <w:rsid w:val="00670475"/>
    <w:rsid w:val="00670B8C"/>
    <w:rsid w:val="00670C4A"/>
    <w:rsid w:val="00671084"/>
    <w:rsid w:val="00671223"/>
    <w:rsid w:val="006716A0"/>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212E"/>
    <w:rsid w:val="0068379B"/>
    <w:rsid w:val="00683D98"/>
    <w:rsid w:val="00683D99"/>
    <w:rsid w:val="00684079"/>
    <w:rsid w:val="00684361"/>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976BE"/>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184"/>
    <w:rsid w:val="006A436F"/>
    <w:rsid w:val="006A4E1F"/>
    <w:rsid w:val="006A4E5B"/>
    <w:rsid w:val="006A59D8"/>
    <w:rsid w:val="006A5A45"/>
    <w:rsid w:val="006A5C13"/>
    <w:rsid w:val="006A608E"/>
    <w:rsid w:val="006A6B7B"/>
    <w:rsid w:val="006A73D2"/>
    <w:rsid w:val="006A78F8"/>
    <w:rsid w:val="006A7991"/>
    <w:rsid w:val="006A7C26"/>
    <w:rsid w:val="006A7E27"/>
    <w:rsid w:val="006B010E"/>
    <w:rsid w:val="006B0473"/>
    <w:rsid w:val="006B091F"/>
    <w:rsid w:val="006B0B2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0DA"/>
    <w:rsid w:val="006B52B4"/>
    <w:rsid w:val="006B53DC"/>
    <w:rsid w:val="006B5423"/>
    <w:rsid w:val="006B5855"/>
    <w:rsid w:val="006B5AB2"/>
    <w:rsid w:val="006B5C67"/>
    <w:rsid w:val="006B613F"/>
    <w:rsid w:val="006B6B5D"/>
    <w:rsid w:val="006B6C0D"/>
    <w:rsid w:val="006B7825"/>
    <w:rsid w:val="006B7D68"/>
    <w:rsid w:val="006C033F"/>
    <w:rsid w:val="006C0421"/>
    <w:rsid w:val="006C1818"/>
    <w:rsid w:val="006C1F8B"/>
    <w:rsid w:val="006C2721"/>
    <w:rsid w:val="006C323A"/>
    <w:rsid w:val="006C3868"/>
    <w:rsid w:val="006C38FF"/>
    <w:rsid w:val="006C39EC"/>
    <w:rsid w:val="006C3E6E"/>
    <w:rsid w:val="006C3EEA"/>
    <w:rsid w:val="006C43A6"/>
    <w:rsid w:val="006C44EC"/>
    <w:rsid w:val="006C4A4A"/>
    <w:rsid w:val="006C4CE0"/>
    <w:rsid w:val="006C53EB"/>
    <w:rsid w:val="006C5D29"/>
    <w:rsid w:val="006C650D"/>
    <w:rsid w:val="006C69A5"/>
    <w:rsid w:val="006C6A4D"/>
    <w:rsid w:val="006C6CF3"/>
    <w:rsid w:val="006C7740"/>
    <w:rsid w:val="006D0389"/>
    <w:rsid w:val="006D0848"/>
    <w:rsid w:val="006D0BA5"/>
    <w:rsid w:val="006D0C15"/>
    <w:rsid w:val="006D0D8B"/>
    <w:rsid w:val="006D0FBF"/>
    <w:rsid w:val="006D10DC"/>
    <w:rsid w:val="006D1586"/>
    <w:rsid w:val="006D19C1"/>
    <w:rsid w:val="006D24FC"/>
    <w:rsid w:val="006D2827"/>
    <w:rsid w:val="006D2848"/>
    <w:rsid w:val="006D2B19"/>
    <w:rsid w:val="006D2EC9"/>
    <w:rsid w:val="006D3317"/>
    <w:rsid w:val="006D3A05"/>
    <w:rsid w:val="006D3B62"/>
    <w:rsid w:val="006D3FDF"/>
    <w:rsid w:val="006D4527"/>
    <w:rsid w:val="006D4B05"/>
    <w:rsid w:val="006D4EE5"/>
    <w:rsid w:val="006D4F86"/>
    <w:rsid w:val="006D5F98"/>
    <w:rsid w:val="006D6665"/>
    <w:rsid w:val="006D7098"/>
    <w:rsid w:val="006D740E"/>
    <w:rsid w:val="006D781E"/>
    <w:rsid w:val="006D7C8A"/>
    <w:rsid w:val="006D7F72"/>
    <w:rsid w:val="006E00B7"/>
    <w:rsid w:val="006E0CB5"/>
    <w:rsid w:val="006E0E5B"/>
    <w:rsid w:val="006E132F"/>
    <w:rsid w:val="006E2701"/>
    <w:rsid w:val="006E3023"/>
    <w:rsid w:val="006E3369"/>
    <w:rsid w:val="006E3B94"/>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B55"/>
    <w:rsid w:val="006F1E96"/>
    <w:rsid w:val="006F2D24"/>
    <w:rsid w:val="006F37F7"/>
    <w:rsid w:val="006F38C3"/>
    <w:rsid w:val="006F3909"/>
    <w:rsid w:val="006F4036"/>
    <w:rsid w:val="006F428E"/>
    <w:rsid w:val="006F48E1"/>
    <w:rsid w:val="006F5160"/>
    <w:rsid w:val="006F5374"/>
    <w:rsid w:val="006F5D5E"/>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315"/>
    <w:rsid w:val="007103AE"/>
    <w:rsid w:val="0071068A"/>
    <w:rsid w:val="00710E19"/>
    <w:rsid w:val="00710E52"/>
    <w:rsid w:val="0071154B"/>
    <w:rsid w:val="007116B6"/>
    <w:rsid w:val="0071174F"/>
    <w:rsid w:val="0071196A"/>
    <w:rsid w:val="0071227C"/>
    <w:rsid w:val="007131CF"/>
    <w:rsid w:val="007132CD"/>
    <w:rsid w:val="007133C0"/>
    <w:rsid w:val="00713613"/>
    <w:rsid w:val="007137C6"/>
    <w:rsid w:val="007138FC"/>
    <w:rsid w:val="0071393D"/>
    <w:rsid w:val="00713E79"/>
    <w:rsid w:val="00714245"/>
    <w:rsid w:val="00714C20"/>
    <w:rsid w:val="00715017"/>
    <w:rsid w:val="00715441"/>
    <w:rsid w:val="0071569B"/>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3E90"/>
    <w:rsid w:val="007244E7"/>
    <w:rsid w:val="0072505F"/>
    <w:rsid w:val="00725B00"/>
    <w:rsid w:val="00725E54"/>
    <w:rsid w:val="007265D1"/>
    <w:rsid w:val="0072680C"/>
    <w:rsid w:val="0072698B"/>
    <w:rsid w:val="00726A25"/>
    <w:rsid w:val="00726B3D"/>
    <w:rsid w:val="00726C64"/>
    <w:rsid w:val="00727A29"/>
    <w:rsid w:val="007310B7"/>
    <w:rsid w:val="00731237"/>
    <w:rsid w:val="0073207E"/>
    <w:rsid w:val="00732664"/>
    <w:rsid w:val="007326EF"/>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585"/>
    <w:rsid w:val="007407AE"/>
    <w:rsid w:val="007407DB"/>
    <w:rsid w:val="0074085F"/>
    <w:rsid w:val="00740BFC"/>
    <w:rsid w:val="00740F76"/>
    <w:rsid w:val="00741037"/>
    <w:rsid w:val="0074198F"/>
    <w:rsid w:val="00741B26"/>
    <w:rsid w:val="007422B3"/>
    <w:rsid w:val="007424BF"/>
    <w:rsid w:val="007434BD"/>
    <w:rsid w:val="007435F1"/>
    <w:rsid w:val="00743DDD"/>
    <w:rsid w:val="00744625"/>
    <w:rsid w:val="007446BB"/>
    <w:rsid w:val="00745882"/>
    <w:rsid w:val="00745A04"/>
    <w:rsid w:val="00745A0F"/>
    <w:rsid w:val="00745DFD"/>
    <w:rsid w:val="00746197"/>
    <w:rsid w:val="0074689C"/>
    <w:rsid w:val="00746B3F"/>
    <w:rsid w:val="00747076"/>
    <w:rsid w:val="00747117"/>
    <w:rsid w:val="007479C2"/>
    <w:rsid w:val="00747B0D"/>
    <w:rsid w:val="00750712"/>
    <w:rsid w:val="00750EF3"/>
    <w:rsid w:val="007511BA"/>
    <w:rsid w:val="00751452"/>
    <w:rsid w:val="00751D06"/>
    <w:rsid w:val="00751D74"/>
    <w:rsid w:val="007521A5"/>
    <w:rsid w:val="00752243"/>
    <w:rsid w:val="007531BA"/>
    <w:rsid w:val="00753959"/>
    <w:rsid w:val="00753DD6"/>
    <w:rsid w:val="00754A4A"/>
    <w:rsid w:val="007567A8"/>
    <w:rsid w:val="00757D93"/>
    <w:rsid w:val="00760893"/>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B8E"/>
    <w:rsid w:val="00763CB9"/>
    <w:rsid w:val="007643D5"/>
    <w:rsid w:val="00764C66"/>
    <w:rsid w:val="00765366"/>
    <w:rsid w:val="00765614"/>
    <w:rsid w:val="00765914"/>
    <w:rsid w:val="0076614D"/>
    <w:rsid w:val="0076624C"/>
    <w:rsid w:val="0076627D"/>
    <w:rsid w:val="00766304"/>
    <w:rsid w:val="00767A28"/>
    <w:rsid w:val="00767DD2"/>
    <w:rsid w:val="0077082B"/>
    <w:rsid w:val="00770B12"/>
    <w:rsid w:val="00770E60"/>
    <w:rsid w:val="00771C8F"/>
    <w:rsid w:val="00771D4C"/>
    <w:rsid w:val="00772019"/>
    <w:rsid w:val="0077266E"/>
    <w:rsid w:val="0077292E"/>
    <w:rsid w:val="007737D8"/>
    <w:rsid w:val="0077391C"/>
    <w:rsid w:val="00773D24"/>
    <w:rsid w:val="00773F1F"/>
    <w:rsid w:val="00774576"/>
    <w:rsid w:val="0077480E"/>
    <w:rsid w:val="0077508A"/>
    <w:rsid w:val="0077536F"/>
    <w:rsid w:val="00775567"/>
    <w:rsid w:val="00775E0D"/>
    <w:rsid w:val="00776343"/>
    <w:rsid w:val="00776416"/>
    <w:rsid w:val="00776C7B"/>
    <w:rsid w:val="00776CEF"/>
    <w:rsid w:val="0077790B"/>
    <w:rsid w:val="00777E7E"/>
    <w:rsid w:val="007804DD"/>
    <w:rsid w:val="0078095A"/>
    <w:rsid w:val="00780F3B"/>
    <w:rsid w:val="007816EE"/>
    <w:rsid w:val="00782071"/>
    <w:rsid w:val="00782946"/>
    <w:rsid w:val="00782AB1"/>
    <w:rsid w:val="00782ECD"/>
    <w:rsid w:val="0078363B"/>
    <w:rsid w:val="00783CCF"/>
    <w:rsid w:val="00783EC8"/>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E29"/>
    <w:rsid w:val="00793F28"/>
    <w:rsid w:val="00793FDB"/>
    <w:rsid w:val="007941DA"/>
    <w:rsid w:val="00794252"/>
    <w:rsid w:val="007944D2"/>
    <w:rsid w:val="00794580"/>
    <w:rsid w:val="00794B19"/>
    <w:rsid w:val="00795B8D"/>
    <w:rsid w:val="00795EB9"/>
    <w:rsid w:val="00795F0E"/>
    <w:rsid w:val="007960A9"/>
    <w:rsid w:val="00797D8F"/>
    <w:rsid w:val="007A0C00"/>
    <w:rsid w:val="007A0E15"/>
    <w:rsid w:val="007A176E"/>
    <w:rsid w:val="007A19BF"/>
    <w:rsid w:val="007A26B2"/>
    <w:rsid w:val="007A2A69"/>
    <w:rsid w:val="007A2CF1"/>
    <w:rsid w:val="007A41B5"/>
    <w:rsid w:val="007A4486"/>
    <w:rsid w:val="007A4682"/>
    <w:rsid w:val="007A4FF5"/>
    <w:rsid w:val="007A502B"/>
    <w:rsid w:val="007A5879"/>
    <w:rsid w:val="007A58A8"/>
    <w:rsid w:val="007A5BDC"/>
    <w:rsid w:val="007A5C6D"/>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44CE"/>
    <w:rsid w:val="007B44F9"/>
    <w:rsid w:val="007B45B5"/>
    <w:rsid w:val="007B517D"/>
    <w:rsid w:val="007B55FC"/>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3F"/>
    <w:rsid w:val="007D0741"/>
    <w:rsid w:val="007D0A53"/>
    <w:rsid w:val="007D0C62"/>
    <w:rsid w:val="007D0FFC"/>
    <w:rsid w:val="007D1013"/>
    <w:rsid w:val="007D19EC"/>
    <w:rsid w:val="007D2180"/>
    <w:rsid w:val="007D22A7"/>
    <w:rsid w:val="007D2608"/>
    <w:rsid w:val="007D2D91"/>
    <w:rsid w:val="007D30C3"/>
    <w:rsid w:val="007D35AC"/>
    <w:rsid w:val="007D36B1"/>
    <w:rsid w:val="007D36D7"/>
    <w:rsid w:val="007D3BA1"/>
    <w:rsid w:val="007D3EC8"/>
    <w:rsid w:val="007D40AC"/>
    <w:rsid w:val="007D4317"/>
    <w:rsid w:val="007D4C12"/>
    <w:rsid w:val="007D57E0"/>
    <w:rsid w:val="007D5962"/>
    <w:rsid w:val="007D5AFE"/>
    <w:rsid w:val="007D63B2"/>
    <w:rsid w:val="007D651D"/>
    <w:rsid w:val="007D71B7"/>
    <w:rsid w:val="007D7C66"/>
    <w:rsid w:val="007D7CF3"/>
    <w:rsid w:val="007E0274"/>
    <w:rsid w:val="007E02A7"/>
    <w:rsid w:val="007E0415"/>
    <w:rsid w:val="007E0991"/>
    <w:rsid w:val="007E0B2C"/>
    <w:rsid w:val="007E107F"/>
    <w:rsid w:val="007E1C84"/>
    <w:rsid w:val="007E25ED"/>
    <w:rsid w:val="007E2FD7"/>
    <w:rsid w:val="007E310B"/>
    <w:rsid w:val="007E38DA"/>
    <w:rsid w:val="007E3D65"/>
    <w:rsid w:val="007E3EE2"/>
    <w:rsid w:val="007E4655"/>
    <w:rsid w:val="007E47E7"/>
    <w:rsid w:val="007E4A98"/>
    <w:rsid w:val="007E4EB6"/>
    <w:rsid w:val="007E5DD7"/>
    <w:rsid w:val="007E5E10"/>
    <w:rsid w:val="007E7139"/>
    <w:rsid w:val="007E7366"/>
    <w:rsid w:val="007E7EA1"/>
    <w:rsid w:val="007E7EA4"/>
    <w:rsid w:val="007F03CE"/>
    <w:rsid w:val="007F04D3"/>
    <w:rsid w:val="007F0C47"/>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9E8"/>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10656"/>
    <w:rsid w:val="0081088D"/>
    <w:rsid w:val="00810A24"/>
    <w:rsid w:val="00810BC2"/>
    <w:rsid w:val="00811683"/>
    <w:rsid w:val="00811AFF"/>
    <w:rsid w:val="00812102"/>
    <w:rsid w:val="00812373"/>
    <w:rsid w:val="00813F3A"/>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315"/>
    <w:rsid w:val="0082641D"/>
    <w:rsid w:val="008267CA"/>
    <w:rsid w:val="0082722B"/>
    <w:rsid w:val="00827C1B"/>
    <w:rsid w:val="0083016B"/>
    <w:rsid w:val="008301F1"/>
    <w:rsid w:val="00830C0E"/>
    <w:rsid w:val="008313E0"/>
    <w:rsid w:val="00831742"/>
    <w:rsid w:val="008317EC"/>
    <w:rsid w:val="0083195D"/>
    <w:rsid w:val="00831B7B"/>
    <w:rsid w:val="00831D90"/>
    <w:rsid w:val="008324F3"/>
    <w:rsid w:val="00832691"/>
    <w:rsid w:val="0083296B"/>
    <w:rsid w:val="00832AD9"/>
    <w:rsid w:val="00833547"/>
    <w:rsid w:val="00833852"/>
    <w:rsid w:val="00833AB9"/>
    <w:rsid w:val="008344EC"/>
    <w:rsid w:val="00834820"/>
    <w:rsid w:val="00834C82"/>
    <w:rsid w:val="00834CE6"/>
    <w:rsid w:val="00834DB6"/>
    <w:rsid w:val="00834F93"/>
    <w:rsid w:val="008354DB"/>
    <w:rsid w:val="00840C4A"/>
    <w:rsid w:val="008411B9"/>
    <w:rsid w:val="0084122F"/>
    <w:rsid w:val="0084145D"/>
    <w:rsid w:val="00841573"/>
    <w:rsid w:val="00841D08"/>
    <w:rsid w:val="00842D43"/>
    <w:rsid w:val="0084323E"/>
    <w:rsid w:val="0084375D"/>
    <w:rsid w:val="00843D50"/>
    <w:rsid w:val="0084464E"/>
    <w:rsid w:val="00844D11"/>
    <w:rsid w:val="008458BF"/>
    <w:rsid w:val="00846262"/>
    <w:rsid w:val="00846370"/>
    <w:rsid w:val="00846821"/>
    <w:rsid w:val="00846DC0"/>
    <w:rsid w:val="00846DCD"/>
    <w:rsid w:val="00847665"/>
    <w:rsid w:val="00847BC5"/>
    <w:rsid w:val="00847F11"/>
    <w:rsid w:val="00850010"/>
    <w:rsid w:val="00850104"/>
    <w:rsid w:val="008503F4"/>
    <w:rsid w:val="00850477"/>
    <w:rsid w:val="008504A0"/>
    <w:rsid w:val="008504D9"/>
    <w:rsid w:val="00850AC1"/>
    <w:rsid w:val="00850C2A"/>
    <w:rsid w:val="00850DFA"/>
    <w:rsid w:val="00851331"/>
    <w:rsid w:val="008516D1"/>
    <w:rsid w:val="00852003"/>
    <w:rsid w:val="0085212C"/>
    <w:rsid w:val="00852F9E"/>
    <w:rsid w:val="008533F5"/>
    <w:rsid w:val="00854053"/>
    <w:rsid w:val="008543AC"/>
    <w:rsid w:val="008548B8"/>
    <w:rsid w:val="00854965"/>
    <w:rsid w:val="008554D1"/>
    <w:rsid w:val="008558E0"/>
    <w:rsid w:val="00856F4F"/>
    <w:rsid w:val="00857AF7"/>
    <w:rsid w:val="00860109"/>
    <w:rsid w:val="008601BD"/>
    <w:rsid w:val="00860359"/>
    <w:rsid w:val="00860700"/>
    <w:rsid w:val="00860E43"/>
    <w:rsid w:val="00860EE9"/>
    <w:rsid w:val="00861075"/>
    <w:rsid w:val="00861252"/>
    <w:rsid w:val="00861275"/>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055"/>
    <w:rsid w:val="00866388"/>
    <w:rsid w:val="00866FE3"/>
    <w:rsid w:val="0086722D"/>
    <w:rsid w:val="00867D56"/>
    <w:rsid w:val="0087028A"/>
    <w:rsid w:val="00870BAA"/>
    <w:rsid w:val="00870D91"/>
    <w:rsid w:val="0087145D"/>
    <w:rsid w:val="008716D1"/>
    <w:rsid w:val="008716ED"/>
    <w:rsid w:val="0087193F"/>
    <w:rsid w:val="008724E6"/>
    <w:rsid w:val="00872767"/>
    <w:rsid w:val="008728C8"/>
    <w:rsid w:val="00873205"/>
    <w:rsid w:val="008735E8"/>
    <w:rsid w:val="0087377E"/>
    <w:rsid w:val="00873908"/>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6C9"/>
    <w:rsid w:val="008758A8"/>
    <w:rsid w:val="00875AF3"/>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D28"/>
    <w:rsid w:val="00883A67"/>
    <w:rsid w:val="0088400F"/>
    <w:rsid w:val="008848E9"/>
    <w:rsid w:val="00884FD8"/>
    <w:rsid w:val="00885244"/>
    <w:rsid w:val="008857C7"/>
    <w:rsid w:val="008858B3"/>
    <w:rsid w:val="008866CF"/>
    <w:rsid w:val="00886782"/>
    <w:rsid w:val="008869A1"/>
    <w:rsid w:val="00886B3F"/>
    <w:rsid w:val="008879F8"/>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E5"/>
    <w:rsid w:val="008954D2"/>
    <w:rsid w:val="008954F6"/>
    <w:rsid w:val="00895658"/>
    <w:rsid w:val="008956DA"/>
    <w:rsid w:val="008959E5"/>
    <w:rsid w:val="00895BA9"/>
    <w:rsid w:val="00895D79"/>
    <w:rsid w:val="0089601B"/>
    <w:rsid w:val="0089613B"/>
    <w:rsid w:val="0089655D"/>
    <w:rsid w:val="00896784"/>
    <w:rsid w:val="00897824"/>
    <w:rsid w:val="008979DB"/>
    <w:rsid w:val="00897BCB"/>
    <w:rsid w:val="00897C07"/>
    <w:rsid w:val="00897DBA"/>
    <w:rsid w:val="008A02FA"/>
    <w:rsid w:val="008A06A8"/>
    <w:rsid w:val="008A1603"/>
    <w:rsid w:val="008A1AAC"/>
    <w:rsid w:val="008A1D3C"/>
    <w:rsid w:val="008A20CA"/>
    <w:rsid w:val="008A239B"/>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7C5"/>
    <w:rsid w:val="008B198D"/>
    <w:rsid w:val="008B29A4"/>
    <w:rsid w:val="008B2BB4"/>
    <w:rsid w:val="008B2C30"/>
    <w:rsid w:val="008B2D73"/>
    <w:rsid w:val="008B3AB6"/>
    <w:rsid w:val="008B3C2B"/>
    <w:rsid w:val="008B411C"/>
    <w:rsid w:val="008B4679"/>
    <w:rsid w:val="008B4D00"/>
    <w:rsid w:val="008B4D13"/>
    <w:rsid w:val="008B4E78"/>
    <w:rsid w:val="008B4FE2"/>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C5C"/>
    <w:rsid w:val="008C5F0A"/>
    <w:rsid w:val="008C6105"/>
    <w:rsid w:val="008C6124"/>
    <w:rsid w:val="008C6334"/>
    <w:rsid w:val="008C66BD"/>
    <w:rsid w:val="008C6968"/>
    <w:rsid w:val="008C742A"/>
    <w:rsid w:val="008C74C7"/>
    <w:rsid w:val="008C7714"/>
    <w:rsid w:val="008C7F4F"/>
    <w:rsid w:val="008D00F3"/>
    <w:rsid w:val="008D0F27"/>
    <w:rsid w:val="008D15A2"/>
    <w:rsid w:val="008D18CD"/>
    <w:rsid w:val="008D19FA"/>
    <w:rsid w:val="008D1F86"/>
    <w:rsid w:val="008D20E0"/>
    <w:rsid w:val="008D2796"/>
    <w:rsid w:val="008D2B6E"/>
    <w:rsid w:val="008D335C"/>
    <w:rsid w:val="008D33FC"/>
    <w:rsid w:val="008D35B7"/>
    <w:rsid w:val="008D4007"/>
    <w:rsid w:val="008D436A"/>
    <w:rsid w:val="008D4C72"/>
    <w:rsid w:val="008D50BA"/>
    <w:rsid w:val="008D561B"/>
    <w:rsid w:val="008D582B"/>
    <w:rsid w:val="008D5CF9"/>
    <w:rsid w:val="008D5D0A"/>
    <w:rsid w:val="008D6794"/>
    <w:rsid w:val="008D7C31"/>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E2"/>
    <w:rsid w:val="008E4520"/>
    <w:rsid w:val="008E54E8"/>
    <w:rsid w:val="008E5740"/>
    <w:rsid w:val="008E5868"/>
    <w:rsid w:val="008E5DC8"/>
    <w:rsid w:val="008E6465"/>
    <w:rsid w:val="008E6C57"/>
    <w:rsid w:val="008E6E66"/>
    <w:rsid w:val="008E7082"/>
    <w:rsid w:val="008E72AF"/>
    <w:rsid w:val="008F03D8"/>
    <w:rsid w:val="008F0952"/>
    <w:rsid w:val="008F0B40"/>
    <w:rsid w:val="008F1154"/>
    <w:rsid w:val="008F1B84"/>
    <w:rsid w:val="008F1B9D"/>
    <w:rsid w:val="008F1DB6"/>
    <w:rsid w:val="008F1DDC"/>
    <w:rsid w:val="008F2435"/>
    <w:rsid w:val="008F284D"/>
    <w:rsid w:val="008F3947"/>
    <w:rsid w:val="008F39C0"/>
    <w:rsid w:val="008F3E45"/>
    <w:rsid w:val="008F57CD"/>
    <w:rsid w:val="008F5960"/>
    <w:rsid w:val="008F5CD0"/>
    <w:rsid w:val="008F6100"/>
    <w:rsid w:val="008F629A"/>
    <w:rsid w:val="008F6A9B"/>
    <w:rsid w:val="008F6F03"/>
    <w:rsid w:val="008F6F9D"/>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0CD"/>
    <w:rsid w:val="009044BE"/>
    <w:rsid w:val="009048EB"/>
    <w:rsid w:val="009048FD"/>
    <w:rsid w:val="00904913"/>
    <w:rsid w:val="00904D4B"/>
    <w:rsid w:val="009050B3"/>
    <w:rsid w:val="00905945"/>
    <w:rsid w:val="00905B18"/>
    <w:rsid w:val="00905EC5"/>
    <w:rsid w:val="00905FEB"/>
    <w:rsid w:val="00906252"/>
    <w:rsid w:val="0090672E"/>
    <w:rsid w:val="00906A4F"/>
    <w:rsid w:val="00906BD6"/>
    <w:rsid w:val="00907074"/>
    <w:rsid w:val="009070B6"/>
    <w:rsid w:val="009073C7"/>
    <w:rsid w:val="009078BA"/>
    <w:rsid w:val="009079C7"/>
    <w:rsid w:val="009079F7"/>
    <w:rsid w:val="00907B44"/>
    <w:rsid w:val="00907C33"/>
    <w:rsid w:val="009108D2"/>
    <w:rsid w:val="00910C20"/>
    <w:rsid w:val="00910FE1"/>
    <w:rsid w:val="0091106A"/>
    <w:rsid w:val="009117D0"/>
    <w:rsid w:val="00911C77"/>
    <w:rsid w:val="00911D1C"/>
    <w:rsid w:val="00912386"/>
    <w:rsid w:val="009124AA"/>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903"/>
    <w:rsid w:val="009200D3"/>
    <w:rsid w:val="00920744"/>
    <w:rsid w:val="00920997"/>
    <w:rsid w:val="00920B1E"/>
    <w:rsid w:val="00920DD5"/>
    <w:rsid w:val="00921161"/>
    <w:rsid w:val="0092158B"/>
    <w:rsid w:val="00921ADD"/>
    <w:rsid w:val="00921E0A"/>
    <w:rsid w:val="00922492"/>
    <w:rsid w:val="009224EB"/>
    <w:rsid w:val="0092272F"/>
    <w:rsid w:val="00922BE2"/>
    <w:rsid w:val="00922EDE"/>
    <w:rsid w:val="009232F3"/>
    <w:rsid w:val="0092337C"/>
    <w:rsid w:val="009237D9"/>
    <w:rsid w:val="0092386F"/>
    <w:rsid w:val="009239D2"/>
    <w:rsid w:val="009239F4"/>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0975"/>
    <w:rsid w:val="009310BC"/>
    <w:rsid w:val="00931D3F"/>
    <w:rsid w:val="009324C4"/>
    <w:rsid w:val="00932671"/>
    <w:rsid w:val="00932A7A"/>
    <w:rsid w:val="009330BF"/>
    <w:rsid w:val="00933817"/>
    <w:rsid w:val="00933C07"/>
    <w:rsid w:val="00933F03"/>
    <w:rsid w:val="00934510"/>
    <w:rsid w:val="00934705"/>
    <w:rsid w:val="0093476C"/>
    <w:rsid w:val="00935A1E"/>
    <w:rsid w:val="00935B7C"/>
    <w:rsid w:val="00935E3A"/>
    <w:rsid w:val="00936005"/>
    <w:rsid w:val="0093607C"/>
    <w:rsid w:val="009372EA"/>
    <w:rsid w:val="00937A83"/>
    <w:rsid w:val="00937B51"/>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5B6B"/>
    <w:rsid w:val="009466E9"/>
    <w:rsid w:val="00946CB3"/>
    <w:rsid w:val="00946D20"/>
    <w:rsid w:val="00946E51"/>
    <w:rsid w:val="009473F4"/>
    <w:rsid w:val="0094767D"/>
    <w:rsid w:val="00950231"/>
    <w:rsid w:val="00950794"/>
    <w:rsid w:val="009507AA"/>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CA4"/>
    <w:rsid w:val="00955D04"/>
    <w:rsid w:val="00955FFA"/>
    <w:rsid w:val="00956170"/>
    <w:rsid w:val="00956BA1"/>
    <w:rsid w:val="00956D42"/>
    <w:rsid w:val="00956F0F"/>
    <w:rsid w:val="00957065"/>
    <w:rsid w:val="0095727F"/>
    <w:rsid w:val="009572AF"/>
    <w:rsid w:val="00957BBF"/>
    <w:rsid w:val="00957D4C"/>
    <w:rsid w:val="00957E41"/>
    <w:rsid w:val="0096023A"/>
    <w:rsid w:val="00960525"/>
    <w:rsid w:val="009607AB"/>
    <w:rsid w:val="00960A9A"/>
    <w:rsid w:val="009615DB"/>
    <w:rsid w:val="00962683"/>
    <w:rsid w:val="00962E23"/>
    <w:rsid w:val="00963149"/>
    <w:rsid w:val="0096456D"/>
    <w:rsid w:val="0096487C"/>
    <w:rsid w:val="00964BC2"/>
    <w:rsid w:val="00964D4A"/>
    <w:rsid w:val="00964EAE"/>
    <w:rsid w:val="00965023"/>
    <w:rsid w:val="009650B7"/>
    <w:rsid w:val="0096515D"/>
    <w:rsid w:val="00965841"/>
    <w:rsid w:val="00965EE1"/>
    <w:rsid w:val="0096603F"/>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4D4D"/>
    <w:rsid w:val="009757CA"/>
    <w:rsid w:val="00975C9D"/>
    <w:rsid w:val="00975F28"/>
    <w:rsid w:val="00976E76"/>
    <w:rsid w:val="00977A14"/>
    <w:rsid w:val="00977E9B"/>
    <w:rsid w:val="009807BF"/>
    <w:rsid w:val="009809CE"/>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473"/>
    <w:rsid w:val="00987708"/>
    <w:rsid w:val="00987DDD"/>
    <w:rsid w:val="00987DF0"/>
    <w:rsid w:val="00987DF4"/>
    <w:rsid w:val="00987E2E"/>
    <w:rsid w:val="0099008B"/>
    <w:rsid w:val="00991202"/>
    <w:rsid w:val="0099177B"/>
    <w:rsid w:val="009917E0"/>
    <w:rsid w:val="00991D2D"/>
    <w:rsid w:val="0099367E"/>
    <w:rsid w:val="00993FE4"/>
    <w:rsid w:val="0099425E"/>
    <w:rsid w:val="0099482F"/>
    <w:rsid w:val="00994CDC"/>
    <w:rsid w:val="00995693"/>
    <w:rsid w:val="009969CD"/>
    <w:rsid w:val="00996CFC"/>
    <w:rsid w:val="0099770A"/>
    <w:rsid w:val="00997769"/>
    <w:rsid w:val="00997A2E"/>
    <w:rsid w:val="00997E3D"/>
    <w:rsid w:val="009A048E"/>
    <w:rsid w:val="009A0961"/>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80D"/>
    <w:rsid w:val="009A5D40"/>
    <w:rsid w:val="009A5E10"/>
    <w:rsid w:val="009A5E9E"/>
    <w:rsid w:val="009A6665"/>
    <w:rsid w:val="009A6785"/>
    <w:rsid w:val="009A743F"/>
    <w:rsid w:val="009A74F7"/>
    <w:rsid w:val="009A76B0"/>
    <w:rsid w:val="009A7FD7"/>
    <w:rsid w:val="009B00F2"/>
    <w:rsid w:val="009B0FB2"/>
    <w:rsid w:val="009B1113"/>
    <w:rsid w:val="009B1C34"/>
    <w:rsid w:val="009B1D22"/>
    <w:rsid w:val="009B1E86"/>
    <w:rsid w:val="009B2325"/>
    <w:rsid w:val="009B27C4"/>
    <w:rsid w:val="009B2D92"/>
    <w:rsid w:val="009B30B9"/>
    <w:rsid w:val="009B3250"/>
    <w:rsid w:val="009B3344"/>
    <w:rsid w:val="009B42D2"/>
    <w:rsid w:val="009B4A06"/>
    <w:rsid w:val="009B5E9C"/>
    <w:rsid w:val="009B609E"/>
    <w:rsid w:val="009B70C8"/>
    <w:rsid w:val="009B722F"/>
    <w:rsid w:val="009B737C"/>
    <w:rsid w:val="009B742E"/>
    <w:rsid w:val="009C0AC6"/>
    <w:rsid w:val="009C0E66"/>
    <w:rsid w:val="009C11B2"/>
    <w:rsid w:val="009C1456"/>
    <w:rsid w:val="009C164F"/>
    <w:rsid w:val="009C1C30"/>
    <w:rsid w:val="009C22DD"/>
    <w:rsid w:val="009C2978"/>
    <w:rsid w:val="009C29C8"/>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27D"/>
    <w:rsid w:val="009D6B03"/>
    <w:rsid w:val="009D6B3D"/>
    <w:rsid w:val="009D7422"/>
    <w:rsid w:val="009D77A4"/>
    <w:rsid w:val="009D78E7"/>
    <w:rsid w:val="009E0505"/>
    <w:rsid w:val="009E0742"/>
    <w:rsid w:val="009E1291"/>
    <w:rsid w:val="009E12BC"/>
    <w:rsid w:val="009E224D"/>
    <w:rsid w:val="009E26D5"/>
    <w:rsid w:val="009E2765"/>
    <w:rsid w:val="009E276C"/>
    <w:rsid w:val="009E2A07"/>
    <w:rsid w:val="009E3398"/>
    <w:rsid w:val="009E3577"/>
    <w:rsid w:val="009E3D2B"/>
    <w:rsid w:val="009E3E84"/>
    <w:rsid w:val="009E4097"/>
    <w:rsid w:val="009E4664"/>
    <w:rsid w:val="009E49B4"/>
    <w:rsid w:val="009E4D8E"/>
    <w:rsid w:val="009E4E90"/>
    <w:rsid w:val="009E4EB7"/>
    <w:rsid w:val="009E56C7"/>
    <w:rsid w:val="009E57C1"/>
    <w:rsid w:val="009E624A"/>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71A6"/>
    <w:rsid w:val="009F71AA"/>
    <w:rsid w:val="009F7326"/>
    <w:rsid w:val="009F754A"/>
    <w:rsid w:val="009F791F"/>
    <w:rsid w:val="009F7ED2"/>
    <w:rsid w:val="009F7F86"/>
    <w:rsid w:val="00A0034D"/>
    <w:rsid w:val="00A00BFB"/>
    <w:rsid w:val="00A00DCF"/>
    <w:rsid w:val="00A00E2F"/>
    <w:rsid w:val="00A0126C"/>
    <w:rsid w:val="00A012DA"/>
    <w:rsid w:val="00A01320"/>
    <w:rsid w:val="00A0187E"/>
    <w:rsid w:val="00A01A50"/>
    <w:rsid w:val="00A01BB0"/>
    <w:rsid w:val="00A01D68"/>
    <w:rsid w:val="00A02450"/>
    <w:rsid w:val="00A026F0"/>
    <w:rsid w:val="00A02F2D"/>
    <w:rsid w:val="00A02F61"/>
    <w:rsid w:val="00A03862"/>
    <w:rsid w:val="00A03E0E"/>
    <w:rsid w:val="00A040D1"/>
    <w:rsid w:val="00A04424"/>
    <w:rsid w:val="00A04853"/>
    <w:rsid w:val="00A04A0A"/>
    <w:rsid w:val="00A050A8"/>
    <w:rsid w:val="00A056A3"/>
    <w:rsid w:val="00A056AA"/>
    <w:rsid w:val="00A05B51"/>
    <w:rsid w:val="00A06286"/>
    <w:rsid w:val="00A06318"/>
    <w:rsid w:val="00A063BC"/>
    <w:rsid w:val="00A068E1"/>
    <w:rsid w:val="00A06A80"/>
    <w:rsid w:val="00A06D8A"/>
    <w:rsid w:val="00A0711F"/>
    <w:rsid w:val="00A07B0B"/>
    <w:rsid w:val="00A102A0"/>
    <w:rsid w:val="00A104D5"/>
    <w:rsid w:val="00A108C2"/>
    <w:rsid w:val="00A114FA"/>
    <w:rsid w:val="00A11AF3"/>
    <w:rsid w:val="00A12C09"/>
    <w:rsid w:val="00A13084"/>
    <w:rsid w:val="00A1327F"/>
    <w:rsid w:val="00A137A5"/>
    <w:rsid w:val="00A13817"/>
    <w:rsid w:val="00A138D3"/>
    <w:rsid w:val="00A13E0F"/>
    <w:rsid w:val="00A144B7"/>
    <w:rsid w:val="00A149B4"/>
    <w:rsid w:val="00A15B60"/>
    <w:rsid w:val="00A15F4F"/>
    <w:rsid w:val="00A160AB"/>
    <w:rsid w:val="00A160F0"/>
    <w:rsid w:val="00A16745"/>
    <w:rsid w:val="00A16747"/>
    <w:rsid w:val="00A17C1D"/>
    <w:rsid w:val="00A20013"/>
    <w:rsid w:val="00A20582"/>
    <w:rsid w:val="00A20C65"/>
    <w:rsid w:val="00A214B2"/>
    <w:rsid w:val="00A21767"/>
    <w:rsid w:val="00A21FD5"/>
    <w:rsid w:val="00A226DE"/>
    <w:rsid w:val="00A22751"/>
    <w:rsid w:val="00A22940"/>
    <w:rsid w:val="00A23102"/>
    <w:rsid w:val="00A23284"/>
    <w:rsid w:val="00A2343F"/>
    <w:rsid w:val="00A23505"/>
    <w:rsid w:val="00A23598"/>
    <w:rsid w:val="00A2428B"/>
    <w:rsid w:val="00A244E4"/>
    <w:rsid w:val="00A2476B"/>
    <w:rsid w:val="00A247E5"/>
    <w:rsid w:val="00A24D81"/>
    <w:rsid w:val="00A24EA5"/>
    <w:rsid w:val="00A25173"/>
    <w:rsid w:val="00A252F0"/>
    <w:rsid w:val="00A259F2"/>
    <w:rsid w:val="00A25FDB"/>
    <w:rsid w:val="00A26463"/>
    <w:rsid w:val="00A26608"/>
    <w:rsid w:val="00A2660E"/>
    <w:rsid w:val="00A26916"/>
    <w:rsid w:val="00A26B47"/>
    <w:rsid w:val="00A26FF1"/>
    <w:rsid w:val="00A27806"/>
    <w:rsid w:val="00A2799D"/>
    <w:rsid w:val="00A303DC"/>
    <w:rsid w:val="00A3068C"/>
    <w:rsid w:val="00A3127F"/>
    <w:rsid w:val="00A31922"/>
    <w:rsid w:val="00A31BCC"/>
    <w:rsid w:val="00A31C70"/>
    <w:rsid w:val="00A32382"/>
    <w:rsid w:val="00A325BB"/>
    <w:rsid w:val="00A3297A"/>
    <w:rsid w:val="00A32A58"/>
    <w:rsid w:val="00A32D63"/>
    <w:rsid w:val="00A32EEC"/>
    <w:rsid w:val="00A336C5"/>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3CD5"/>
    <w:rsid w:val="00A44AAD"/>
    <w:rsid w:val="00A44E8A"/>
    <w:rsid w:val="00A45280"/>
    <w:rsid w:val="00A45BF7"/>
    <w:rsid w:val="00A463B5"/>
    <w:rsid w:val="00A463BA"/>
    <w:rsid w:val="00A46675"/>
    <w:rsid w:val="00A471A3"/>
    <w:rsid w:val="00A47597"/>
    <w:rsid w:val="00A477B1"/>
    <w:rsid w:val="00A47E08"/>
    <w:rsid w:val="00A47E44"/>
    <w:rsid w:val="00A47F91"/>
    <w:rsid w:val="00A507D7"/>
    <w:rsid w:val="00A50A5C"/>
    <w:rsid w:val="00A50BE2"/>
    <w:rsid w:val="00A50CC6"/>
    <w:rsid w:val="00A50E40"/>
    <w:rsid w:val="00A51462"/>
    <w:rsid w:val="00A51564"/>
    <w:rsid w:val="00A51946"/>
    <w:rsid w:val="00A51C1F"/>
    <w:rsid w:val="00A51FF7"/>
    <w:rsid w:val="00A52079"/>
    <w:rsid w:val="00A52143"/>
    <w:rsid w:val="00A521E9"/>
    <w:rsid w:val="00A5279C"/>
    <w:rsid w:val="00A5298E"/>
    <w:rsid w:val="00A52B3E"/>
    <w:rsid w:val="00A5313B"/>
    <w:rsid w:val="00A5320E"/>
    <w:rsid w:val="00A536DA"/>
    <w:rsid w:val="00A53F7B"/>
    <w:rsid w:val="00A54090"/>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986"/>
    <w:rsid w:val="00A71E73"/>
    <w:rsid w:val="00A72740"/>
    <w:rsid w:val="00A72EBE"/>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3984"/>
    <w:rsid w:val="00A83A1E"/>
    <w:rsid w:val="00A84198"/>
    <w:rsid w:val="00A841AB"/>
    <w:rsid w:val="00A84FFD"/>
    <w:rsid w:val="00A86104"/>
    <w:rsid w:val="00A8655A"/>
    <w:rsid w:val="00A86A99"/>
    <w:rsid w:val="00A87203"/>
    <w:rsid w:val="00A87600"/>
    <w:rsid w:val="00A87744"/>
    <w:rsid w:val="00A87A70"/>
    <w:rsid w:val="00A87AE6"/>
    <w:rsid w:val="00A87B09"/>
    <w:rsid w:val="00A87C22"/>
    <w:rsid w:val="00A90590"/>
    <w:rsid w:val="00A90A97"/>
    <w:rsid w:val="00A90BD3"/>
    <w:rsid w:val="00A90CB4"/>
    <w:rsid w:val="00A910DA"/>
    <w:rsid w:val="00A920E1"/>
    <w:rsid w:val="00A923D6"/>
    <w:rsid w:val="00A92B42"/>
    <w:rsid w:val="00A933AE"/>
    <w:rsid w:val="00A93485"/>
    <w:rsid w:val="00A93863"/>
    <w:rsid w:val="00A9415E"/>
    <w:rsid w:val="00A9423F"/>
    <w:rsid w:val="00A948D8"/>
    <w:rsid w:val="00A94EBD"/>
    <w:rsid w:val="00A9510D"/>
    <w:rsid w:val="00A9556A"/>
    <w:rsid w:val="00A956AC"/>
    <w:rsid w:val="00A95B89"/>
    <w:rsid w:val="00A95D2A"/>
    <w:rsid w:val="00A96214"/>
    <w:rsid w:val="00A967E8"/>
    <w:rsid w:val="00A9680B"/>
    <w:rsid w:val="00A977D1"/>
    <w:rsid w:val="00A97AF8"/>
    <w:rsid w:val="00A97D38"/>
    <w:rsid w:val="00A97D80"/>
    <w:rsid w:val="00A97F4B"/>
    <w:rsid w:val="00AA04C5"/>
    <w:rsid w:val="00AA09F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D3C"/>
    <w:rsid w:val="00AA5E3B"/>
    <w:rsid w:val="00AA6003"/>
    <w:rsid w:val="00AA63AD"/>
    <w:rsid w:val="00AA65B4"/>
    <w:rsid w:val="00AA6F62"/>
    <w:rsid w:val="00AA745E"/>
    <w:rsid w:val="00AA7E43"/>
    <w:rsid w:val="00AB0352"/>
    <w:rsid w:val="00AB047A"/>
    <w:rsid w:val="00AB04AB"/>
    <w:rsid w:val="00AB0733"/>
    <w:rsid w:val="00AB09D2"/>
    <w:rsid w:val="00AB0B64"/>
    <w:rsid w:val="00AB0C30"/>
    <w:rsid w:val="00AB161B"/>
    <w:rsid w:val="00AB176B"/>
    <w:rsid w:val="00AB251A"/>
    <w:rsid w:val="00AB37E6"/>
    <w:rsid w:val="00AB3DBA"/>
    <w:rsid w:val="00AB431C"/>
    <w:rsid w:val="00AB470E"/>
    <w:rsid w:val="00AB5A7E"/>
    <w:rsid w:val="00AB7538"/>
    <w:rsid w:val="00AB75A7"/>
    <w:rsid w:val="00AB77F3"/>
    <w:rsid w:val="00AB7BE7"/>
    <w:rsid w:val="00AC0AAD"/>
    <w:rsid w:val="00AC0C2A"/>
    <w:rsid w:val="00AC1231"/>
    <w:rsid w:val="00AC15D4"/>
    <w:rsid w:val="00AC1992"/>
    <w:rsid w:val="00AC1E14"/>
    <w:rsid w:val="00AC2CE0"/>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DD"/>
    <w:rsid w:val="00AD0949"/>
    <w:rsid w:val="00AD0F1D"/>
    <w:rsid w:val="00AD1179"/>
    <w:rsid w:val="00AD1359"/>
    <w:rsid w:val="00AD194B"/>
    <w:rsid w:val="00AD19F0"/>
    <w:rsid w:val="00AD1FCE"/>
    <w:rsid w:val="00AD26E1"/>
    <w:rsid w:val="00AD29CC"/>
    <w:rsid w:val="00AD2D28"/>
    <w:rsid w:val="00AD3268"/>
    <w:rsid w:val="00AD3B66"/>
    <w:rsid w:val="00AD3DE2"/>
    <w:rsid w:val="00AD4261"/>
    <w:rsid w:val="00AD4473"/>
    <w:rsid w:val="00AD46F5"/>
    <w:rsid w:val="00AD4CF5"/>
    <w:rsid w:val="00AD51A3"/>
    <w:rsid w:val="00AD598B"/>
    <w:rsid w:val="00AD6960"/>
    <w:rsid w:val="00AD7154"/>
    <w:rsid w:val="00AD7844"/>
    <w:rsid w:val="00AD797D"/>
    <w:rsid w:val="00AD7C94"/>
    <w:rsid w:val="00AD7E02"/>
    <w:rsid w:val="00AD7F7D"/>
    <w:rsid w:val="00AE0483"/>
    <w:rsid w:val="00AE08DD"/>
    <w:rsid w:val="00AE09A4"/>
    <w:rsid w:val="00AE13BD"/>
    <w:rsid w:val="00AE1681"/>
    <w:rsid w:val="00AE1AF9"/>
    <w:rsid w:val="00AE1E60"/>
    <w:rsid w:val="00AE2068"/>
    <w:rsid w:val="00AE2258"/>
    <w:rsid w:val="00AE277E"/>
    <w:rsid w:val="00AE2A36"/>
    <w:rsid w:val="00AE2BC6"/>
    <w:rsid w:val="00AE3251"/>
    <w:rsid w:val="00AE3FE0"/>
    <w:rsid w:val="00AE44A2"/>
    <w:rsid w:val="00AE4A71"/>
    <w:rsid w:val="00AE5058"/>
    <w:rsid w:val="00AE5170"/>
    <w:rsid w:val="00AE51CD"/>
    <w:rsid w:val="00AE5471"/>
    <w:rsid w:val="00AE54AA"/>
    <w:rsid w:val="00AE60E4"/>
    <w:rsid w:val="00AE6872"/>
    <w:rsid w:val="00AE6C58"/>
    <w:rsid w:val="00AE6EC2"/>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D69"/>
    <w:rsid w:val="00AF7ED2"/>
    <w:rsid w:val="00B004D8"/>
    <w:rsid w:val="00B00830"/>
    <w:rsid w:val="00B00CC5"/>
    <w:rsid w:val="00B00D7A"/>
    <w:rsid w:val="00B016D2"/>
    <w:rsid w:val="00B01E41"/>
    <w:rsid w:val="00B02091"/>
    <w:rsid w:val="00B02B3F"/>
    <w:rsid w:val="00B02B43"/>
    <w:rsid w:val="00B02BCB"/>
    <w:rsid w:val="00B03D36"/>
    <w:rsid w:val="00B03F3D"/>
    <w:rsid w:val="00B04384"/>
    <w:rsid w:val="00B04540"/>
    <w:rsid w:val="00B05116"/>
    <w:rsid w:val="00B051A7"/>
    <w:rsid w:val="00B05574"/>
    <w:rsid w:val="00B058D5"/>
    <w:rsid w:val="00B05F1A"/>
    <w:rsid w:val="00B05F4C"/>
    <w:rsid w:val="00B07B33"/>
    <w:rsid w:val="00B07FA2"/>
    <w:rsid w:val="00B100CF"/>
    <w:rsid w:val="00B10B3F"/>
    <w:rsid w:val="00B10E82"/>
    <w:rsid w:val="00B111A6"/>
    <w:rsid w:val="00B11221"/>
    <w:rsid w:val="00B115E5"/>
    <w:rsid w:val="00B118EE"/>
    <w:rsid w:val="00B11B03"/>
    <w:rsid w:val="00B11C5B"/>
    <w:rsid w:val="00B121CD"/>
    <w:rsid w:val="00B12343"/>
    <w:rsid w:val="00B12529"/>
    <w:rsid w:val="00B128C5"/>
    <w:rsid w:val="00B129DF"/>
    <w:rsid w:val="00B12B11"/>
    <w:rsid w:val="00B12C94"/>
    <w:rsid w:val="00B135AB"/>
    <w:rsid w:val="00B137BF"/>
    <w:rsid w:val="00B13A1B"/>
    <w:rsid w:val="00B13A59"/>
    <w:rsid w:val="00B142D9"/>
    <w:rsid w:val="00B14BC4"/>
    <w:rsid w:val="00B151C5"/>
    <w:rsid w:val="00B156C8"/>
    <w:rsid w:val="00B158A3"/>
    <w:rsid w:val="00B15B25"/>
    <w:rsid w:val="00B15EA0"/>
    <w:rsid w:val="00B17A4E"/>
    <w:rsid w:val="00B17B30"/>
    <w:rsid w:val="00B17C2F"/>
    <w:rsid w:val="00B21175"/>
    <w:rsid w:val="00B21257"/>
    <w:rsid w:val="00B2153E"/>
    <w:rsid w:val="00B21FA7"/>
    <w:rsid w:val="00B22022"/>
    <w:rsid w:val="00B225E4"/>
    <w:rsid w:val="00B23F7A"/>
    <w:rsid w:val="00B240B1"/>
    <w:rsid w:val="00B24208"/>
    <w:rsid w:val="00B24728"/>
    <w:rsid w:val="00B248A9"/>
    <w:rsid w:val="00B24D28"/>
    <w:rsid w:val="00B24F1C"/>
    <w:rsid w:val="00B25890"/>
    <w:rsid w:val="00B25D76"/>
    <w:rsid w:val="00B25E9C"/>
    <w:rsid w:val="00B26B12"/>
    <w:rsid w:val="00B27032"/>
    <w:rsid w:val="00B27BEC"/>
    <w:rsid w:val="00B30003"/>
    <w:rsid w:val="00B31201"/>
    <w:rsid w:val="00B3167E"/>
    <w:rsid w:val="00B319F7"/>
    <w:rsid w:val="00B31B4B"/>
    <w:rsid w:val="00B31CD5"/>
    <w:rsid w:val="00B31DCA"/>
    <w:rsid w:val="00B31E36"/>
    <w:rsid w:val="00B32E26"/>
    <w:rsid w:val="00B338B7"/>
    <w:rsid w:val="00B34061"/>
    <w:rsid w:val="00B3440A"/>
    <w:rsid w:val="00B3441D"/>
    <w:rsid w:val="00B34441"/>
    <w:rsid w:val="00B353D3"/>
    <w:rsid w:val="00B35534"/>
    <w:rsid w:val="00B35A87"/>
    <w:rsid w:val="00B35AB6"/>
    <w:rsid w:val="00B35AFD"/>
    <w:rsid w:val="00B35F9A"/>
    <w:rsid w:val="00B36236"/>
    <w:rsid w:val="00B3662E"/>
    <w:rsid w:val="00B366D2"/>
    <w:rsid w:val="00B366FA"/>
    <w:rsid w:val="00B36E86"/>
    <w:rsid w:val="00B37122"/>
    <w:rsid w:val="00B379BA"/>
    <w:rsid w:val="00B37D24"/>
    <w:rsid w:val="00B40139"/>
    <w:rsid w:val="00B407BE"/>
    <w:rsid w:val="00B410E1"/>
    <w:rsid w:val="00B412FD"/>
    <w:rsid w:val="00B422BE"/>
    <w:rsid w:val="00B4241D"/>
    <w:rsid w:val="00B426BB"/>
    <w:rsid w:val="00B42B08"/>
    <w:rsid w:val="00B42EB9"/>
    <w:rsid w:val="00B434E9"/>
    <w:rsid w:val="00B441FE"/>
    <w:rsid w:val="00B44821"/>
    <w:rsid w:val="00B44AD3"/>
    <w:rsid w:val="00B44BDC"/>
    <w:rsid w:val="00B45152"/>
    <w:rsid w:val="00B45E54"/>
    <w:rsid w:val="00B461E5"/>
    <w:rsid w:val="00B464E4"/>
    <w:rsid w:val="00B4689A"/>
    <w:rsid w:val="00B46D5F"/>
    <w:rsid w:val="00B46E7B"/>
    <w:rsid w:val="00B47DC5"/>
    <w:rsid w:val="00B504D2"/>
    <w:rsid w:val="00B505B3"/>
    <w:rsid w:val="00B50A74"/>
    <w:rsid w:val="00B520A0"/>
    <w:rsid w:val="00B5257E"/>
    <w:rsid w:val="00B525CE"/>
    <w:rsid w:val="00B52CFD"/>
    <w:rsid w:val="00B545A8"/>
    <w:rsid w:val="00B548E8"/>
    <w:rsid w:val="00B56527"/>
    <w:rsid w:val="00B56918"/>
    <w:rsid w:val="00B576DA"/>
    <w:rsid w:val="00B57710"/>
    <w:rsid w:val="00B579F7"/>
    <w:rsid w:val="00B601C9"/>
    <w:rsid w:val="00B60D04"/>
    <w:rsid w:val="00B61EE8"/>
    <w:rsid w:val="00B62D9B"/>
    <w:rsid w:val="00B633A3"/>
    <w:rsid w:val="00B63533"/>
    <w:rsid w:val="00B63BDB"/>
    <w:rsid w:val="00B63C58"/>
    <w:rsid w:val="00B64A0E"/>
    <w:rsid w:val="00B64CC6"/>
    <w:rsid w:val="00B64DDF"/>
    <w:rsid w:val="00B65728"/>
    <w:rsid w:val="00B6601E"/>
    <w:rsid w:val="00B663AA"/>
    <w:rsid w:val="00B66DD5"/>
    <w:rsid w:val="00B6715C"/>
    <w:rsid w:val="00B67B97"/>
    <w:rsid w:val="00B67F01"/>
    <w:rsid w:val="00B70FA2"/>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6185"/>
    <w:rsid w:val="00B7676C"/>
    <w:rsid w:val="00B76BCD"/>
    <w:rsid w:val="00B76FBC"/>
    <w:rsid w:val="00B771CE"/>
    <w:rsid w:val="00B7782B"/>
    <w:rsid w:val="00B779E6"/>
    <w:rsid w:val="00B804E2"/>
    <w:rsid w:val="00B811B2"/>
    <w:rsid w:val="00B8164D"/>
    <w:rsid w:val="00B81C65"/>
    <w:rsid w:val="00B82024"/>
    <w:rsid w:val="00B8276E"/>
    <w:rsid w:val="00B836F3"/>
    <w:rsid w:val="00B83997"/>
    <w:rsid w:val="00B83A62"/>
    <w:rsid w:val="00B83B59"/>
    <w:rsid w:val="00B84252"/>
    <w:rsid w:val="00B84653"/>
    <w:rsid w:val="00B84677"/>
    <w:rsid w:val="00B8468F"/>
    <w:rsid w:val="00B84705"/>
    <w:rsid w:val="00B84FC6"/>
    <w:rsid w:val="00B857F5"/>
    <w:rsid w:val="00B85A56"/>
    <w:rsid w:val="00B85B2C"/>
    <w:rsid w:val="00B86D6C"/>
    <w:rsid w:val="00B86F47"/>
    <w:rsid w:val="00B874B4"/>
    <w:rsid w:val="00B875E9"/>
    <w:rsid w:val="00B8787A"/>
    <w:rsid w:val="00B87887"/>
    <w:rsid w:val="00B90123"/>
    <w:rsid w:val="00B90196"/>
    <w:rsid w:val="00B90FBE"/>
    <w:rsid w:val="00B90FD6"/>
    <w:rsid w:val="00B911C1"/>
    <w:rsid w:val="00B92008"/>
    <w:rsid w:val="00B920C1"/>
    <w:rsid w:val="00B922C3"/>
    <w:rsid w:val="00B9272E"/>
    <w:rsid w:val="00B927A7"/>
    <w:rsid w:val="00B92B9E"/>
    <w:rsid w:val="00B93315"/>
    <w:rsid w:val="00B93519"/>
    <w:rsid w:val="00B9372A"/>
    <w:rsid w:val="00B93B0C"/>
    <w:rsid w:val="00B93FD0"/>
    <w:rsid w:val="00B9425C"/>
    <w:rsid w:val="00B94AAF"/>
    <w:rsid w:val="00B94DB1"/>
    <w:rsid w:val="00B953FF"/>
    <w:rsid w:val="00B9622D"/>
    <w:rsid w:val="00B96263"/>
    <w:rsid w:val="00B96373"/>
    <w:rsid w:val="00B968A5"/>
    <w:rsid w:val="00B972CD"/>
    <w:rsid w:val="00B9769B"/>
    <w:rsid w:val="00B97D02"/>
    <w:rsid w:val="00BA0275"/>
    <w:rsid w:val="00BA0304"/>
    <w:rsid w:val="00BA0557"/>
    <w:rsid w:val="00BA2A34"/>
    <w:rsid w:val="00BA3038"/>
    <w:rsid w:val="00BA3319"/>
    <w:rsid w:val="00BA370A"/>
    <w:rsid w:val="00BA3826"/>
    <w:rsid w:val="00BA48BC"/>
    <w:rsid w:val="00BA4A29"/>
    <w:rsid w:val="00BA4BE7"/>
    <w:rsid w:val="00BA5D65"/>
    <w:rsid w:val="00BA5F20"/>
    <w:rsid w:val="00BA68D9"/>
    <w:rsid w:val="00BA7172"/>
    <w:rsid w:val="00BA7684"/>
    <w:rsid w:val="00BA7B01"/>
    <w:rsid w:val="00BB02D7"/>
    <w:rsid w:val="00BB0D9F"/>
    <w:rsid w:val="00BB0DEE"/>
    <w:rsid w:val="00BB0E20"/>
    <w:rsid w:val="00BB1031"/>
    <w:rsid w:val="00BB1B33"/>
    <w:rsid w:val="00BB2480"/>
    <w:rsid w:val="00BB2C4E"/>
    <w:rsid w:val="00BB2E29"/>
    <w:rsid w:val="00BB2F74"/>
    <w:rsid w:val="00BB3206"/>
    <w:rsid w:val="00BB32C2"/>
    <w:rsid w:val="00BB3B0D"/>
    <w:rsid w:val="00BB520A"/>
    <w:rsid w:val="00BB524C"/>
    <w:rsid w:val="00BB5DAB"/>
    <w:rsid w:val="00BB6195"/>
    <w:rsid w:val="00BB61A3"/>
    <w:rsid w:val="00BB707E"/>
    <w:rsid w:val="00BB7568"/>
    <w:rsid w:val="00BB7F82"/>
    <w:rsid w:val="00BC0032"/>
    <w:rsid w:val="00BC007C"/>
    <w:rsid w:val="00BC0319"/>
    <w:rsid w:val="00BC0AB2"/>
    <w:rsid w:val="00BC1308"/>
    <w:rsid w:val="00BC1BF4"/>
    <w:rsid w:val="00BC22DB"/>
    <w:rsid w:val="00BC2600"/>
    <w:rsid w:val="00BC2ACD"/>
    <w:rsid w:val="00BC2F24"/>
    <w:rsid w:val="00BC3071"/>
    <w:rsid w:val="00BC33BE"/>
    <w:rsid w:val="00BC3A47"/>
    <w:rsid w:val="00BC3EEB"/>
    <w:rsid w:val="00BC4780"/>
    <w:rsid w:val="00BC4DD7"/>
    <w:rsid w:val="00BC4F46"/>
    <w:rsid w:val="00BC52C8"/>
    <w:rsid w:val="00BC5485"/>
    <w:rsid w:val="00BC549C"/>
    <w:rsid w:val="00BC570E"/>
    <w:rsid w:val="00BC5A6C"/>
    <w:rsid w:val="00BC5A84"/>
    <w:rsid w:val="00BC5AF6"/>
    <w:rsid w:val="00BC5B4B"/>
    <w:rsid w:val="00BC5EDB"/>
    <w:rsid w:val="00BC613E"/>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9B1"/>
    <w:rsid w:val="00BD3E76"/>
    <w:rsid w:val="00BD3EE2"/>
    <w:rsid w:val="00BD3FCF"/>
    <w:rsid w:val="00BD42D2"/>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3A5C"/>
    <w:rsid w:val="00BE473E"/>
    <w:rsid w:val="00BE5135"/>
    <w:rsid w:val="00BE5964"/>
    <w:rsid w:val="00BE5F2B"/>
    <w:rsid w:val="00BE660B"/>
    <w:rsid w:val="00BE6AFE"/>
    <w:rsid w:val="00BE6BBE"/>
    <w:rsid w:val="00BE6FDA"/>
    <w:rsid w:val="00BE7021"/>
    <w:rsid w:val="00BE7300"/>
    <w:rsid w:val="00BE784F"/>
    <w:rsid w:val="00BE7F90"/>
    <w:rsid w:val="00BF0238"/>
    <w:rsid w:val="00BF0717"/>
    <w:rsid w:val="00BF071D"/>
    <w:rsid w:val="00BF0A7D"/>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4A3"/>
    <w:rsid w:val="00C05A4C"/>
    <w:rsid w:val="00C05A67"/>
    <w:rsid w:val="00C061D7"/>
    <w:rsid w:val="00C073E0"/>
    <w:rsid w:val="00C1001D"/>
    <w:rsid w:val="00C10B5A"/>
    <w:rsid w:val="00C11113"/>
    <w:rsid w:val="00C11687"/>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8D8"/>
    <w:rsid w:val="00C16C92"/>
    <w:rsid w:val="00C1706B"/>
    <w:rsid w:val="00C17648"/>
    <w:rsid w:val="00C17DB7"/>
    <w:rsid w:val="00C17E48"/>
    <w:rsid w:val="00C17E81"/>
    <w:rsid w:val="00C17FF5"/>
    <w:rsid w:val="00C201E7"/>
    <w:rsid w:val="00C20703"/>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170"/>
    <w:rsid w:val="00C26B5A"/>
    <w:rsid w:val="00C26D52"/>
    <w:rsid w:val="00C26F21"/>
    <w:rsid w:val="00C277DA"/>
    <w:rsid w:val="00C30319"/>
    <w:rsid w:val="00C303E4"/>
    <w:rsid w:val="00C30775"/>
    <w:rsid w:val="00C30B8D"/>
    <w:rsid w:val="00C30F51"/>
    <w:rsid w:val="00C310BA"/>
    <w:rsid w:val="00C3134E"/>
    <w:rsid w:val="00C314E3"/>
    <w:rsid w:val="00C315D8"/>
    <w:rsid w:val="00C31C4A"/>
    <w:rsid w:val="00C31D2D"/>
    <w:rsid w:val="00C3242F"/>
    <w:rsid w:val="00C32639"/>
    <w:rsid w:val="00C32AD2"/>
    <w:rsid w:val="00C32AF4"/>
    <w:rsid w:val="00C34193"/>
    <w:rsid w:val="00C3441A"/>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84F"/>
    <w:rsid w:val="00C47E67"/>
    <w:rsid w:val="00C47FD9"/>
    <w:rsid w:val="00C50387"/>
    <w:rsid w:val="00C50C1A"/>
    <w:rsid w:val="00C50CC0"/>
    <w:rsid w:val="00C51508"/>
    <w:rsid w:val="00C51D73"/>
    <w:rsid w:val="00C51DEB"/>
    <w:rsid w:val="00C524DD"/>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762C"/>
    <w:rsid w:val="00C67B49"/>
    <w:rsid w:val="00C70942"/>
    <w:rsid w:val="00C711F5"/>
    <w:rsid w:val="00C713A1"/>
    <w:rsid w:val="00C71828"/>
    <w:rsid w:val="00C72105"/>
    <w:rsid w:val="00C72BCE"/>
    <w:rsid w:val="00C74954"/>
    <w:rsid w:val="00C76028"/>
    <w:rsid w:val="00C76184"/>
    <w:rsid w:val="00C7673D"/>
    <w:rsid w:val="00C76A80"/>
    <w:rsid w:val="00C76C27"/>
    <w:rsid w:val="00C76F07"/>
    <w:rsid w:val="00C77EF6"/>
    <w:rsid w:val="00C80B4B"/>
    <w:rsid w:val="00C80D63"/>
    <w:rsid w:val="00C80DD6"/>
    <w:rsid w:val="00C810BC"/>
    <w:rsid w:val="00C812D5"/>
    <w:rsid w:val="00C818D0"/>
    <w:rsid w:val="00C81BEA"/>
    <w:rsid w:val="00C81DF5"/>
    <w:rsid w:val="00C82188"/>
    <w:rsid w:val="00C8242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821"/>
    <w:rsid w:val="00C85970"/>
    <w:rsid w:val="00C85E9B"/>
    <w:rsid w:val="00C86681"/>
    <w:rsid w:val="00C87174"/>
    <w:rsid w:val="00C874C8"/>
    <w:rsid w:val="00C90165"/>
    <w:rsid w:val="00C90733"/>
    <w:rsid w:val="00C921C4"/>
    <w:rsid w:val="00C9235F"/>
    <w:rsid w:val="00C9257F"/>
    <w:rsid w:val="00C92D5E"/>
    <w:rsid w:val="00C92F93"/>
    <w:rsid w:val="00C9319C"/>
    <w:rsid w:val="00C9346C"/>
    <w:rsid w:val="00C934F6"/>
    <w:rsid w:val="00C93874"/>
    <w:rsid w:val="00C93A4C"/>
    <w:rsid w:val="00C9448D"/>
    <w:rsid w:val="00C94FD2"/>
    <w:rsid w:val="00C9514C"/>
    <w:rsid w:val="00C95341"/>
    <w:rsid w:val="00C95B76"/>
    <w:rsid w:val="00C96285"/>
    <w:rsid w:val="00C964C3"/>
    <w:rsid w:val="00C96635"/>
    <w:rsid w:val="00C966B7"/>
    <w:rsid w:val="00C969DB"/>
    <w:rsid w:val="00C97A4A"/>
    <w:rsid w:val="00C97DC9"/>
    <w:rsid w:val="00C97EE3"/>
    <w:rsid w:val="00C97F85"/>
    <w:rsid w:val="00CA04BE"/>
    <w:rsid w:val="00CA12BA"/>
    <w:rsid w:val="00CA165C"/>
    <w:rsid w:val="00CA1C0D"/>
    <w:rsid w:val="00CA1DAE"/>
    <w:rsid w:val="00CA2267"/>
    <w:rsid w:val="00CA38AD"/>
    <w:rsid w:val="00CA413F"/>
    <w:rsid w:val="00CA5098"/>
    <w:rsid w:val="00CA5503"/>
    <w:rsid w:val="00CA55C3"/>
    <w:rsid w:val="00CA58C2"/>
    <w:rsid w:val="00CA65B3"/>
    <w:rsid w:val="00CA66C3"/>
    <w:rsid w:val="00CA6CAD"/>
    <w:rsid w:val="00CA70A8"/>
    <w:rsid w:val="00CA70D0"/>
    <w:rsid w:val="00CA74A4"/>
    <w:rsid w:val="00CA7683"/>
    <w:rsid w:val="00CA7EA1"/>
    <w:rsid w:val="00CA7EEB"/>
    <w:rsid w:val="00CB009B"/>
    <w:rsid w:val="00CB0231"/>
    <w:rsid w:val="00CB0838"/>
    <w:rsid w:val="00CB1AFD"/>
    <w:rsid w:val="00CB1E7F"/>
    <w:rsid w:val="00CB1EB3"/>
    <w:rsid w:val="00CB2126"/>
    <w:rsid w:val="00CB24AD"/>
    <w:rsid w:val="00CB2C59"/>
    <w:rsid w:val="00CB2D9C"/>
    <w:rsid w:val="00CB34AB"/>
    <w:rsid w:val="00CB3529"/>
    <w:rsid w:val="00CB3562"/>
    <w:rsid w:val="00CB378F"/>
    <w:rsid w:val="00CB38A9"/>
    <w:rsid w:val="00CB4728"/>
    <w:rsid w:val="00CB4994"/>
    <w:rsid w:val="00CB556C"/>
    <w:rsid w:val="00CB59E7"/>
    <w:rsid w:val="00CB5E4A"/>
    <w:rsid w:val="00CB6343"/>
    <w:rsid w:val="00CB668A"/>
    <w:rsid w:val="00CB6976"/>
    <w:rsid w:val="00CB6FCA"/>
    <w:rsid w:val="00CB724D"/>
    <w:rsid w:val="00CB73EA"/>
    <w:rsid w:val="00CB7D4E"/>
    <w:rsid w:val="00CC002B"/>
    <w:rsid w:val="00CC07E5"/>
    <w:rsid w:val="00CC09F0"/>
    <w:rsid w:val="00CC0C11"/>
    <w:rsid w:val="00CC15B5"/>
    <w:rsid w:val="00CC1671"/>
    <w:rsid w:val="00CC1698"/>
    <w:rsid w:val="00CC1F52"/>
    <w:rsid w:val="00CC233F"/>
    <w:rsid w:val="00CC27FD"/>
    <w:rsid w:val="00CC31E8"/>
    <w:rsid w:val="00CC33C6"/>
    <w:rsid w:val="00CC3AB9"/>
    <w:rsid w:val="00CC3C9E"/>
    <w:rsid w:val="00CC3CC4"/>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0A51"/>
    <w:rsid w:val="00CD1169"/>
    <w:rsid w:val="00CD16C7"/>
    <w:rsid w:val="00CD1A40"/>
    <w:rsid w:val="00CD1B33"/>
    <w:rsid w:val="00CD25F3"/>
    <w:rsid w:val="00CD27FF"/>
    <w:rsid w:val="00CD2973"/>
    <w:rsid w:val="00CD305C"/>
    <w:rsid w:val="00CD32F6"/>
    <w:rsid w:val="00CD3941"/>
    <w:rsid w:val="00CD3A6D"/>
    <w:rsid w:val="00CD3E5A"/>
    <w:rsid w:val="00CD3E63"/>
    <w:rsid w:val="00CD40A3"/>
    <w:rsid w:val="00CD4CD3"/>
    <w:rsid w:val="00CD578C"/>
    <w:rsid w:val="00CD589F"/>
    <w:rsid w:val="00CD60C9"/>
    <w:rsid w:val="00CD6345"/>
    <w:rsid w:val="00CD6BBB"/>
    <w:rsid w:val="00CD6C19"/>
    <w:rsid w:val="00CD6E47"/>
    <w:rsid w:val="00CD7482"/>
    <w:rsid w:val="00CE07C1"/>
    <w:rsid w:val="00CE1567"/>
    <w:rsid w:val="00CE186F"/>
    <w:rsid w:val="00CE1BC4"/>
    <w:rsid w:val="00CE1C09"/>
    <w:rsid w:val="00CE20E3"/>
    <w:rsid w:val="00CE24B7"/>
    <w:rsid w:val="00CE273A"/>
    <w:rsid w:val="00CE2844"/>
    <w:rsid w:val="00CE321C"/>
    <w:rsid w:val="00CE32E8"/>
    <w:rsid w:val="00CE3700"/>
    <w:rsid w:val="00CE3B69"/>
    <w:rsid w:val="00CE3B77"/>
    <w:rsid w:val="00CE4559"/>
    <w:rsid w:val="00CE4D58"/>
    <w:rsid w:val="00CE5118"/>
    <w:rsid w:val="00CE5487"/>
    <w:rsid w:val="00CE59B5"/>
    <w:rsid w:val="00CE59DB"/>
    <w:rsid w:val="00CE5D3A"/>
    <w:rsid w:val="00CE7381"/>
    <w:rsid w:val="00CE7447"/>
    <w:rsid w:val="00CE74CE"/>
    <w:rsid w:val="00CE7F36"/>
    <w:rsid w:val="00CF0829"/>
    <w:rsid w:val="00CF0E74"/>
    <w:rsid w:val="00CF1833"/>
    <w:rsid w:val="00CF1AEA"/>
    <w:rsid w:val="00CF1B4F"/>
    <w:rsid w:val="00CF2091"/>
    <w:rsid w:val="00CF21F6"/>
    <w:rsid w:val="00CF2278"/>
    <w:rsid w:val="00CF2C62"/>
    <w:rsid w:val="00CF2D78"/>
    <w:rsid w:val="00CF2E81"/>
    <w:rsid w:val="00CF2F66"/>
    <w:rsid w:val="00CF337B"/>
    <w:rsid w:val="00CF3848"/>
    <w:rsid w:val="00CF3FE7"/>
    <w:rsid w:val="00CF4059"/>
    <w:rsid w:val="00CF4416"/>
    <w:rsid w:val="00CF5762"/>
    <w:rsid w:val="00CF65B4"/>
    <w:rsid w:val="00CF69B0"/>
    <w:rsid w:val="00CF6C05"/>
    <w:rsid w:val="00CF7485"/>
    <w:rsid w:val="00CF7E56"/>
    <w:rsid w:val="00D009B1"/>
    <w:rsid w:val="00D0139C"/>
    <w:rsid w:val="00D01744"/>
    <w:rsid w:val="00D025CE"/>
    <w:rsid w:val="00D02A0F"/>
    <w:rsid w:val="00D02DF3"/>
    <w:rsid w:val="00D02FB3"/>
    <w:rsid w:val="00D03181"/>
    <w:rsid w:val="00D037DC"/>
    <w:rsid w:val="00D0383B"/>
    <w:rsid w:val="00D03A8A"/>
    <w:rsid w:val="00D03D6F"/>
    <w:rsid w:val="00D03DA5"/>
    <w:rsid w:val="00D03F27"/>
    <w:rsid w:val="00D043EE"/>
    <w:rsid w:val="00D0470D"/>
    <w:rsid w:val="00D05249"/>
    <w:rsid w:val="00D055CA"/>
    <w:rsid w:val="00D059FC"/>
    <w:rsid w:val="00D05DEF"/>
    <w:rsid w:val="00D06861"/>
    <w:rsid w:val="00D0688A"/>
    <w:rsid w:val="00D06AA5"/>
    <w:rsid w:val="00D06F22"/>
    <w:rsid w:val="00D07A9C"/>
    <w:rsid w:val="00D10076"/>
    <w:rsid w:val="00D1033B"/>
    <w:rsid w:val="00D10477"/>
    <w:rsid w:val="00D107E2"/>
    <w:rsid w:val="00D11D76"/>
    <w:rsid w:val="00D11E73"/>
    <w:rsid w:val="00D121F5"/>
    <w:rsid w:val="00D126E4"/>
    <w:rsid w:val="00D131BF"/>
    <w:rsid w:val="00D140E6"/>
    <w:rsid w:val="00D158EF"/>
    <w:rsid w:val="00D15C14"/>
    <w:rsid w:val="00D15E74"/>
    <w:rsid w:val="00D15FAA"/>
    <w:rsid w:val="00D16ECB"/>
    <w:rsid w:val="00D16EEE"/>
    <w:rsid w:val="00D17167"/>
    <w:rsid w:val="00D1794C"/>
    <w:rsid w:val="00D17BA5"/>
    <w:rsid w:val="00D17EC9"/>
    <w:rsid w:val="00D2058D"/>
    <w:rsid w:val="00D2176E"/>
    <w:rsid w:val="00D2182A"/>
    <w:rsid w:val="00D22105"/>
    <w:rsid w:val="00D2211C"/>
    <w:rsid w:val="00D22945"/>
    <w:rsid w:val="00D22B55"/>
    <w:rsid w:val="00D23055"/>
    <w:rsid w:val="00D230AD"/>
    <w:rsid w:val="00D251AB"/>
    <w:rsid w:val="00D25AC6"/>
    <w:rsid w:val="00D261D3"/>
    <w:rsid w:val="00D31255"/>
    <w:rsid w:val="00D319DF"/>
    <w:rsid w:val="00D31C89"/>
    <w:rsid w:val="00D3225E"/>
    <w:rsid w:val="00D32359"/>
    <w:rsid w:val="00D324BC"/>
    <w:rsid w:val="00D32EC2"/>
    <w:rsid w:val="00D33565"/>
    <w:rsid w:val="00D33762"/>
    <w:rsid w:val="00D34025"/>
    <w:rsid w:val="00D3413A"/>
    <w:rsid w:val="00D3493F"/>
    <w:rsid w:val="00D34BD1"/>
    <w:rsid w:val="00D35177"/>
    <w:rsid w:val="00D356E1"/>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842"/>
    <w:rsid w:val="00D478A8"/>
    <w:rsid w:val="00D47BEF"/>
    <w:rsid w:val="00D50826"/>
    <w:rsid w:val="00D51675"/>
    <w:rsid w:val="00D51996"/>
    <w:rsid w:val="00D51A75"/>
    <w:rsid w:val="00D51AA8"/>
    <w:rsid w:val="00D51C5A"/>
    <w:rsid w:val="00D51F73"/>
    <w:rsid w:val="00D52827"/>
    <w:rsid w:val="00D529BE"/>
    <w:rsid w:val="00D52CF6"/>
    <w:rsid w:val="00D53198"/>
    <w:rsid w:val="00D537D7"/>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85A"/>
    <w:rsid w:val="00D61C9C"/>
    <w:rsid w:val="00D62111"/>
    <w:rsid w:val="00D62229"/>
    <w:rsid w:val="00D625B8"/>
    <w:rsid w:val="00D626F8"/>
    <w:rsid w:val="00D634CD"/>
    <w:rsid w:val="00D636DC"/>
    <w:rsid w:val="00D63F4C"/>
    <w:rsid w:val="00D64265"/>
    <w:rsid w:val="00D64613"/>
    <w:rsid w:val="00D64702"/>
    <w:rsid w:val="00D666C2"/>
    <w:rsid w:val="00D66BD9"/>
    <w:rsid w:val="00D66BFD"/>
    <w:rsid w:val="00D66C91"/>
    <w:rsid w:val="00D674EE"/>
    <w:rsid w:val="00D67535"/>
    <w:rsid w:val="00D67B2A"/>
    <w:rsid w:val="00D67BC9"/>
    <w:rsid w:val="00D67DBC"/>
    <w:rsid w:val="00D704D9"/>
    <w:rsid w:val="00D7090A"/>
    <w:rsid w:val="00D70BD2"/>
    <w:rsid w:val="00D713F2"/>
    <w:rsid w:val="00D721AA"/>
    <w:rsid w:val="00D7244F"/>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0E8"/>
    <w:rsid w:val="00D822FA"/>
    <w:rsid w:val="00D82D02"/>
    <w:rsid w:val="00D82D0F"/>
    <w:rsid w:val="00D836F8"/>
    <w:rsid w:val="00D83A5A"/>
    <w:rsid w:val="00D84157"/>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0DDE"/>
    <w:rsid w:val="00D91410"/>
    <w:rsid w:val="00D91438"/>
    <w:rsid w:val="00D91594"/>
    <w:rsid w:val="00D91A8F"/>
    <w:rsid w:val="00D91ABE"/>
    <w:rsid w:val="00D91DFB"/>
    <w:rsid w:val="00D921DA"/>
    <w:rsid w:val="00D92C2F"/>
    <w:rsid w:val="00D92F7F"/>
    <w:rsid w:val="00D93E76"/>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1B5"/>
    <w:rsid w:val="00DA11EC"/>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A15"/>
    <w:rsid w:val="00DA6CC2"/>
    <w:rsid w:val="00DA7029"/>
    <w:rsid w:val="00DA7183"/>
    <w:rsid w:val="00DA77A0"/>
    <w:rsid w:val="00DB09A2"/>
    <w:rsid w:val="00DB0C79"/>
    <w:rsid w:val="00DB103D"/>
    <w:rsid w:val="00DB111F"/>
    <w:rsid w:val="00DB1448"/>
    <w:rsid w:val="00DB161E"/>
    <w:rsid w:val="00DB1998"/>
    <w:rsid w:val="00DB19EE"/>
    <w:rsid w:val="00DB1D13"/>
    <w:rsid w:val="00DB1D23"/>
    <w:rsid w:val="00DB1FC4"/>
    <w:rsid w:val="00DB21F0"/>
    <w:rsid w:val="00DB24C0"/>
    <w:rsid w:val="00DB2910"/>
    <w:rsid w:val="00DB2C5F"/>
    <w:rsid w:val="00DB38E9"/>
    <w:rsid w:val="00DB3A58"/>
    <w:rsid w:val="00DB3BDF"/>
    <w:rsid w:val="00DB3C58"/>
    <w:rsid w:val="00DB3D46"/>
    <w:rsid w:val="00DB401C"/>
    <w:rsid w:val="00DB46C8"/>
    <w:rsid w:val="00DB4F41"/>
    <w:rsid w:val="00DB540E"/>
    <w:rsid w:val="00DB5A63"/>
    <w:rsid w:val="00DB6166"/>
    <w:rsid w:val="00DB656B"/>
    <w:rsid w:val="00DB691E"/>
    <w:rsid w:val="00DB75A3"/>
    <w:rsid w:val="00DB799D"/>
    <w:rsid w:val="00DB79C8"/>
    <w:rsid w:val="00DC046E"/>
    <w:rsid w:val="00DC0574"/>
    <w:rsid w:val="00DC069D"/>
    <w:rsid w:val="00DC0C65"/>
    <w:rsid w:val="00DC16BF"/>
    <w:rsid w:val="00DC16E1"/>
    <w:rsid w:val="00DC16FC"/>
    <w:rsid w:val="00DC1881"/>
    <w:rsid w:val="00DC1ED7"/>
    <w:rsid w:val="00DC36E8"/>
    <w:rsid w:val="00DC3731"/>
    <w:rsid w:val="00DC3A6F"/>
    <w:rsid w:val="00DC3D1C"/>
    <w:rsid w:val="00DC43E1"/>
    <w:rsid w:val="00DC4EE7"/>
    <w:rsid w:val="00DC5199"/>
    <w:rsid w:val="00DC5A32"/>
    <w:rsid w:val="00DC5E4E"/>
    <w:rsid w:val="00DC651B"/>
    <w:rsid w:val="00DC662F"/>
    <w:rsid w:val="00DC6E78"/>
    <w:rsid w:val="00DC729A"/>
    <w:rsid w:val="00DC7328"/>
    <w:rsid w:val="00DC73B1"/>
    <w:rsid w:val="00DC7519"/>
    <w:rsid w:val="00DC75C6"/>
    <w:rsid w:val="00DC7630"/>
    <w:rsid w:val="00DC7715"/>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408"/>
    <w:rsid w:val="00DD7C44"/>
    <w:rsid w:val="00DD7CB6"/>
    <w:rsid w:val="00DE0077"/>
    <w:rsid w:val="00DE0137"/>
    <w:rsid w:val="00DE01BA"/>
    <w:rsid w:val="00DE0DCF"/>
    <w:rsid w:val="00DE137B"/>
    <w:rsid w:val="00DE13D4"/>
    <w:rsid w:val="00DE13FD"/>
    <w:rsid w:val="00DE19D9"/>
    <w:rsid w:val="00DE1C18"/>
    <w:rsid w:val="00DE1C70"/>
    <w:rsid w:val="00DE1DC6"/>
    <w:rsid w:val="00DE1F77"/>
    <w:rsid w:val="00DE21C6"/>
    <w:rsid w:val="00DE220C"/>
    <w:rsid w:val="00DE22AA"/>
    <w:rsid w:val="00DE288F"/>
    <w:rsid w:val="00DE2D49"/>
    <w:rsid w:val="00DE3607"/>
    <w:rsid w:val="00DE388A"/>
    <w:rsid w:val="00DE3C8E"/>
    <w:rsid w:val="00DE3E66"/>
    <w:rsid w:val="00DE3F75"/>
    <w:rsid w:val="00DE45F5"/>
    <w:rsid w:val="00DE4AAD"/>
    <w:rsid w:val="00DE4C0C"/>
    <w:rsid w:val="00DE4FC8"/>
    <w:rsid w:val="00DE53B5"/>
    <w:rsid w:val="00DE560F"/>
    <w:rsid w:val="00DE5A50"/>
    <w:rsid w:val="00DE60C5"/>
    <w:rsid w:val="00DE68DF"/>
    <w:rsid w:val="00DE7323"/>
    <w:rsid w:val="00DE75F0"/>
    <w:rsid w:val="00DE77CB"/>
    <w:rsid w:val="00DE7EBA"/>
    <w:rsid w:val="00DF04BD"/>
    <w:rsid w:val="00DF068D"/>
    <w:rsid w:val="00DF0D3A"/>
    <w:rsid w:val="00DF1A9A"/>
    <w:rsid w:val="00DF1C2D"/>
    <w:rsid w:val="00DF1DB6"/>
    <w:rsid w:val="00DF1F8A"/>
    <w:rsid w:val="00DF2261"/>
    <w:rsid w:val="00DF248E"/>
    <w:rsid w:val="00DF253D"/>
    <w:rsid w:val="00DF2CC6"/>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20D1"/>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D28"/>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17D0B"/>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043"/>
    <w:rsid w:val="00E26141"/>
    <w:rsid w:val="00E266F5"/>
    <w:rsid w:val="00E268C2"/>
    <w:rsid w:val="00E26D9E"/>
    <w:rsid w:val="00E26F90"/>
    <w:rsid w:val="00E270D3"/>
    <w:rsid w:val="00E27FC7"/>
    <w:rsid w:val="00E30700"/>
    <w:rsid w:val="00E30C59"/>
    <w:rsid w:val="00E30D87"/>
    <w:rsid w:val="00E30E57"/>
    <w:rsid w:val="00E31360"/>
    <w:rsid w:val="00E31450"/>
    <w:rsid w:val="00E31D28"/>
    <w:rsid w:val="00E325FF"/>
    <w:rsid w:val="00E3292B"/>
    <w:rsid w:val="00E32CB8"/>
    <w:rsid w:val="00E33D0F"/>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4E2"/>
    <w:rsid w:val="00E40CBF"/>
    <w:rsid w:val="00E40E7D"/>
    <w:rsid w:val="00E40EE4"/>
    <w:rsid w:val="00E413C6"/>
    <w:rsid w:val="00E415DC"/>
    <w:rsid w:val="00E41C4E"/>
    <w:rsid w:val="00E420D5"/>
    <w:rsid w:val="00E42517"/>
    <w:rsid w:val="00E42D55"/>
    <w:rsid w:val="00E42FFE"/>
    <w:rsid w:val="00E4316E"/>
    <w:rsid w:val="00E435AB"/>
    <w:rsid w:val="00E44275"/>
    <w:rsid w:val="00E44777"/>
    <w:rsid w:val="00E4535F"/>
    <w:rsid w:val="00E466BC"/>
    <w:rsid w:val="00E4686A"/>
    <w:rsid w:val="00E47538"/>
    <w:rsid w:val="00E479FD"/>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3AF"/>
    <w:rsid w:val="00E54B37"/>
    <w:rsid w:val="00E54DE9"/>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D24"/>
    <w:rsid w:val="00E64E69"/>
    <w:rsid w:val="00E6549C"/>
    <w:rsid w:val="00E654B9"/>
    <w:rsid w:val="00E6589D"/>
    <w:rsid w:val="00E65E2D"/>
    <w:rsid w:val="00E65E8C"/>
    <w:rsid w:val="00E665E7"/>
    <w:rsid w:val="00E66C96"/>
    <w:rsid w:val="00E66FD8"/>
    <w:rsid w:val="00E6703E"/>
    <w:rsid w:val="00E70130"/>
    <w:rsid w:val="00E715FC"/>
    <w:rsid w:val="00E71A45"/>
    <w:rsid w:val="00E71C21"/>
    <w:rsid w:val="00E72D84"/>
    <w:rsid w:val="00E72E80"/>
    <w:rsid w:val="00E730FC"/>
    <w:rsid w:val="00E7318D"/>
    <w:rsid w:val="00E7385A"/>
    <w:rsid w:val="00E73CE6"/>
    <w:rsid w:val="00E74780"/>
    <w:rsid w:val="00E7487D"/>
    <w:rsid w:val="00E74956"/>
    <w:rsid w:val="00E752F7"/>
    <w:rsid w:val="00E75848"/>
    <w:rsid w:val="00E759D4"/>
    <w:rsid w:val="00E76A3C"/>
    <w:rsid w:val="00E76F9B"/>
    <w:rsid w:val="00E771FC"/>
    <w:rsid w:val="00E77269"/>
    <w:rsid w:val="00E773E5"/>
    <w:rsid w:val="00E77511"/>
    <w:rsid w:val="00E77BDD"/>
    <w:rsid w:val="00E77F8B"/>
    <w:rsid w:val="00E806D3"/>
    <w:rsid w:val="00E81C34"/>
    <w:rsid w:val="00E81D83"/>
    <w:rsid w:val="00E821BB"/>
    <w:rsid w:val="00E822E9"/>
    <w:rsid w:val="00E826FE"/>
    <w:rsid w:val="00E8275E"/>
    <w:rsid w:val="00E827AF"/>
    <w:rsid w:val="00E82DE9"/>
    <w:rsid w:val="00E83253"/>
    <w:rsid w:val="00E844AB"/>
    <w:rsid w:val="00E84660"/>
    <w:rsid w:val="00E84C97"/>
    <w:rsid w:val="00E84D16"/>
    <w:rsid w:val="00E85005"/>
    <w:rsid w:val="00E85296"/>
    <w:rsid w:val="00E8533B"/>
    <w:rsid w:val="00E8575B"/>
    <w:rsid w:val="00E85931"/>
    <w:rsid w:val="00E85E4E"/>
    <w:rsid w:val="00E862BB"/>
    <w:rsid w:val="00E86327"/>
    <w:rsid w:val="00E86DF0"/>
    <w:rsid w:val="00E87BD2"/>
    <w:rsid w:val="00E87CDC"/>
    <w:rsid w:val="00E906E0"/>
    <w:rsid w:val="00E90B33"/>
    <w:rsid w:val="00E911E0"/>
    <w:rsid w:val="00E93407"/>
    <w:rsid w:val="00E939D6"/>
    <w:rsid w:val="00E940A8"/>
    <w:rsid w:val="00E94759"/>
    <w:rsid w:val="00E947E8"/>
    <w:rsid w:val="00E94B0F"/>
    <w:rsid w:val="00E94D03"/>
    <w:rsid w:val="00E9503F"/>
    <w:rsid w:val="00E95159"/>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3CE"/>
    <w:rsid w:val="00EA75BD"/>
    <w:rsid w:val="00EA760C"/>
    <w:rsid w:val="00EA7C47"/>
    <w:rsid w:val="00EB0B4F"/>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DB8"/>
    <w:rsid w:val="00EB6FE9"/>
    <w:rsid w:val="00EB72FF"/>
    <w:rsid w:val="00EB756F"/>
    <w:rsid w:val="00EB79C8"/>
    <w:rsid w:val="00EB7E78"/>
    <w:rsid w:val="00EC0301"/>
    <w:rsid w:val="00EC09C6"/>
    <w:rsid w:val="00EC0E8B"/>
    <w:rsid w:val="00EC0EA5"/>
    <w:rsid w:val="00EC1056"/>
    <w:rsid w:val="00EC1470"/>
    <w:rsid w:val="00EC222E"/>
    <w:rsid w:val="00EC25CD"/>
    <w:rsid w:val="00EC2716"/>
    <w:rsid w:val="00EC2DBB"/>
    <w:rsid w:val="00EC3107"/>
    <w:rsid w:val="00EC358E"/>
    <w:rsid w:val="00EC3A19"/>
    <w:rsid w:val="00EC3F3F"/>
    <w:rsid w:val="00EC3FD2"/>
    <w:rsid w:val="00EC4095"/>
    <w:rsid w:val="00EC43B5"/>
    <w:rsid w:val="00EC4537"/>
    <w:rsid w:val="00EC4960"/>
    <w:rsid w:val="00EC4AE3"/>
    <w:rsid w:val="00EC522B"/>
    <w:rsid w:val="00EC54EE"/>
    <w:rsid w:val="00EC59B2"/>
    <w:rsid w:val="00EC5A3B"/>
    <w:rsid w:val="00EC6BCB"/>
    <w:rsid w:val="00EC6EDB"/>
    <w:rsid w:val="00EC774E"/>
    <w:rsid w:val="00EC786C"/>
    <w:rsid w:val="00EC7ADD"/>
    <w:rsid w:val="00EC7D55"/>
    <w:rsid w:val="00ED04FE"/>
    <w:rsid w:val="00ED0521"/>
    <w:rsid w:val="00ED0DD0"/>
    <w:rsid w:val="00ED1989"/>
    <w:rsid w:val="00ED28F2"/>
    <w:rsid w:val="00ED3145"/>
    <w:rsid w:val="00ED3309"/>
    <w:rsid w:val="00ED356E"/>
    <w:rsid w:val="00ED3BDA"/>
    <w:rsid w:val="00ED3DA4"/>
    <w:rsid w:val="00ED4B67"/>
    <w:rsid w:val="00ED4B69"/>
    <w:rsid w:val="00ED5A3B"/>
    <w:rsid w:val="00ED5C30"/>
    <w:rsid w:val="00ED5E02"/>
    <w:rsid w:val="00ED5EED"/>
    <w:rsid w:val="00ED6B1C"/>
    <w:rsid w:val="00ED6CF7"/>
    <w:rsid w:val="00ED6F33"/>
    <w:rsid w:val="00ED741E"/>
    <w:rsid w:val="00ED7582"/>
    <w:rsid w:val="00ED7716"/>
    <w:rsid w:val="00ED7737"/>
    <w:rsid w:val="00ED7747"/>
    <w:rsid w:val="00ED7CF4"/>
    <w:rsid w:val="00EE0406"/>
    <w:rsid w:val="00EE0E46"/>
    <w:rsid w:val="00EE0EA8"/>
    <w:rsid w:val="00EE1B0E"/>
    <w:rsid w:val="00EE22FB"/>
    <w:rsid w:val="00EE2407"/>
    <w:rsid w:val="00EE26AE"/>
    <w:rsid w:val="00EE29C8"/>
    <w:rsid w:val="00EE2A54"/>
    <w:rsid w:val="00EE2FC2"/>
    <w:rsid w:val="00EE3B88"/>
    <w:rsid w:val="00EE4B75"/>
    <w:rsid w:val="00EE4DBD"/>
    <w:rsid w:val="00EE57D6"/>
    <w:rsid w:val="00EE5EAB"/>
    <w:rsid w:val="00EE6025"/>
    <w:rsid w:val="00EE6AC6"/>
    <w:rsid w:val="00EE6E26"/>
    <w:rsid w:val="00EE784F"/>
    <w:rsid w:val="00EE7A1D"/>
    <w:rsid w:val="00EF0500"/>
    <w:rsid w:val="00EF0767"/>
    <w:rsid w:val="00EF0B66"/>
    <w:rsid w:val="00EF1002"/>
    <w:rsid w:val="00EF143F"/>
    <w:rsid w:val="00EF23D8"/>
    <w:rsid w:val="00EF2A5A"/>
    <w:rsid w:val="00EF2A87"/>
    <w:rsid w:val="00EF3A74"/>
    <w:rsid w:val="00EF3AE9"/>
    <w:rsid w:val="00EF3EA5"/>
    <w:rsid w:val="00EF40DC"/>
    <w:rsid w:val="00EF49FB"/>
    <w:rsid w:val="00EF4D23"/>
    <w:rsid w:val="00EF55D6"/>
    <w:rsid w:val="00EF644D"/>
    <w:rsid w:val="00EF6D29"/>
    <w:rsid w:val="00EF7138"/>
    <w:rsid w:val="00EF7149"/>
    <w:rsid w:val="00F00280"/>
    <w:rsid w:val="00F00881"/>
    <w:rsid w:val="00F00917"/>
    <w:rsid w:val="00F01032"/>
    <w:rsid w:val="00F010BB"/>
    <w:rsid w:val="00F012C1"/>
    <w:rsid w:val="00F0175F"/>
    <w:rsid w:val="00F01C5B"/>
    <w:rsid w:val="00F03280"/>
    <w:rsid w:val="00F0362A"/>
    <w:rsid w:val="00F0385C"/>
    <w:rsid w:val="00F03ABE"/>
    <w:rsid w:val="00F04345"/>
    <w:rsid w:val="00F047A4"/>
    <w:rsid w:val="00F04F52"/>
    <w:rsid w:val="00F0510F"/>
    <w:rsid w:val="00F0563F"/>
    <w:rsid w:val="00F06239"/>
    <w:rsid w:val="00F064EF"/>
    <w:rsid w:val="00F06558"/>
    <w:rsid w:val="00F06974"/>
    <w:rsid w:val="00F06F42"/>
    <w:rsid w:val="00F0705E"/>
    <w:rsid w:val="00F07122"/>
    <w:rsid w:val="00F074C9"/>
    <w:rsid w:val="00F07AAA"/>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460"/>
    <w:rsid w:val="00F20C6E"/>
    <w:rsid w:val="00F20D6C"/>
    <w:rsid w:val="00F212CF"/>
    <w:rsid w:val="00F22154"/>
    <w:rsid w:val="00F2242D"/>
    <w:rsid w:val="00F2255F"/>
    <w:rsid w:val="00F225CF"/>
    <w:rsid w:val="00F22882"/>
    <w:rsid w:val="00F22985"/>
    <w:rsid w:val="00F22AEF"/>
    <w:rsid w:val="00F22F7A"/>
    <w:rsid w:val="00F2322E"/>
    <w:rsid w:val="00F2343C"/>
    <w:rsid w:val="00F23CFC"/>
    <w:rsid w:val="00F24076"/>
    <w:rsid w:val="00F240CB"/>
    <w:rsid w:val="00F2435D"/>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01"/>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6BC"/>
    <w:rsid w:val="00F45760"/>
    <w:rsid w:val="00F45925"/>
    <w:rsid w:val="00F46BA6"/>
    <w:rsid w:val="00F46C97"/>
    <w:rsid w:val="00F4703E"/>
    <w:rsid w:val="00F50511"/>
    <w:rsid w:val="00F50781"/>
    <w:rsid w:val="00F50CA3"/>
    <w:rsid w:val="00F517ED"/>
    <w:rsid w:val="00F51F3F"/>
    <w:rsid w:val="00F5272E"/>
    <w:rsid w:val="00F528B5"/>
    <w:rsid w:val="00F528E7"/>
    <w:rsid w:val="00F52C8A"/>
    <w:rsid w:val="00F53615"/>
    <w:rsid w:val="00F53A91"/>
    <w:rsid w:val="00F53FFD"/>
    <w:rsid w:val="00F54783"/>
    <w:rsid w:val="00F547E9"/>
    <w:rsid w:val="00F5494E"/>
    <w:rsid w:val="00F54ABE"/>
    <w:rsid w:val="00F55374"/>
    <w:rsid w:val="00F553D2"/>
    <w:rsid w:val="00F5564F"/>
    <w:rsid w:val="00F55804"/>
    <w:rsid w:val="00F55F1A"/>
    <w:rsid w:val="00F56310"/>
    <w:rsid w:val="00F5684C"/>
    <w:rsid w:val="00F57210"/>
    <w:rsid w:val="00F577FC"/>
    <w:rsid w:val="00F602F0"/>
    <w:rsid w:val="00F6098E"/>
    <w:rsid w:val="00F60C90"/>
    <w:rsid w:val="00F613E9"/>
    <w:rsid w:val="00F619EE"/>
    <w:rsid w:val="00F61CF5"/>
    <w:rsid w:val="00F61FF9"/>
    <w:rsid w:val="00F62069"/>
    <w:rsid w:val="00F62159"/>
    <w:rsid w:val="00F62948"/>
    <w:rsid w:val="00F62A7C"/>
    <w:rsid w:val="00F62B93"/>
    <w:rsid w:val="00F6308B"/>
    <w:rsid w:val="00F633E5"/>
    <w:rsid w:val="00F63A07"/>
    <w:rsid w:val="00F63C89"/>
    <w:rsid w:val="00F643CA"/>
    <w:rsid w:val="00F647EC"/>
    <w:rsid w:val="00F64D57"/>
    <w:rsid w:val="00F64FAB"/>
    <w:rsid w:val="00F65329"/>
    <w:rsid w:val="00F6546A"/>
    <w:rsid w:val="00F65CEA"/>
    <w:rsid w:val="00F65F15"/>
    <w:rsid w:val="00F66443"/>
    <w:rsid w:val="00F666E6"/>
    <w:rsid w:val="00F66BD1"/>
    <w:rsid w:val="00F675EA"/>
    <w:rsid w:val="00F67BEB"/>
    <w:rsid w:val="00F701F6"/>
    <w:rsid w:val="00F7074A"/>
    <w:rsid w:val="00F711A0"/>
    <w:rsid w:val="00F71687"/>
    <w:rsid w:val="00F71708"/>
    <w:rsid w:val="00F717C1"/>
    <w:rsid w:val="00F71AB3"/>
    <w:rsid w:val="00F71F46"/>
    <w:rsid w:val="00F725D3"/>
    <w:rsid w:val="00F7281E"/>
    <w:rsid w:val="00F72C1A"/>
    <w:rsid w:val="00F72C3D"/>
    <w:rsid w:val="00F731EC"/>
    <w:rsid w:val="00F73269"/>
    <w:rsid w:val="00F737AB"/>
    <w:rsid w:val="00F74216"/>
    <w:rsid w:val="00F746F2"/>
    <w:rsid w:val="00F74F0F"/>
    <w:rsid w:val="00F75731"/>
    <w:rsid w:val="00F75841"/>
    <w:rsid w:val="00F76333"/>
    <w:rsid w:val="00F76C1B"/>
    <w:rsid w:val="00F77100"/>
    <w:rsid w:val="00F77C84"/>
    <w:rsid w:val="00F8090F"/>
    <w:rsid w:val="00F8139A"/>
    <w:rsid w:val="00F82AAE"/>
    <w:rsid w:val="00F834BE"/>
    <w:rsid w:val="00F838A9"/>
    <w:rsid w:val="00F8497C"/>
    <w:rsid w:val="00F849E3"/>
    <w:rsid w:val="00F84B4E"/>
    <w:rsid w:val="00F84C44"/>
    <w:rsid w:val="00F851B7"/>
    <w:rsid w:val="00F8566C"/>
    <w:rsid w:val="00F858D4"/>
    <w:rsid w:val="00F85C65"/>
    <w:rsid w:val="00F860EB"/>
    <w:rsid w:val="00F86268"/>
    <w:rsid w:val="00F868B6"/>
    <w:rsid w:val="00F86968"/>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C22"/>
    <w:rsid w:val="00F96F86"/>
    <w:rsid w:val="00F97711"/>
    <w:rsid w:val="00FA024A"/>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EA3"/>
    <w:rsid w:val="00FA67E3"/>
    <w:rsid w:val="00FA7157"/>
    <w:rsid w:val="00FA73A6"/>
    <w:rsid w:val="00FA7698"/>
    <w:rsid w:val="00FA78C2"/>
    <w:rsid w:val="00FA7A2D"/>
    <w:rsid w:val="00FA7A33"/>
    <w:rsid w:val="00FA7B4F"/>
    <w:rsid w:val="00FA7F36"/>
    <w:rsid w:val="00FB06E7"/>
    <w:rsid w:val="00FB06E9"/>
    <w:rsid w:val="00FB0822"/>
    <w:rsid w:val="00FB09AA"/>
    <w:rsid w:val="00FB1093"/>
    <w:rsid w:val="00FB13A0"/>
    <w:rsid w:val="00FB180C"/>
    <w:rsid w:val="00FB227E"/>
    <w:rsid w:val="00FB267D"/>
    <w:rsid w:val="00FB2A18"/>
    <w:rsid w:val="00FB2BF4"/>
    <w:rsid w:val="00FB2C8D"/>
    <w:rsid w:val="00FB2DC6"/>
    <w:rsid w:val="00FB4FDE"/>
    <w:rsid w:val="00FB5E81"/>
    <w:rsid w:val="00FB5F37"/>
    <w:rsid w:val="00FB6E6C"/>
    <w:rsid w:val="00FB71B0"/>
    <w:rsid w:val="00FB7ABA"/>
    <w:rsid w:val="00FB7C21"/>
    <w:rsid w:val="00FB7C46"/>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3092"/>
    <w:rsid w:val="00FD35A1"/>
    <w:rsid w:val="00FD40FC"/>
    <w:rsid w:val="00FD412E"/>
    <w:rsid w:val="00FD420F"/>
    <w:rsid w:val="00FD4F2F"/>
    <w:rsid w:val="00FD51F7"/>
    <w:rsid w:val="00FD5258"/>
    <w:rsid w:val="00FD5602"/>
    <w:rsid w:val="00FD58E7"/>
    <w:rsid w:val="00FD5A2A"/>
    <w:rsid w:val="00FD5AE2"/>
    <w:rsid w:val="00FD62B4"/>
    <w:rsid w:val="00FD7142"/>
    <w:rsid w:val="00FD750F"/>
    <w:rsid w:val="00FE011C"/>
    <w:rsid w:val="00FE07DC"/>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5D23"/>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79F"/>
    <w:rsid w:val="00FF5D1F"/>
    <w:rsid w:val="00FF5F95"/>
    <w:rsid w:val="00FF6126"/>
    <w:rsid w:val="00FF61F5"/>
    <w:rsid w:val="00FF62AA"/>
    <w:rsid w:val="00FF64D7"/>
    <w:rsid w:val="00FF6B6C"/>
    <w:rsid w:val="0133358C"/>
    <w:rsid w:val="01420B2A"/>
    <w:rsid w:val="01552886"/>
    <w:rsid w:val="01AA2C10"/>
    <w:rsid w:val="020553BC"/>
    <w:rsid w:val="02140320"/>
    <w:rsid w:val="02C4013A"/>
    <w:rsid w:val="02CB76A6"/>
    <w:rsid w:val="02D7201B"/>
    <w:rsid w:val="02EB46CD"/>
    <w:rsid w:val="03585D74"/>
    <w:rsid w:val="037738D8"/>
    <w:rsid w:val="03EE579D"/>
    <w:rsid w:val="040E0FAE"/>
    <w:rsid w:val="049B60F1"/>
    <w:rsid w:val="04B37444"/>
    <w:rsid w:val="04CB4348"/>
    <w:rsid w:val="05A66F66"/>
    <w:rsid w:val="05A96137"/>
    <w:rsid w:val="05B53FF0"/>
    <w:rsid w:val="06DD57B4"/>
    <w:rsid w:val="075F0692"/>
    <w:rsid w:val="08CF3214"/>
    <w:rsid w:val="08F53B23"/>
    <w:rsid w:val="08FF6B9F"/>
    <w:rsid w:val="095C5E46"/>
    <w:rsid w:val="0A070656"/>
    <w:rsid w:val="0A54183B"/>
    <w:rsid w:val="0A913ED8"/>
    <w:rsid w:val="0B24171E"/>
    <w:rsid w:val="0B8F77CB"/>
    <w:rsid w:val="0BB33687"/>
    <w:rsid w:val="0CD50660"/>
    <w:rsid w:val="0D081F34"/>
    <w:rsid w:val="0D584403"/>
    <w:rsid w:val="0DDA523F"/>
    <w:rsid w:val="0E52151F"/>
    <w:rsid w:val="0F333B7C"/>
    <w:rsid w:val="101C0A97"/>
    <w:rsid w:val="10F67974"/>
    <w:rsid w:val="10FA5E09"/>
    <w:rsid w:val="116353E3"/>
    <w:rsid w:val="117C7228"/>
    <w:rsid w:val="12D6790A"/>
    <w:rsid w:val="12F438A7"/>
    <w:rsid w:val="13977E74"/>
    <w:rsid w:val="141B7F51"/>
    <w:rsid w:val="146F2C7A"/>
    <w:rsid w:val="149E4992"/>
    <w:rsid w:val="15192D96"/>
    <w:rsid w:val="15A217AD"/>
    <w:rsid w:val="15C026F1"/>
    <w:rsid w:val="16133C89"/>
    <w:rsid w:val="161A3D7D"/>
    <w:rsid w:val="16DB068B"/>
    <w:rsid w:val="17064457"/>
    <w:rsid w:val="18370589"/>
    <w:rsid w:val="189439F5"/>
    <w:rsid w:val="18C643E3"/>
    <w:rsid w:val="18ED237E"/>
    <w:rsid w:val="19314B62"/>
    <w:rsid w:val="1A442DE9"/>
    <w:rsid w:val="1AF23845"/>
    <w:rsid w:val="1CEB7E06"/>
    <w:rsid w:val="1D321E13"/>
    <w:rsid w:val="1DF72F5D"/>
    <w:rsid w:val="1EC716E5"/>
    <w:rsid w:val="1F177F0C"/>
    <w:rsid w:val="1F462152"/>
    <w:rsid w:val="1F6B6784"/>
    <w:rsid w:val="1FAF40F5"/>
    <w:rsid w:val="20780ECB"/>
    <w:rsid w:val="21455F84"/>
    <w:rsid w:val="224176AA"/>
    <w:rsid w:val="228C1199"/>
    <w:rsid w:val="22F21C47"/>
    <w:rsid w:val="235634BB"/>
    <w:rsid w:val="239A6B52"/>
    <w:rsid w:val="242D24F6"/>
    <w:rsid w:val="24801EBF"/>
    <w:rsid w:val="24977600"/>
    <w:rsid w:val="26AA0F6E"/>
    <w:rsid w:val="26AE5340"/>
    <w:rsid w:val="272F1A96"/>
    <w:rsid w:val="27703DC3"/>
    <w:rsid w:val="27AC0841"/>
    <w:rsid w:val="27EC2B40"/>
    <w:rsid w:val="2848646B"/>
    <w:rsid w:val="289622B0"/>
    <w:rsid w:val="297B0CF7"/>
    <w:rsid w:val="2A51423E"/>
    <w:rsid w:val="2B1E0D76"/>
    <w:rsid w:val="2C0B206C"/>
    <w:rsid w:val="2D263E4A"/>
    <w:rsid w:val="2D37282D"/>
    <w:rsid w:val="2D945258"/>
    <w:rsid w:val="2D9D2D85"/>
    <w:rsid w:val="2EDD2DD9"/>
    <w:rsid w:val="2EFA61AC"/>
    <w:rsid w:val="2F2F6485"/>
    <w:rsid w:val="2F723467"/>
    <w:rsid w:val="31651456"/>
    <w:rsid w:val="32A02B99"/>
    <w:rsid w:val="33820B2C"/>
    <w:rsid w:val="33D414D0"/>
    <w:rsid w:val="344C1FC4"/>
    <w:rsid w:val="34732F74"/>
    <w:rsid w:val="35C15F8B"/>
    <w:rsid w:val="35CD358A"/>
    <w:rsid w:val="35F4465D"/>
    <w:rsid w:val="361A2140"/>
    <w:rsid w:val="362A09EF"/>
    <w:rsid w:val="369C1105"/>
    <w:rsid w:val="36B079DB"/>
    <w:rsid w:val="37467D39"/>
    <w:rsid w:val="37F30DCD"/>
    <w:rsid w:val="385F359C"/>
    <w:rsid w:val="38903D73"/>
    <w:rsid w:val="38DE4454"/>
    <w:rsid w:val="390866DF"/>
    <w:rsid w:val="395D33E0"/>
    <w:rsid w:val="3AF11C2B"/>
    <w:rsid w:val="3BA80B19"/>
    <w:rsid w:val="3BD313F0"/>
    <w:rsid w:val="3C4240EC"/>
    <w:rsid w:val="3D05183D"/>
    <w:rsid w:val="3DBF6309"/>
    <w:rsid w:val="3DC8149C"/>
    <w:rsid w:val="3E997760"/>
    <w:rsid w:val="3F3A1FEB"/>
    <w:rsid w:val="405F6B9A"/>
    <w:rsid w:val="40885740"/>
    <w:rsid w:val="41CB5019"/>
    <w:rsid w:val="42253D73"/>
    <w:rsid w:val="42DC0426"/>
    <w:rsid w:val="43BF32E9"/>
    <w:rsid w:val="43C76649"/>
    <w:rsid w:val="440A3726"/>
    <w:rsid w:val="44B91A5D"/>
    <w:rsid w:val="452F03D4"/>
    <w:rsid w:val="459A3BBF"/>
    <w:rsid w:val="46C37857"/>
    <w:rsid w:val="47075699"/>
    <w:rsid w:val="47735079"/>
    <w:rsid w:val="47843179"/>
    <w:rsid w:val="4AF875FC"/>
    <w:rsid w:val="4E6268C7"/>
    <w:rsid w:val="4E8E4682"/>
    <w:rsid w:val="4EAC5711"/>
    <w:rsid w:val="4EDA0D8F"/>
    <w:rsid w:val="505C7478"/>
    <w:rsid w:val="50B45146"/>
    <w:rsid w:val="51B2004B"/>
    <w:rsid w:val="52052436"/>
    <w:rsid w:val="527C2D46"/>
    <w:rsid w:val="53503EEC"/>
    <w:rsid w:val="54E806FA"/>
    <w:rsid w:val="55622629"/>
    <w:rsid w:val="557701D2"/>
    <w:rsid w:val="56AC5E48"/>
    <w:rsid w:val="573A5D71"/>
    <w:rsid w:val="57F2042C"/>
    <w:rsid w:val="581E2406"/>
    <w:rsid w:val="59057ABF"/>
    <w:rsid w:val="59720505"/>
    <w:rsid w:val="59730249"/>
    <w:rsid w:val="5A3A2DDD"/>
    <w:rsid w:val="5B56186A"/>
    <w:rsid w:val="5B953DC6"/>
    <w:rsid w:val="5BA30291"/>
    <w:rsid w:val="5BF53C41"/>
    <w:rsid w:val="5C1F68B2"/>
    <w:rsid w:val="5C6C31DB"/>
    <w:rsid w:val="5CF71093"/>
    <w:rsid w:val="5D201747"/>
    <w:rsid w:val="5DA31D4F"/>
    <w:rsid w:val="5DF76D59"/>
    <w:rsid w:val="60447752"/>
    <w:rsid w:val="61501C31"/>
    <w:rsid w:val="61653A36"/>
    <w:rsid w:val="63A14D89"/>
    <w:rsid w:val="64441196"/>
    <w:rsid w:val="646978EA"/>
    <w:rsid w:val="656868EF"/>
    <w:rsid w:val="65B56926"/>
    <w:rsid w:val="66FF579F"/>
    <w:rsid w:val="67502EC5"/>
    <w:rsid w:val="6841392B"/>
    <w:rsid w:val="68C70FC8"/>
    <w:rsid w:val="6B1A38F0"/>
    <w:rsid w:val="6B241A17"/>
    <w:rsid w:val="6B28556D"/>
    <w:rsid w:val="6B6F525C"/>
    <w:rsid w:val="6B7A2359"/>
    <w:rsid w:val="6E400563"/>
    <w:rsid w:val="6E9C0F6F"/>
    <w:rsid w:val="6F983C7A"/>
    <w:rsid w:val="6FC13B19"/>
    <w:rsid w:val="7103031A"/>
    <w:rsid w:val="710B3010"/>
    <w:rsid w:val="71121F70"/>
    <w:rsid w:val="71553B55"/>
    <w:rsid w:val="71AD7318"/>
    <w:rsid w:val="726D70E7"/>
    <w:rsid w:val="73823237"/>
    <w:rsid w:val="744D5EC9"/>
    <w:rsid w:val="74B530B7"/>
    <w:rsid w:val="758A1DE5"/>
    <w:rsid w:val="75BD3A11"/>
    <w:rsid w:val="75E07DEA"/>
    <w:rsid w:val="76275962"/>
    <w:rsid w:val="769A0398"/>
    <w:rsid w:val="76A165B6"/>
    <w:rsid w:val="777E6DA5"/>
    <w:rsid w:val="77BC475C"/>
    <w:rsid w:val="77CC74DE"/>
    <w:rsid w:val="786A43E6"/>
    <w:rsid w:val="78A64982"/>
    <w:rsid w:val="79E65A52"/>
    <w:rsid w:val="7A0C3DD2"/>
    <w:rsid w:val="7A24254C"/>
    <w:rsid w:val="7A3538A9"/>
    <w:rsid w:val="7A7C4102"/>
    <w:rsid w:val="7B1403CC"/>
    <w:rsid w:val="7B9C0788"/>
    <w:rsid w:val="7BC62C19"/>
    <w:rsid w:val="7C0609B5"/>
    <w:rsid w:val="7C1011C5"/>
    <w:rsid w:val="7C744EE5"/>
    <w:rsid w:val="7C9C4E59"/>
    <w:rsid w:val="7E1700E3"/>
    <w:rsid w:val="7E477448"/>
    <w:rsid w:val="7ED2669B"/>
    <w:rsid w:val="7FCA435E"/>
    <w:rsid w:val="7FFA2F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9"/>
    <w:pPr>
      <w:keepNext/>
      <w:keepLines/>
      <w:outlineLvl w:val="0"/>
    </w:pPr>
    <w:rPr>
      <w:b/>
      <w:bCs/>
      <w:kern w:val="44"/>
      <w:sz w:val="44"/>
      <w:szCs w:val="44"/>
    </w:rPr>
  </w:style>
  <w:style w:type="paragraph" w:styleId="4">
    <w:name w:val="heading 2"/>
    <w:basedOn w:val="1"/>
    <w:next w:val="5"/>
    <w:link w:val="60"/>
    <w:qFormat/>
    <w:uiPriority w:val="9"/>
    <w:pPr>
      <w:keepNext/>
      <w:keepLines/>
      <w:outlineLvl w:val="1"/>
    </w:pPr>
    <w:rPr>
      <w:rFonts w:ascii="Arial" w:hAnsi="Arial" w:eastAsia="黑体"/>
      <w:b/>
      <w:bCs/>
      <w:kern w:val="0"/>
      <w:sz w:val="32"/>
      <w:szCs w:val="32"/>
    </w:rPr>
  </w:style>
  <w:style w:type="paragraph" w:styleId="6">
    <w:name w:val="heading 3"/>
    <w:basedOn w:val="1"/>
    <w:next w:val="1"/>
    <w:link w:val="62"/>
    <w:qFormat/>
    <w:uiPriority w:val="9"/>
    <w:pPr>
      <w:keepNext/>
      <w:keepLines/>
      <w:spacing w:before="260" w:after="260" w:line="416" w:lineRule="auto"/>
      <w:outlineLvl w:val="2"/>
    </w:pPr>
    <w:rPr>
      <w:b/>
      <w:bCs/>
      <w:kern w:val="0"/>
      <w:sz w:val="32"/>
      <w:szCs w:val="32"/>
    </w:rPr>
  </w:style>
  <w:style w:type="paragraph" w:styleId="7">
    <w:name w:val="heading 4"/>
    <w:basedOn w:val="1"/>
    <w:next w:val="1"/>
    <w:link w:val="63"/>
    <w:qFormat/>
    <w:uiPriority w:val="9"/>
    <w:pPr>
      <w:keepNext/>
      <w:keepLines/>
      <w:spacing w:before="120" w:line="360" w:lineRule="auto"/>
      <w:jc w:val="center"/>
      <w:outlineLvl w:val="3"/>
    </w:pPr>
    <w:rPr>
      <w:rFonts w:ascii="等线 Light" w:hAnsi="等线 Light"/>
      <w:b/>
      <w:bCs/>
      <w:sz w:val="28"/>
      <w:szCs w:val="28"/>
    </w:rPr>
  </w:style>
  <w:style w:type="paragraph" w:styleId="8">
    <w:name w:val="heading 5"/>
    <w:basedOn w:val="1"/>
    <w:next w:val="2"/>
    <w:link w:val="64"/>
    <w:qFormat/>
    <w:uiPriority w:val="9"/>
    <w:pPr>
      <w:keepNext/>
      <w:keepLines/>
      <w:numPr>
        <w:ilvl w:val="4"/>
        <w:numId w:val="1"/>
      </w:numPr>
      <w:spacing w:before="280" w:after="290" w:line="376" w:lineRule="auto"/>
      <w:outlineLvl w:val="4"/>
    </w:pPr>
    <w:rPr>
      <w:b/>
      <w:sz w:val="28"/>
    </w:rPr>
  </w:style>
  <w:style w:type="paragraph" w:styleId="9">
    <w:name w:val="heading 6"/>
    <w:basedOn w:val="1"/>
    <w:next w:val="2"/>
    <w:link w:val="65"/>
    <w:qFormat/>
    <w:uiPriority w:val="9"/>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2"/>
    <w:link w:val="66"/>
    <w:qFormat/>
    <w:uiPriority w:val="0"/>
    <w:pPr>
      <w:keepNext/>
      <w:keepLines/>
      <w:numPr>
        <w:ilvl w:val="6"/>
        <w:numId w:val="1"/>
      </w:numPr>
      <w:spacing w:before="240" w:after="64" w:line="320" w:lineRule="auto"/>
      <w:outlineLvl w:val="6"/>
    </w:pPr>
    <w:rPr>
      <w:b/>
      <w:sz w:val="24"/>
    </w:rPr>
  </w:style>
  <w:style w:type="paragraph" w:styleId="11">
    <w:name w:val="heading 8"/>
    <w:basedOn w:val="1"/>
    <w:next w:val="2"/>
    <w:link w:val="67"/>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2"/>
    <w:link w:val="6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5">
    <w:name w:val="Body Text"/>
    <w:basedOn w:val="1"/>
    <w:link w:val="61"/>
    <w:qFormat/>
    <w:uiPriority w:val="0"/>
    <w:pPr>
      <w:spacing w:line="380" w:lineRule="exact"/>
    </w:pPr>
    <w:rPr>
      <w:kern w:val="0"/>
      <w:sz w:val="24"/>
    </w:rPr>
  </w:style>
  <w:style w:type="paragraph" w:styleId="13">
    <w:name w:val="toc 7"/>
    <w:basedOn w:val="1"/>
    <w:next w:val="1"/>
    <w:unhideWhenUsed/>
    <w:qFormat/>
    <w:uiPriority w:val="39"/>
    <w:pPr>
      <w:ind w:left="2520" w:leftChars="1200"/>
    </w:pPr>
    <w:rPr>
      <w:rFonts w:ascii="Calibri" w:hAnsi="Calibri" w:eastAsia="宋体" w:cs="Times New Roman"/>
      <w:szCs w:val="22"/>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annotation text"/>
    <w:basedOn w:val="1"/>
    <w:link w:val="69"/>
    <w:unhideWhenUsed/>
    <w:qFormat/>
    <w:uiPriority w:val="0"/>
    <w:pPr>
      <w:jc w:val="left"/>
    </w:pPr>
  </w:style>
  <w:style w:type="paragraph" w:styleId="18">
    <w:name w:val="Body Text 3"/>
    <w:basedOn w:val="1"/>
    <w:link w:val="70"/>
    <w:qFormat/>
    <w:uiPriority w:val="0"/>
    <w:pPr>
      <w:spacing w:line="500" w:lineRule="exact"/>
    </w:pPr>
    <w:rPr>
      <w:b/>
      <w:bCs/>
      <w:kern w:val="0"/>
      <w:sz w:val="24"/>
    </w:rPr>
  </w:style>
  <w:style w:type="paragraph" w:styleId="19">
    <w:name w:val="Body Text Indent"/>
    <w:basedOn w:val="1"/>
    <w:next w:val="20"/>
    <w:link w:val="71"/>
    <w:qFormat/>
    <w:uiPriority w:val="0"/>
    <w:pPr>
      <w:ind w:firstLine="830" w:firstLineChars="352"/>
    </w:pPr>
    <w:rPr>
      <w:rFonts w:ascii="仿宋_GB2312" w:eastAsia="仿宋_GB2312"/>
      <w:kern w:val="0"/>
      <w:sz w:val="32"/>
      <w:szCs w:val="20"/>
    </w:rPr>
  </w:style>
  <w:style w:type="paragraph" w:customStyle="1" w:styleId="20">
    <w:name w:val="Default"/>
    <w:basedOn w:val="1"/>
    <w:next w:val="1"/>
    <w:qFormat/>
    <w:uiPriority w:val="0"/>
    <w:pPr>
      <w:autoSpaceDE w:val="0"/>
      <w:autoSpaceDN w:val="0"/>
      <w:adjustRightInd w:val="0"/>
      <w:jc w:val="left"/>
    </w:pPr>
    <w:rPr>
      <w:rFonts w:ascii="仿宋_GB2312" w:hAnsi="宋体" w:eastAsia="仿宋_GB2312"/>
      <w:color w:val="000000"/>
      <w:kern w:val="0"/>
      <w:sz w:val="24"/>
    </w:rPr>
  </w:style>
  <w:style w:type="paragraph" w:styleId="21">
    <w:name w:val="List Number 3"/>
    <w:basedOn w:val="1"/>
    <w:qFormat/>
    <w:uiPriority w:val="0"/>
    <w:pPr>
      <w:numPr>
        <w:ilvl w:val="0"/>
        <w:numId w:val="2"/>
      </w:numPr>
    </w:pPr>
  </w:style>
  <w:style w:type="paragraph" w:styleId="22">
    <w:name w:val="List 2"/>
    <w:basedOn w:val="1"/>
    <w:qFormat/>
    <w:uiPriority w:val="0"/>
    <w:pPr>
      <w:ind w:left="100" w:leftChars="200" w:hanging="200" w:hangingChars="200"/>
    </w:pPr>
    <w:rPr>
      <w:sz w:val="28"/>
    </w:rPr>
  </w:style>
  <w:style w:type="paragraph" w:styleId="23">
    <w:name w:val="toc 5"/>
    <w:basedOn w:val="1"/>
    <w:next w:val="1"/>
    <w:unhideWhenUsed/>
    <w:qFormat/>
    <w:uiPriority w:val="39"/>
    <w:pPr>
      <w:ind w:left="1680" w:leftChars="800"/>
    </w:pPr>
    <w:rPr>
      <w:rFonts w:ascii="Calibri" w:hAnsi="Calibri" w:eastAsia="宋体" w:cs="Times New Roman"/>
      <w:szCs w:val="22"/>
    </w:rPr>
  </w:style>
  <w:style w:type="paragraph" w:styleId="24">
    <w:name w:val="toc 3"/>
    <w:basedOn w:val="1"/>
    <w:next w:val="1"/>
    <w:unhideWhenUsed/>
    <w:qFormat/>
    <w:uiPriority w:val="39"/>
    <w:pPr>
      <w:ind w:left="840" w:leftChars="400"/>
    </w:pPr>
    <w:rPr>
      <w:rFonts w:ascii="Calibri" w:hAnsi="Calibri" w:eastAsia="宋体" w:cs="Times New Roman"/>
      <w:szCs w:val="22"/>
    </w:rPr>
  </w:style>
  <w:style w:type="paragraph" w:styleId="25">
    <w:name w:val="Plain Text"/>
    <w:basedOn w:val="1"/>
    <w:link w:val="72"/>
    <w:qFormat/>
    <w:uiPriority w:val="0"/>
    <w:rPr>
      <w:rFonts w:ascii="宋体" w:hAnsi="Courier New"/>
      <w:kern w:val="0"/>
      <w:sz w:val="20"/>
      <w:szCs w:val="21"/>
    </w:rPr>
  </w:style>
  <w:style w:type="paragraph" w:styleId="26">
    <w:name w:val="toc 8"/>
    <w:basedOn w:val="1"/>
    <w:next w:val="1"/>
    <w:unhideWhenUsed/>
    <w:qFormat/>
    <w:uiPriority w:val="39"/>
    <w:pPr>
      <w:ind w:left="2940" w:leftChars="1400"/>
    </w:pPr>
    <w:rPr>
      <w:rFonts w:ascii="Calibri" w:hAnsi="Calibri" w:eastAsia="宋体" w:cs="Times New Roman"/>
      <w:szCs w:val="22"/>
    </w:rPr>
  </w:style>
  <w:style w:type="paragraph" w:styleId="27">
    <w:name w:val="Date"/>
    <w:basedOn w:val="1"/>
    <w:next w:val="1"/>
    <w:link w:val="73"/>
    <w:qFormat/>
    <w:uiPriority w:val="0"/>
    <w:pPr>
      <w:ind w:left="100" w:leftChars="2500"/>
    </w:pPr>
    <w:rPr>
      <w:rFonts w:ascii="宋体" w:hAnsi="Courier New"/>
      <w:kern w:val="0"/>
      <w:sz w:val="20"/>
      <w:szCs w:val="21"/>
    </w:rPr>
  </w:style>
  <w:style w:type="paragraph" w:styleId="28">
    <w:name w:val="Body Text Indent 2"/>
    <w:basedOn w:val="1"/>
    <w:link w:val="74"/>
    <w:qFormat/>
    <w:uiPriority w:val="0"/>
    <w:pPr>
      <w:ind w:firstLine="630"/>
    </w:pPr>
    <w:rPr>
      <w:kern w:val="0"/>
      <w:sz w:val="32"/>
      <w:szCs w:val="20"/>
    </w:rPr>
  </w:style>
  <w:style w:type="paragraph" w:styleId="29">
    <w:name w:val="endnote text"/>
    <w:basedOn w:val="1"/>
    <w:link w:val="75"/>
    <w:unhideWhenUsed/>
    <w:qFormat/>
    <w:uiPriority w:val="99"/>
    <w:pPr>
      <w:snapToGrid w:val="0"/>
      <w:jc w:val="left"/>
    </w:pPr>
  </w:style>
  <w:style w:type="paragraph" w:styleId="30">
    <w:name w:val="Balloon Text"/>
    <w:basedOn w:val="1"/>
    <w:link w:val="76"/>
    <w:qFormat/>
    <w:uiPriority w:val="0"/>
    <w:rPr>
      <w:kern w:val="0"/>
      <w:sz w:val="18"/>
      <w:szCs w:val="18"/>
    </w:rPr>
  </w:style>
  <w:style w:type="paragraph" w:styleId="31">
    <w:name w:val="footer"/>
    <w:basedOn w:val="1"/>
    <w:link w:val="77"/>
    <w:unhideWhenUsed/>
    <w:qFormat/>
    <w:uiPriority w:val="0"/>
    <w:pPr>
      <w:tabs>
        <w:tab w:val="center" w:pos="4153"/>
        <w:tab w:val="right" w:pos="8306"/>
      </w:tabs>
      <w:snapToGrid w:val="0"/>
      <w:jc w:val="left"/>
    </w:pPr>
    <w:rPr>
      <w:kern w:val="0"/>
      <w:sz w:val="18"/>
      <w:szCs w:val="18"/>
    </w:rPr>
  </w:style>
  <w:style w:type="paragraph" w:styleId="32">
    <w:name w:val="header"/>
    <w:basedOn w:val="1"/>
    <w:link w:val="78"/>
    <w:unhideWhenUsed/>
    <w:qFormat/>
    <w:uiPriority w:val="0"/>
    <w:pPr>
      <w:pBdr>
        <w:bottom w:val="single" w:color="auto" w:sz="6" w:space="1"/>
      </w:pBdr>
      <w:tabs>
        <w:tab w:val="center" w:pos="0"/>
        <w:tab w:val="lef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unhideWhenUsed/>
    <w:qFormat/>
    <w:uiPriority w:val="39"/>
    <w:pPr>
      <w:ind w:left="1260" w:leftChars="600"/>
    </w:pPr>
    <w:rPr>
      <w:rFonts w:ascii="Calibri" w:hAnsi="Calibri" w:eastAsia="宋体" w:cs="Times New Roman"/>
      <w:szCs w:val="22"/>
    </w:rPr>
  </w:style>
  <w:style w:type="paragraph" w:styleId="35">
    <w:name w:val="List"/>
    <w:basedOn w:val="1"/>
    <w:qFormat/>
    <w:uiPriority w:val="0"/>
    <w:pPr>
      <w:ind w:left="200" w:hanging="200" w:hangingChars="200"/>
    </w:pPr>
    <w:rPr>
      <w:sz w:val="28"/>
    </w:rPr>
  </w:style>
  <w:style w:type="paragraph" w:styleId="36">
    <w:name w:val="footnote text"/>
    <w:basedOn w:val="1"/>
    <w:link w:val="79"/>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eastAsia="宋体" w:cs="Times New Roman"/>
      <w:szCs w:val="22"/>
    </w:rPr>
  </w:style>
  <w:style w:type="paragraph" w:styleId="38">
    <w:name w:val="Body Text Indent 3"/>
    <w:basedOn w:val="1"/>
    <w:link w:val="80"/>
    <w:qFormat/>
    <w:uiPriority w:val="0"/>
    <w:pPr>
      <w:spacing w:after="120"/>
      <w:ind w:left="420" w:leftChars="200"/>
    </w:pPr>
    <w:rPr>
      <w:kern w:val="0"/>
      <w:sz w:val="16"/>
      <w:szCs w:val="16"/>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ind w:left="3360" w:leftChars="1600"/>
    </w:pPr>
    <w:rPr>
      <w:rFonts w:ascii="Calibri" w:hAnsi="Calibri" w:eastAsia="宋体" w:cs="Times New Roman"/>
      <w:szCs w:val="22"/>
    </w:rPr>
  </w:style>
  <w:style w:type="paragraph" w:styleId="41">
    <w:name w:val="Body Text 2"/>
    <w:basedOn w:val="1"/>
    <w:link w:val="81"/>
    <w:qFormat/>
    <w:uiPriority w:val="0"/>
    <w:pPr>
      <w:spacing w:after="120" w:line="480" w:lineRule="auto"/>
    </w:pPr>
    <w:rPr>
      <w:kern w:val="0"/>
      <w:sz w:val="20"/>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82"/>
    <w:qFormat/>
    <w:uiPriority w:val="10"/>
    <w:pPr>
      <w:spacing w:before="240" w:after="60"/>
      <w:jc w:val="center"/>
      <w:outlineLvl w:val="0"/>
    </w:pPr>
    <w:rPr>
      <w:rFonts w:ascii="Cambria" w:hAnsi="Cambria"/>
      <w:b/>
      <w:bCs/>
      <w:sz w:val="32"/>
      <w:szCs w:val="32"/>
    </w:rPr>
  </w:style>
  <w:style w:type="paragraph" w:styleId="45">
    <w:name w:val="annotation subject"/>
    <w:basedOn w:val="17"/>
    <w:next w:val="17"/>
    <w:link w:val="83"/>
    <w:unhideWhenUsed/>
    <w:qFormat/>
    <w:uiPriority w:val="99"/>
    <w:rPr>
      <w:b/>
      <w:bCs/>
    </w:rPr>
  </w:style>
  <w:style w:type="paragraph" w:styleId="46">
    <w:name w:val="Body Text First Indent"/>
    <w:basedOn w:val="5"/>
    <w:qFormat/>
    <w:uiPriority w:val="0"/>
    <w:pPr>
      <w:tabs>
        <w:tab w:val="left" w:pos="360"/>
      </w:tabs>
      <w:spacing w:line="220" w:lineRule="exact"/>
      <w:ind w:left="360" w:hanging="360"/>
    </w:pPr>
    <w:rPr>
      <w:sz w:val="24"/>
      <w:szCs w:val="24"/>
    </w:rPr>
  </w:style>
  <w:style w:type="paragraph" w:styleId="47">
    <w:name w:val="Body Text First Indent 2"/>
    <w:basedOn w:val="19"/>
    <w:next w:val="1"/>
    <w:unhideWhenUsed/>
    <w:qFormat/>
    <w:uiPriority w:val="99"/>
    <w:pPr>
      <w:tabs>
        <w:tab w:val="left" w:pos="0"/>
      </w:tabs>
      <w:spacing w:after="120"/>
      <w:ind w:left="420" w:leftChars="200" w:firstLine="420" w:firstLineChars="200"/>
    </w:pPr>
    <w:rPr>
      <w:spacing w:val="-4"/>
      <w:sz w:val="21"/>
    </w:rPr>
  </w:style>
  <w:style w:type="table" w:styleId="49">
    <w:name w:val="Table Grid"/>
    <w:basedOn w:val="4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styleId="57">
    <w:name w:val="footnote reference"/>
    <w:unhideWhenUsed/>
    <w:qFormat/>
    <w:uiPriority w:val="99"/>
    <w:rPr>
      <w:vertAlign w:val="superscript"/>
    </w:rPr>
  </w:style>
  <w:style w:type="character" w:styleId="58">
    <w:name w:val="HTML Sample"/>
    <w:qFormat/>
    <w:uiPriority w:val="0"/>
    <w:rPr>
      <w:rFonts w:ascii="Courier New" w:hAnsi="Courier New"/>
    </w:rPr>
  </w:style>
  <w:style w:type="character" w:customStyle="1" w:styleId="59">
    <w:name w:val="标题 1 Char"/>
    <w:link w:val="3"/>
    <w:qFormat/>
    <w:uiPriority w:val="9"/>
    <w:rPr>
      <w:b/>
      <w:bCs/>
      <w:kern w:val="44"/>
      <w:sz w:val="44"/>
      <w:szCs w:val="44"/>
    </w:rPr>
  </w:style>
  <w:style w:type="character" w:customStyle="1" w:styleId="60">
    <w:name w:val="标题 2 Char"/>
    <w:link w:val="4"/>
    <w:qFormat/>
    <w:uiPriority w:val="9"/>
    <w:rPr>
      <w:rFonts w:ascii="Arial" w:hAnsi="Arial" w:eastAsia="黑体"/>
      <w:b/>
      <w:bCs/>
      <w:sz w:val="32"/>
      <w:szCs w:val="32"/>
    </w:rPr>
  </w:style>
  <w:style w:type="character" w:customStyle="1" w:styleId="61">
    <w:name w:val="正文文本 Char"/>
    <w:link w:val="5"/>
    <w:qFormat/>
    <w:uiPriority w:val="0"/>
    <w:rPr>
      <w:rFonts w:ascii="Times New Roman" w:hAnsi="Times New Roman" w:eastAsia="宋体" w:cs="Times New Roman"/>
      <w:sz w:val="24"/>
      <w:szCs w:val="24"/>
    </w:rPr>
  </w:style>
  <w:style w:type="character" w:customStyle="1" w:styleId="62">
    <w:name w:val="标题 3 Char"/>
    <w:link w:val="6"/>
    <w:qFormat/>
    <w:uiPriority w:val="9"/>
    <w:rPr>
      <w:rFonts w:ascii="Times New Roman" w:hAnsi="Times New Roman" w:eastAsia="宋体" w:cs="Times New Roman"/>
      <w:b/>
      <w:bCs/>
      <w:sz w:val="32"/>
      <w:szCs w:val="32"/>
    </w:rPr>
  </w:style>
  <w:style w:type="character" w:customStyle="1" w:styleId="63">
    <w:name w:val="标题 4 Char"/>
    <w:link w:val="7"/>
    <w:qFormat/>
    <w:uiPriority w:val="9"/>
    <w:rPr>
      <w:rFonts w:ascii="等线 Light" w:hAnsi="等线 Light"/>
      <w:b/>
      <w:bCs/>
      <w:kern w:val="2"/>
      <w:sz w:val="28"/>
      <w:szCs w:val="28"/>
    </w:rPr>
  </w:style>
  <w:style w:type="character" w:customStyle="1" w:styleId="64">
    <w:name w:val="标题 5 Char2"/>
    <w:link w:val="8"/>
    <w:qFormat/>
    <w:uiPriority w:val="9"/>
    <w:rPr>
      <w:b/>
      <w:kern w:val="2"/>
      <w:sz w:val="28"/>
      <w:szCs w:val="24"/>
    </w:rPr>
  </w:style>
  <w:style w:type="character" w:customStyle="1" w:styleId="65">
    <w:name w:val="标题 6 Char"/>
    <w:link w:val="9"/>
    <w:qFormat/>
    <w:uiPriority w:val="9"/>
    <w:rPr>
      <w:rFonts w:ascii="Arial" w:hAnsi="Arial" w:eastAsia="黑体"/>
      <w:b/>
      <w:kern w:val="2"/>
      <w:sz w:val="24"/>
      <w:szCs w:val="24"/>
    </w:rPr>
  </w:style>
  <w:style w:type="character" w:customStyle="1" w:styleId="66">
    <w:name w:val="标题 7 Char"/>
    <w:link w:val="10"/>
    <w:qFormat/>
    <w:uiPriority w:val="0"/>
    <w:rPr>
      <w:rFonts w:ascii="Times New Roman" w:hAnsi="Times New Roman"/>
      <w:b/>
      <w:kern w:val="2"/>
      <w:sz w:val="24"/>
      <w:szCs w:val="24"/>
    </w:rPr>
  </w:style>
  <w:style w:type="character" w:customStyle="1" w:styleId="67">
    <w:name w:val="标题 8 Char"/>
    <w:link w:val="11"/>
    <w:qFormat/>
    <w:uiPriority w:val="0"/>
    <w:rPr>
      <w:rFonts w:ascii="Arial" w:hAnsi="Arial" w:eastAsia="黑体"/>
      <w:kern w:val="2"/>
      <w:sz w:val="24"/>
      <w:szCs w:val="24"/>
    </w:rPr>
  </w:style>
  <w:style w:type="character" w:customStyle="1" w:styleId="68">
    <w:name w:val="标题 9 Char"/>
    <w:link w:val="12"/>
    <w:qFormat/>
    <w:uiPriority w:val="0"/>
    <w:rPr>
      <w:rFonts w:ascii="Arial" w:hAnsi="Arial" w:eastAsia="黑体"/>
      <w:kern w:val="2"/>
      <w:sz w:val="21"/>
      <w:szCs w:val="24"/>
    </w:rPr>
  </w:style>
  <w:style w:type="character" w:customStyle="1" w:styleId="69">
    <w:name w:val="批注文字 Char2"/>
    <w:link w:val="17"/>
    <w:qFormat/>
    <w:uiPriority w:val="0"/>
    <w:rPr>
      <w:rFonts w:ascii="Times New Roman" w:hAnsi="Times New Roman"/>
      <w:kern w:val="2"/>
      <w:sz w:val="21"/>
      <w:szCs w:val="24"/>
    </w:rPr>
  </w:style>
  <w:style w:type="character" w:customStyle="1" w:styleId="70">
    <w:name w:val="正文文本 3 Char"/>
    <w:link w:val="18"/>
    <w:qFormat/>
    <w:uiPriority w:val="0"/>
    <w:rPr>
      <w:rFonts w:ascii="Times New Roman" w:hAnsi="Times New Roman" w:eastAsia="宋体" w:cs="Times New Roman"/>
      <w:b/>
      <w:bCs/>
      <w:sz w:val="24"/>
      <w:szCs w:val="24"/>
    </w:rPr>
  </w:style>
  <w:style w:type="character" w:customStyle="1" w:styleId="71">
    <w:name w:val="正文文本缩进 Char"/>
    <w:link w:val="19"/>
    <w:qFormat/>
    <w:uiPriority w:val="0"/>
    <w:rPr>
      <w:rFonts w:ascii="仿宋_GB2312" w:hAnsi="Times New Roman" w:eastAsia="仿宋_GB2312" w:cs="Times New Roman"/>
      <w:sz w:val="32"/>
      <w:szCs w:val="20"/>
    </w:rPr>
  </w:style>
  <w:style w:type="character" w:customStyle="1" w:styleId="72">
    <w:name w:val="纯文本 Char2"/>
    <w:link w:val="25"/>
    <w:qFormat/>
    <w:uiPriority w:val="0"/>
    <w:rPr>
      <w:rFonts w:ascii="宋体" w:hAnsi="Courier New" w:eastAsia="宋体" w:cs="Courier New"/>
      <w:szCs w:val="21"/>
    </w:rPr>
  </w:style>
  <w:style w:type="character" w:customStyle="1" w:styleId="73">
    <w:name w:val="日期 Char"/>
    <w:link w:val="27"/>
    <w:qFormat/>
    <w:uiPriority w:val="0"/>
    <w:rPr>
      <w:rFonts w:ascii="宋体" w:hAnsi="Courier New" w:eastAsia="宋体" w:cs="Courier New"/>
      <w:szCs w:val="21"/>
    </w:rPr>
  </w:style>
  <w:style w:type="character" w:customStyle="1" w:styleId="74">
    <w:name w:val="正文文本缩进 2 Char"/>
    <w:link w:val="28"/>
    <w:qFormat/>
    <w:uiPriority w:val="0"/>
    <w:rPr>
      <w:rFonts w:ascii="Times New Roman" w:hAnsi="Times New Roman" w:eastAsia="宋体" w:cs="Times New Roman"/>
      <w:sz w:val="32"/>
      <w:szCs w:val="20"/>
    </w:rPr>
  </w:style>
  <w:style w:type="character" w:customStyle="1" w:styleId="75">
    <w:name w:val="尾注文本 Char"/>
    <w:link w:val="29"/>
    <w:semiHidden/>
    <w:qFormat/>
    <w:uiPriority w:val="99"/>
    <w:rPr>
      <w:rFonts w:ascii="Times New Roman" w:hAnsi="Times New Roman"/>
      <w:kern w:val="2"/>
      <w:sz w:val="21"/>
      <w:szCs w:val="24"/>
    </w:rPr>
  </w:style>
  <w:style w:type="character" w:customStyle="1" w:styleId="76">
    <w:name w:val="批注框文本 Char"/>
    <w:link w:val="30"/>
    <w:qFormat/>
    <w:uiPriority w:val="0"/>
    <w:rPr>
      <w:rFonts w:ascii="Times New Roman" w:hAnsi="Times New Roman" w:eastAsia="宋体" w:cs="Times New Roman"/>
      <w:sz w:val="18"/>
      <w:szCs w:val="18"/>
    </w:rPr>
  </w:style>
  <w:style w:type="character" w:customStyle="1" w:styleId="77">
    <w:name w:val="页脚 Char"/>
    <w:link w:val="31"/>
    <w:qFormat/>
    <w:uiPriority w:val="0"/>
    <w:rPr>
      <w:sz w:val="18"/>
      <w:szCs w:val="18"/>
    </w:rPr>
  </w:style>
  <w:style w:type="character" w:customStyle="1" w:styleId="78">
    <w:name w:val="页眉 Char"/>
    <w:link w:val="32"/>
    <w:qFormat/>
    <w:uiPriority w:val="0"/>
    <w:rPr>
      <w:rFonts w:ascii="Times New Roman" w:hAnsi="Times New Roman"/>
      <w:kern w:val="2"/>
      <w:sz w:val="18"/>
      <w:szCs w:val="18"/>
    </w:rPr>
  </w:style>
  <w:style w:type="character" w:customStyle="1" w:styleId="79">
    <w:name w:val="脚注文本 Char"/>
    <w:link w:val="36"/>
    <w:semiHidden/>
    <w:qFormat/>
    <w:uiPriority w:val="99"/>
    <w:rPr>
      <w:rFonts w:ascii="Times New Roman" w:hAnsi="Times New Roman"/>
      <w:kern w:val="2"/>
      <w:sz w:val="18"/>
      <w:szCs w:val="18"/>
    </w:rPr>
  </w:style>
  <w:style w:type="character" w:customStyle="1" w:styleId="80">
    <w:name w:val="正文文本缩进 3 Char"/>
    <w:link w:val="38"/>
    <w:qFormat/>
    <w:uiPriority w:val="0"/>
    <w:rPr>
      <w:rFonts w:ascii="Times New Roman" w:hAnsi="Times New Roman" w:eastAsia="宋体" w:cs="Times New Roman"/>
      <w:sz w:val="16"/>
      <w:szCs w:val="16"/>
    </w:rPr>
  </w:style>
  <w:style w:type="character" w:customStyle="1" w:styleId="81">
    <w:name w:val="正文文本 2 Char"/>
    <w:link w:val="41"/>
    <w:qFormat/>
    <w:uiPriority w:val="0"/>
    <w:rPr>
      <w:rFonts w:ascii="Times New Roman" w:hAnsi="Times New Roman" w:eastAsia="宋体" w:cs="Times New Roman"/>
      <w:szCs w:val="24"/>
    </w:rPr>
  </w:style>
  <w:style w:type="character" w:customStyle="1" w:styleId="82">
    <w:name w:val="标题 Char"/>
    <w:link w:val="44"/>
    <w:qFormat/>
    <w:uiPriority w:val="10"/>
    <w:rPr>
      <w:rFonts w:ascii="Cambria" w:hAnsi="Cambria" w:cs="Times New Roman"/>
      <w:b/>
      <w:bCs/>
      <w:kern w:val="2"/>
      <w:sz w:val="32"/>
      <w:szCs w:val="32"/>
    </w:rPr>
  </w:style>
  <w:style w:type="character" w:customStyle="1" w:styleId="83">
    <w:name w:val="批注主题 Char"/>
    <w:link w:val="45"/>
    <w:semiHidden/>
    <w:qFormat/>
    <w:uiPriority w:val="99"/>
    <w:rPr>
      <w:rFonts w:ascii="Times New Roman" w:hAnsi="Times New Roman"/>
      <w:b/>
      <w:bCs/>
      <w:kern w:val="2"/>
      <w:sz w:val="21"/>
      <w:szCs w:val="24"/>
    </w:rPr>
  </w:style>
  <w:style w:type="character" w:customStyle="1" w:styleId="84">
    <w:name w:val="纯文本 字符1"/>
    <w:qFormat/>
    <w:uiPriority w:val="0"/>
    <w:rPr>
      <w:rFonts w:ascii="宋体" w:hAnsi="Courier New"/>
    </w:rPr>
  </w:style>
  <w:style w:type="character" w:customStyle="1" w:styleId="85">
    <w:name w:val="批注文字 Char1"/>
    <w:semiHidden/>
    <w:qFormat/>
    <w:uiPriority w:val="0"/>
    <w:rPr>
      <w:rFonts w:ascii="Times New Roman" w:hAnsi="Times New Roman"/>
      <w:kern w:val="2"/>
      <w:sz w:val="21"/>
      <w:szCs w:val="24"/>
    </w:rPr>
  </w:style>
  <w:style w:type="character" w:customStyle="1" w:styleId="86">
    <w:name w:val="headline-content4"/>
    <w:qFormat/>
    <w:uiPriority w:val="0"/>
  </w:style>
  <w:style w:type="character" w:customStyle="1" w:styleId="87">
    <w:name w:val="批注文字 字符"/>
    <w:qFormat/>
    <w:uiPriority w:val="0"/>
    <w:rPr>
      <w:rFonts w:ascii="Times New Roman" w:hAnsi="Times New Roman"/>
      <w:kern w:val="2"/>
      <w:sz w:val="21"/>
      <w:szCs w:val="24"/>
    </w:rPr>
  </w:style>
  <w:style w:type="character" w:customStyle="1" w:styleId="88">
    <w:name w:val="标题 5 Char"/>
    <w:qFormat/>
    <w:uiPriority w:val="0"/>
    <w:rPr>
      <w:b/>
      <w:kern w:val="2"/>
      <w:sz w:val="28"/>
      <w:szCs w:val="24"/>
    </w:rPr>
  </w:style>
  <w:style w:type="character" w:customStyle="1" w:styleId="8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0">
    <w:name w:val="批注文字 Char"/>
    <w:qFormat/>
    <w:uiPriority w:val="0"/>
    <w:rPr>
      <w:rFonts w:ascii="Times New Roman" w:hAnsi="Times New Roman"/>
      <w:kern w:val="2"/>
      <w:sz w:val="21"/>
      <w:szCs w:val="24"/>
    </w:rPr>
  </w:style>
  <w:style w:type="character" w:customStyle="1" w:styleId="91">
    <w:name w:val="标题 1 字符"/>
    <w:qFormat/>
    <w:uiPriority w:val="9"/>
    <w:rPr>
      <w:rFonts w:ascii="Times New Roman" w:hAnsi="Times New Roman" w:eastAsia="宋体" w:cs="Times New Roman"/>
      <w:b/>
      <w:bCs/>
      <w:kern w:val="44"/>
      <w:sz w:val="44"/>
      <w:szCs w:val="44"/>
    </w:rPr>
  </w:style>
  <w:style w:type="character" w:customStyle="1" w:styleId="92">
    <w:name w:val="apple-style-span"/>
    <w:qFormat/>
    <w:uiPriority w:val="0"/>
  </w:style>
  <w:style w:type="character" w:customStyle="1" w:styleId="93">
    <w:name w:val="正文文本缩进 字符"/>
    <w:qFormat/>
    <w:uiPriority w:val="0"/>
    <w:rPr>
      <w:rFonts w:ascii="仿宋_GB2312" w:hAnsi="Times New Roman" w:eastAsia="仿宋_GB2312" w:cs="Times New Roman"/>
      <w:sz w:val="32"/>
      <w:szCs w:val="20"/>
    </w:rPr>
  </w:style>
  <w:style w:type="character" w:customStyle="1" w:styleId="94">
    <w:name w:val="case31"/>
    <w:qFormat/>
    <w:uiPriority w:val="0"/>
    <w:rPr>
      <w:rFonts w:hint="default" w:ascii="_x000B__x000C_" w:hAnsi="_x000B__x000C_"/>
      <w:sz w:val="21"/>
      <w:szCs w:val="21"/>
    </w:rPr>
  </w:style>
  <w:style w:type="character" w:customStyle="1" w:styleId="95">
    <w:name w:val="纯文本 字符"/>
    <w:qFormat/>
    <w:uiPriority w:val="0"/>
    <w:rPr>
      <w:rFonts w:ascii="宋体" w:hAnsi="Courier New" w:eastAsia="宋体" w:cs="Courier New"/>
      <w:szCs w:val="21"/>
    </w:rPr>
  </w:style>
  <w:style w:type="character" w:customStyle="1" w:styleId="96">
    <w:name w:val="textcontents"/>
    <w:qFormat/>
    <w:uiPriority w:val="0"/>
  </w:style>
  <w:style w:type="character" w:customStyle="1" w:styleId="97">
    <w:name w:val="普通文字 Char Char2"/>
    <w:qFormat/>
    <w:uiPriority w:val="0"/>
    <w:rPr>
      <w:rFonts w:ascii="宋体" w:hAnsi="Courier New" w:eastAsia="宋体"/>
      <w:kern w:val="2"/>
      <w:sz w:val="21"/>
      <w:lang w:val="en-US" w:eastAsia="zh-CN" w:bidi="ar-SA"/>
    </w:rPr>
  </w:style>
  <w:style w:type="paragraph" w:customStyle="1" w:styleId="98">
    <w:name w:val="正文段"/>
    <w:basedOn w:val="1"/>
    <w:qFormat/>
    <w:uiPriority w:val="0"/>
    <w:pPr>
      <w:widowControl/>
      <w:snapToGrid w:val="0"/>
      <w:spacing w:after="50" w:afterLines="50"/>
      <w:ind w:firstLine="200" w:firstLineChars="200"/>
    </w:pPr>
    <w:rPr>
      <w:kern w:val="0"/>
      <w:sz w:val="24"/>
      <w:szCs w:val="20"/>
    </w:rPr>
  </w:style>
  <w:style w:type="paragraph" w:customStyle="1" w:styleId="9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0">
    <w:name w:val="默认段落字体 Para Char Char Char Char Char Char Char Char Char1 Char Char Char Char"/>
    <w:basedOn w:val="1"/>
    <w:qFormat/>
    <w:uiPriority w:val="0"/>
    <w:rPr>
      <w:rFonts w:ascii="Tahoma" w:hAnsi="Tahoma"/>
      <w:sz w:val="24"/>
      <w:szCs w:val="20"/>
    </w:rPr>
  </w:style>
  <w:style w:type="paragraph" w:customStyle="1" w:styleId="101">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2">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3">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4">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05">
    <w:name w:val="Char1"/>
    <w:basedOn w:val="1"/>
    <w:qFormat/>
    <w:uiPriority w:val="0"/>
    <w:rPr>
      <w:szCs w:val="21"/>
    </w:rPr>
  </w:style>
  <w:style w:type="paragraph" w:customStyle="1" w:styleId="106">
    <w:name w:val="正文首行缩进两字符"/>
    <w:basedOn w:val="1"/>
    <w:qFormat/>
    <w:uiPriority w:val="0"/>
    <w:pPr>
      <w:spacing w:line="360" w:lineRule="auto"/>
      <w:ind w:firstLine="200" w:firstLineChars="200"/>
    </w:pPr>
  </w:style>
  <w:style w:type="paragraph" w:customStyle="1" w:styleId="107">
    <w:name w:val="表格"/>
    <w:basedOn w:val="1"/>
    <w:qFormat/>
    <w:uiPriority w:val="0"/>
    <w:pPr>
      <w:spacing w:line="400" w:lineRule="exact"/>
    </w:pPr>
    <w:rPr>
      <w:sz w:val="24"/>
    </w:rPr>
  </w:style>
  <w:style w:type="paragraph" w:customStyle="1" w:styleId="108">
    <w:name w:val="样式 首行缩进:  2 字符"/>
    <w:basedOn w:val="1"/>
    <w:qFormat/>
    <w:uiPriority w:val="0"/>
    <w:pPr>
      <w:spacing w:line="400" w:lineRule="exact"/>
      <w:ind w:firstLine="200" w:firstLineChars="200"/>
    </w:pPr>
    <w:rPr>
      <w:rFonts w:cs="宋体"/>
      <w:sz w:val="24"/>
    </w:rPr>
  </w:style>
  <w:style w:type="paragraph" w:customStyle="1" w:styleId="109">
    <w:name w:val="Plain Text"/>
    <w:basedOn w:val="1"/>
    <w:qFormat/>
    <w:uiPriority w:val="0"/>
    <w:rPr>
      <w:rFonts w:ascii="宋体" w:hAnsi="Courier New" w:cs="Century"/>
      <w:szCs w:val="21"/>
    </w:rPr>
  </w:style>
  <w:style w:type="paragraph" w:customStyle="1" w:styleId="110">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styleId="111">
    <w:name w:val="List Paragraph"/>
    <w:basedOn w:val="1"/>
    <w:qFormat/>
    <w:uiPriority w:val="34"/>
    <w:pPr>
      <w:ind w:firstLine="420" w:firstLineChars="200"/>
    </w:pPr>
  </w:style>
  <w:style w:type="table" w:customStyle="1" w:styleId="112">
    <w:name w:val="Table Normal"/>
    <w:qFormat/>
    <w:uiPriority w:val="0"/>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13">
    <w:name w:val="纯文本 Char1"/>
    <w:qFormat/>
    <w:uiPriority w:val="0"/>
    <w:rPr>
      <w:rFonts w:ascii="宋体" w:hAnsi="Courier New" w:eastAsia="宋体" w:cs="Courier New"/>
      <w:szCs w:val="21"/>
    </w:rPr>
  </w:style>
  <w:style w:type="character" w:customStyle="1" w:styleId="114">
    <w:name w:val="标题 5 Char1"/>
    <w:qFormat/>
    <w:uiPriority w:val="0"/>
    <w:rPr>
      <w:b/>
      <w:kern w:val="2"/>
      <w:sz w:val="28"/>
      <w:szCs w:val="24"/>
    </w:rPr>
  </w:style>
  <w:style w:type="character" w:customStyle="1" w:styleId="115">
    <w:name w:val="批注文字 字符2"/>
    <w:qFormat/>
    <w:uiPriority w:val="0"/>
    <w:rPr>
      <w:rFonts w:ascii="Times New Roman" w:hAnsi="Times New Roman"/>
      <w:kern w:val="2"/>
      <w:sz w:val="21"/>
      <w:szCs w:val="24"/>
    </w:rPr>
  </w:style>
  <w:style w:type="character" w:customStyle="1" w:styleId="116">
    <w:name w:val="纯文本 Char"/>
    <w:qFormat/>
    <w:uiPriority w:val="0"/>
    <w:rPr>
      <w:rFonts w:ascii="宋体" w:hAnsi="Courier New" w:eastAsia="宋体" w:cs="Courier New"/>
      <w:szCs w:val="21"/>
    </w:rPr>
  </w:style>
  <w:style w:type="paragraph" w:customStyle="1" w:styleId="117">
    <w:name w:val="正文2"/>
    <w:basedOn w:val="1"/>
    <w:qFormat/>
    <w:uiPriority w:val="0"/>
    <w:pPr>
      <w:adjustRightInd w:val="0"/>
      <w:spacing w:before="156" w:line="360" w:lineRule="auto"/>
      <w:ind w:firstLine="510" w:firstLineChars="200"/>
    </w:pPr>
    <w:rPr>
      <w:sz w:val="24"/>
      <w:szCs w:val="20"/>
    </w:rPr>
  </w:style>
  <w:style w:type="paragraph" w:customStyle="1" w:styleId="118">
    <w:name w:val="_Style 117"/>
    <w:unhideWhenUsed/>
    <w:qFormat/>
    <w:uiPriority w:val="99"/>
    <w:rPr>
      <w:rFonts w:ascii="Times New Roman" w:hAnsi="Times New Roman" w:eastAsia="宋体" w:cs="Times New Roman"/>
      <w:kern w:val="2"/>
      <w:sz w:val="21"/>
      <w:szCs w:val="24"/>
      <w:lang w:val="en-US" w:eastAsia="zh-CN" w:bidi="ar-SA"/>
    </w:rPr>
  </w:style>
  <w:style w:type="paragraph" w:customStyle="1" w:styleId="119">
    <w:name w:val="BodyText"/>
    <w:basedOn w:val="1"/>
    <w:qFormat/>
    <w:uiPriority w:val="0"/>
    <w:pPr>
      <w:spacing w:line="380" w:lineRule="exact"/>
    </w:pPr>
    <w:rPr>
      <w:rFonts w:ascii="Times New Roman" w:hAnsi="Times New Roman" w:eastAsia="宋体" w:cs="Times New Roman"/>
      <w:kern w:val="0"/>
      <w:sz w:val="24"/>
    </w:rPr>
  </w:style>
  <w:style w:type="character" w:customStyle="1" w:styleId="120">
    <w:name w:val="font12"/>
    <w:qFormat/>
    <w:uiPriority w:val="0"/>
    <w:rPr>
      <w:rFonts w:hint="default" w:ascii="Times New Roman" w:hAnsi="Times New Roman" w:cs="Times New Roman"/>
      <w:color w:val="000000"/>
      <w:sz w:val="21"/>
      <w:szCs w:val="21"/>
      <w:u w:val="none"/>
    </w:rPr>
  </w:style>
  <w:style w:type="character" w:customStyle="1" w:styleId="121">
    <w:name w:val="font111"/>
    <w:qFormat/>
    <w:uiPriority w:val="0"/>
    <w:rPr>
      <w:rFonts w:hint="eastAsia" w:ascii="宋体" w:hAnsi="宋体" w:eastAsia="宋体" w:cs="宋体"/>
      <w:color w:val="000000"/>
      <w:sz w:val="21"/>
      <w:szCs w:val="21"/>
      <w:u w:val="none"/>
    </w:rPr>
  </w:style>
  <w:style w:type="paragraph" w:customStyle="1" w:styleId="122">
    <w:name w:val="正文-公1"/>
    <w:basedOn w:val="1"/>
    <w:qFormat/>
    <w:uiPriority w:val="0"/>
    <w:pPr>
      <w:ind w:firstLine="200" w:firstLineChars="200"/>
    </w:pPr>
    <w:rPr>
      <w:color w:val="000000"/>
    </w:rPr>
  </w:style>
  <w:style w:type="paragraph" w:customStyle="1" w:styleId="123">
    <w:name w:val="Title1"/>
    <w:basedOn w:val="1"/>
    <w:next w:val="1"/>
    <w:qFormat/>
    <w:uiPriority w:val="0"/>
    <w:pPr>
      <w:jc w:val="center"/>
      <w:outlineLvl w:val="0"/>
    </w:pPr>
    <w:rPr>
      <w:rFonts w:ascii="Calibri Light" w:hAnsi="Calibri Light" w:eastAsia="Arial Unicode MS" w:cs="Times New Roman"/>
      <w:b/>
    </w:rPr>
  </w:style>
  <w:style w:type="paragraph" w:customStyle="1" w:styleId="124">
    <w:name w:val="列出段落1"/>
    <w:basedOn w:val="1"/>
    <w:qFormat/>
    <w:uiPriority w:val="0"/>
    <w:pPr>
      <w:ind w:firstLine="420" w:firstLineChars="200"/>
    </w:pPr>
    <w:rPr>
      <w:rFonts w:ascii="等线" w:hAnsi="等线" w:eastAsia="等线"/>
    </w:rPr>
  </w:style>
  <w:style w:type="character" w:customStyle="1" w:styleId="125">
    <w:name w:val="font11"/>
    <w:basedOn w:val="50"/>
    <w:qFormat/>
    <w:uiPriority w:val="0"/>
    <w:rPr>
      <w:rFonts w:hint="eastAsia" w:ascii="黑体" w:hAnsi="宋体" w:eastAsia="黑体" w:cs="黑体"/>
      <w:color w:val="000000"/>
      <w:sz w:val="24"/>
      <w:szCs w:val="24"/>
      <w:u w:val="none"/>
    </w:rPr>
  </w:style>
  <w:style w:type="character" w:customStyle="1" w:styleId="126">
    <w:name w:val="font31"/>
    <w:basedOn w:val="50"/>
    <w:qFormat/>
    <w:uiPriority w:val="0"/>
    <w:rPr>
      <w:rFonts w:hint="default" w:ascii="仿宋_GB2312" w:eastAsia="仿宋_GB2312" w:cs="仿宋_GB2312"/>
      <w:color w:val="000000"/>
      <w:sz w:val="24"/>
      <w:szCs w:val="24"/>
      <w:u w:val="none"/>
    </w:rPr>
  </w:style>
  <w:style w:type="character" w:customStyle="1" w:styleId="127">
    <w:name w:val="font21"/>
    <w:basedOn w:val="50"/>
    <w:qFormat/>
    <w:uiPriority w:val="0"/>
    <w:rPr>
      <w:rFonts w:hint="default" w:ascii="Times New Roman" w:hAnsi="Times New Roman" w:cs="Times New Roman"/>
      <w:color w:val="000000"/>
      <w:sz w:val="24"/>
      <w:szCs w:val="24"/>
      <w:u w:val="none"/>
    </w:rPr>
  </w:style>
  <w:style w:type="character" w:customStyle="1" w:styleId="128">
    <w:name w:val="font41"/>
    <w:qFormat/>
    <w:uiPriority w:val="0"/>
    <w:rPr>
      <w:rFonts w:hint="default" w:ascii="Times New Roman" w:hAnsi="Times New Roman" w:cs="Times New Roman"/>
      <w:color w:val="000000"/>
      <w:sz w:val="24"/>
      <w:szCs w:val="24"/>
      <w:u w:val="none"/>
      <w:vertAlign w:val="superscript"/>
    </w:rPr>
  </w:style>
  <w:style w:type="character" w:customStyle="1" w:styleId="129">
    <w:name w:val="font91"/>
    <w:qFormat/>
    <w:uiPriority w:val="0"/>
    <w:rPr>
      <w:rFonts w:ascii="Calibri" w:hAnsi="Calibri" w:cs="Calibri"/>
      <w:b/>
      <w:color w:val="000000"/>
      <w:sz w:val="20"/>
      <w:szCs w:val="20"/>
      <w:u w:val="none"/>
    </w:rPr>
  </w:style>
  <w:style w:type="paragraph" w:customStyle="1" w:styleId="130">
    <w:name w:val="大写一"/>
    <w:basedOn w:val="1"/>
    <w:qFormat/>
    <w:uiPriority w:val="0"/>
    <w:pPr>
      <w:spacing w:line="600" w:lineRule="exact"/>
      <w:ind w:firstLine="640" w:firstLineChars="200"/>
      <w:outlineLvl w:val="1"/>
    </w:pPr>
    <w:rPr>
      <w:rFonts w:ascii="黑体" w:hAnsi="黑体" w:eastAsia="黑体" w:cs="黑体"/>
      <w:szCs w:val="22"/>
    </w:rPr>
  </w:style>
  <w:style w:type="paragraph" w:customStyle="1" w:styleId="131">
    <w:name w:val="Normal_0"/>
    <w:qFormat/>
    <w:uiPriority w:val="0"/>
    <w:pPr>
      <w:jc w:val="both"/>
    </w:pPr>
    <w:rPr>
      <w:rFonts w:ascii="Calibri" w:hAnsi="Calibri" w:eastAsia="宋体" w:cs="Calibri"/>
      <w:kern w:val="2"/>
      <w:sz w:val="21"/>
      <w:szCs w:val="21"/>
      <w:lang w:val="en-US" w:eastAsia="zh-CN" w:bidi="ar-SA"/>
    </w:rPr>
  </w:style>
  <w:style w:type="paragraph" w:customStyle="1" w:styleId="132">
    <w:name w:val="Table Text"/>
    <w:basedOn w:val="1"/>
    <w:semiHidden/>
    <w:qFormat/>
    <w:uiPriority w:val="0"/>
    <w:rPr>
      <w:rFonts w:ascii="宋体" w:hAnsi="宋体" w:cs="宋体"/>
      <w:sz w:val="18"/>
      <w:szCs w:val="18"/>
    </w:rPr>
  </w:style>
  <w:style w:type="paragraph" w:customStyle="1" w:styleId="133">
    <w:name w:val="Normal_1"/>
    <w:qFormat/>
    <w:uiPriority w:val="0"/>
    <w:pPr>
      <w:jc w:val="both"/>
    </w:pPr>
    <w:rPr>
      <w:rFonts w:ascii="Calibri" w:hAnsi="Calibri" w:eastAsia="宋体" w:cs="宋体"/>
      <w:kern w:val="2"/>
      <w:sz w:val="21"/>
      <w:szCs w:val="21"/>
      <w:lang w:val="en-US" w:eastAsia="zh-CN" w:bidi="ar-SA"/>
    </w:rPr>
  </w:style>
  <w:style w:type="paragraph" w:customStyle="1" w:styleId="13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5">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36">
    <w:name w:val="font1"/>
    <w:basedOn w:val="1"/>
    <w:qFormat/>
    <w:uiPriority w:val="0"/>
    <w:pPr>
      <w:widowControl/>
      <w:spacing w:before="100" w:beforeAutospacing="1" w:after="100" w:afterAutospacing="1"/>
      <w:jc w:val="left"/>
    </w:pPr>
    <w:rPr>
      <w:b/>
      <w:bCs/>
      <w:color w:val="000000"/>
      <w:kern w:val="0"/>
      <w:sz w:val="22"/>
      <w:szCs w:val="22"/>
    </w:rPr>
  </w:style>
  <w:style w:type="paragraph" w:customStyle="1" w:styleId="137">
    <w:name w:val="font2"/>
    <w:basedOn w:val="1"/>
    <w:qFormat/>
    <w:uiPriority w:val="0"/>
    <w:pPr>
      <w:widowControl/>
      <w:spacing w:before="100" w:beforeAutospacing="1" w:after="100" w:afterAutospacing="1"/>
      <w:jc w:val="left"/>
    </w:pPr>
    <w:rPr>
      <w:color w:val="000000"/>
      <w:kern w:val="0"/>
      <w:sz w:val="22"/>
      <w:szCs w:val="22"/>
    </w:rPr>
  </w:style>
  <w:style w:type="paragraph" w:customStyle="1" w:styleId="138">
    <w:name w:val="font3"/>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39">
    <w:name w:val="font4"/>
    <w:basedOn w:val="1"/>
    <w:qFormat/>
    <w:uiPriority w:val="0"/>
    <w:pPr>
      <w:widowControl/>
      <w:spacing w:before="100" w:beforeAutospacing="1" w:after="100" w:afterAutospacing="1"/>
      <w:jc w:val="left"/>
    </w:pPr>
    <w:rPr>
      <w:color w:val="000000"/>
      <w:kern w:val="0"/>
      <w:sz w:val="22"/>
      <w:szCs w:val="22"/>
    </w:rPr>
  </w:style>
  <w:style w:type="paragraph" w:customStyle="1" w:styleId="140">
    <w:name w:val="font5"/>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41">
    <w:name w:val="font6"/>
    <w:basedOn w:val="1"/>
    <w:qFormat/>
    <w:uiPriority w:val="0"/>
    <w:pPr>
      <w:widowControl/>
      <w:spacing w:before="100" w:beforeAutospacing="1" w:after="100" w:afterAutospacing="1"/>
      <w:jc w:val="left"/>
    </w:pPr>
    <w:rPr>
      <w:color w:val="000000"/>
      <w:kern w:val="0"/>
      <w:sz w:val="20"/>
      <w:szCs w:val="20"/>
    </w:rPr>
  </w:style>
  <w:style w:type="paragraph" w:customStyle="1" w:styleId="142">
    <w:name w:val="font7"/>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43">
    <w:name w:val="font8"/>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4">
    <w:name w:val="font9"/>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45">
    <w:name w:val="font10"/>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46">
    <w:name w:val="et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b/>
      <w:bCs/>
      <w:color w:val="000000"/>
      <w:kern w:val="0"/>
      <w:sz w:val="24"/>
    </w:rPr>
  </w:style>
  <w:style w:type="paragraph" w:customStyle="1" w:styleId="147">
    <w:name w:val="et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kern w:val="0"/>
      <w:sz w:val="24"/>
    </w:rPr>
  </w:style>
  <w:style w:type="paragraph" w:customStyle="1" w:styleId="148">
    <w:name w:val="et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kern w:val="0"/>
      <w:sz w:val="24"/>
    </w:rPr>
  </w:style>
  <w:style w:type="paragraph" w:customStyle="1" w:styleId="149">
    <w:name w:val="et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kern w:val="0"/>
      <w:sz w:val="24"/>
    </w:rPr>
  </w:style>
  <w:style w:type="paragraph" w:customStyle="1" w:styleId="150">
    <w:name w:val="et10"/>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color w:val="000000"/>
      <w:kern w:val="0"/>
      <w:sz w:val="24"/>
    </w:rPr>
  </w:style>
  <w:style w:type="paragraph" w:customStyle="1" w:styleId="151">
    <w:name w:val="et11"/>
    <w:basedOn w:val="1"/>
    <w:qFormat/>
    <w:uiPriority w:val="0"/>
    <w:pPr>
      <w:widowControl/>
      <w:pBdr>
        <w:left w:val="single" w:color="000000" w:sz="4" w:space="0"/>
        <w:right w:val="single" w:color="000000" w:sz="4" w:space="0"/>
      </w:pBdr>
      <w:shd w:val="clear" w:color="auto" w:fill="FFFFFF"/>
      <w:spacing w:before="100" w:beforeAutospacing="1" w:after="100" w:afterAutospacing="1"/>
      <w:jc w:val="center"/>
    </w:pPr>
    <w:rPr>
      <w:color w:val="000000"/>
      <w:kern w:val="0"/>
      <w:sz w:val="24"/>
    </w:rPr>
  </w:style>
  <w:style w:type="paragraph" w:customStyle="1" w:styleId="152">
    <w:name w:val="et12"/>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kern w:val="0"/>
      <w:sz w:val="24"/>
    </w:rPr>
  </w:style>
  <w:style w:type="paragraph" w:customStyle="1" w:styleId="153">
    <w:name w:val="et1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54">
    <w:name w:val="et1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kern w:val="0"/>
      <w:sz w:val="24"/>
    </w:rPr>
  </w:style>
  <w:style w:type="paragraph" w:customStyle="1" w:styleId="155">
    <w:name w:val="et1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56">
    <w:name w:val="et1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57">
    <w:name w:val="et17"/>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58">
    <w:name w:val="et18"/>
    <w:basedOn w:val="1"/>
    <w:qFormat/>
    <w:uiPriority w:val="0"/>
    <w:pPr>
      <w:widowControl/>
      <w:pBdr>
        <w:left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59">
    <w:name w:val="et1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60">
    <w:name w:val="et2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color w:val="000000"/>
      <w:kern w:val="0"/>
      <w:sz w:val="20"/>
      <w:szCs w:val="20"/>
    </w:rPr>
  </w:style>
  <w:style w:type="paragraph" w:customStyle="1" w:styleId="161">
    <w:name w:val="et22"/>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62">
    <w:name w:val="et23"/>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63">
    <w:name w:val="et2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164">
    <w:name w:val="et2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65">
    <w:name w:val="et2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66">
    <w:name w:val="et2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67">
    <w:name w:val="et2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kern w:val="0"/>
      <w:sz w:val="20"/>
      <w:szCs w:val="20"/>
    </w:rPr>
  </w:style>
  <w:style w:type="paragraph" w:customStyle="1" w:styleId="168">
    <w:name w:val="et2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69">
    <w:name w:val="et3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70">
    <w:name w:val="et3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Cs w:val="21"/>
    </w:rPr>
  </w:style>
  <w:style w:type="paragraph" w:customStyle="1" w:styleId="171">
    <w:name w:val="et3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72">
    <w:name w:val="et3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73">
    <w:name w:val="et3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74">
    <w:name w:val="et3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75">
    <w:name w:val="et3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24"/>
    </w:rPr>
  </w:style>
  <w:style w:type="character" w:customStyle="1" w:styleId="176">
    <w:name w:val="font51"/>
    <w:basedOn w:val="50"/>
    <w:qFormat/>
    <w:uiPriority w:val="0"/>
    <w:rPr>
      <w:rFonts w:hint="eastAsia" w:ascii="宋体" w:hAnsi="宋体" w:eastAsia="宋体"/>
      <w:color w:val="000000"/>
      <w:sz w:val="22"/>
      <w:szCs w:val="22"/>
      <w:u w:val="none"/>
    </w:rPr>
  </w:style>
  <w:style w:type="character" w:customStyle="1" w:styleId="177">
    <w:name w:val="font61"/>
    <w:qFormat/>
    <w:uiPriority w:val="0"/>
    <w:rPr>
      <w:rFonts w:hint="default" w:ascii="Times New Roman" w:hAnsi="Times New Roman" w:cs="Times New Roman"/>
      <w:color w:val="000000"/>
      <w:sz w:val="20"/>
      <w:szCs w:val="20"/>
      <w:u w:val="none"/>
    </w:rPr>
  </w:style>
  <w:style w:type="character" w:customStyle="1" w:styleId="178">
    <w:name w:val="font81"/>
    <w:qFormat/>
    <w:uiPriority w:val="0"/>
    <w:rPr>
      <w:rFonts w:hint="eastAsia" w:ascii="宋体" w:hAnsi="宋体" w:eastAsia="宋体"/>
      <w:color w:val="000000"/>
      <w:sz w:val="20"/>
      <w:szCs w:val="20"/>
      <w:u w:val="none"/>
    </w:rPr>
  </w:style>
  <w:style w:type="character" w:customStyle="1" w:styleId="179">
    <w:name w:val="NormalCharacter"/>
    <w:qFormat/>
    <w:uiPriority w:val="0"/>
  </w:style>
  <w:style w:type="paragraph" w:customStyle="1" w:styleId="180">
    <w:name w:val="Compact"/>
    <w:basedOn w:val="5"/>
    <w:qFormat/>
    <w:uiPriority w:val="0"/>
    <w:pPr>
      <w:spacing w:before="36" w:after="36"/>
    </w:pPr>
  </w:style>
  <w:style w:type="paragraph" w:customStyle="1" w:styleId="181">
    <w:name w:val="Normal (Web)_file_2277"/>
    <w:basedOn w:val="182"/>
    <w:unhideWhenUsed/>
    <w:qFormat/>
    <w:uiPriority w:val="99"/>
  </w:style>
  <w:style w:type="paragraph" w:customStyle="1" w:styleId="182">
    <w:name w:val="Normal_file_2277"/>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169</Pages>
  <Words>251</Words>
  <Characters>331</Characters>
  <Lines>760</Lines>
  <Paragraphs>214</Paragraphs>
  <TotalTime>3</TotalTime>
  <ScaleCrop>false</ScaleCrop>
  <LinksUpToDate>false</LinksUpToDate>
  <CharactersWithSpaces>359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2022-03-04T10:01:00Z</dcterms:created>
  <dc:creator>番茄花园</dc:creator>
  <cp:lastModifiedBy>123</cp:lastModifiedBy>
  <cp:lastPrinted>2019-09-27T01:36:00Z</cp:lastPrinted>
  <dcterms:modified xsi:type="dcterms:W3CDTF">2026-06-25T08:29:52Z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FBA16F0BB7A64793873D857E9AEE998D_13</vt:lpwstr>
  </property>
  <property fmtid="{D5CDD505-2E9C-101B-9397-08002B2CF9AE}" pid="4" name="KSOTemplateDocerSaveRecord">
    <vt:lpwstr>eyJoZGlkIjoiZWQ1MGVjZGFkMzhiNGMyZWRlYzFiNjExMDViMmQzNWQiLCJ1c2VySWQiOiI3MDg0MzYzNzMifQ==</vt:lpwstr>
  </property>
</Properties>
</file>