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E0174B">
      <w:pPr>
        <w:spacing w:before="240" w:after="120" w:line="360" w:lineRule="auto"/>
        <w:jc w:val="center"/>
      </w:pPr>
      <w:bookmarkStart w:id="0" w:name="_GoBack"/>
      <w:r>
        <w:rPr>
          <w:rFonts w:hint="eastAsia" w:ascii="黑体" w:hAnsi="黑体" w:eastAsia="黑体" w:cs="黑体"/>
          <w:b/>
          <w:bCs/>
          <w:sz w:val="32"/>
          <w:szCs w:val="32"/>
        </w:rPr>
        <w:t>关于2026年江南区为民办实事教育惠民工程项目（NNZC2026-G1-050056-NNSJ）采购文件</w:t>
      </w:r>
      <w:r>
        <w:rPr>
          <w:rFonts w:hint="eastAsia" w:ascii="黑体" w:hAnsi="黑体" w:eastAsia="黑体" w:cs="黑体"/>
          <w:b/>
          <w:bCs/>
          <w:sz w:val="32"/>
          <w:szCs w:val="32"/>
          <w:lang w:val="en-US" w:eastAsia="zh-CN"/>
        </w:rPr>
        <w:t>的质疑答复函（三）</w:t>
      </w:r>
    </w:p>
    <w:p w14:paraId="67AEB850">
      <w:pPr>
        <w:spacing w:before="0" w:after="60" w:line="360" w:lineRule="auto"/>
        <w:jc w:val="both"/>
      </w:pPr>
      <w:r>
        <w:rPr>
          <w:rFonts w:hint="eastAsia" w:ascii="黑体" w:hAnsi="黑体" w:eastAsia="黑体" w:cs="黑体"/>
          <w:b/>
          <w:bCs/>
          <w:sz w:val="24"/>
          <w:szCs w:val="24"/>
        </w:rPr>
        <w:t>河南金心汇数码科技有限公司：</w:t>
      </w:r>
    </w:p>
    <w:p w14:paraId="05EA4124">
      <w:pPr>
        <w:spacing w:before="0" w:after="60" w:line="360" w:lineRule="auto"/>
        <w:ind w:firstLine="480"/>
        <w:jc w:val="both"/>
        <w:rPr>
          <w:rFonts w:hint="eastAsia" w:ascii="仿宋" w:hAnsi="仿宋" w:eastAsia="仿宋" w:cs="仿宋"/>
          <w:b w:val="0"/>
          <w:bCs w:val="0"/>
          <w:sz w:val="24"/>
          <w:szCs w:val="24"/>
        </w:rPr>
      </w:pPr>
      <w:r>
        <w:rPr>
          <w:rFonts w:hint="eastAsia" w:ascii="仿宋" w:hAnsi="仿宋" w:eastAsia="仿宋" w:cs="仿宋"/>
          <w:b w:val="0"/>
          <w:bCs w:val="0"/>
          <w:sz w:val="24"/>
          <w:szCs w:val="24"/>
        </w:rPr>
        <w:t>贵公司于2026年</w:t>
      </w:r>
      <w:r>
        <w:rPr>
          <w:rFonts w:hint="eastAsia" w:cs="仿宋"/>
          <w:b w:val="0"/>
          <w:bCs w:val="0"/>
          <w:sz w:val="24"/>
          <w:szCs w:val="24"/>
          <w:lang w:val="en-US" w:eastAsia="zh-CN"/>
        </w:rPr>
        <w:t>8</w:t>
      </w:r>
      <w:r>
        <w:rPr>
          <w:rFonts w:hint="eastAsia" w:ascii="仿宋" w:hAnsi="仿宋" w:eastAsia="仿宋" w:cs="仿宋"/>
          <w:b w:val="0"/>
          <w:bCs w:val="0"/>
          <w:sz w:val="24"/>
          <w:szCs w:val="24"/>
        </w:rPr>
        <w:t>月</w:t>
      </w:r>
      <w:r>
        <w:rPr>
          <w:rFonts w:hint="eastAsia" w:cs="仿宋"/>
          <w:b w:val="0"/>
          <w:bCs w:val="0"/>
          <w:sz w:val="24"/>
          <w:szCs w:val="24"/>
          <w:lang w:val="en-US" w:eastAsia="zh-CN"/>
        </w:rPr>
        <w:t>18</w:t>
      </w:r>
      <w:r>
        <w:rPr>
          <w:rFonts w:hint="eastAsia" w:ascii="仿宋" w:hAnsi="仿宋" w:eastAsia="仿宋" w:cs="仿宋"/>
          <w:b w:val="0"/>
          <w:bCs w:val="0"/>
          <w:sz w:val="24"/>
          <w:szCs w:val="24"/>
        </w:rPr>
        <w:t>日提交的《关于〈2026年江南区为民办实事教育惠民工程项目采购文件〉</w:t>
      </w:r>
      <w:r>
        <w:rPr>
          <w:rFonts w:hint="eastAsia" w:cs="仿宋"/>
          <w:b w:val="0"/>
          <w:bCs w:val="0"/>
          <w:sz w:val="24"/>
          <w:szCs w:val="24"/>
          <w:lang w:val="en-US" w:eastAsia="zh-CN"/>
        </w:rPr>
        <w:t>质疑</w:t>
      </w:r>
      <w:r>
        <w:rPr>
          <w:rFonts w:hint="eastAsia" w:ascii="仿宋" w:hAnsi="仿宋" w:eastAsia="仿宋" w:cs="仿宋"/>
          <w:b w:val="0"/>
          <w:bCs w:val="0"/>
          <w:sz w:val="24"/>
          <w:szCs w:val="24"/>
        </w:rPr>
        <w:t>函》（以下简称“</w:t>
      </w:r>
      <w:r>
        <w:rPr>
          <w:rFonts w:hint="eastAsia" w:cs="仿宋"/>
          <w:b w:val="0"/>
          <w:bCs w:val="0"/>
          <w:sz w:val="24"/>
          <w:szCs w:val="24"/>
          <w:lang w:val="en-US" w:eastAsia="zh-CN"/>
        </w:rPr>
        <w:t>质疑</w:t>
      </w:r>
      <w:r>
        <w:rPr>
          <w:rFonts w:hint="eastAsia" w:ascii="仿宋" w:hAnsi="仿宋" w:eastAsia="仿宋" w:cs="仿宋"/>
          <w:b w:val="0"/>
          <w:bCs w:val="0"/>
          <w:sz w:val="24"/>
          <w:szCs w:val="24"/>
        </w:rPr>
        <w:t>函”）已收悉。2026年8月24日</w:t>
      </w:r>
      <w:r>
        <w:rPr>
          <w:rFonts w:hint="eastAsia" w:cs="仿宋"/>
          <w:b w:val="0"/>
          <w:bCs w:val="0"/>
          <w:sz w:val="24"/>
          <w:szCs w:val="24"/>
          <w:lang w:eastAsia="zh-CN"/>
        </w:rPr>
        <w:t>经组织</w:t>
      </w:r>
      <w:r>
        <w:rPr>
          <w:rFonts w:hint="eastAsia" w:ascii="仿宋" w:hAnsi="仿宋" w:eastAsia="仿宋" w:cs="仿宋"/>
          <w:b w:val="0"/>
          <w:bCs w:val="0"/>
          <w:sz w:val="24"/>
          <w:szCs w:val="24"/>
        </w:rPr>
        <w:t>该项目采购文件论证专家组对质疑事项出具处理意见。现依据《中华人民共和国政府采购法》《中华人民共和国政府采购法实施条例》《政府采购需求管理办法》（财库〔2021〕22号）《政府采购货物和服务招标投标管理办法》（财政部令第87号）《政府采购促进中小企业发展管理办法》（财库〔2020〕46号）《政府采购质疑和投诉办法》（财政部令第94号）等相关法律法规及政策文件，逐条</w:t>
      </w:r>
      <w:r>
        <w:rPr>
          <w:rFonts w:hint="eastAsia" w:cs="仿宋"/>
          <w:b w:val="0"/>
          <w:bCs w:val="0"/>
          <w:sz w:val="24"/>
          <w:szCs w:val="24"/>
          <w:lang w:val="en-US" w:eastAsia="zh-CN"/>
        </w:rPr>
        <w:t>答复</w:t>
      </w:r>
      <w:r>
        <w:rPr>
          <w:rFonts w:hint="eastAsia" w:ascii="仿宋" w:hAnsi="仿宋" w:eastAsia="仿宋" w:cs="仿宋"/>
          <w:b w:val="0"/>
          <w:bCs w:val="0"/>
          <w:sz w:val="24"/>
          <w:szCs w:val="24"/>
        </w:rPr>
        <w:t>如下：</w:t>
      </w:r>
    </w:p>
    <w:p w14:paraId="427BD803">
      <w:pPr>
        <w:keepNext w:val="0"/>
        <w:keepLines w:val="0"/>
        <w:pageBreakBefore w:val="0"/>
        <w:widowControl w:val="0"/>
        <w:kinsoku/>
        <w:wordWrap/>
        <w:overflowPunct/>
        <w:topLinePunct w:val="0"/>
        <w:autoSpaceDE/>
        <w:autoSpaceDN/>
        <w:bidi w:val="0"/>
        <w:adjustRightInd/>
        <w:snapToGrid/>
        <w:spacing w:before="180" w:after="100" w:line="360" w:lineRule="auto"/>
        <w:ind w:firstLine="482"/>
        <w:jc w:val="left"/>
        <w:textAlignment w:val="auto"/>
        <w:outlineLvl w:val="0"/>
        <w:rPr>
          <w:rFonts w:hint="eastAsia" w:ascii="黑体" w:hAnsi="黑体" w:eastAsia="黑体" w:cs="黑体"/>
          <w:b/>
          <w:bCs/>
          <w:sz w:val="28"/>
          <w:szCs w:val="28"/>
          <w:lang w:val="en-US" w:eastAsia="zh-CN"/>
        </w:rPr>
      </w:pPr>
      <w:r>
        <w:rPr>
          <w:rFonts w:hint="eastAsia" w:ascii="黑体" w:hAnsi="黑体" w:eastAsia="黑体" w:cs="黑体"/>
          <w:b/>
          <w:bCs/>
          <w:sz w:val="28"/>
          <w:szCs w:val="28"/>
          <w:lang w:val="en-US" w:eastAsia="zh-CN"/>
        </w:rPr>
        <w:t>一、答复内容</w:t>
      </w:r>
    </w:p>
    <w:p w14:paraId="366F0AEA">
      <w:pPr>
        <w:spacing w:before="0" w:after="60" w:line="360" w:lineRule="auto"/>
        <w:ind w:firstLine="482" w:firstLineChars="200"/>
        <w:jc w:val="both"/>
        <w:rPr>
          <w:rFonts w:hint="eastAsia" w:cs="仿宋"/>
          <w:b w:val="0"/>
          <w:bCs w:val="0"/>
          <w:sz w:val="24"/>
          <w:szCs w:val="24"/>
          <w:lang w:val="en-US" w:eastAsia="zh-CN"/>
        </w:rPr>
      </w:pPr>
      <w:r>
        <w:rPr>
          <w:rFonts w:hint="eastAsia" w:cs="仿宋"/>
          <w:b/>
          <w:bCs/>
          <w:sz w:val="24"/>
          <w:szCs w:val="24"/>
          <w:lang w:val="en-US" w:eastAsia="zh-CN"/>
        </w:rPr>
        <w:t>质疑事项一：</w:t>
      </w:r>
      <w:r>
        <w:rPr>
          <w:rFonts w:hint="eastAsia" w:cs="仿宋"/>
          <w:b w:val="0"/>
          <w:bCs w:val="0"/>
          <w:sz w:val="24"/>
          <w:szCs w:val="24"/>
          <w:lang w:val="en-US" w:eastAsia="zh-CN"/>
        </w:rPr>
        <w:t>采购需求中 AI 课堂分析、集中控制管理等核心参数直接照搬科大讯飞官网产品宣传原文，构成以不合理条件对供应商实行差别待遇或者歧视待遇</w:t>
      </w:r>
    </w:p>
    <w:p w14:paraId="3B387E5D">
      <w:pPr>
        <w:spacing w:before="0" w:after="60" w:line="360" w:lineRule="auto"/>
        <w:ind w:firstLine="480"/>
        <w:jc w:val="both"/>
        <w:rPr>
          <w:rFonts w:hint="eastAsia" w:cs="仿宋"/>
          <w:b w:val="0"/>
          <w:bCs w:val="0"/>
          <w:sz w:val="24"/>
          <w:szCs w:val="24"/>
          <w:lang w:val="en-US" w:eastAsia="zh-CN"/>
        </w:rPr>
      </w:pPr>
      <w:r>
        <w:rPr>
          <w:rFonts w:hint="eastAsia" w:cs="仿宋"/>
          <w:b/>
          <w:bCs/>
          <w:sz w:val="24"/>
          <w:szCs w:val="24"/>
          <w:lang w:val="en-US" w:eastAsia="zh-CN"/>
        </w:rPr>
        <w:t>质疑事项一回复：</w:t>
      </w:r>
      <w:r>
        <w:rPr>
          <w:rFonts w:hint="eastAsia" w:cs="仿宋"/>
          <w:b w:val="0"/>
          <w:bCs w:val="0"/>
          <w:sz w:val="24"/>
          <w:szCs w:val="24"/>
          <w:lang w:val="en-US" w:eastAsia="zh-CN"/>
        </w:rPr>
        <w:t>质疑人认为本项目 86 寸红外互联智慧黑板采购需求中 AI 课堂分析、集中控制管理、手写识别、化学识别推荐、AI 虚拟人交互系统、AI 学科智能体等大量参数与科大讯飞官网宣传文本高度雷同，系直接以科大讯飞产品宣传材料作为蓝本编制采购需求，指向特定产品、特定供应商，违反政府采购公平竞争相关规定。</w:t>
      </w:r>
    </w:p>
    <w:p w14:paraId="29C5699C">
      <w:pPr>
        <w:spacing w:before="0" w:after="60" w:line="360" w:lineRule="auto"/>
        <w:ind w:firstLine="480"/>
        <w:jc w:val="both"/>
        <w:rPr>
          <w:rFonts w:hint="eastAsia" w:cs="仿宋"/>
          <w:b/>
          <w:bCs/>
          <w:sz w:val="24"/>
          <w:szCs w:val="24"/>
          <w:lang w:val="en-US" w:eastAsia="zh-CN"/>
        </w:rPr>
      </w:pPr>
      <w:r>
        <w:rPr>
          <w:rFonts w:hint="eastAsia" w:cs="仿宋"/>
          <w:b/>
          <w:bCs/>
          <w:sz w:val="24"/>
          <w:szCs w:val="24"/>
          <w:lang w:val="en-US" w:eastAsia="zh-CN"/>
        </w:rPr>
        <w:t>回复意见：本质疑事项不成立，采购文件对应技术参数不作修改。</w:t>
      </w:r>
    </w:p>
    <w:p w14:paraId="36ECABD8">
      <w:pPr>
        <w:spacing w:before="0" w:after="60" w:line="360" w:lineRule="auto"/>
        <w:ind w:firstLine="480"/>
        <w:jc w:val="both"/>
        <w:rPr>
          <w:rFonts w:hint="eastAsia" w:cs="仿宋"/>
          <w:b/>
          <w:bCs/>
          <w:sz w:val="24"/>
          <w:szCs w:val="24"/>
          <w:lang w:val="en-US" w:eastAsia="zh-CN"/>
        </w:rPr>
      </w:pPr>
      <w:r>
        <w:rPr>
          <w:rFonts w:hint="eastAsia" w:cs="仿宋"/>
          <w:b/>
          <w:bCs/>
          <w:sz w:val="24"/>
          <w:szCs w:val="24"/>
          <w:lang w:val="en-US" w:eastAsia="zh-CN"/>
        </w:rPr>
        <w:t>事实依据：</w:t>
      </w:r>
    </w:p>
    <w:p w14:paraId="30A921B8">
      <w:pPr>
        <w:spacing w:before="0" w:after="60" w:line="360" w:lineRule="auto"/>
        <w:ind w:firstLine="480"/>
        <w:jc w:val="both"/>
        <w:rPr>
          <w:rFonts w:hint="eastAsia" w:cs="仿宋"/>
          <w:b w:val="0"/>
          <w:bCs w:val="0"/>
          <w:sz w:val="24"/>
          <w:szCs w:val="24"/>
          <w:lang w:val="en-US" w:eastAsia="zh-CN"/>
        </w:rPr>
      </w:pPr>
      <w:r>
        <w:rPr>
          <w:rFonts w:hint="eastAsia" w:cs="仿宋"/>
          <w:b w:val="0"/>
          <w:bCs w:val="0"/>
          <w:sz w:val="24"/>
          <w:szCs w:val="24"/>
          <w:lang w:val="en-US" w:eastAsia="zh-CN"/>
        </w:rPr>
        <w:t>1.本项目采购需求系结合江南区中小学课堂教学真实业务需要，开展市场调研后编制而成，聚焦智慧黑板课堂录课分析、远程运维管控、AI 教学辅助、手写学科识别、虚拟人教学、AI 智能体备课等教学刚需功能，全部参数仅约定需要实现的业务功能效果，没有限定任何品牌、商标、专利、软件厂商、产品型号。</w:t>
      </w:r>
    </w:p>
    <w:p w14:paraId="6957C00D">
      <w:pPr>
        <w:spacing w:before="0" w:after="60" w:line="360" w:lineRule="auto"/>
        <w:ind w:firstLine="480"/>
        <w:jc w:val="both"/>
        <w:rPr>
          <w:rFonts w:hint="eastAsia" w:cs="仿宋"/>
          <w:b w:val="0"/>
          <w:bCs w:val="0"/>
          <w:sz w:val="24"/>
          <w:szCs w:val="24"/>
          <w:lang w:val="en-US" w:eastAsia="zh-CN"/>
        </w:rPr>
      </w:pPr>
      <w:r>
        <w:rPr>
          <w:rFonts w:hint="eastAsia" w:cs="仿宋"/>
          <w:b w:val="0"/>
          <w:bCs w:val="0"/>
          <w:sz w:val="24"/>
          <w:szCs w:val="24"/>
          <w:lang w:val="en-US" w:eastAsia="zh-CN"/>
        </w:rPr>
        <w:t>2.智慧教育行业内，AI 课堂实录分析、远程集中管控、多要素手写识别、化学方程式识别、AI 虚拟人辅教、零代码智能体搭建，属于当前智慧交互教学设备行业主流发展方向，多家厂商、第三方 AI 服务商均已布局同类业务能力。不同厂商对外宣传时，对同类业务功能出现功能归类、业务名词相近属于行业技术趋同现象，功能描述文字相近不等于参数指向特定品牌产品。采购文件仅规定功能结果，不限制内部实现算法、底层软件来源，供应商既可以使用设备原厂内置软件，也可以对接合规第三方教学 AI 接口、第三方教学软件完成全部功能响应，实现路径开放。</w:t>
      </w:r>
    </w:p>
    <w:p w14:paraId="428EDBEC">
      <w:pPr>
        <w:spacing w:before="0" w:after="60" w:line="360" w:lineRule="auto"/>
        <w:ind w:firstLine="480"/>
        <w:jc w:val="both"/>
        <w:rPr>
          <w:rFonts w:hint="eastAsia" w:cs="仿宋"/>
          <w:b w:val="0"/>
          <w:bCs w:val="0"/>
          <w:sz w:val="24"/>
          <w:szCs w:val="24"/>
          <w:lang w:val="en-US" w:eastAsia="zh-CN"/>
        </w:rPr>
      </w:pPr>
      <w:r>
        <w:rPr>
          <w:rFonts w:hint="eastAsia" w:cs="仿宋"/>
          <w:b w:val="0"/>
          <w:bCs w:val="0"/>
          <w:sz w:val="24"/>
          <w:szCs w:val="24"/>
          <w:lang w:val="en-US" w:eastAsia="zh-CN"/>
        </w:rPr>
        <w:t>3.采购文件中出现的“巡班巡课”“智能体中心”“发音人设置”等词汇，属于对业务功能的概念表述，不强制要求供应商产品界面必须使用完全一致的命名。其中“发音人设置”描述的是为智能体配置语音合成角色的功能，在语音合成及人机交互领域，“发音人”“音色”“发音角色”“语音角色”等表述均有使用，并非某一厂商独占的术语；投标人产品功能实质满足采购需求即可响应，产品界面、菜单、模块可以使用自有命名。评审专家评审时以“功能实质是否达标”作为判断标准，不以产品界面文字是否和招标文件用词完全一致作为判定依据。</w:t>
      </w:r>
    </w:p>
    <w:p w14:paraId="53FD7478">
      <w:pPr>
        <w:spacing w:before="0" w:after="60" w:line="360" w:lineRule="auto"/>
        <w:ind w:firstLine="480"/>
        <w:jc w:val="both"/>
        <w:rPr>
          <w:rFonts w:hint="eastAsia" w:cs="仿宋"/>
          <w:b w:val="0"/>
          <w:bCs w:val="0"/>
          <w:sz w:val="24"/>
          <w:szCs w:val="24"/>
          <w:lang w:val="en-US" w:eastAsia="zh-CN"/>
        </w:rPr>
      </w:pPr>
      <w:r>
        <w:rPr>
          <w:rFonts w:hint="eastAsia" w:cs="仿宋"/>
          <w:b w:val="0"/>
          <w:bCs w:val="0"/>
          <w:sz w:val="24"/>
          <w:szCs w:val="24"/>
          <w:lang w:val="en-US" w:eastAsia="zh-CN"/>
        </w:rPr>
        <w:t>4.质疑人提交的官网比对证据，仅能证明科大讯飞产品具备该类功能，但不能反推 “只有该品牌能够实现全部功能”。质疑人未提交三家以上主流品牌产品实测对比报告、第三方市场调研报告等客观材料，用以证明市场上除科大讯飞外没有其他主体可实现本项全部功能，其“参数量身定做”的结论为主观推定，缺乏客观事实支撑。</w:t>
      </w:r>
    </w:p>
    <w:p w14:paraId="683111C6">
      <w:pPr>
        <w:spacing w:before="0" w:after="60" w:line="360" w:lineRule="auto"/>
        <w:ind w:firstLine="480"/>
        <w:jc w:val="both"/>
        <w:rPr>
          <w:rFonts w:hint="eastAsia" w:cs="仿宋"/>
          <w:b w:val="0"/>
          <w:bCs w:val="0"/>
          <w:sz w:val="24"/>
          <w:szCs w:val="24"/>
          <w:lang w:val="en-US" w:eastAsia="zh-CN"/>
        </w:rPr>
      </w:pPr>
      <w:r>
        <w:rPr>
          <w:rFonts w:hint="eastAsia" w:cs="仿宋"/>
          <w:b w:val="0"/>
          <w:bCs w:val="0"/>
          <w:sz w:val="24"/>
          <w:szCs w:val="24"/>
          <w:lang w:val="en-US" w:eastAsia="zh-CN"/>
        </w:rPr>
        <w:t>经市场调研，希沃、鸿合、海信等主流智慧黑板厂商，均可通过自有软件或对接第三方 AI 服务，实现课堂录课 AI 分析、远程设备集控、多学科手写识别、虚拟人交互、AI 智能体搭建等对应业务功能，市场具备充分竞争性，不存在排斥多数潜在供应商的情形。</w:t>
      </w:r>
    </w:p>
    <w:p w14:paraId="36346090">
      <w:pPr>
        <w:spacing w:before="0" w:after="60" w:line="360" w:lineRule="auto"/>
        <w:ind w:firstLine="480"/>
        <w:jc w:val="both"/>
        <w:rPr>
          <w:rFonts w:hint="default" w:cs="仿宋"/>
          <w:b w:val="0"/>
          <w:bCs w:val="0"/>
          <w:sz w:val="24"/>
          <w:szCs w:val="24"/>
          <w:lang w:val="en-US" w:eastAsia="zh-CN"/>
        </w:rPr>
      </w:pPr>
      <w:r>
        <w:rPr>
          <w:rFonts w:hint="eastAsia" w:cs="仿宋"/>
          <w:b/>
          <w:bCs/>
          <w:sz w:val="24"/>
          <w:szCs w:val="24"/>
          <w:lang w:val="en-US" w:eastAsia="zh-CN"/>
        </w:rPr>
        <w:t>法律依据：</w:t>
      </w:r>
      <w:r>
        <w:rPr>
          <w:rFonts w:hint="eastAsia" w:cs="仿宋"/>
          <w:b w:val="0"/>
          <w:bCs w:val="0"/>
          <w:sz w:val="24"/>
          <w:szCs w:val="24"/>
          <w:lang w:val="en-US" w:eastAsia="zh-CN"/>
        </w:rPr>
        <w:t>依据《中华人民共和国政府采购法实施条例》第二十条；《政府采购货物和服务招标投标管理办法》（财政部令第 87 号）第二十五条；《关于促进政府采购公平竞争优化营商环境的通知》（财库〔2019〕38号）。以不合理条件对供应商实行差别待遇或者歧视待遇的认定，应当依据“技术、商务条件与采购项目的具体特点和实际需要不相适应”或者“采购需求中的技术、服务等要求指向特定供应商、特定产品”等法定情形。本项参数贴合中小学真实教学场景，未限定品牌、产品，允许多种技术路线实现，不属于歧视性、排他性条款。</w:t>
      </w:r>
    </w:p>
    <w:p w14:paraId="382DF8A3">
      <w:pPr>
        <w:spacing w:before="0" w:after="60" w:line="360" w:lineRule="auto"/>
        <w:ind w:firstLine="480"/>
        <w:jc w:val="both"/>
        <w:rPr>
          <w:rFonts w:hint="eastAsia" w:cs="仿宋"/>
          <w:b w:val="0"/>
          <w:bCs w:val="0"/>
          <w:sz w:val="24"/>
          <w:szCs w:val="24"/>
          <w:lang w:val="en-US" w:eastAsia="zh-CN"/>
        </w:rPr>
      </w:pPr>
      <w:r>
        <w:rPr>
          <w:rFonts w:hint="eastAsia" w:cs="仿宋"/>
          <w:b/>
          <w:bCs/>
          <w:sz w:val="24"/>
          <w:szCs w:val="24"/>
          <w:lang w:val="en-US" w:eastAsia="zh-CN"/>
        </w:rPr>
        <w:t>质疑事项二：</w:t>
      </w:r>
      <w:r>
        <w:rPr>
          <w:rFonts w:hint="eastAsia" w:cs="仿宋"/>
          <w:b w:val="0"/>
          <w:bCs w:val="0"/>
          <w:sz w:val="24"/>
          <w:szCs w:val="24"/>
          <w:lang w:val="en-US" w:eastAsia="zh-CN"/>
        </w:rPr>
        <w:t>带“▲”的关键参数要求提供“国家检测部门或国家认可的第三方检测机构出具的检测报告或者其他材料”，所涉指标系科大讯飞专有指标，实质是变相指定检测标的、排斥其他供应商</w:t>
      </w:r>
    </w:p>
    <w:p w14:paraId="3033BD55">
      <w:pPr>
        <w:spacing w:before="0" w:after="60" w:line="360" w:lineRule="auto"/>
        <w:ind w:firstLine="480"/>
        <w:jc w:val="both"/>
        <w:rPr>
          <w:rFonts w:hint="eastAsia" w:cs="仿宋"/>
          <w:b w:val="0"/>
          <w:bCs w:val="0"/>
          <w:sz w:val="24"/>
          <w:szCs w:val="24"/>
          <w:lang w:val="en-US" w:eastAsia="zh-CN"/>
        </w:rPr>
      </w:pPr>
      <w:r>
        <w:rPr>
          <w:rFonts w:hint="eastAsia" w:cs="仿宋"/>
          <w:b/>
          <w:bCs/>
          <w:sz w:val="24"/>
          <w:szCs w:val="24"/>
          <w:lang w:val="en-US" w:eastAsia="zh-CN"/>
        </w:rPr>
        <w:t>质疑事项二回复：</w:t>
      </w:r>
      <w:r>
        <w:rPr>
          <w:rFonts w:hint="eastAsia" w:cs="仿宋"/>
          <w:b w:val="0"/>
          <w:bCs w:val="0"/>
          <w:sz w:val="24"/>
          <w:szCs w:val="24"/>
          <w:lang w:val="en-US" w:eastAsia="zh-CN"/>
        </w:rPr>
        <w:t>质疑人认为▲标记下 Type‑C 接口、摄像头、麦克风阵列、智能笔扩音相关指标组合为科大讯飞 AIUI 平台专有指标；其中 “NN 智能 AI 降噪” 为讯飞专有表述；招标文件允许彩页、官网、功能截图作为佐证材料，实质上只有科大讯飞可提供对应官网截图，变相指定产品，排斥其他供应商。</w:t>
      </w:r>
    </w:p>
    <w:p w14:paraId="157354CA">
      <w:pPr>
        <w:spacing w:before="0" w:after="60" w:line="360" w:lineRule="auto"/>
        <w:ind w:firstLine="480"/>
        <w:jc w:val="both"/>
        <w:rPr>
          <w:rFonts w:hint="eastAsia" w:cs="仿宋"/>
          <w:b/>
          <w:bCs/>
          <w:sz w:val="24"/>
          <w:szCs w:val="24"/>
          <w:lang w:val="en-US" w:eastAsia="zh-CN"/>
        </w:rPr>
      </w:pPr>
      <w:r>
        <w:rPr>
          <w:rFonts w:hint="eastAsia" w:cs="仿宋"/>
          <w:b/>
          <w:bCs/>
          <w:sz w:val="24"/>
          <w:szCs w:val="24"/>
          <w:lang w:val="en-US" w:eastAsia="zh-CN"/>
        </w:rPr>
        <w:t>回复意见：本质疑事项不成立。同时，采购人已对采购文件中Type-C接口部分参数表述作出优化调整。</w:t>
      </w:r>
    </w:p>
    <w:p w14:paraId="2353DAFC">
      <w:pPr>
        <w:spacing w:before="0" w:after="60" w:line="360" w:lineRule="auto"/>
        <w:ind w:firstLine="480"/>
        <w:jc w:val="both"/>
        <w:rPr>
          <w:rFonts w:hint="eastAsia" w:cs="仿宋"/>
          <w:b/>
          <w:bCs/>
          <w:sz w:val="24"/>
          <w:szCs w:val="24"/>
          <w:lang w:val="en-US" w:eastAsia="zh-CN"/>
        </w:rPr>
      </w:pPr>
      <w:r>
        <w:rPr>
          <w:rFonts w:hint="eastAsia" w:cs="仿宋"/>
          <w:b/>
          <w:bCs/>
          <w:sz w:val="24"/>
          <w:szCs w:val="24"/>
          <w:lang w:val="en-US" w:eastAsia="zh-CN"/>
        </w:rPr>
        <w:t>事实依据：</w:t>
      </w:r>
    </w:p>
    <w:p w14:paraId="1FCCF906">
      <w:pPr>
        <w:spacing w:before="0" w:after="60" w:line="360" w:lineRule="auto"/>
        <w:ind w:firstLine="480"/>
        <w:jc w:val="both"/>
        <w:rPr>
          <w:rFonts w:hint="eastAsia" w:cs="仿宋"/>
          <w:b w:val="0"/>
          <w:bCs w:val="0"/>
          <w:sz w:val="24"/>
          <w:szCs w:val="24"/>
          <w:lang w:val="en-US" w:eastAsia="zh-CN"/>
        </w:rPr>
      </w:pPr>
      <w:r>
        <w:rPr>
          <w:rFonts w:hint="eastAsia" w:cs="仿宋"/>
          <w:b w:val="0"/>
          <w:bCs w:val="0"/>
          <w:sz w:val="24"/>
          <w:szCs w:val="24"/>
          <w:lang w:val="en-US" w:eastAsia="zh-CN"/>
        </w:rPr>
        <w:t>1.▲标记参数为本项目教学场景下重要实质性技术指标，其中 THD 总谐波失真、STI 语言传输指数、MOS 主观评分、信噪比、灵敏度、60W 全功能 Type‑C、MJPG 视频格式均属于音视频、接口行业公开通用技术指标，均有通用测试评价方法，并非某厂商专有指标。“NN 智能 AI 降噪” 中 “NN（神经网络）” 是人工智能领域通用技术术语，并非科大讯飞独占专有名词，行业内多家语音算法厂商均采用神经网络降噪技术路线。</w:t>
      </w:r>
    </w:p>
    <w:p w14:paraId="055B5EAA">
      <w:pPr>
        <w:spacing w:before="0" w:after="60" w:line="360" w:lineRule="auto"/>
        <w:ind w:firstLine="480"/>
        <w:jc w:val="both"/>
        <w:rPr>
          <w:rFonts w:hint="eastAsia" w:cs="仿宋"/>
          <w:b w:val="0"/>
          <w:bCs w:val="0"/>
          <w:sz w:val="24"/>
          <w:szCs w:val="24"/>
          <w:lang w:val="en-US" w:eastAsia="zh-CN"/>
        </w:rPr>
      </w:pPr>
      <w:r>
        <w:rPr>
          <w:rFonts w:hint="eastAsia" w:cs="仿宋"/>
          <w:b w:val="0"/>
          <w:bCs w:val="0"/>
          <w:sz w:val="24"/>
          <w:szCs w:val="24"/>
          <w:lang w:val="en-US" w:eastAsia="zh-CN"/>
        </w:rPr>
        <w:t>2.招标文件设置 “可提供第三方检测报告或彩页、官网、功能截图任意其一作为证明材料”，是为降低供应商的投标响应门槛，落实优化营商环境政策，避免强制所有参数必须提供 CMA 检测报告造成供应商投标成本过高，佐证材料为多选一，并非限定必须某一类材料。</w:t>
      </w:r>
    </w:p>
    <w:p w14:paraId="7007B622">
      <w:pPr>
        <w:spacing w:before="0" w:after="60" w:line="360" w:lineRule="auto"/>
        <w:ind w:firstLine="480"/>
        <w:jc w:val="both"/>
        <w:rPr>
          <w:rFonts w:hint="eastAsia" w:cs="仿宋"/>
          <w:b w:val="0"/>
          <w:bCs w:val="0"/>
          <w:sz w:val="24"/>
          <w:szCs w:val="24"/>
          <w:lang w:val="en-US" w:eastAsia="zh-CN"/>
        </w:rPr>
      </w:pPr>
      <w:r>
        <w:rPr>
          <w:rFonts w:hint="eastAsia" w:cs="仿宋"/>
          <w:b w:val="0"/>
          <w:bCs w:val="0"/>
          <w:sz w:val="24"/>
          <w:szCs w:val="24"/>
          <w:lang w:val="en-US" w:eastAsia="zh-CN"/>
        </w:rPr>
        <w:t>3.质疑人认为因上述指标口径与特定品牌宣传用语相近，其他品牌难以提供完全对应措辞的官网截图，从而实质上仅有利于该品牌。对此说明：该条款的评审逻辑是，评审专家核验投标人提交的证明材料中所载的性能、功能指标内容是否与招标文件参数要求相匹配，而不是核验截图中的文字表述与哪一家厂商官网宣传完全一致。投标人可以使用自身产品的彩页、自有官网截图、产品功能录屏截图予以响应，并不要求去截取其他品牌官网页面。若投标人产品性能指标优于招标文件要求，其自有官网、彩页中必然体现相应参数，即可作为有效佐证。</w:t>
      </w:r>
    </w:p>
    <w:p w14:paraId="42955343">
      <w:pPr>
        <w:spacing w:before="0" w:after="60" w:line="360" w:lineRule="auto"/>
        <w:ind w:firstLine="480"/>
        <w:jc w:val="both"/>
        <w:rPr>
          <w:rFonts w:hint="default" w:cs="仿宋"/>
          <w:b w:val="0"/>
          <w:bCs w:val="0"/>
          <w:sz w:val="24"/>
          <w:szCs w:val="24"/>
          <w:lang w:val="en-US" w:eastAsia="zh-CN"/>
        </w:rPr>
      </w:pPr>
      <w:r>
        <w:rPr>
          <w:rFonts w:hint="eastAsia" w:cs="仿宋"/>
          <w:b w:val="0"/>
          <w:bCs w:val="0"/>
          <w:sz w:val="24"/>
          <w:szCs w:val="24"/>
          <w:lang w:val="en-US" w:eastAsia="zh-CN"/>
        </w:rPr>
        <w:t>4.参数仅设置性能下限，不限制实现方案，投标人产品指标优于招标文件要求同样可以响应；经市场调研，多家厂商产品可以达到上述音频、接口性能指标，并非单一品牌独有。质疑人未能提供客观比对证据证明上述指标组合市场上仅有科大讯飞可以实现。</w:t>
      </w:r>
    </w:p>
    <w:p w14:paraId="6D65DCE9">
      <w:pPr>
        <w:spacing w:before="0" w:after="60" w:line="360" w:lineRule="auto"/>
        <w:ind w:firstLine="480"/>
        <w:jc w:val="both"/>
        <w:rPr>
          <w:rFonts w:hint="eastAsia" w:cs="仿宋"/>
          <w:b w:val="0"/>
          <w:bCs w:val="0"/>
          <w:sz w:val="24"/>
          <w:szCs w:val="24"/>
          <w:lang w:val="en-US" w:eastAsia="zh-CN"/>
        </w:rPr>
      </w:pPr>
      <w:r>
        <w:rPr>
          <w:rFonts w:hint="eastAsia" w:cs="仿宋"/>
          <w:b/>
          <w:bCs/>
          <w:sz w:val="24"/>
          <w:szCs w:val="24"/>
          <w:lang w:val="en-US" w:eastAsia="zh-CN"/>
        </w:rPr>
        <w:t>法律依据：</w:t>
      </w:r>
      <w:r>
        <w:rPr>
          <w:rFonts w:hint="eastAsia" w:cs="仿宋"/>
          <w:b w:val="0"/>
          <w:bCs w:val="0"/>
          <w:sz w:val="24"/>
          <w:szCs w:val="24"/>
          <w:lang w:val="en-US" w:eastAsia="zh-CN"/>
        </w:rPr>
        <w:t>依据《中华人民共和国政府采购法实施条例》第二十条；财政部令第 87 号第二十五条、第五十五条；《关于促进政府采购公平竞争优化营商环境的通知》（财库〔2019〕38号）。本项▲参数指标为项目教学使用必要性能要求，证明材料设置多类型可选，目的减轻供应商负担，未限定特定检测标的、未指定特定产品，不构成差别或歧视待遇。</w:t>
      </w:r>
    </w:p>
    <w:p w14:paraId="0D6CA825">
      <w:pPr>
        <w:spacing w:before="0" w:after="60" w:line="360" w:lineRule="auto"/>
        <w:ind w:firstLine="480"/>
        <w:jc w:val="both"/>
        <w:rPr>
          <w:rFonts w:hint="default" w:cs="仿宋"/>
          <w:b w:val="0"/>
          <w:bCs w:val="0"/>
          <w:sz w:val="24"/>
          <w:szCs w:val="24"/>
          <w:lang w:val="en-US" w:eastAsia="zh-CN"/>
        </w:rPr>
      </w:pPr>
      <w:r>
        <w:rPr>
          <w:rFonts w:hint="eastAsia" w:cs="仿宋"/>
          <w:b/>
          <w:bCs/>
          <w:sz w:val="24"/>
          <w:szCs w:val="24"/>
          <w:lang w:val="en-US" w:eastAsia="zh-CN"/>
        </w:rPr>
        <w:t>质疑事项三：</w:t>
      </w:r>
      <w:r>
        <w:rPr>
          <w:rFonts w:hint="eastAsia" w:cs="仿宋"/>
          <w:b w:val="0"/>
          <w:bCs w:val="0"/>
          <w:sz w:val="24"/>
          <w:szCs w:val="24"/>
          <w:lang w:val="en-US" w:eastAsia="zh-CN"/>
        </w:rPr>
        <w:t>第四章评分标准允许以“官网截图”作为▲正偏离证明材料并给予加分，系将特定品牌官网宣传内容作为评分依据，严重损害评审的客观性与公正性</w:t>
      </w:r>
    </w:p>
    <w:p w14:paraId="675FB1F7">
      <w:pPr>
        <w:spacing w:before="0" w:after="60" w:line="360" w:lineRule="auto"/>
        <w:ind w:firstLine="480"/>
        <w:jc w:val="both"/>
        <w:rPr>
          <w:rFonts w:hint="eastAsia" w:cs="仿宋"/>
          <w:b w:val="0"/>
          <w:bCs w:val="0"/>
          <w:sz w:val="24"/>
          <w:szCs w:val="24"/>
          <w:lang w:val="en-US" w:eastAsia="zh-CN"/>
        </w:rPr>
      </w:pPr>
      <w:r>
        <w:rPr>
          <w:rFonts w:hint="eastAsia" w:cs="仿宋"/>
          <w:b/>
          <w:bCs/>
          <w:sz w:val="24"/>
          <w:szCs w:val="24"/>
          <w:lang w:val="en-US" w:eastAsia="zh-CN"/>
        </w:rPr>
        <w:t>质疑事项三回复：</w:t>
      </w:r>
      <w:r>
        <w:rPr>
          <w:rFonts w:hint="eastAsia" w:cs="仿宋"/>
          <w:b w:val="0"/>
          <w:bCs w:val="0"/>
          <w:sz w:val="24"/>
          <w:szCs w:val="24"/>
          <w:lang w:val="en-US" w:eastAsia="zh-CN"/>
        </w:rPr>
        <w:t>质疑人认为官网截图属于供应商自证宣传，不具备第三方证明效力；将官网截图作为正偏离加分佐证材料，实质上仅有利于科大讯飞，造成其他供应商结构性劣势，违反 87 号令第五十五条。</w:t>
      </w:r>
    </w:p>
    <w:p w14:paraId="31048A5E">
      <w:pPr>
        <w:spacing w:before="0" w:after="60" w:line="360" w:lineRule="auto"/>
        <w:ind w:firstLine="480"/>
        <w:jc w:val="both"/>
        <w:rPr>
          <w:rFonts w:hint="eastAsia" w:cs="仿宋"/>
          <w:b/>
          <w:bCs/>
          <w:sz w:val="24"/>
          <w:szCs w:val="24"/>
          <w:lang w:val="en-US" w:eastAsia="zh-CN"/>
        </w:rPr>
      </w:pPr>
      <w:r>
        <w:rPr>
          <w:rFonts w:hint="eastAsia" w:cs="仿宋"/>
          <w:b/>
          <w:bCs/>
          <w:sz w:val="24"/>
          <w:szCs w:val="24"/>
          <w:lang w:val="en-US" w:eastAsia="zh-CN"/>
        </w:rPr>
        <w:t>回复意见：本质疑事项不成立，评分标准不予调整。</w:t>
      </w:r>
    </w:p>
    <w:p w14:paraId="360AC38A">
      <w:pPr>
        <w:spacing w:before="0" w:after="60" w:line="360" w:lineRule="auto"/>
        <w:ind w:firstLine="480"/>
        <w:jc w:val="both"/>
        <w:rPr>
          <w:rFonts w:hint="default" w:cs="仿宋"/>
          <w:b/>
          <w:bCs/>
          <w:sz w:val="24"/>
          <w:szCs w:val="24"/>
          <w:lang w:val="en-US" w:eastAsia="zh-CN"/>
        </w:rPr>
      </w:pPr>
      <w:r>
        <w:rPr>
          <w:rFonts w:hint="eastAsia" w:cs="仿宋"/>
          <w:b/>
          <w:bCs/>
          <w:sz w:val="24"/>
          <w:szCs w:val="24"/>
          <w:lang w:val="en-US" w:eastAsia="zh-CN"/>
        </w:rPr>
        <w:t>事实依据：</w:t>
      </w:r>
    </w:p>
    <w:p w14:paraId="1E2254E9">
      <w:pPr>
        <w:spacing w:before="0" w:after="60" w:line="360" w:lineRule="auto"/>
        <w:ind w:firstLine="480"/>
        <w:jc w:val="both"/>
        <w:rPr>
          <w:rFonts w:hint="eastAsia" w:cs="仿宋"/>
          <w:b w:val="0"/>
          <w:bCs w:val="0"/>
          <w:sz w:val="24"/>
          <w:szCs w:val="24"/>
          <w:lang w:val="en-US" w:eastAsia="zh-CN"/>
        </w:rPr>
      </w:pPr>
      <w:r>
        <w:rPr>
          <w:rFonts w:hint="eastAsia" w:cs="仿宋"/>
          <w:b w:val="0"/>
          <w:bCs w:val="0"/>
          <w:sz w:val="24"/>
          <w:szCs w:val="24"/>
          <w:lang w:val="en-US" w:eastAsia="zh-CN"/>
        </w:rPr>
        <w:t>1.招标文件正偏离加分规则：▲参数产生正偏离（即产品性能优于招标文件最低要求）才予以加分，满分仅 6 分，分值占整体权重很低；该加分属于择优加分，不影响满足招标文件基础实质性要求的供应商参与竞争，不作为资格门槛。</w:t>
      </w:r>
    </w:p>
    <w:p w14:paraId="4E221F26">
      <w:pPr>
        <w:spacing w:before="0" w:after="60" w:line="360" w:lineRule="auto"/>
        <w:ind w:firstLine="480"/>
        <w:jc w:val="both"/>
        <w:rPr>
          <w:rFonts w:hint="eastAsia" w:cs="仿宋"/>
          <w:b w:val="0"/>
          <w:bCs w:val="0"/>
          <w:sz w:val="24"/>
          <w:szCs w:val="24"/>
          <w:lang w:val="en-US" w:eastAsia="zh-CN"/>
        </w:rPr>
      </w:pPr>
      <w:r>
        <w:rPr>
          <w:rFonts w:hint="eastAsia" w:cs="仿宋"/>
          <w:b w:val="0"/>
          <w:bCs w:val="0"/>
          <w:sz w:val="24"/>
          <w:szCs w:val="24"/>
          <w:lang w:val="en-US" w:eastAsia="zh-CN"/>
        </w:rPr>
        <w:t>2.招标文件明确正偏离需要在技术偏离表中列明，同时提交佐证材料，佐证材料可选：第三方检测报告、产品彩页、官网、功能截图，所有佐证材料均需要加盖投标人公章。评审委员会审查重点：佐证材料记载的性能参数内容，是否能够证明投标人产品优于招标文件参数。官网截图是指投标人所投产品对外公开宣传页面截图，不是要求去调取其他品牌官网；若投标人官网宣传内容模糊、不能清晰体现正偏离指标，评标委员会有权不予认定该条正偏离得分。</w:t>
      </w:r>
    </w:p>
    <w:p w14:paraId="08F8513E">
      <w:pPr>
        <w:spacing w:before="0" w:after="60" w:line="360" w:lineRule="auto"/>
        <w:ind w:firstLine="480"/>
        <w:jc w:val="both"/>
        <w:rPr>
          <w:rFonts w:hint="eastAsia" w:cs="仿宋"/>
          <w:b w:val="0"/>
          <w:bCs w:val="0"/>
          <w:sz w:val="24"/>
          <w:szCs w:val="24"/>
          <w:lang w:val="en-US" w:eastAsia="zh-CN"/>
        </w:rPr>
      </w:pPr>
      <w:r>
        <w:rPr>
          <w:rFonts w:hint="eastAsia" w:cs="仿宋"/>
          <w:b w:val="0"/>
          <w:bCs w:val="0"/>
          <w:sz w:val="24"/>
          <w:szCs w:val="24"/>
          <w:lang w:val="en-US" w:eastAsia="zh-CN"/>
        </w:rPr>
        <w:t>3.彩页、产品功能截图同样属于厂商自证类材料，招标文件将几类材料并列可选，是给投标人多种举证途径，并非把某一家厂商官网作为标准答案。如投标人对自身产品正偏离无法提供有效佐证，专家不予认定得分，属于正常评审约束。</w:t>
      </w:r>
    </w:p>
    <w:p w14:paraId="44F89292">
      <w:pPr>
        <w:spacing w:before="0" w:after="60" w:line="360" w:lineRule="auto"/>
        <w:ind w:firstLine="480"/>
        <w:jc w:val="both"/>
        <w:rPr>
          <w:rFonts w:hint="eastAsia" w:cs="仿宋"/>
          <w:b w:val="0"/>
          <w:bCs w:val="0"/>
          <w:sz w:val="24"/>
          <w:szCs w:val="24"/>
          <w:lang w:val="en-US" w:eastAsia="zh-CN"/>
        </w:rPr>
      </w:pPr>
      <w:r>
        <w:rPr>
          <w:rFonts w:hint="eastAsia" w:cs="仿宋"/>
          <w:b w:val="0"/>
          <w:bCs w:val="0"/>
          <w:sz w:val="24"/>
          <w:szCs w:val="24"/>
          <w:lang w:val="en-US" w:eastAsia="zh-CN"/>
        </w:rPr>
        <w:t>4.综合评分法下，评审因素细化量化不等于全部要求第三方检测报告。对于硬件、软件功能性能，在不违反强制性规定前提下，可以接受产品公开宣传资料作为佐证，专家结合全部投标材料综合判断。质疑人推定该规则仅有利于特定品牌，仅为主观推测，没有客观事实证据支撑。</w:t>
      </w:r>
    </w:p>
    <w:p w14:paraId="044CBAE6">
      <w:pPr>
        <w:spacing w:before="0" w:after="60" w:line="360" w:lineRule="auto"/>
        <w:ind w:firstLine="480"/>
        <w:jc w:val="both"/>
        <w:rPr>
          <w:rFonts w:hint="default" w:cs="仿宋"/>
          <w:b w:val="0"/>
          <w:bCs w:val="0"/>
          <w:sz w:val="24"/>
          <w:szCs w:val="24"/>
          <w:lang w:val="en-US" w:eastAsia="zh-CN"/>
        </w:rPr>
      </w:pPr>
      <w:r>
        <w:rPr>
          <w:rFonts w:hint="eastAsia" w:cs="仿宋"/>
          <w:b/>
          <w:bCs/>
          <w:sz w:val="24"/>
          <w:szCs w:val="24"/>
          <w:lang w:val="en-US" w:eastAsia="zh-CN"/>
        </w:rPr>
        <w:t>法律依据：</w:t>
      </w:r>
      <w:r>
        <w:rPr>
          <w:rFonts w:hint="eastAsia" w:cs="仿宋"/>
          <w:b w:val="0"/>
          <w:bCs w:val="0"/>
          <w:sz w:val="24"/>
          <w:szCs w:val="24"/>
          <w:lang w:val="en-US" w:eastAsia="zh-CN"/>
        </w:rPr>
        <w:t>《政府采购货物和服务招标投标管理办法》（财政部令第 87 号）第五十五条，评审因素应当细化和量化，与采购需求相对应。本项加分因素与产品硬件软件性能质量直接相关，加分上限设置合理，佐证材料设置多种可选路径，未违反法律法规规定。</w:t>
      </w:r>
    </w:p>
    <w:p w14:paraId="681830B5">
      <w:pPr>
        <w:spacing w:before="0" w:after="60" w:line="360" w:lineRule="auto"/>
        <w:ind w:firstLine="480"/>
        <w:jc w:val="both"/>
        <w:rPr>
          <w:rFonts w:hint="default" w:cs="仿宋"/>
          <w:b w:val="0"/>
          <w:bCs w:val="0"/>
          <w:sz w:val="24"/>
          <w:szCs w:val="24"/>
          <w:lang w:val="en-US" w:eastAsia="zh-CN"/>
        </w:rPr>
      </w:pPr>
      <w:r>
        <w:rPr>
          <w:rFonts w:hint="eastAsia" w:cs="仿宋"/>
          <w:b/>
          <w:bCs/>
          <w:sz w:val="24"/>
          <w:szCs w:val="24"/>
          <w:lang w:val="en-US" w:eastAsia="zh-CN"/>
        </w:rPr>
        <w:t>质疑事项四：</w:t>
      </w:r>
      <w:r>
        <w:rPr>
          <w:rFonts w:hint="eastAsia" w:cs="仿宋"/>
          <w:b w:val="0"/>
          <w:bCs w:val="0"/>
          <w:sz w:val="24"/>
          <w:szCs w:val="24"/>
          <w:lang w:val="en-US" w:eastAsia="zh-CN"/>
        </w:rPr>
        <w:t>验收条款要求提供“智慧黑板、智能笔相关功能及性能的合格检测报告”并保留“虚假应标追责”权力，对非讯飞渠道供应商构成威慑性歧视</w:t>
      </w:r>
    </w:p>
    <w:p w14:paraId="4F98B856">
      <w:pPr>
        <w:spacing w:before="0" w:after="60" w:line="360" w:lineRule="auto"/>
        <w:ind w:firstLine="480"/>
        <w:jc w:val="both"/>
        <w:rPr>
          <w:rFonts w:hint="eastAsia" w:cs="仿宋"/>
          <w:b w:val="0"/>
          <w:bCs w:val="0"/>
          <w:sz w:val="24"/>
          <w:szCs w:val="24"/>
          <w:lang w:val="en-US" w:eastAsia="zh-CN"/>
        </w:rPr>
      </w:pPr>
      <w:r>
        <w:rPr>
          <w:rFonts w:hint="eastAsia" w:cs="仿宋"/>
          <w:b/>
          <w:bCs/>
          <w:sz w:val="24"/>
          <w:szCs w:val="24"/>
          <w:lang w:val="en-US" w:eastAsia="zh-CN"/>
        </w:rPr>
        <w:t>质疑事项四回复：</w:t>
      </w:r>
      <w:r>
        <w:rPr>
          <w:rFonts w:hint="eastAsia" w:cs="仿宋"/>
          <w:b w:val="0"/>
          <w:bCs w:val="0"/>
          <w:sz w:val="24"/>
          <w:szCs w:val="24"/>
          <w:lang w:val="en-US" w:eastAsia="zh-CN"/>
        </w:rPr>
        <w:t>质疑人认为招标文件验收环节要求提供智慧黑板、智能笔功能性能合格检测报告，同时约定虚假应标追责；部分指标没有统一国标行标，非讯飞渠道供应商中标后无法出具对应口径报告，形成排他闭环，构成威慑性排斥。</w:t>
      </w:r>
    </w:p>
    <w:p w14:paraId="675D860E">
      <w:pPr>
        <w:spacing w:before="0" w:after="60" w:line="360" w:lineRule="auto"/>
        <w:ind w:firstLine="480"/>
        <w:jc w:val="both"/>
        <w:rPr>
          <w:rFonts w:hint="eastAsia" w:cs="仿宋"/>
          <w:b/>
          <w:bCs/>
          <w:sz w:val="24"/>
          <w:szCs w:val="24"/>
          <w:lang w:val="en-US" w:eastAsia="zh-CN"/>
        </w:rPr>
      </w:pPr>
      <w:r>
        <w:rPr>
          <w:rFonts w:hint="eastAsia" w:cs="仿宋"/>
          <w:b/>
          <w:bCs/>
          <w:sz w:val="24"/>
          <w:szCs w:val="24"/>
          <w:lang w:val="en-US" w:eastAsia="zh-CN"/>
        </w:rPr>
        <w:t>回复意见：本质疑事项不成立，采购文件商务验收条款不作修改。</w:t>
      </w:r>
    </w:p>
    <w:p w14:paraId="03273E1A">
      <w:pPr>
        <w:spacing w:before="0" w:after="60" w:line="360" w:lineRule="auto"/>
        <w:ind w:firstLine="480"/>
        <w:jc w:val="both"/>
        <w:rPr>
          <w:rFonts w:hint="eastAsia" w:cs="仿宋"/>
          <w:b/>
          <w:bCs/>
          <w:sz w:val="24"/>
          <w:szCs w:val="24"/>
          <w:lang w:val="en-US" w:eastAsia="zh-CN"/>
        </w:rPr>
      </w:pPr>
      <w:r>
        <w:rPr>
          <w:rFonts w:hint="eastAsia" w:cs="仿宋"/>
          <w:b/>
          <w:bCs/>
          <w:sz w:val="24"/>
          <w:szCs w:val="24"/>
          <w:lang w:val="en-US" w:eastAsia="zh-CN"/>
        </w:rPr>
        <w:t>事实依据：</w:t>
      </w:r>
    </w:p>
    <w:p w14:paraId="600285C6">
      <w:pPr>
        <w:spacing w:before="0" w:after="60" w:line="360" w:lineRule="auto"/>
        <w:ind w:firstLine="480"/>
        <w:jc w:val="both"/>
        <w:rPr>
          <w:rFonts w:hint="eastAsia" w:cs="仿宋"/>
          <w:b w:val="0"/>
          <w:bCs w:val="0"/>
          <w:sz w:val="24"/>
          <w:szCs w:val="24"/>
          <w:lang w:val="en-US" w:eastAsia="zh-CN"/>
        </w:rPr>
      </w:pPr>
      <w:r>
        <w:rPr>
          <w:rFonts w:hint="eastAsia" w:cs="仿宋"/>
          <w:b w:val="0"/>
          <w:bCs w:val="0"/>
          <w:sz w:val="24"/>
          <w:szCs w:val="24"/>
          <w:lang w:val="en-US" w:eastAsia="zh-CN"/>
        </w:rPr>
        <w:t>1.验收条款约定 “验收时中标人须提供智慧黑板、智能笔相关功能及性能的合格检测报告复印件（原件备查）”，该条款要求检测报告覆盖招标文件约定的功能性能范围，但并未限定必须采用某厂商的检测口径或检测方法。履约验收的核心方式是现场实物功能实测核验，检测报告仅作为辅助佐证材料。采购人验收时优先以产品现场实际功能、性能实测结果作为判定产品是否合格的第一依据，不会单纯以是否具备某份检测报告作为唯一验收通过条件。</w:t>
      </w:r>
    </w:p>
    <w:p w14:paraId="266D9EF2">
      <w:pPr>
        <w:spacing w:before="0" w:after="60" w:line="360" w:lineRule="auto"/>
        <w:ind w:firstLine="480"/>
        <w:jc w:val="both"/>
        <w:rPr>
          <w:rFonts w:hint="eastAsia" w:cs="仿宋"/>
          <w:b w:val="0"/>
          <w:bCs w:val="0"/>
          <w:sz w:val="24"/>
          <w:szCs w:val="24"/>
          <w:lang w:val="en-US" w:eastAsia="zh-CN"/>
        </w:rPr>
      </w:pPr>
      <w:r>
        <w:rPr>
          <w:rFonts w:hint="eastAsia" w:cs="仿宋"/>
          <w:b w:val="0"/>
          <w:bCs w:val="0"/>
          <w:sz w:val="24"/>
          <w:szCs w:val="24"/>
          <w:lang w:val="en-US" w:eastAsia="zh-CN"/>
        </w:rPr>
        <w:t>2.“对伪造材料追究虚假应标的法律责任”属于政府采购项目通用合规条款，是依据《中华人民共和国政府采购法》《中华人民共和国民法典》对全部中标供应商统一设置的法律约束，平等适用于全部市场主体，并非专门针对某部分供应商设置的威慑性条款。该条款目的系打击提交伪造虚假材料行为，不属于排斥潜在供应商的条件。</w:t>
      </w:r>
    </w:p>
    <w:p w14:paraId="163C96C7">
      <w:pPr>
        <w:spacing w:before="0" w:after="60" w:line="360" w:lineRule="auto"/>
        <w:ind w:firstLine="480"/>
        <w:jc w:val="both"/>
        <w:rPr>
          <w:rFonts w:hint="eastAsia" w:cs="仿宋"/>
          <w:b w:val="0"/>
          <w:bCs w:val="0"/>
          <w:sz w:val="24"/>
          <w:szCs w:val="24"/>
          <w:lang w:val="en-US" w:eastAsia="zh-CN"/>
        </w:rPr>
      </w:pPr>
      <w:r>
        <w:rPr>
          <w:rFonts w:hint="eastAsia" w:cs="仿宋"/>
          <w:b w:val="0"/>
          <w:bCs w:val="0"/>
          <w:sz w:val="24"/>
          <w:szCs w:val="24"/>
          <w:lang w:val="en-US" w:eastAsia="zh-CN"/>
        </w:rPr>
        <w:t>3.对于暂无统一国家标准、行业标准的 AI 软件类功能指标，履约验收时采用现场功能演示实测方式核验是否满足采购需求，不强制要求第三方检测机构出具全部 AI 功能检测报告。投标人可以通过自有测试报告、第三方软件测评、现场演示等多种方式完成履约验证，不存在必须按照某厂商口径出具报告的强制要求。</w:t>
      </w:r>
    </w:p>
    <w:p w14:paraId="1D15B680">
      <w:pPr>
        <w:spacing w:before="0" w:after="60" w:line="360" w:lineRule="auto"/>
        <w:ind w:firstLine="480"/>
        <w:jc w:val="both"/>
        <w:rPr>
          <w:rFonts w:hint="eastAsia" w:cs="仿宋"/>
          <w:b w:val="0"/>
          <w:bCs w:val="0"/>
          <w:sz w:val="24"/>
          <w:szCs w:val="24"/>
          <w:lang w:val="en-US" w:eastAsia="zh-CN"/>
        </w:rPr>
      </w:pPr>
      <w:r>
        <w:rPr>
          <w:rFonts w:hint="eastAsia" w:cs="仿宋"/>
          <w:b w:val="0"/>
          <w:bCs w:val="0"/>
          <w:sz w:val="24"/>
          <w:szCs w:val="24"/>
          <w:lang w:val="en-US" w:eastAsia="zh-CN"/>
        </w:rPr>
        <w:t>4.质疑人假设“承诺参数之后无法出具报告就被认定虚假应标”属于片面推演。虚假应标的认定，需要以“投标时故意虚构产品性能、提交伪造材料”的客观事实为前提；若中标产品现场实测可以满足招标文件全部功能性能，不会被认定虚假应标。</w:t>
      </w:r>
    </w:p>
    <w:p w14:paraId="7393899A">
      <w:pPr>
        <w:spacing w:before="0" w:after="60" w:line="360" w:lineRule="auto"/>
        <w:ind w:firstLine="480"/>
        <w:jc w:val="both"/>
        <w:rPr>
          <w:rFonts w:hint="eastAsia" w:cs="仿宋"/>
          <w:b w:val="0"/>
          <w:bCs w:val="0"/>
          <w:sz w:val="24"/>
          <w:szCs w:val="24"/>
          <w:lang w:val="en-US" w:eastAsia="zh-CN"/>
        </w:rPr>
      </w:pPr>
      <w:r>
        <w:rPr>
          <w:rFonts w:hint="eastAsia" w:cs="仿宋"/>
          <w:b/>
          <w:bCs/>
          <w:sz w:val="24"/>
          <w:szCs w:val="24"/>
          <w:lang w:val="en-US" w:eastAsia="zh-CN"/>
        </w:rPr>
        <w:t>法律依据：</w:t>
      </w:r>
      <w:r>
        <w:rPr>
          <w:rFonts w:hint="eastAsia" w:cs="仿宋"/>
          <w:b w:val="0"/>
          <w:bCs w:val="0"/>
          <w:sz w:val="24"/>
          <w:szCs w:val="24"/>
          <w:lang w:val="en-US" w:eastAsia="zh-CN"/>
        </w:rPr>
        <w:t>依据《中华人民共和国政府采购法》第三条；《政府采购法实施条例》第二十条；《政府采购需求管理办法》（财库〔2021〕22号），采购人有权设置合理履约验收要求，验收应当以现场实物核验为主要手段。本项目验收条款没有设置脱离项目实际、无法实现的条件，不构成差别、歧视待遇。</w:t>
      </w:r>
    </w:p>
    <w:p w14:paraId="3EDA6493">
      <w:pPr>
        <w:spacing w:before="0" w:after="60" w:line="360" w:lineRule="auto"/>
        <w:ind w:firstLine="480"/>
        <w:jc w:val="both"/>
        <w:rPr>
          <w:rFonts w:hint="default" w:cs="仿宋"/>
          <w:b w:val="0"/>
          <w:bCs w:val="0"/>
          <w:sz w:val="24"/>
          <w:szCs w:val="24"/>
          <w:lang w:val="en-US" w:eastAsia="zh-CN"/>
        </w:rPr>
      </w:pPr>
      <w:r>
        <w:rPr>
          <w:rFonts w:hint="eastAsia" w:cs="仿宋"/>
          <w:b/>
          <w:bCs/>
          <w:sz w:val="24"/>
          <w:szCs w:val="24"/>
          <w:lang w:val="en-US" w:eastAsia="zh-CN"/>
        </w:rPr>
        <w:t>质疑事项五：</w:t>
      </w:r>
      <w:r>
        <w:rPr>
          <w:rFonts w:hint="eastAsia" w:cs="仿宋"/>
          <w:b w:val="0"/>
          <w:bCs w:val="0"/>
          <w:sz w:val="24"/>
          <w:szCs w:val="24"/>
          <w:lang w:val="en-US" w:eastAsia="zh-CN"/>
        </w:rPr>
        <w:t>整机多项功能设定（罗盘工具、AI录课、粉尘堆积提醒、互联副板丝印按键、磁吸智能笔等）系科大讯飞同窗AI黑板的专有功能设计，具有明显品牌指向性</w:t>
      </w:r>
    </w:p>
    <w:p w14:paraId="6FFE1002">
      <w:pPr>
        <w:spacing w:before="0" w:after="60" w:line="360" w:lineRule="auto"/>
        <w:ind w:firstLine="480"/>
        <w:jc w:val="both"/>
        <w:rPr>
          <w:rFonts w:hint="eastAsia" w:cs="仿宋"/>
          <w:b w:val="0"/>
          <w:bCs w:val="0"/>
          <w:sz w:val="24"/>
          <w:szCs w:val="24"/>
          <w:lang w:val="en-US" w:eastAsia="zh-CN"/>
        </w:rPr>
      </w:pPr>
      <w:r>
        <w:rPr>
          <w:rFonts w:hint="eastAsia" w:cs="仿宋"/>
          <w:b/>
          <w:bCs/>
          <w:sz w:val="24"/>
          <w:szCs w:val="24"/>
          <w:lang w:val="en-US" w:eastAsia="zh-CN"/>
        </w:rPr>
        <w:t>质疑事项五回复：</w:t>
      </w:r>
      <w:r>
        <w:rPr>
          <w:rFonts w:hint="eastAsia" w:cs="仿宋"/>
          <w:b w:val="0"/>
          <w:bCs w:val="0"/>
          <w:sz w:val="24"/>
          <w:szCs w:val="24"/>
          <w:lang w:val="en-US" w:eastAsia="zh-CN"/>
        </w:rPr>
        <w:t>质疑人认为“罗盘工具”“AI 录课”“粉尘堆积提醒”“互联副板丝印按键”、货物名称“86 寸红外互联智慧黑板”、智能笔语音指令数量口径，均属于科大讯飞专有设计与表述，采购文件使用上述词汇，存在品牌指纹，指向特定产品。</w:t>
      </w:r>
    </w:p>
    <w:p w14:paraId="2978C7C6">
      <w:pPr>
        <w:spacing w:before="0" w:after="60" w:line="360" w:lineRule="auto"/>
        <w:ind w:firstLine="480"/>
        <w:jc w:val="both"/>
        <w:rPr>
          <w:rFonts w:hint="eastAsia" w:cs="仿宋"/>
          <w:b/>
          <w:bCs/>
          <w:sz w:val="24"/>
          <w:szCs w:val="24"/>
          <w:lang w:val="en-US" w:eastAsia="zh-CN"/>
        </w:rPr>
      </w:pPr>
      <w:r>
        <w:rPr>
          <w:rFonts w:hint="eastAsia" w:cs="仿宋"/>
          <w:b/>
          <w:bCs/>
          <w:sz w:val="24"/>
          <w:szCs w:val="24"/>
          <w:lang w:val="en-US" w:eastAsia="zh-CN"/>
        </w:rPr>
        <w:t>回复意见：本质疑事项不成立，采购文件对应技术参数不作修改。</w:t>
      </w:r>
    </w:p>
    <w:p w14:paraId="54C9B9F2">
      <w:pPr>
        <w:spacing w:before="0" w:after="60" w:line="360" w:lineRule="auto"/>
        <w:ind w:firstLine="480"/>
        <w:jc w:val="both"/>
        <w:rPr>
          <w:rFonts w:hint="default" w:cs="仿宋"/>
          <w:b/>
          <w:bCs/>
          <w:sz w:val="24"/>
          <w:szCs w:val="24"/>
          <w:lang w:val="en-US" w:eastAsia="zh-CN"/>
        </w:rPr>
      </w:pPr>
      <w:r>
        <w:rPr>
          <w:rFonts w:hint="default" w:cs="仿宋"/>
          <w:b/>
          <w:bCs/>
          <w:sz w:val="24"/>
          <w:szCs w:val="24"/>
          <w:lang w:val="en-US" w:eastAsia="zh-CN"/>
        </w:rPr>
        <w:t>事实依据</w:t>
      </w:r>
      <w:r>
        <w:rPr>
          <w:rFonts w:hint="eastAsia" w:cs="仿宋"/>
          <w:b/>
          <w:bCs/>
          <w:sz w:val="24"/>
          <w:szCs w:val="24"/>
          <w:lang w:val="en-US" w:eastAsia="zh-CN"/>
        </w:rPr>
        <w:t>：</w:t>
      </w:r>
    </w:p>
    <w:p w14:paraId="32D35836">
      <w:pPr>
        <w:spacing w:before="0" w:after="60" w:line="360" w:lineRule="auto"/>
        <w:ind w:firstLine="480"/>
        <w:jc w:val="both"/>
        <w:rPr>
          <w:rFonts w:hint="eastAsia" w:cs="仿宋"/>
          <w:b w:val="0"/>
          <w:bCs w:val="0"/>
          <w:sz w:val="24"/>
          <w:szCs w:val="24"/>
          <w:lang w:val="en-US" w:eastAsia="zh-CN"/>
        </w:rPr>
      </w:pPr>
      <w:r>
        <w:rPr>
          <w:rFonts w:hint="eastAsia" w:cs="仿宋"/>
          <w:b w:val="0"/>
          <w:bCs w:val="0"/>
          <w:sz w:val="24"/>
          <w:szCs w:val="24"/>
          <w:lang w:val="en-US" w:eastAsia="zh-CN"/>
        </w:rPr>
        <w:t>1.关于业务名词命名：招标文件“罗盘工具”描述的是圆形悬浮交互工具栏的业务形态，与“悬浮球”“快捷圆盘”“侧边工具栏”同属对同类交互组件的形态描述，并非某一厂商的注册商标或专有技术名称；评审以功能实质为准，即是否可以实现五指唤起、悬浮工具栏、侧边隐藏等效果，供应商界面命名不受限制。同理，“AI 录课”是对“人工智能辅助课堂录制”功能的通用业务描述，不是产品专有商标；货物名称“红外互联智慧黑板”，是对设备硬件形态（红外触控技术、主副板互联书写结构）的客观品类描述，属于行业通用的硬件分类表述，并非某厂商注册商标或专有产品名称。</w:t>
      </w:r>
    </w:p>
    <w:p w14:paraId="147EAC3B">
      <w:pPr>
        <w:spacing w:before="0" w:after="60" w:line="360" w:lineRule="auto"/>
        <w:ind w:firstLine="480"/>
        <w:jc w:val="both"/>
        <w:rPr>
          <w:rFonts w:hint="eastAsia" w:cs="仿宋"/>
          <w:b w:val="0"/>
          <w:bCs w:val="0"/>
          <w:sz w:val="24"/>
          <w:szCs w:val="24"/>
          <w:lang w:val="en-US" w:eastAsia="zh-CN"/>
        </w:rPr>
      </w:pPr>
      <w:r>
        <w:rPr>
          <w:rFonts w:hint="eastAsia" w:cs="仿宋"/>
          <w:b w:val="0"/>
          <w:bCs w:val="0"/>
          <w:sz w:val="24"/>
          <w:szCs w:val="24"/>
          <w:lang w:val="en-US" w:eastAsia="zh-CN"/>
        </w:rPr>
        <w:t>2.“粉尘堆积提醒”“副板丝印快捷按键” 是针对学校粉笔教学场景提出的实用功能：教室使用普通粉笔会产生大量粉尘，粉尘遮挡红外感应副板感应区域会影响互联黑板正常识别，粉尘提醒是解决该痛点的功能需求；副板丝印实体快捷按键，目的是使教师不用走到中控位置，直接在书写副板操作板书保存、翻页，提升课堂操作便捷度。该类功能为功能效果要求，不限制具体硬件结构或软件实现方式，其他厂商可以通过软件弹窗提示、副板实体按键等不同技术路径实现，并非只有单一厂商结构可以实现。</w:t>
      </w:r>
    </w:p>
    <w:p w14:paraId="45228369">
      <w:pPr>
        <w:spacing w:before="0" w:after="60" w:line="360" w:lineRule="auto"/>
        <w:ind w:firstLine="480"/>
        <w:jc w:val="both"/>
        <w:rPr>
          <w:rFonts w:hint="eastAsia" w:cs="仿宋"/>
          <w:b w:val="0"/>
          <w:bCs w:val="0"/>
          <w:sz w:val="24"/>
          <w:szCs w:val="24"/>
          <w:lang w:val="en-US" w:eastAsia="zh-CN"/>
        </w:rPr>
      </w:pPr>
      <w:r>
        <w:rPr>
          <w:rFonts w:hint="eastAsia" w:cs="仿宋"/>
          <w:b w:val="0"/>
          <w:bCs w:val="0"/>
          <w:sz w:val="24"/>
          <w:szCs w:val="24"/>
          <w:lang w:val="en-US" w:eastAsia="zh-CN"/>
        </w:rPr>
        <w:t>3.智能笔语音指令数量、师生互动指令数量为最低下限指标，仅要求达到最低数量规模，不限制语义识别底层引擎来源，供应商可采用自有语音引擎或者对接第三方语音AI服务实现，不绑定特定品牌。</w:t>
      </w:r>
    </w:p>
    <w:p w14:paraId="43E279E4">
      <w:pPr>
        <w:spacing w:before="0" w:after="60" w:line="360" w:lineRule="auto"/>
        <w:ind w:firstLine="480"/>
        <w:jc w:val="both"/>
        <w:rPr>
          <w:rFonts w:hint="default" w:cs="仿宋"/>
          <w:b w:val="0"/>
          <w:bCs w:val="0"/>
          <w:sz w:val="24"/>
          <w:szCs w:val="24"/>
          <w:lang w:val="en-US" w:eastAsia="zh-CN"/>
        </w:rPr>
      </w:pPr>
      <w:r>
        <w:rPr>
          <w:rFonts w:hint="eastAsia" w:cs="仿宋"/>
          <w:b w:val="0"/>
          <w:bCs w:val="0"/>
          <w:sz w:val="24"/>
          <w:szCs w:val="24"/>
          <w:lang w:val="en-US" w:eastAsia="zh-CN"/>
        </w:rPr>
        <w:t>4.采购文件全部参数均为功能、性能下限，没有限定产品结构外观、UI命名、内部元器件。质疑人将部分厂商产品使用过的业务名词直接等同于专有商标、专有技术，混淆 “行业业务描述词”和“品牌专有技术”概念，未提供客观证据证明上述全部功能只能由科大讯飞一家实现。</w:t>
      </w:r>
    </w:p>
    <w:p w14:paraId="60A75706">
      <w:pPr>
        <w:spacing w:before="0" w:after="60" w:line="360" w:lineRule="auto"/>
        <w:ind w:firstLine="480"/>
        <w:jc w:val="both"/>
        <w:rPr>
          <w:rFonts w:hint="eastAsia" w:cs="仿宋"/>
          <w:b w:val="0"/>
          <w:bCs w:val="0"/>
          <w:sz w:val="24"/>
          <w:szCs w:val="24"/>
          <w:lang w:val="en-US" w:eastAsia="zh-CN"/>
        </w:rPr>
      </w:pPr>
      <w:r>
        <w:rPr>
          <w:rFonts w:hint="eastAsia" w:cs="仿宋"/>
          <w:b/>
          <w:bCs/>
          <w:sz w:val="24"/>
          <w:szCs w:val="24"/>
          <w:lang w:val="en-US" w:eastAsia="zh-CN"/>
        </w:rPr>
        <w:t>法律依据：</w:t>
      </w:r>
      <w:r>
        <w:rPr>
          <w:rFonts w:hint="eastAsia" w:cs="仿宋"/>
          <w:b w:val="0"/>
          <w:bCs w:val="0"/>
          <w:sz w:val="24"/>
          <w:szCs w:val="24"/>
          <w:lang w:val="en-US" w:eastAsia="zh-CN"/>
        </w:rPr>
        <w:t>依据《中华人民共和国政府采购法实施条例》第二十条；财政部令第 87 号第二十五条。采购文件使用业务场景描述词汇，未限定商标、专利、特定产品，参数贴合粉笔教学的学校真实痛点，不属于指向特定供应商的排他性条款。</w:t>
      </w:r>
    </w:p>
    <w:p w14:paraId="33D0352A">
      <w:pPr>
        <w:keepNext w:val="0"/>
        <w:keepLines w:val="0"/>
        <w:pageBreakBefore w:val="0"/>
        <w:widowControl w:val="0"/>
        <w:kinsoku/>
        <w:wordWrap/>
        <w:overflowPunct/>
        <w:topLinePunct w:val="0"/>
        <w:autoSpaceDE/>
        <w:autoSpaceDN/>
        <w:bidi w:val="0"/>
        <w:adjustRightInd/>
        <w:snapToGrid/>
        <w:spacing w:before="180" w:after="100" w:line="360" w:lineRule="auto"/>
        <w:ind w:firstLine="482"/>
        <w:jc w:val="left"/>
        <w:textAlignment w:val="auto"/>
        <w:outlineLvl w:val="0"/>
        <w:rPr>
          <w:rFonts w:hint="default" w:ascii="黑体" w:hAnsi="黑体" w:eastAsia="黑体" w:cs="黑体"/>
          <w:b/>
          <w:bCs/>
          <w:sz w:val="28"/>
          <w:szCs w:val="28"/>
          <w:lang w:val="en-US" w:eastAsia="zh-CN"/>
        </w:rPr>
      </w:pPr>
      <w:r>
        <w:rPr>
          <w:rFonts w:hint="eastAsia" w:ascii="黑体" w:hAnsi="黑体" w:eastAsia="黑体" w:cs="黑体"/>
          <w:b/>
          <w:bCs/>
          <w:sz w:val="28"/>
          <w:szCs w:val="28"/>
          <w:lang w:val="en-US" w:eastAsia="zh-CN"/>
        </w:rPr>
        <w:t>二、处理情况</w:t>
      </w:r>
    </w:p>
    <w:p w14:paraId="309440A4">
      <w:pPr>
        <w:spacing w:before="0" w:after="60" w:line="360" w:lineRule="auto"/>
        <w:ind w:firstLine="480"/>
        <w:jc w:val="both"/>
        <w:rPr>
          <w:rFonts w:hint="eastAsia" w:cs="仿宋"/>
          <w:b w:val="0"/>
          <w:bCs w:val="0"/>
          <w:sz w:val="24"/>
          <w:szCs w:val="24"/>
          <w:lang w:val="en-US" w:eastAsia="zh-CN"/>
        </w:rPr>
      </w:pPr>
      <w:r>
        <w:rPr>
          <w:rFonts w:hint="eastAsia" w:cs="仿宋"/>
          <w:b w:val="0"/>
          <w:bCs w:val="0"/>
          <w:sz w:val="24"/>
          <w:szCs w:val="24"/>
          <w:lang w:val="en-US" w:eastAsia="zh-CN"/>
        </w:rPr>
        <w:t>综上，贵公司提出全部五项质疑事项均缺乏客观事实依据，质疑事项全部不成立。同时，采购人本着审慎原则，已对采购文件中Type-C接口部分参数表述作出优化调整，并依法顺延了投标截止时间（开标时间）。</w:t>
      </w:r>
      <w:r>
        <w:rPr>
          <w:rFonts w:hint="eastAsia" w:cs="仿宋"/>
          <w:b w:val="0"/>
          <w:bCs w:val="0"/>
          <w:color w:val="000000" w:themeColor="text1"/>
          <w:sz w:val="24"/>
          <w:szCs w:val="24"/>
          <w:lang w:val="en-US" w:eastAsia="zh-CN"/>
          <w14:textFill>
            <w14:solidFill>
              <w14:schemeClr w14:val="tx1"/>
            </w14:solidFill>
          </w14:textFill>
        </w:rPr>
        <w:t>根据《政府采购质疑和投诉办法》（财政部令第94号）第十六条“采购人、采购代理机构认为供应商质疑不成立，或者成立但未对中标、成交结果构成影响的，继续开展采购活动”的规定，该项目将继续开展采购活动。</w:t>
      </w:r>
    </w:p>
    <w:p w14:paraId="17A7CDED">
      <w:pPr>
        <w:spacing w:before="0" w:after="60" w:line="360" w:lineRule="auto"/>
        <w:ind w:firstLine="480"/>
        <w:jc w:val="both"/>
        <w:rPr>
          <w:rFonts w:hint="eastAsia" w:cs="仿宋"/>
          <w:b w:val="0"/>
          <w:bCs w:val="0"/>
          <w:sz w:val="24"/>
          <w:szCs w:val="24"/>
          <w:lang w:val="en-US" w:eastAsia="zh-CN"/>
        </w:rPr>
      </w:pPr>
      <w:r>
        <w:rPr>
          <w:rFonts w:hint="eastAsia" w:cs="仿宋"/>
          <w:b w:val="0"/>
          <w:bCs w:val="0"/>
          <w:sz w:val="24"/>
          <w:szCs w:val="24"/>
          <w:lang w:val="en-US" w:eastAsia="zh-CN"/>
        </w:rPr>
        <w:t>本项目采购需求编制前开展市场调研，全部技术参数立足于南宁市江南区中小学真实教学业务需求，只规定功能性能实现效果，不限制品牌、软件来源、硬件结构实现路径，允许投标人采用原厂软件或对接合规第三方AI、教学软件实现需求。</w:t>
      </w:r>
    </w:p>
    <w:p w14:paraId="199C3771">
      <w:pPr>
        <w:spacing w:before="0" w:after="60" w:line="360" w:lineRule="auto"/>
        <w:ind w:firstLine="480"/>
        <w:jc w:val="both"/>
        <w:rPr>
          <w:rFonts w:hint="eastAsia" w:cs="仿宋"/>
          <w:b w:val="0"/>
          <w:bCs w:val="0"/>
          <w:sz w:val="24"/>
          <w:szCs w:val="24"/>
          <w:lang w:val="en-US" w:eastAsia="zh-CN"/>
        </w:rPr>
      </w:pPr>
      <w:r>
        <w:rPr>
          <w:rFonts w:hint="eastAsia" w:cs="仿宋"/>
          <w:b w:val="0"/>
          <w:bCs w:val="0"/>
          <w:sz w:val="24"/>
          <w:szCs w:val="24"/>
          <w:lang w:val="en-US" w:eastAsia="zh-CN"/>
        </w:rPr>
        <w:t>质疑人提交的官网比对证据，仅证明某一品牌具备相关功能，但不能证明市场上没有其他产品可以响应；质疑人多处判断为主观推定，未能提交多品牌实测对比报告、权威市场调研等客观证据，不足以证实本项目采购文件存在量身定制、指向特定供应商的情形。</w:t>
      </w:r>
    </w:p>
    <w:p w14:paraId="28DBA428">
      <w:pPr>
        <w:spacing w:before="0" w:after="60" w:line="360" w:lineRule="auto"/>
        <w:ind w:firstLine="480"/>
        <w:jc w:val="both"/>
        <w:rPr>
          <w:rFonts w:hint="eastAsia" w:cs="仿宋"/>
          <w:b w:val="0"/>
          <w:bCs w:val="0"/>
          <w:sz w:val="24"/>
          <w:szCs w:val="24"/>
          <w:lang w:val="en-US" w:eastAsia="zh-CN"/>
        </w:rPr>
      </w:pPr>
      <w:r>
        <w:rPr>
          <w:rFonts w:hint="eastAsia" w:cs="仿宋"/>
          <w:b w:val="0"/>
          <w:bCs w:val="0"/>
          <w:sz w:val="24"/>
          <w:szCs w:val="24"/>
          <w:lang w:val="en-US" w:eastAsia="zh-CN"/>
        </w:rPr>
        <w:t>本项目所有佐证材料、验收条款、评分加分规则，均设置多路径响应方式，目的为降低供应商参与门槛，平等适用于全部潜在投标人，不存在变相排斥、威慑其他供应商的闭环条件。</w:t>
      </w:r>
    </w:p>
    <w:p w14:paraId="0C801CAF">
      <w:pPr>
        <w:spacing w:before="0" w:after="60" w:line="360" w:lineRule="auto"/>
        <w:ind w:firstLine="480"/>
        <w:jc w:val="both"/>
        <w:rPr>
          <w:rFonts w:hint="eastAsia" w:cs="仿宋"/>
          <w:b w:val="0"/>
          <w:bCs w:val="0"/>
          <w:sz w:val="24"/>
          <w:szCs w:val="24"/>
          <w:lang w:val="en-US" w:eastAsia="zh-CN"/>
        </w:rPr>
      </w:pPr>
      <w:r>
        <w:rPr>
          <w:rFonts w:hint="eastAsia" w:cs="仿宋"/>
          <w:b w:val="0"/>
          <w:bCs w:val="0"/>
          <w:sz w:val="24"/>
          <w:szCs w:val="24"/>
          <w:lang w:val="en-US" w:eastAsia="zh-CN"/>
        </w:rPr>
        <w:t>根据《中华人民共和国政府采购法》第五十五条之规定，如质疑人对本质疑答复不满意，可以在答复期满后十五个工作日内向采购主管部门投诉。感谢质疑人对政府采购工作的关心和支持！</w:t>
      </w:r>
    </w:p>
    <w:p w14:paraId="6B1287A3">
      <w:pPr>
        <w:spacing w:before="0" w:after="60" w:line="360" w:lineRule="auto"/>
        <w:jc w:val="both"/>
      </w:pPr>
    </w:p>
    <w:p w14:paraId="5C0DFA7C">
      <w:pPr>
        <w:spacing w:before="0" w:after="60" w:line="360" w:lineRule="auto"/>
        <w:jc w:val="right"/>
      </w:pPr>
      <w:r>
        <w:rPr>
          <w:rFonts w:hint="eastAsia" w:ascii="仿宋" w:hAnsi="仿宋" w:eastAsia="仿宋" w:cs="仿宋"/>
          <w:b w:val="0"/>
          <w:bCs w:val="0"/>
          <w:sz w:val="24"/>
          <w:szCs w:val="24"/>
        </w:rPr>
        <w:t>采购人：南宁市江南区教育局</w:t>
      </w:r>
    </w:p>
    <w:p w14:paraId="3B87ED1A">
      <w:pPr>
        <w:spacing w:before="0" w:after="60" w:line="360" w:lineRule="auto"/>
        <w:jc w:val="right"/>
      </w:pPr>
      <w:r>
        <w:rPr>
          <w:rFonts w:hint="eastAsia" w:ascii="仿宋" w:hAnsi="仿宋" w:eastAsia="仿宋" w:cs="仿宋"/>
          <w:b w:val="0"/>
          <w:bCs w:val="0"/>
          <w:sz w:val="24"/>
          <w:szCs w:val="24"/>
        </w:rPr>
        <w:t xml:space="preserve">2026年 </w:t>
      </w:r>
      <w:r>
        <w:rPr>
          <w:rFonts w:hint="eastAsia" w:cs="仿宋"/>
          <w:b w:val="0"/>
          <w:bCs w:val="0"/>
          <w:sz w:val="24"/>
          <w:szCs w:val="24"/>
          <w:lang w:val="en-US" w:eastAsia="zh-CN"/>
        </w:rPr>
        <w:t>8</w:t>
      </w:r>
      <w:r>
        <w:rPr>
          <w:rFonts w:hint="eastAsia" w:ascii="仿宋" w:hAnsi="仿宋" w:eastAsia="仿宋" w:cs="仿宋"/>
          <w:b w:val="0"/>
          <w:bCs w:val="0"/>
          <w:sz w:val="24"/>
          <w:szCs w:val="24"/>
        </w:rPr>
        <w:t xml:space="preserve"> 月 </w:t>
      </w:r>
      <w:r>
        <w:rPr>
          <w:rFonts w:hint="eastAsia" w:cs="仿宋"/>
          <w:b w:val="0"/>
          <w:bCs w:val="0"/>
          <w:sz w:val="24"/>
          <w:szCs w:val="24"/>
          <w:lang w:val="en-US" w:eastAsia="zh-CN"/>
        </w:rPr>
        <w:t>27</w:t>
      </w:r>
      <w:r>
        <w:rPr>
          <w:rFonts w:hint="eastAsia" w:ascii="仿宋" w:hAnsi="仿宋" w:eastAsia="仿宋" w:cs="仿宋"/>
          <w:b w:val="0"/>
          <w:bCs w:val="0"/>
          <w:sz w:val="24"/>
          <w:szCs w:val="24"/>
        </w:rPr>
        <w:t xml:space="preserve"> 日</w:t>
      </w:r>
    </w:p>
    <w:bookmarkEnd w:id="0"/>
    <w:sectPr>
      <w:headerReference r:id="rId3" w:type="default"/>
      <w:footerReference r:id="rId4" w:type="default"/>
      <w:pgSz w:w="12240" w:h="15840"/>
      <w:pgMar w:top="1440" w:right="1440" w:bottom="1440" w:left="1440"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05595E">
    <w:pPr>
      <w:jc w:val="center"/>
    </w:pPr>
    <w:r>
      <w:rPr>
        <w:rFonts w:ascii="仿宋" w:hAnsi="仿宋" w:eastAsia="仿宋" w:cs="仿宋"/>
        <w:sz w:val="20"/>
        <w:szCs w:val="20"/>
      </w:rPr>
      <w:t xml:space="preserve">— </w:t>
    </w:r>
    <w:r>
      <w:rPr>
        <w:rFonts w:ascii="仿宋" w:hAnsi="仿宋" w:eastAsia="仿宋" w:cs="仿宋"/>
        <w:sz w:val="20"/>
        <w:szCs w:val="20"/>
      </w:rPr>
      <w:fldChar w:fldCharType="begin"/>
    </w:r>
    <w:r>
      <w:rPr>
        <w:rFonts w:ascii="仿宋" w:hAnsi="仿宋" w:eastAsia="仿宋" w:cs="仿宋"/>
        <w:sz w:val="20"/>
        <w:szCs w:val="20"/>
      </w:rPr>
      <w:instrText xml:space="preserve">PAGE</w:instrText>
    </w:r>
    <w:r>
      <w:rPr>
        <w:rFonts w:ascii="仿宋" w:hAnsi="仿宋" w:eastAsia="仿宋" w:cs="仿宋"/>
        <w:sz w:val="20"/>
        <w:szCs w:val="20"/>
      </w:rPr>
      <w:fldChar w:fldCharType="separate"/>
    </w:r>
    <w:r>
      <w:rPr>
        <w:rFonts w:ascii="仿宋" w:hAnsi="仿宋" w:eastAsia="仿宋" w:cs="仿宋"/>
        <w:sz w:val="20"/>
        <w:szCs w:val="20"/>
      </w:rPr>
      <w:fldChar w:fldCharType="end"/>
    </w:r>
    <w:r>
      <w:rPr>
        <w:rFonts w:ascii="仿宋" w:hAnsi="仿宋" w:eastAsia="仿宋" w:cs="仿宋"/>
        <w:sz w:val="20"/>
        <w:szCs w:val="20"/>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88F847">
    <w:pP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0"/>
  <w:bordersDoNotSurroundFooter w:val="0"/>
  <w:documentProtection w:enforcement="0"/>
  <w:displayHorizontalDrawingGridEvery w:val="1"/>
  <w:displayVerticalDrawingGridEvery w:val="1"/>
  <w:noPunctuationKerning w:val="1"/>
  <w:compat>
    <w:doNotExpandShiftReturn/>
    <w:doNotWrapTextWithPunct/>
    <w:doNotUseEastAsianBreakRules/>
    <w:useFELayout/>
    <w:compatSetting w:name="compatibilityMode" w:uri="http://schemas.microsoft.com/office/word" w:val="15"/>
  </w:compat>
  <w:rsids>
    <w:rsidRoot w:val="00000000"/>
    <w:rsid w:val="00C43BF6"/>
    <w:rsid w:val="03F706F6"/>
    <w:rsid w:val="0C243BA7"/>
    <w:rsid w:val="0C9660C5"/>
    <w:rsid w:val="0DA37F6E"/>
    <w:rsid w:val="1B163B9A"/>
    <w:rsid w:val="20DE1A96"/>
    <w:rsid w:val="259F3E4E"/>
    <w:rsid w:val="270E3EB8"/>
    <w:rsid w:val="2AA32012"/>
    <w:rsid w:val="31BC0D88"/>
    <w:rsid w:val="3389377D"/>
    <w:rsid w:val="371C7BED"/>
    <w:rsid w:val="424E523C"/>
    <w:rsid w:val="44BB245E"/>
    <w:rsid w:val="46487F0F"/>
    <w:rsid w:val="46F76F87"/>
    <w:rsid w:val="479535DF"/>
    <w:rsid w:val="480945AA"/>
    <w:rsid w:val="4A2B6498"/>
    <w:rsid w:val="5729188C"/>
    <w:rsid w:val="5BD05DCD"/>
    <w:rsid w:val="5F1964F6"/>
    <w:rsid w:val="6DD67C56"/>
    <w:rsid w:val="6FCA21E6"/>
    <w:rsid w:val="73F02BAB"/>
    <w:rsid w:val="78EC124F"/>
    <w:rsid w:val="7E7C589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iPriority="99" w:name="endnote reference"/>
    <w:lsdException w:qFormat="1" w:uiPriority="99"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 w:hAnsi="仿宋" w:eastAsia="仿宋" w:cs="仿宋"/>
      <w:sz w:val="24"/>
      <w:szCs w:val="24"/>
    </w:rPr>
  </w:style>
  <w:style w:type="paragraph" w:styleId="2">
    <w:name w:val="heading 1"/>
    <w:next w:val="1"/>
    <w:qFormat/>
    <w:uiPriority w:val="0"/>
    <w:rPr>
      <w:rFonts w:ascii="仿宋" w:hAnsi="仿宋" w:eastAsia="仿宋" w:cs="仿宋"/>
      <w:color w:val="2E74B5"/>
      <w:sz w:val="32"/>
      <w:szCs w:val="32"/>
    </w:rPr>
  </w:style>
  <w:style w:type="paragraph" w:styleId="3">
    <w:name w:val="heading 2"/>
    <w:next w:val="1"/>
    <w:qFormat/>
    <w:uiPriority w:val="0"/>
    <w:rPr>
      <w:rFonts w:ascii="仿宋" w:hAnsi="仿宋" w:eastAsia="仿宋" w:cs="仿宋"/>
      <w:color w:val="2E74B5"/>
      <w:sz w:val="26"/>
      <w:szCs w:val="26"/>
    </w:rPr>
  </w:style>
  <w:style w:type="paragraph" w:styleId="4">
    <w:name w:val="heading 3"/>
    <w:next w:val="1"/>
    <w:qFormat/>
    <w:uiPriority w:val="0"/>
    <w:rPr>
      <w:rFonts w:ascii="仿宋" w:hAnsi="仿宋" w:eastAsia="仿宋" w:cs="仿宋"/>
      <w:color w:val="1F4D78"/>
      <w:sz w:val="24"/>
      <w:szCs w:val="24"/>
    </w:rPr>
  </w:style>
  <w:style w:type="paragraph" w:styleId="5">
    <w:name w:val="heading 4"/>
    <w:next w:val="1"/>
    <w:qFormat/>
    <w:uiPriority w:val="0"/>
    <w:rPr>
      <w:rFonts w:ascii="仿宋" w:hAnsi="仿宋" w:eastAsia="仿宋" w:cs="仿宋"/>
      <w:i/>
      <w:iCs/>
      <w:color w:val="2E74B5"/>
      <w:sz w:val="24"/>
      <w:szCs w:val="24"/>
    </w:rPr>
  </w:style>
  <w:style w:type="paragraph" w:styleId="6">
    <w:name w:val="heading 5"/>
    <w:next w:val="1"/>
    <w:qFormat/>
    <w:uiPriority w:val="0"/>
    <w:rPr>
      <w:rFonts w:ascii="仿宋" w:hAnsi="仿宋" w:eastAsia="仿宋" w:cs="仿宋"/>
      <w:color w:val="2E74B5"/>
      <w:sz w:val="24"/>
      <w:szCs w:val="24"/>
    </w:rPr>
  </w:style>
  <w:style w:type="paragraph" w:styleId="7">
    <w:name w:val="heading 6"/>
    <w:next w:val="1"/>
    <w:qFormat/>
    <w:uiPriority w:val="0"/>
    <w:rPr>
      <w:rFonts w:ascii="仿宋" w:hAnsi="仿宋" w:eastAsia="仿宋" w:cs="仿宋"/>
      <w:color w:val="1F4D78"/>
      <w:sz w:val="24"/>
      <w:szCs w:val="24"/>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8">
    <w:name w:val="annotation text"/>
    <w:basedOn w:val="1"/>
    <w:qFormat/>
    <w:uiPriority w:val="0"/>
    <w:pPr>
      <w:jc w:val="left"/>
    </w:pPr>
  </w:style>
  <w:style w:type="paragraph" w:styleId="9">
    <w:name w:val="endnote text"/>
    <w:link w:val="17"/>
    <w:semiHidden/>
    <w:unhideWhenUsed/>
    <w:qFormat/>
    <w:uiPriority w:val="99"/>
    <w:pPr>
      <w:spacing w:after="0" w:line="240" w:lineRule="auto"/>
    </w:pPr>
    <w:rPr>
      <w:rFonts w:ascii="仿宋" w:hAnsi="仿宋" w:eastAsia="仿宋" w:cs="仿宋"/>
      <w:sz w:val="20"/>
      <w:szCs w:val="20"/>
    </w:rPr>
  </w:style>
  <w:style w:type="paragraph" w:styleId="10">
    <w:name w:val="footnote text"/>
    <w:link w:val="19"/>
    <w:semiHidden/>
    <w:unhideWhenUsed/>
    <w:qFormat/>
    <w:uiPriority w:val="99"/>
    <w:pPr>
      <w:spacing w:after="0" w:line="240" w:lineRule="auto"/>
    </w:pPr>
    <w:rPr>
      <w:rFonts w:ascii="仿宋" w:hAnsi="仿宋" w:eastAsia="仿宋" w:cs="仿宋"/>
      <w:sz w:val="20"/>
      <w:szCs w:val="20"/>
    </w:rPr>
  </w:style>
  <w:style w:type="paragraph" w:styleId="11">
    <w:name w:val="Title"/>
    <w:qFormat/>
    <w:uiPriority w:val="0"/>
    <w:rPr>
      <w:rFonts w:ascii="仿宋" w:hAnsi="仿宋" w:eastAsia="仿宋" w:cs="仿宋"/>
      <w:sz w:val="56"/>
      <w:szCs w:val="56"/>
    </w:rPr>
  </w:style>
  <w:style w:type="character" w:styleId="14">
    <w:name w:val="endnote reference"/>
    <w:semiHidden/>
    <w:unhideWhenUsed/>
    <w:qFormat/>
    <w:uiPriority w:val="99"/>
    <w:rPr>
      <w:vertAlign w:val="superscript"/>
    </w:rPr>
  </w:style>
  <w:style w:type="character" w:styleId="15">
    <w:name w:val="Hyperlink"/>
    <w:unhideWhenUsed/>
    <w:qFormat/>
    <w:uiPriority w:val="99"/>
    <w:rPr>
      <w:color w:val="0563C1"/>
      <w:u w:val="single"/>
    </w:rPr>
  </w:style>
  <w:style w:type="character" w:styleId="16">
    <w:name w:val="footnote reference"/>
    <w:semiHidden/>
    <w:unhideWhenUsed/>
    <w:qFormat/>
    <w:uiPriority w:val="99"/>
    <w:rPr>
      <w:vertAlign w:val="superscript"/>
    </w:rPr>
  </w:style>
  <w:style w:type="character" w:customStyle="1" w:styleId="17">
    <w:name w:val="Endnote Text Char"/>
    <w:link w:val="9"/>
    <w:semiHidden/>
    <w:unhideWhenUsed/>
    <w:qFormat/>
    <w:uiPriority w:val="99"/>
    <w:rPr>
      <w:sz w:val="20"/>
      <w:szCs w:val="20"/>
    </w:rPr>
  </w:style>
  <w:style w:type="paragraph" w:styleId="18">
    <w:name w:val="List Paragraph"/>
    <w:qFormat/>
    <w:uiPriority w:val="0"/>
    <w:rPr>
      <w:rFonts w:ascii="仿宋" w:hAnsi="仿宋" w:eastAsia="仿宋" w:cs="仿宋"/>
      <w:sz w:val="24"/>
      <w:szCs w:val="24"/>
    </w:rPr>
  </w:style>
  <w:style w:type="character" w:customStyle="1" w:styleId="19">
    <w:name w:val="Footnote Text Char"/>
    <w:link w:val="10"/>
    <w:semiHidden/>
    <w:unhideWhenUsed/>
    <w:qFormat/>
    <w:uiPriority w:val="99"/>
    <w:rPr>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8</Pages>
  <Words>6087</Words>
  <Characters>6231</Characters>
  <TotalTime>1</TotalTime>
  <ScaleCrop>false</ScaleCrop>
  <LinksUpToDate>false</LinksUpToDate>
  <CharactersWithSpaces>6304</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2026-07-27T23:36:00Z</dcterms:created>
  <dc:creator>admin</dc:creator>
  <cp:lastModifiedBy>嫣</cp:lastModifiedBy>
  <dcterms:modified xsi:type="dcterms:W3CDTF">2026-08-27T11:12:11Z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WMf9901bd089d011f180004ba600004aa6">
    <vt:lpwstr>CWMjyS/XlBFi1cB6pztydkYkqpxuK8jojh9D4huD1IDE3eLIsozP+xUYnzMLj6SWuUUWHj/jbcH2xv6LbYiZmUg5A==</vt:lpwstr>
  </property>
  <property fmtid="{D5CDD505-2E9C-101B-9397-08002B2CF9AE}" pid="3" name="KSOProductBuildVer">
    <vt:lpwstr>2052-12.1.0.28043</vt:lpwstr>
  </property>
  <property fmtid="{D5CDD505-2E9C-101B-9397-08002B2CF9AE}" pid="4" name="ICV">
    <vt:lpwstr>4D2387B23F0548AE99937417ABD10BE9</vt:lpwstr>
  </property>
  <property fmtid="{D5CDD505-2E9C-101B-9397-08002B2CF9AE}" pid="5" name="CWM572800509ce111f180000d6200000c62">
    <vt:lpwstr>CWMRHj8hYspG7CWrt3LmqbB8h8egqnxBHhnMecmxAqf9X70SWmfj3R1ZGtSHryAUXKQKZNIzoY1xG/pWl8z0U/GJA==</vt:lpwstr>
  </property>
  <property fmtid="{D5CDD505-2E9C-101B-9397-08002B2CF9AE}" pid="6" name="CWMfd25b130a1e311f180001db100001cb1">
    <vt:lpwstr>CWMMSqSYOpFIUW3vg9JXzwiXZVfAINdm1/oiWFm8Q6YrmnOxFV+l8DWzXFSTgfXIUxKgEpBkWRXRUnOdSa+cfMM5A==</vt:lpwstr>
  </property>
  <property fmtid="{D5CDD505-2E9C-101B-9397-08002B2CF9AE}" pid="7" name="CWM9f83dab0a1e411f180001db100001cb1">
    <vt:lpwstr>CWMpo9tKXKC8PJwlRAOmwcBsaPiywlrj1nM4nfnzd/yC1zyyU9JkXLp7gA3Zud+uXA6OrZUlKHTI8QFtyqhupcxpA==</vt:lpwstr>
  </property>
  <property fmtid="{D5CDD505-2E9C-101B-9397-08002B2CF9AE}" pid="8" name="KSOTemplateDocerSaveRecord">
    <vt:lpwstr>eyJoZGlkIjoiYmMzY2Q1MGVkMWRkYjJhNDJlZDQ4MDkyYWZiNDQ3MzgiLCJ1c2VySWQiOiI5MDk3NzQxNzEifQ==</vt:lpwstr>
  </property>
</Properties>
</file>