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4D08B69">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rPr>
        <w:t>隆安县雁江镇人民政府2026年</w:t>
      </w:r>
      <w:r>
        <w:rPr>
          <w:rFonts w:hint="eastAsia" w:ascii="方正小标宋简体" w:hAnsi="方正小标宋简体" w:eastAsia="方正小标宋简体" w:cs="方正小标宋简体"/>
          <w:sz w:val="44"/>
          <w:szCs w:val="44"/>
          <w:lang w:val="en-US" w:eastAsia="zh-CN"/>
        </w:rPr>
        <w:t>7</w:t>
      </w:r>
      <w:r>
        <w:rPr>
          <w:rFonts w:hint="eastAsia" w:ascii="方正小标宋简体" w:hAnsi="方正小标宋简体" w:eastAsia="方正小标宋简体" w:cs="方正小标宋简体"/>
          <w:sz w:val="44"/>
          <w:szCs w:val="44"/>
        </w:rPr>
        <w:t>月至</w:t>
      </w:r>
      <w:r>
        <w:rPr>
          <w:rFonts w:hint="eastAsia" w:ascii="方正小标宋简体" w:hAnsi="方正小标宋简体" w:eastAsia="方正小标宋简体" w:cs="方正小标宋简体"/>
          <w:sz w:val="44"/>
          <w:szCs w:val="44"/>
          <w:lang w:val="en-US" w:eastAsia="zh-CN"/>
        </w:rPr>
        <w:t>8</w:t>
      </w:r>
      <w:r>
        <w:rPr>
          <w:rFonts w:hint="eastAsia" w:ascii="方正小标宋简体" w:hAnsi="方正小标宋简体" w:eastAsia="方正小标宋简体" w:cs="方正小标宋简体"/>
          <w:sz w:val="44"/>
          <w:szCs w:val="44"/>
        </w:rPr>
        <w:t>月</w:t>
      </w:r>
      <w:r>
        <w:rPr>
          <w:rFonts w:hint="eastAsia" w:ascii="方正小标宋简体" w:hAnsi="方正小标宋简体" w:eastAsia="方正小标宋简体" w:cs="方正小标宋简体"/>
          <w:sz w:val="44"/>
          <w:szCs w:val="44"/>
          <w:lang w:eastAsia="zh-CN"/>
        </w:rPr>
        <w:t>衔接资金项目</w:t>
      </w:r>
      <w:r>
        <w:rPr>
          <w:rFonts w:hint="eastAsia" w:ascii="方正小标宋简体" w:hAnsi="方正小标宋简体" w:eastAsia="方正小标宋简体" w:cs="方正小标宋简体"/>
          <w:sz w:val="44"/>
          <w:szCs w:val="44"/>
        </w:rPr>
        <w:t>采购意向</w:t>
      </w:r>
      <w:r>
        <w:rPr>
          <w:rFonts w:hint="eastAsia" w:ascii="方正小标宋简体" w:hAnsi="方正小标宋简体" w:eastAsia="方正小标宋简体" w:cs="方正小标宋简体"/>
          <w:sz w:val="44"/>
          <w:szCs w:val="44"/>
          <w:lang w:eastAsia="zh-CN"/>
        </w:rPr>
        <w:t>公开</w:t>
      </w:r>
    </w:p>
    <w:p w14:paraId="4276F69E">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p>
    <w:p w14:paraId="0931FA89">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为便于供应商及时了解政府采购信息，根据《财政部关于开展政府采购意向公开工作的通知》(财</w:t>
      </w:r>
      <w:r>
        <w:rPr>
          <w:rFonts w:hint="default" w:ascii="Times New Roman" w:hAnsi="Times New Roman" w:eastAsia="仿宋_GB2312" w:cs="Times New Roman"/>
          <w:sz w:val="32"/>
          <w:szCs w:val="32"/>
        </w:rPr>
        <w:t>库〔2020〕10号)和《广西壮族自治区财政厅关于进一步规范政府采购意向公开工作的通知》(桂财采〔2022〕84号)等有关规定，现将隆安县雁江镇人民政府2026年</w:t>
      </w:r>
      <w:r>
        <w:rPr>
          <w:rFonts w:hint="eastAsia" w:ascii="Times New Roman" w:hAnsi="Times New Roman" w:eastAsia="仿宋_GB2312" w:cs="Times New Roman"/>
          <w:sz w:val="32"/>
          <w:szCs w:val="32"/>
          <w:lang w:val="en-US" w:eastAsia="zh-CN"/>
        </w:rPr>
        <w:t>7</w:t>
      </w:r>
      <w:r>
        <w:rPr>
          <w:rFonts w:hint="default" w:ascii="Times New Roman" w:hAnsi="Times New Roman" w:eastAsia="仿宋_GB2312" w:cs="Times New Roman"/>
          <w:sz w:val="32"/>
          <w:szCs w:val="32"/>
        </w:rPr>
        <w:t>月至</w:t>
      </w:r>
      <w:r>
        <w:rPr>
          <w:rFonts w:hint="eastAsia" w:ascii="Times New Roman" w:hAnsi="Times New Roman" w:eastAsia="仿宋_GB2312" w:cs="Times New Roman"/>
          <w:sz w:val="32"/>
          <w:szCs w:val="32"/>
          <w:lang w:val="en-US" w:eastAsia="zh-CN"/>
        </w:rPr>
        <w:t>8</w:t>
      </w:r>
      <w:r>
        <w:rPr>
          <w:rFonts w:hint="default" w:ascii="Times New Roman" w:hAnsi="Times New Roman" w:eastAsia="仿宋_GB2312" w:cs="Times New Roman"/>
          <w:sz w:val="32"/>
          <w:szCs w:val="32"/>
        </w:rPr>
        <w:t>月采</w:t>
      </w:r>
      <w:r>
        <w:rPr>
          <w:rFonts w:hint="eastAsia" w:ascii="仿宋_GB2312" w:hAnsi="仿宋_GB2312" w:eastAsia="仿宋_GB2312" w:cs="仿宋_GB2312"/>
          <w:sz w:val="32"/>
          <w:szCs w:val="32"/>
        </w:rPr>
        <w:t>购意向公开如下:</w:t>
      </w:r>
    </w:p>
    <w:tbl>
      <w:tblPr>
        <w:tblStyle w:val="3"/>
        <w:tblW w:w="96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6"/>
        <w:gridCol w:w="1392"/>
        <w:gridCol w:w="3720"/>
        <w:gridCol w:w="1185"/>
        <w:gridCol w:w="1155"/>
        <w:gridCol w:w="1005"/>
        <w:gridCol w:w="705"/>
      </w:tblGrid>
      <w:tr w14:paraId="0A2B2E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6" w:type="dxa"/>
          </w:tcPr>
          <w:p w14:paraId="0A10FC1B">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bCs/>
                <w:sz w:val="24"/>
                <w:szCs w:val="24"/>
                <w:vertAlign w:val="baseline"/>
                <w:lang w:eastAsia="zh-CN"/>
              </w:rPr>
            </w:pPr>
            <w:r>
              <w:rPr>
                <w:rFonts w:hint="eastAsia" w:ascii="宋体" w:hAnsi="宋体" w:eastAsia="宋体" w:cs="宋体"/>
                <w:b/>
                <w:bCs/>
                <w:sz w:val="24"/>
                <w:szCs w:val="24"/>
                <w:vertAlign w:val="baseline"/>
                <w:lang w:eastAsia="zh-CN"/>
              </w:rPr>
              <w:t>序号</w:t>
            </w:r>
          </w:p>
        </w:tc>
        <w:tc>
          <w:tcPr>
            <w:tcW w:w="1392" w:type="dxa"/>
          </w:tcPr>
          <w:p w14:paraId="76DDCB03">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bCs/>
                <w:sz w:val="24"/>
                <w:szCs w:val="24"/>
                <w:vertAlign w:val="baseline"/>
                <w:lang w:eastAsia="zh-CN"/>
              </w:rPr>
            </w:pPr>
            <w:r>
              <w:rPr>
                <w:rFonts w:hint="eastAsia" w:ascii="宋体" w:hAnsi="宋体" w:eastAsia="宋体" w:cs="宋体"/>
                <w:b/>
                <w:bCs/>
                <w:sz w:val="24"/>
                <w:szCs w:val="24"/>
                <w:vertAlign w:val="baseline"/>
                <w:lang w:eastAsia="zh-CN"/>
              </w:rPr>
              <w:t>采购项目名称</w:t>
            </w:r>
          </w:p>
        </w:tc>
        <w:tc>
          <w:tcPr>
            <w:tcW w:w="3720" w:type="dxa"/>
          </w:tcPr>
          <w:p w14:paraId="63E521EB">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bCs/>
                <w:sz w:val="24"/>
                <w:szCs w:val="24"/>
                <w:vertAlign w:val="baseline"/>
                <w:lang w:eastAsia="zh-CN"/>
              </w:rPr>
            </w:pPr>
            <w:r>
              <w:rPr>
                <w:rFonts w:hint="eastAsia" w:ascii="宋体" w:hAnsi="宋体" w:eastAsia="宋体" w:cs="宋体"/>
                <w:b/>
                <w:bCs/>
                <w:sz w:val="24"/>
                <w:szCs w:val="24"/>
                <w:vertAlign w:val="baseline"/>
                <w:lang w:eastAsia="zh-CN"/>
              </w:rPr>
              <w:t>建设内容</w:t>
            </w:r>
          </w:p>
        </w:tc>
        <w:tc>
          <w:tcPr>
            <w:tcW w:w="1185" w:type="dxa"/>
          </w:tcPr>
          <w:p w14:paraId="1DE1E3BF">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bCs/>
                <w:sz w:val="24"/>
                <w:szCs w:val="24"/>
                <w:vertAlign w:val="baseline"/>
                <w:lang w:eastAsia="zh-CN"/>
              </w:rPr>
            </w:pPr>
            <w:r>
              <w:rPr>
                <w:rFonts w:hint="eastAsia" w:ascii="宋体" w:hAnsi="宋体" w:eastAsia="宋体" w:cs="宋体"/>
                <w:b/>
                <w:bCs/>
                <w:sz w:val="24"/>
                <w:szCs w:val="24"/>
                <w:vertAlign w:val="baseline"/>
                <w:lang w:eastAsia="zh-CN"/>
              </w:rPr>
              <w:t>预算金额（万元）</w:t>
            </w:r>
          </w:p>
        </w:tc>
        <w:tc>
          <w:tcPr>
            <w:tcW w:w="1155" w:type="dxa"/>
          </w:tcPr>
          <w:p w14:paraId="52102FE9">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bCs/>
                <w:sz w:val="24"/>
                <w:szCs w:val="24"/>
                <w:vertAlign w:val="baseline"/>
                <w:lang w:eastAsia="zh-CN"/>
              </w:rPr>
            </w:pPr>
            <w:r>
              <w:rPr>
                <w:rFonts w:hint="eastAsia" w:ascii="宋体" w:hAnsi="宋体" w:eastAsia="宋体" w:cs="宋体"/>
                <w:b/>
                <w:bCs/>
                <w:sz w:val="24"/>
                <w:szCs w:val="24"/>
                <w:vertAlign w:val="baseline"/>
                <w:lang w:eastAsia="zh-CN"/>
              </w:rPr>
              <w:t>预计采购时间（填写到月）</w:t>
            </w:r>
          </w:p>
        </w:tc>
        <w:tc>
          <w:tcPr>
            <w:tcW w:w="1005" w:type="dxa"/>
          </w:tcPr>
          <w:p w14:paraId="61929EEF">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bCs/>
                <w:sz w:val="24"/>
                <w:szCs w:val="24"/>
                <w:vertAlign w:val="baseline"/>
                <w:lang w:eastAsia="zh-CN"/>
              </w:rPr>
            </w:pPr>
            <w:r>
              <w:rPr>
                <w:rFonts w:hint="eastAsia" w:ascii="宋体" w:hAnsi="宋体" w:eastAsia="宋体" w:cs="宋体"/>
                <w:b/>
                <w:bCs/>
                <w:sz w:val="24"/>
                <w:szCs w:val="24"/>
                <w:vertAlign w:val="baseline"/>
                <w:lang w:val="en-US" w:eastAsia="zh-CN"/>
              </w:rPr>
              <w:t>落实政府采购政策功能情况</w:t>
            </w:r>
          </w:p>
        </w:tc>
        <w:tc>
          <w:tcPr>
            <w:tcW w:w="705" w:type="dxa"/>
          </w:tcPr>
          <w:p w14:paraId="59487446">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bCs/>
                <w:sz w:val="24"/>
                <w:szCs w:val="24"/>
                <w:vertAlign w:val="baseline"/>
                <w:lang w:eastAsia="zh-CN"/>
              </w:rPr>
            </w:pPr>
            <w:r>
              <w:rPr>
                <w:rFonts w:hint="eastAsia" w:ascii="宋体" w:hAnsi="宋体" w:eastAsia="宋体" w:cs="宋体"/>
                <w:b/>
                <w:bCs/>
                <w:sz w:val="24"/>
                <w:szCs w:val="24"/>
                <w:vertAlign w:val="baseline"/>
                <w:lang w:eastAsia="zh-CN"/>
              </w:rPr>
              <w:t>备注</w:t>
            </w:r>
          </w:p>
        </w:tc>
      </w:tr>
      <w:tr w14:paraId="2CB3F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3" w:hRule="atLeast"/>
          <w:jc w:val="center"/>
        </w:trPr>
        <w:tc>
          <w:tcPr>
            <w:tcW w:w="466" w:type="dxa"/>
          </w:tcPr>
          <w:p w14:paraId="033BB998">
            <w:pPr>
              <w:keepNext w:val="0"/>
              <w:keepLines w:val="0"/>
              <w:pageBreakBefore w:val="0"/>
              <w:widowControl w:val="0"/>
              <w:kinsoku/>
              <w:wordWrap/>
              <w:overflowPunct/>
              <w:topLinePunct w:val="0"/>
              <w:autoSpaceDE/>
              <w:autoSpaceDN/>
              <w:bidi w:val="0"/>
              <w:adjustRightInd/>
              <w:snapToGrid/>
              <w:jc w:val="both"/>
              <w:textAlignment w:val="auto"/>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sz w:val="21"/>
                <w:szCs w:val="21"/>
                <w:vertAlign w:val="baseline"/>
                <w:lang w:val="en-US" w:eastAsia="zh-CN"/>
              </w:rPr>
              <w:t>1</w:t>
            </w:r>
          </w:p>
        </w:tc>
        <w:tc>
          <w:tcPr>
            <w:tcW w:w="1392" w:type="dxa"/>
          </w:tcPr>
          <w:p w14:paraId="072376DE">
            <w:pPr>
              <w:keepNext w:val="0"/>
              <w:keepLines w:val="0"/>
              <w:pageBreakBefore w:val="0"/>
              <w:widowControl w:val="0"/>
              <w:kinsoku/>
              <w:wordWrap/>
              <w:overflowPunct/>
              <w:topLinePunct w:val="0"/>
              <w:autoSpaceDE/>
              <w:autoSpaceDN/>
              <w:bidi w:val="0"/>
              <w:adjustRightInd/>
              <w:snapToGrid/>
              <w:jc w:val="both"/>
              <w:textAlignment w:val="auto"/>
              <w:rPr>
                <w:rFonts w:hint="default" w:ascii="Times New Roman" w:hAnsi="Times New Roman" w:eastAsia="宋体" w:cs="Times New Roman"/>
                <w:sz w:val="21"/>
                <w:szCs w:val="21"/>
                <w:vertAlign w:val="baseline"/>
              </w:rPr>
            </w:pPr>
            <w:r>
              <w:rPr>
                <w:rFonts w:hint="default" w:ascii="Times New Roman" w:hAnsi="Times New Roman" w:eastAsia="宋体" w:cs="Times New Roman"/>
                <w:sz w:val="21"/>
                <w:szCs w:val="21"/>
                <w:vertAlign w:val="baseline"/>
              </w:rPr>
              <w:t>隆安县雁江镇联隆村农田水利设施项目（忑寨屯、那棉屯）</w:t>
            </w:r>
          </w:p>
        </w:tc>
        <w:tc>
          <w:tcPr>
            <w:tcW w:w="3720" w:type="dxa"/>
          </w:tcPr>
          <w:p w14:paraId="17D018AE">
            <w:pPr>
              <w:keepNext w:val="0"/>
              <w:keepLines w:val="0"/>
              <w:pageBreakBefore w:val="0"/>
              <w:widowControl w:val="0"/>
              <w:kinsoku/>
              <w:wordWrap/>
              <w:overflowPunct/>
              <w:topLinePunct w:val="0"/>
              <w:autoSpaceDE/>
              <w:autoSpaceDN/>
              <w:bidi w:val="0"/>
              <w:adjustRightInd/>
              <w:snapToGrid/>
              <w:jc w:val="both"/>
              <w:textAlignment w:val="auto"/>
              <w:rPr>
                <w:rFonts w:hint="default" w:ascii="Times New Roman" w:hAnsi="Times New Roman" w:eastAsia="宋体" w:cs="Times New Roman"/>
                <w:sz w:val="21"/>
                <w:szCs w:val="21"/>
                <w:vertAlign w:val="baseline"/>
              </w:rPr>
            </w:pPr>
            <w:r>
              <w:rPr>
                <w:rFonts w:hint="default" w:ascii="Times New Roman" w:hAnsi="Times New Roman" w:eastAsia="宋体" w:cs="Times New Roman"/>
                <w:sz w:val="21"/>
                <w:szCs w:val="21"/>
                <w:vertAlign w:val="baseline"/>
              </w:rPr>
              <w:t>该项目起点为0+000，终点为0+669，为总长669米排灌渠道改建项目。本项目渠肩采用M7.5浆砌石结构，底板现浇C20砼，机械盖板3座，排灌缺口22个，渠道标志贴砖2块，项目标志碑1座。</w:t>
            </w:r>
          </w:p>
          <w:p w14:paraId="65EA45F5">
            <w:pPr>
              <w:keepNext w:val="0"/>
              <w:keepLines w:val="0"/>
              <w:pageBreakBefore w:val="0"/>
              <w:widowControl w:val="0"/>
              <w:kinsoku/>
              <w:wordWrap/>
              <w:overflowPunct/>
              <w:topLinePunct w:val="0"/>
              <w:autoSpaceDE/>
              <w:autoSpaceDN/>
              <w:bidi w:val="0"/>
              <w:adjustRightInd/>
              <w:snapToGrid/>
              <w:jc w:val="both"/>
              <w:textAlignment w:val="auto"/>
              <w:rPr>
                <w:rFonts w:hint="default" w:ascii="Times New Roman" w:hAnsi="Times New Roman" w:eastAsia="宋体" w:cs="Times New Roman"/>
                <w:sz w:val="21"/>
                <w:szCs w:val="21"/>
                <w:vertAlign w:val="baseline"/>
              </w:rPr>
            </w:pPr>
            <w:r>
              <w:rPr>
                <w:rFonts w:hint="default" w:ascii="Times New Roman" w:hAnsi="Times New Roman" w:eastAsia="宋体" w:cs="Times New Roman"/>
                <w:sz w:val="21"/>
                <w:szCs w:val="21"/>
                <w:vertAlign w:val="baseline"/>
              </w:rPr>
              <w:t>具体内容详见施工图纸及工程量清单。</w:t>
            </w:r>
          </w:p>
        </w:tc>
        <w:tc>
          <w:tcPr>
            <w:tcW w:w="1185" w:type="dxa"/>
          </w:tcPr>
          <w:p w14:paraId="552D71BE">
            <w:pPr>
              <w:keepNext w:val="0"/>
              <w:keepLines w:val="0"/>
              <w:pageBreakBefore w:val="0"/>
              <w:widowControl w:val="0"/>
              <w:kinsoku/>
              <w:wordWrap/>
              <w:overflowPunct/>
              <w:topLinePunct w:val="0"/>
              <w:autoSpaceDE/>
              <w:autoSpaceDN/>
              <w:bidi w:val="0"/>
              <w:adjustRightInd/>
              <w:snapToGrid/>
              <w:jc w:val="both"/>
              <w:textAlignment w:val="auto"/>
              <w:rPr>
                <w:rFonts w:hint="default" w:ascii="Times New Roman" w:hAnsi="Times New Roman" w:eastAsia="宋体" w:cs="Times New Roman"/>
                <w:sz w:val="21"/>
                <w:szCs w:val="21"/>
                <w:vertAlign w:val="baseline"/>
              </w:rPr>
            </w:pPr>
            <w:r>
              <w:rPr>
                <w:rFonts w:hint="default" w:ascii="Times New Roman" w:hAnsi="Times New Roman" w:eastAsia="宋体" w:cs="Times New Roman"/>
                <w:sz w:val="21"/>
                <w:szCs w:val="21"/>
                <w:vertAlign w:val="baseline"/>
              </w:rPr>
              <w:t>83.998123</w:t>
            </w:r>
          </w:p>
        </w:tc>
        <w:tc>
          <w:tcPr>
            <w:tcW w:w="1155" w:type="dxa"/>
          </w:tcPr>
          <w:p w14:paraId="1787E2B6">
            <w:pPr>
              <w:keepNext w:val="0"/>
              <w:keepLines w:val="0"/>
              <w:pageBreakBefore w:val="0"/>
              <w:widowControl w:val="0"/>
              <w:kinsoku/>
              <w:wordWrap/>
              <w:overflowPunct/>
              <w:topLinePunct w:val="0"/>
              <w:autoSpaceDE/>
              <w:autoSpaceDN/>
              <w:bidi w:val="0"/>
              <w:adjustRightInd/>
              <w:snapToGrid/>
              <w:jc w:val="both"/>
              <w:textAlignment w:val="auto"/>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sz w:val="21"/>
                <w:szCs w:val="21"/>
                <w:vertAlign w:val="baseline"/>
                <w:lang w:val="en-US" w:eastAsia="zh-CN"/>
              </w:rPr>
              <w:t>2026年7月-8月</w:t>
            </w:r>
          </w:p>
        </w:tc>
        <w:tc>
          <w:tcPr>
            <w:tcW w:w="1005" w:type="dxa"/>
          </w:tcPr>
          <w:p w14:paraId="4DFDCC25">
            <w:pPr>
              <w:keepNext w:val="0"/>
              <w:keepLines w:val="0"/>
              <w:pageBreakBefore w:val="0"/>
              <w:widowControl w:val="0"/>
              <w:kinsoku/>
              <w:wordWrap/>
              <w:overflowPunct/>
              <w:topLinePunct w:val="0"/>
              <w:autoSpaceDE/>
              <w:autoSpaceDN/>
              <w:bidi w:val="0"/>
              <w:adjustRightInd/>
              <w:snapToGrid/>
              <w:jc w:val="both"/>
              <w:textAlignment w:val="auto"/>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color w:val="000000"/>
                <w:kern w:val="0"/>
                <w:sz w:val="21"/>
                <w:szCs w:val="21"/>
                <w:lang w:val="en-US" w:eastAsia="zh-CN" w:bidi="ar"/>
              </w:rPr>
              <w:t>严格落实《政府采购促进中小企业发展管理办法》</w:t>
            </w:r>
          </w:p>
        </w:tc>
        <w:tc>
          <w:tcPr>
            <w:tcW w:w="705" w:type="dxa"/>
          </w:tcPr>
          <w:p w14:paraId="29311F61">
            <w:pPr>
              <w:keepNext w:val="0"/>
              <w:keepLines w:val="0"/>
              <w:pageBreakBefore w:val="0"/>
              <w:widowControl w:val="0"/>
              <w:kinsoku/>
              <w:wordWrap/>
              <w:overflowPunct/>
              <w:topLinePunct w:val="0"/>
              <w:autoSpaceDE/>
              <w:autoSpaceDN/>
              <w:bidi w:val="0"/>
              <w:adjustRightInd/>
              <w:snapToGrid/>
              <w:jc w:val="both"/>
              <w:textAlignment w:val="auto"/>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sz w:val="21"/>
                <w:szCs w:val="21"/>
                <w:vertAlign w:val="baseline"/>
                <w:lang w:val="en-US" w:eastAsia="zh-CN"/>
              </w:rPr>
              <w:t>6570016</w:t>
            </w:r>
          </w:p>
        </w:tc>
      </w:tr>
      <w:tr w14:paraId="4F623E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99" w:hRule="atLeast"/>
          <w:jc w:val="center"/>
        </w:trPr>
        <w:tc>
          <w:tcPr>
            <w:tcW w:w="466" w:type="dxa"/>
          </w:tcPr>
          <w:p w14:paraId="045F98D0">
            <w:pPr>
              <w:keepNext w:val="0"/>
              <w:keepLines w:val="0"/>
              <w:pageBreakBefore w:val="0"/>
              <w:widowControl w:val="0"/>
              <w:kinsoku/>
              <w:wordWrap/>
              <w:overflowPunct/>
              <w:topLinePunct w:val="0"/>
              <w:autoSpaceDE/>
              <w:autoSpaceDN/>
              <w:bidi w:val="0"/>
              <w:adjustRightInd/>
              <w:snapToGrid/>
              <w:jc w:val="both"/>
              <w:textAlignment w:val="auto"/>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sz w:val="21"/>
                <w:szCs w:val="21"/>
                <w:vertAlign w:val="baseline"/>
                <w:lang w:val="en-US" w:eastAsia="zh-CN"/>
              </w:rPr>
              <w:t>2</w:t>
            </w:r>
          </w:p>
        </w:tc>
        <w:tc>
          <w:tcPr>
            <w:tcW w:w="1392" w:type="dxa"/>
          </w:tcPr>
          <w:p w14:paraId="3DAD5700">
            <w:pPr>
              <w:keepNext w:val="0"/>
              <w:keepLines w:val="0"/>
              <w:pageBreakBefore w:val="0"/>
              <w:widowControl w:val="0"/>
              <w:kinsoku/>
              <w:wordWrap/>
              <w:overflowPunct/>
              <w:topLinePunct w:val="0"/>
              <w:autoSpaceDE/>
              <w:autoSpaceDN/>
              <w:bidi w:val="0"/>
              <w:adjustRightInd/>
              <w:snapToGrid/>
              <w:jc w:val="both"/>
              <w:textAlignment w:val="auto"/>
              <w:rPr>
                <w:rFonts w:hint="default" w:ascii="Times New Roman" w:hAnsi="Times New Roman" w:eastAsia="宋体" w:cs="Times New Roman"/>
                <w:sz w:val="21"/>
                <w:szCs w:val="21"/>
                <w:vertAlign w:val="baseline"/>
              </w:rPr>
            </w:pPr>
            <w:r>
              <w:rPr>
                <w:rFonts w:hint="default" w:ascii="Times New Roman" w:hAnsi="Times New Roman" w:eastAsia="宋体" w:cs="Times New Roman"/>
                <w:sz w:val="21"/>
                <w:szCs w:val="21"/>
                <w:vertAlign w:val="baseline"/>
              </w:rPr>
              <w:t>雁江镇东礼村坡平屯至内渌、驮好屯路修缮项目</w:t>
            </w:r>
          </w:p>
        </w:tc>
        <w:tc>
          <w:tcPr>
            <w:tcW w:w="3720" w:type="dxa"/>
          </w:tcPr>
          <w:p w14:paraId="0D286F16">
            <w:pPr>
              <w:keepNext w:val="0"/>
              <w:keepLines w:val="0"/>
              <w:pageBreakBefore w:val="0"/>
              <w:widowControl w:val="0"/>
              <w:kinsoku/>
              <w:wordWrap/>
              <w:overflowPunct/>
              <w:topLinePunct w:val="0"/>
              <w:autoSpaceDE/>
              <w:autoSpaceDN/>
              <w:bidi w:val="0"/>
              <w:adjustRightInd/>
              <w:snapToGrid/>
              <w:jc w:val="both"/>
              <w:textAlignment w:val="auto"/>
              <w:rPr>
                <w:rFonts w:hint="default" w:ascii="Times New Roman" w:hAnsi="Times New Roman" w:eastAsia="宋体" w:cs="Times New Roman"/>
                <w:sz w:val="21"/>
                <w:szCs w:val="21"/>
                <w:vertAlign w:val="baseline"/>
                <w:lang w:eastAsia="zh-CN"/>
              </w:rPr>
            </w:pPr>
            <w:r>
              <w:rPr>
                <w:rFonts w:hint="default" w:ascii="Times New Roman" w:hAnsi="Times New Roman" w:eastAsia="宋体" w:cs="Times New Roman"/>
                <w:sz w:val="21"/>
                <w:szCs w:val="21"/>
                <w:vertAlign w:val="baseline"/>
                <w:lang w:val="en-US" w:eastAsia="zh-CN"/>
              </w:rPr>
              <w:t>路面修缮：铺筑18cm混凝土面层+8cm级配碎石基层，挖除旧路面；新建C20混凝土挡墙；挖基土方；</w:t>
            </w:r>
            <w:r>
              <w:rPr>
                <w:rFonts w:hint="default" w:ascii="Times New Roman" w:hAnsi="Times New Roman" w:eastAsia="宋体" w:cs="Times New Roman"/>
                <w:sz w:val="21"/>
                <w:szCs w:val="21"/>
                <w:lang w:val="en-US" w:eastAsia="zh-CN"/>
              </w:rPr>
              <w:t>拆除后重新安装波形护栏（利用面板，更换立柱等。</w:t>
            </w:r>
            <w:r>
              <w:rPr>
                <w:rFonts w:hint="default" w:ascii="Times New Roman" w:hAnsi="Times New Roman" w:eastAsia="宋体" w:cs="Times New Roman"/>
                <w:sz w:val="21"/>
                <w:szCs w:val="21"/>
                <w:vertAlign w:val="baseline"/>
              </w:rPr>
              <w:t>具体内容详见施工图纸及工程量清单。</w:t>
            </w:r>
          </w:p>
        </w:tc>
        <w:tc>
          <w:tcPr>
            <w:tcW w:w="1185" w:type="dxa"/>
          </w:tcPr>
          <w:p w14:paraId="29DFBB1F">
            <w:pPr>
              <w:keepNext w:val="0"/>
              <w:keepLines w:val="0"/>
              <w:pageBreakBefore w:val="0"/>
              <w:widowControl w:val="0"/>
              <w:kinsoku/>
              <w:wordWrap/>
              <w:overflowPunct/>
              <w:topLinePunct w:val="0"/>
              <w:autoSpaceDE/>
              <w:autoSpaceDN/>
              <w:bidi w:val="0"/>
              <w:adjustRightInd/>
              <w:snapToGrid/>
              <w:jc w:val="both"/>
              <w:textAlignment w:val="auto"/>
              <w:rPr>
                <w:rFonts w:hint="default" w:ascii="Times New Roman" w:hAnsi="Times New Roman" w:eastAsia="宋体" w:cs="Times New Roman"/>
                <w:sz w:val="21"/>
                <w:szCs w:val="21"/>
                <w:vertAlign w:val="baseline"/>
              </w:rPr>
            </w:pPr>
            <w:r>
              <w:rPr>
                <w:rFonts w:hint="default" w:ascii="Times New Roman" w:hAnsi="Times New Roman" w:eastAsia="宋体" w:cs="Times New Roman"/>
                <w:sz w:val="21"/>
                <w:szCs w:val="21"/>
                <w:vertAlign w:val="baseline"/>
              </w:rPr>
              <w:t>79.9806</w:t>
            </w:r>
          </w:p>
        </w:tc>
        <w:tc>
          <w:tcPr>
            <w:tcW w:w="1155" w:type="dxa"/>
            <w:shd w:val="clear" w:color="auto" w:fill="auto"/>
            <w:vAlign w:val="top"/>
          </w:tcPr>
          <w:p w14:paraId="5D4270C3">
            <w:pPr>
              <w:keepNext w:val="0"/>
              <w:keepLines w:val="0"/>
              <w:pageBreakBefore w:val="0"/>
              <w:widowControl w:val="0"/>
              <w:kinsoku/>
              <w:wordWrap/>
              <w:overflowPunct/>
              <w:topLinePunct w:val="0"/>
              <w:autoSpaceDE/>
              <w:autoSpaceDN/>
              <w:bidi w:val="0"/>
              <w:adjustRightInd/>
              <w:snapToGrid/>
              <w:jc w:val="both"/>
              <w:textAlignment w:val="auto"/>
              <w:rPr>
                <w:rFonts w:hint="default" w:ascii="Times New Roman" w:hAnsi="Times New Roman" w:eastAsia="宋体" w:cs="Times New Roman"/>
                <w:kern w:val="2"/>
                <w:sz w:val="21"/>
                <w:szCs w:val="21"/>
                <w:vertAlign w:val="baseline"/>
                <w:lang w:val="en-US" w:eastAsia="zh-CN" w:bidi="ar-SA"/>
              </w:rPr>
            </w:pPr>
            <w:r>
              <w:rPr>
                <w:rFonts w:hint="default" w:ascii="Times New Roman" w:hAnsi="Times New Roman" w:eastAsia="宋体" w:cs="Times New Roman"/>
                <w:sz w:val="21"/>
                <w:szCs w:val="21"/>
                <w:vertAlign w:val="baseline"/>
                <w:lang w:val="en-US" w:eastAsia="zh-CN"/>
              </w:rPr>
              <w:t>2026年7月-8月</w:t>
            </w:r>
          </w:p>
        </w:tc>
        <w:tc>
          <w:tcPr>
            <w:tcW w:w="1005" w:type="dxa"/>
          </w:tcPr>
          <w:p w14:paraId="23853977">
            <w:pPr>
              <w:keepNext w:val="0"/>
              <w:keepLines w:val="0"/>
              <w:pageBreakBefore w:val="0"/>
              <w:widowControl w:val="0"/>
              <w:kinsoku/>
              <w:wordWrap/>
              <w:overflowPunct/>
              <w:topLinePunct w:val="0"/>
              <w:autoSpaceDE/>
              <w:autoSpaceDN/>
              <w:bidi w:val="0"/>
              <w:adjustRightInd/>
              <w:snapToGrid/>
              <w:jc w:val="both"/>
              <w:textAlignment w:val="auto"/>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color w:val="000000"/>
                <w:kern w:val="0"/>
                <w:sz w:val="21"/>
                <w:szCs w:val="21"/>
                <w:lang w:val="en-US" w:eastAsia="zh-CN" w:bidi="ar"/>
              </w:rPr>
              <w:t>严格落实《政府采购促进中小企业发展管理办法》</w:t>
            </w:r>
          </w:p>
        </w:tc>
        <w:tc>
          <w:tcPr>
            <w:tcW w:w="705" w:type="dxa"/>
          </w:tcPr>
          <w:p w14:paraId="527288AB">
            <w:pPr>
              <w:keepNext w:val="0"/>
              <w:keepLines w:val="0"/>
              <w:pageBreakBefore w:val="0"/>
              <w:widowControl w:val="0"/>
              <w:kinsoku/>
              <w:wordWrap/>
              <w:overflowPunct/>
              <w:topLinePunct w:val="0"/>
              <w:autoSpaceDE/>
              <w:autoSpaceDN/>
              <w:bidi w:val="0"/>
              <w:adjustRightInd/>
              <w:snapToGrid/>
              <w:jc w:val="both"/>
              <w:textAlignment w:val="auto"/>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sz w:val="21"/>
                <w:szCs w:val="21"/>
                <w:vertAlign w:val="baseline"/>
                <w:lang w:val="en-US" w:eastAsia="zh-CN"/>
              </w:rPr>
              <w:t>6570016</w:t>
            </w:r>
          </w:p>
        </w:tc>
      </w:tr>
      <w:tr w14:paraId="2C28AB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7" w:hRule="atLeast"/>
          <w:jc w:val="center"/>
        </w:trPr>
        <w:tc>
          <w:tcPr>
            <w:tcW w:w="466" w:type="dxa"/>
          </w:tcPr>
          <w:p w14:paraId="1305F1B2">
            <w:pPr>
              <w:keepNext w:val="0"/>
              <w:keepLines w:val="0"/>
              <w:pageBreakBefore w:val="0"/>
              <w:widowControl w:val="0"/>
              <w:kinsoku/>
              <w:wordWrap/>
              <w:overflowPunct/>
              <w:topLinePunct w:val="0"/>
              <w:autoSpaceDE/>
              <w:autoSpaceDN/>
              <w:bidi w:val="0"/>
              <w:adjustRightInd/>
              <w:snapToGrid/>
              <w:jc w:val="both"/>
              <w:textAlignment w:val="auto"/>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sz w:val="21"/>
                <w:szCs w:val="21"/>
                <w:vertAlign w:val="baseline"/>
                <w:lang w:val="en-US" w:eastAsia="zh-CN"/>
              </w:rPr>
              <w:t>3</w:t>
            </w:r>
          </w:p>
        </w:tc>
        <w:tc>
          <w:tcPr>
            <w:tcW w:w="1392" w:type="dxa"/>
          </w:tcPr>
          <w:p w14:paraId="7D11FA4C">
            <w:pPr>
              <w:keepNext w:val="0"/>
              <w:keepLines w:val="0"/>
              <w:pageBreakBefore w:val="0"/>
              <w:widowControl w:val="0"/>
              <w:kinsoku/>
              <w:wordWrap/>
              <w:overflowPunct/>
              <w:topLinePunct w:val="0"/>
              <w:autoSpaceDE/>
              <w:autoSpaceDN/>
              <w:bidi w:val="0"/>
              <w:adjustRightInd/>
              <w:snapToGrid/>
              <w:jc w:val="both"/>
              <w:textAlignment w:val="auto"/>
              <w:rPr>
                <w:rFonts w:hint="default" w:ascii="Times New Roman" w:hAnsi="Times New Roman" w:eastAsia="宋体" w:cs="Times New Roman"/>
                <w:sz w:val="21"/>
                <w:szCs w:val="21"/>
                <w:vertAlign w:val="baseline"/>
                <w:lang w:eastAsia="zh-CN"/>
              </w:rPr>
            </w:pPr>
            <w:r>
              <w:rPr>
                <w:rFonts w:hint="default" w:ascii="Times New Roman" w:hAnsi="Times New Roman" w:eastAsia="宋体" w:cs="Times New Roman"/>
                <w:sz w:val="21"/>
                <w:szCs w:val="21"/>
                <w:vertAlign w:val="baseline"/>
                <w:lang w:eastAsia="zh-CN"/>
              </w:rPr>
              <w:t>雁江镇渌龙村叉路至那贝屯路因灾损毁修缮项目</w:t>
            </w:r>
          </w:p>
        </w:tc>
        <w:tc>
          <w:tcPr>
            <w:tcW w:w="3720" w:type="dxa"/>
          </w:tcPr>
          <w:p w14:paraId="5CF84103">
            <w:pPr>
              <w:keepNext w:val="0"/>
              <w:keepLines w:val="0"/>
              <w:pageBreakBefore w:val="0"/>
              <w:widowControl w:val="0"/>
              <w:kinsoku/>
              <w:wordWrap/>
              <w:overflowPunct/>
              <w:topLinePunct w:val="0"/>
              <w:autoSpaceDE/>
              <w:autoSpaceDN/>
              <w:bidi w:val="0"/>
              <w:adjustRightInd/>
              <w:snapToGrid/>
              <w:jc w:val="both"/>
              <w:textAlignment w:val="auto"/>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sz w:val="21"/>
                <w:szCs w:val="21"/>
                <w:vertAlign w:val="baseline"/>
                <w:lang w:val="en-US" w:eastAsia="zh-CN"/>
              </w:rPr>
              <w:t>1.路面修缮：铺筑18cm混凝土面层+8cm级配碎石基层挖除旧路面结构层。2.清除塌方松土塌方路肩增设挡土墙防护等。</w:t>
            </w:r>
            <w:r>
              <w:rPr>
                <w:rFonts w:hint="default" w:ascii="Times New Roman" w:hAnsi="Times New Roman" w:eastAsia="宋体" w:cs="Times New Roman"/>
                <w:sz w:val="21"/>
                <w:szCs w:val="21"/>
                <w:vertAlign w:val="baseline"/>
              </w:rPr>
              <w:t>具体内容详见施工图纸及工程量清单。</w:t>
            </w:r>
          </w:p>
        </w:tc>
        <w:tc>
          <w:tcPr>
            <w:tcW w:w="1185" w:type="dxa"/>
          </w:tcPr>
          <w:p w14:paraId="6D804348">
            <w:pPr>
              <w:keepNext w:val="0"/>
              <w:keepLines w:val="0"/>
              <w:pageBreakBefore w:val="0"/>
              <w:widowControl w:val="0"/>
              <w:kinsoku/>
              <w:wordWrap/>
              <w:overflowPunct/>
              <w:topLinePunct w:val="0"/>
              <w:autoSpaceDE/>
              <w:autoSpaceDN/>
              <w:bidi w:val="0"/>
              <w:adjustRightInd/>
              <w:snapToGrid/>
              <w:jc w:val="both"/>
              <w:textAlignment w:val="auto"/>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sz w:val="21"/>
                <w:szCs w:val="21"/>
                <w:vertAlign w:val="baseline"/>
                <w:lang w:val="en-US" w:eastAsia="zh-CN"/>
              </w:rPr>
              <w:t>77.5071</w:t>
            </w:r>
          </w:p>
        </w:tc>
        <w:tc>
          <w:tcPr>
            <w:tcW w:w="1155" w:type="dxa"/>
            <w:shd w:val="clear" w:color="auto" w:fill="auto"/>
            <w:vAlign w:val="top"/>
          </w:tcPr>
          <w:p w14:paraId="287EE802">
            <w:pPr>
              <w:keepNext w:val="0"/>
              <w:keepLines w:val="0"/>
              <w:pageBreakBefore w:val="0"/>
              <w:widowControl w:val="0"/>
              <w:kinsoku/>
              <w:wordWrap/>
              <w:overflowPunct/>
              <w:topLinePunct w:val="0"/>
              <w:autoSpaceDE/>
              <w:autoSpaceDN/>
              <w:bidi w:val="0"/>
              <w:adjustRightInd/>
              <w:snapToGrid/>
              <w:jc w:val="both"/>
              <w:textAlignment w:val="auto"/>
              <w:rPr>
                <w:rFonts w:hint="default" w:ascii="Times New Roman" w:hAnsi="Times New Roman" w:eastAsia="宋体" w:cs="Times New Roman"/>
                <w:kern w:val="2"/>
                <w:sz w:val="21"/>
                <w:szCs w:val="21"/>
                <w:vertAlign w:val="baseline"/>
                <w:lang w:val="en-US" w:eastAsia="zh-CN" w:bidi="ar-SA"/>
              </w:rPr>
            </w:pPr>
            <w:r>
              <w:rPr>
                <w:rFonts w:hint="default" w:ascii="Times New Roman" w:hAnsi="Times New Roman" w:eastAsia="宋体" w:cs="Times New Roman"/>
                <w:sz w:val="21"/>
                <w:szCs w:val="21"/>
                <w:vertAlign w:val="baseline"/>
                <w:lang w:val="en-US" w:eastAsia="zh-CN"/>
              </w:rPr>
              <w:t>2026年7月-8月</w:t>
            </w:r>
          </w:p>
        </w:tc>
        <w:tc>
          <w:tcPr>
            <w:tcW w:w="1005" w:type="dxa"/>
          </w:tcPr>
          <w:p w14:paraId="3B053EBB">
            <w:pPr>
              <w:keepNext w:val="0"/>
              <w:keepLines w:val="0"/>
              <w:pageBreakBefore w:val="0"/>
              <w:widowControl w:val="0"/>
              <w:kinsoku/>
              <w:wordWrap/>
              <w:overflowPunct/>
              <w:topLinePunct w:val="0"/>
              <w:autoSpaceDE/>
              <w:autoSpaceDN/>
              <w:bidi w:val="0"/>
              <w:adjustRightInd/>
              <w:snapToGrid/>
              <w:jc w:val="both"/>
              <w:textAlignment w:val="auto"/>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color w:val="000000"/>
                <w:kern w:val="0"/>
                <w:sz w:val="21"/>
                <w:szCs w:val="21"/>
                <w:lang w:val="en-US" w:eastAsia="zh-CN" w:bidi="ar"/>
              </w:rPr>
              <w:t>严格落实《政府采购促进中小企业发展管理办法》</w:t>
            </w:r>
          </w:p>
        </w:tc>
        <w:tc>
          <w:tcPr>
            <w:tcW w:w="705" w:type="dxa"/>
          </w:tcPr>
          <w:p w14:paraId="2E37F823">
            <w:pPr>
              <w:keepNext w:val="0"/>
              <w:keepLines w:val="0"/>
              <w:pageBreakBefore w:val="0"/>
              <w:widowControl w:val="0"/>
              <w:kinsoku/>
              <w:wordWrap/>
              <w:overflowPunct/>
              <w:topLinePunct w:val="0"/>
              <w:autoSpaceDE/>
              <w:autoSpaceDN/>
              <w:bidi w:val="0"/>
              <w:adjustRightInd/>
              <w:snapToGrid/>
              <w:jc w:val="both"/>
              <w:textAlignment w:val="auto"/>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sz w:val="21"/>
                <w:szCs w:val="21"/>
                <w:vertAlign w:val="baseline"/>
                <w:lang w:val="en-US" w:eastAsia="zh-CN"/>
              </w:rPr>
              <w:t>6570016</w:t>
            </w:r>
          </w:p>
        </w:tc>
      </w:tr>
    </w:tbl>
    <w:p w14:paraId="08DA5684">
      <w:pPr>
        <w:keepNext w:val="0"/>
        <w:keepLines w:val="0"/>
        <w:pageBreakBefore w:val="0"/>
        <w:widowControl w:val="0"/>
        <w:kinsoku/>
        <w:wordWrap/>
        <w:overflowPunct/>
        <w:topLinePunct w:val="0"/>
        <w:autoSpaceDE/>
        <w:autoSpaceDN/>
        <w:bidi w:val="0"/>
        <w:adjustRightInd/>
        <w:snapToGrid/>
        <w:spacing w:line="520" w:lineRule="exact"/>
        <w:textAlignment w:val="auto"/>
        <w:rPr>
          <w:rFonts w:hint="default" w:ascii="Times New Roman" w:hAnsi="Times New Roman" w:eastAsia="仿宋_GB2312" w:cs="Times New Roman"/>
          <w:sz w:val="32"/>
          <w:szCs w:val="32"/>
        </w:rPr>
      </w:pPr>
    </w:p>
    <w:p w14:paraId="5DB2F3BD">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本次公开的采购意向是本单位政府采购工作的初步安排，具体采购项目情况以相关采购公告和采购文件为准。</w:t>
      </w:r>
    </w:p>
    <w:p w14:paraId="5F667420">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right"/>
        <w:textAlignment w:val="auto"/>
        <w:rPr>
          <w:rFonts w:hint="default" w:ascii="Times New Roman" w:hAnsi="Times New Roman" w:eastAsia="仿宋_GB2312" w:cs="Times New Roman"/>
          <w:sz w:val="32"/>
          <w:szCs w:val="32"/>
          <w:lang w:eastAsia="zh-CN"/>
        </w:rPr>
      </w:pPr>
    </w:p>
    <w:p w14:paraId="3BBADC97">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right"/>
        <w:textAlignment w:val="auto"/>
        <w:rPr>
          <w:rFonts w:hint="default" w:ascii="Times New Roman" w:hAnsi="Times New Roman" w:eastAsia="仿宋_GB2312" w:cs="Times New Roman"/>
          <w:sz w:val="32"/>
          <w:szCs w:val="32"/>
          <w:lang w:eastAsia="zh-CN"/>
        </w:rPr>
      </w:pPr>
    </w:p>
    <w:p w14:paraId="2F9FAE17">
      <w:pPr>
        <w:keepNext w:val="0"/>
        <w:keepLines w:val="0"/>
        <w:pageBreakBefore w:val="0"/>
        <w:widowControl w:val="0"/>
        <w:kinsoku/>
        <w:wordWrap/>
        <w:overflowPunct/>
        <w:topLinePunct w:val="0"/>
        <w:autoSpaceDE/>
        <w:autoSpaceDN/>
        <w:bidi w:val="0"/>
        <w:adjustRightInd/>
        <w:snapToGrid/>
        <w:spacing w:line="520" w:lineRule="exact"/>
        <w:ind w:firstLine="4800" w:firstLineChars="1500"/>
        <w:jc w:val="both"/>
        <w:textAlignment w:val="auto"/>
        <w:rPr>
          <w:rFonts w:hint="default" w:ascii="Times New Roman" w:hAnsi="Times New Roman" w:eastAsia="仿宋_GB2312" w:cs="Times New Roman"/>
          <w:sz w:val="32"/>
          <w:szCs w:val="32"/>
          <w:lang w:eastAsia="zh-CN"/>
        </w:rPr>
      </w:pPr>
      <w:bookmarkStart w:id="0" w:name="_GoBack"/>
      <w:bookmarkEnd w:id="0"/>
      <w:r>
        <w:rPr>
          <w:rFonts w:hint="default" w:ascii="Times New Roman" w:hAnsi="Times New Roman" w:eastAsia="仿宋_GB2312" w:cs="Times New Roman"/>
          <w:sz w:val="32"/>
          <w:szCs w:val="32"/>
          <w:lang w:eastAsia="zh-CN"/>
        </w:rPr>
        <w:t>隆安县雁江镇人民政府</w:t>
      </w:r>
    </w:p>
    <w:p w14:paraId="23AF62D6">
      <w:pPr>
        <w:keepNext w:val="0"/>
        <w:keepLines w:val="0"/>
        <w:pageBreakBefore w:val="0"/>
        <w:widowControl w:val="0"/>
        <w:kinsoku/>
        <w:wordWrap/>
        <w:overflowPunct/>
        <w:topLinePunct w:val="0"/>
        <w:autoSpaceDE/>
        <w:autoSpaceDN/>
        <w:bidi w:val="0"/>
        <w:adjustRightInd/>
        <w:snapToGrid/>
        <w:spacing w:line="520" w:lineRule="exact"/>
        <w:ind w:firstLine="5120" w:firstLineChars="16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2026年7月</w:t>
      </w:r>
      <w:r>
        <w:rPr>
          <w:rFonts w:hint="eastAsia" w:ascii="Times New Roman" w:hAnsi="Times New Roman" w:eastAsia="仿宋_GB2312" w:cs="Times New Roman"/>
          <w:sz w:val="32"/>
          <w:szCs w:val="32"/>
          <w:lang w:val="en-US" w:eastAsia="zh-CN"/>
        </w:rPr>
        <w:t>21</w:t>
      </w:r>
      <w:r>
        <w:rPr>
          <w:rFonts w:hint="default" w:ascii="Times New Roman" w:hAnsi="Times New Roman" w:eastAsia="仿宋_GB2312" w:cs="Times New Roman"/>
          <w:sz w:val="32"/>
          <w:szCs w:val="32"/>
          <w:lang w:val="en-US" w:eastAsia="zh-CN"/>
        </w:rPr>
        <w:t>日</w:t>
      </w:r>
    </w:p>
    <w:p w14:paraId="41803B6D">
      <w:pPr>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default" w:ascii="Times New Roman" w:hAnsi="Times New Roman" w:eastAsia="仿宋_GB2312" w:cs="Times New Roman"/>
          <w:sz w:val="32"/>
          <w:szCs w:val="32"/>
          <w:lang w:val="en-US" w:eastAsia="zh-CN"/>
        </w:rPr>
      </w:pPr>
    </w:p>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F7A2E47"/>
    <w:rsid w:val="04DE107D"/>
    <w:rsid w:val="29715F29"/>
    <w:rsid w:val="550F3451"/>
    <w:rsid w:val="64183B7B"/>
    <w:rsid w:val="7F7A2E4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table" w:styleId="3">
    <w:name w:val="Table Grid"/>
    <w:basedOn w:val="2"/>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671</Words>
  <Characters>771</Characters>
  <Lines>0</Lines>
  <Paragraphs>0</Paragraphs>
  <TotalTime>16</TotalTime>
  <ScaleCrop>false</ScaleCrop>
  <LinksUpToDate>false</LinksUpToDate>
  <CharactersWithSpaces>771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2026-07-21T07:29:00Z</dcterms:created>
  <dc:creator>谭素香</dc:creator>
  <cp:lastModifiedBy>陆建政_</cp:lastModifiedBy>
  <dcterms:modified xsi:type="dcterms:W3CDTF">2026-07-21T09:33:05Z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EFDC8240214F4077AC1FA09A4A25B237_13</vt:lpwstr>
  </property>
  <property fmtid="{D5CDD505-2E9C-101B-9397-08002B2CF9AE}" pid="4" name="KSOTemplateDocerSaveRecord">
    <vt:lpwstr>eyJoZGlkIjoiMTlkOGUxMjNkYzUxN2E0NmU5NjgwMmE2Yjg5MTVkYjEiLCJ1c2VySWQiOiIxMTQ3OTk3MjUxIn0=</vt:lpwstr>
  </property>
</Properties>
</file>