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480"/>
        <w:jc w:val="center"/>
        <w:rPr>
          <w:rFonts w:ascii="Times New Roman" w:hAnsi="Times New Roman" w:eastAsia="方正小标宋简体" w:cs="Times New Roman"/>
          <w:sz w:val="44"/>
          <w:szCs w:val="44"/>
          <w:lang w:val="zh-CN"/>
        </w:rPr>
      </w:pPr>
      <w:r>
        <w:rPr>
          <w:rFonts w:ascii="Times New Roman" w:hAnsi="Times New Roman" w:eastAsia="方正小标宋简体" w:cs="Times New Roman"/>
          <w:sz w:val="44"/>
          <w:szCs w:val="44"/>
          <w:lang w:val="zh-CN"/>
        </w:rPr>
        <w:t>上林县机关后勤服务中心</w:t>
      </w:r>
    </w:p>
    <w:p>
      <w:pPr>
        <w:spacing w:line="520" w:lineRule="exact"/>
        <w:ind w:firstLine="480"/>
        <w:jc w:val="center"/>
        <w:rPr>
          <w:rFonts w:ascii="Times New Roman" w:hAnsi="Times New Roman" w:eastAsia="方正小标宋简体" w:cs="Times New Roman"/>
          <w:sz w:val="44"/>
          <w:szCs w:val="44"/>
          <w:lang w:val="zh-CN"/>
        </w:rPr>
      </w:pP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6</w:t>
      </w:r>
      <w:r>
        <w:rPr>
          <w:rFonts w:ascii="Times New Roman" w:hAnsi="Times New Roman" w:eastAsia="方正小标宋简体" w:cs="Times New Roman"/>
          <w:sz w:val="44"/>
          <w:szCs w:val="44"/>
          <w:lang w:val="zh-CN"/>
        </w:rPr>
        <w:t>年</w:t>
      </w:r>
      <w:r>
        <w:rPr>
          <w:rFonts w:hint="eastAsia" w:ascii="Times New Roman" w:hAnsi="Times New Roman" w:eastAsia="方正小标宋简体" w:cs="Times New Roman"/>
          <w:sz w:val="44"/>
          <w:szCs w:val="44"/>
          <w:lang w:val="en-US" w:eastAsia="zh-CN"/>
        </w:rPr>
        <w:t>9</w:t>
      </w:r>
      <w:r>
        <w:rPr>
          <w:rFonts w:ascii="Times New Roman" w:hAnsi="Times New Roman" w:eastAsia="方正小标宋简体" w:cs="Times New Roman"/>
          <w:sz w:val="44"/>
          <w:szCs w:val="44"/>
          <w:lang w:val="zh-CN"/>
        </w:rPr>
        <w:t>月政府采购意向</w:t>
      </w:r>
    </w:p>
    <w:p>
      <w:pPr>
        <w:spacing w:line="520" w:lineRule="exact"/>
        <w:ind w:firstLine="480"/>
        <w:rPr>
          <w:rFonts w:ascii="Times New Roman" w:hAnsi="Times New Roman" w:eastAsia="仿宋_GB2312" w:cs="Times New Roman"/>
          <w:sz w:val="32"/>
          <w:szCs w:val="32"/>
          <w:lang w:val="zh-CN"/>
        </w:rPr>
      </w:pPr>
    </w:p>
    <w:p>
      <w:pPr>
        <w:spacing w:line="520" w:lineRule="exact"/>
        <w:ind w:firstLine="480"/>
        <w:rPr>
          <w:rFonts w:ascii="Times New Roman" w:hAnsi="Times New Roman" w:eastAsia="仿宋_GB2312" w:cs="Times New Roman"/>
          <w:sz w:val="30"/>
          <w:szCs w:val="30"/>
          <w:lang w:val="zh-CN"/>
        </w:rPr>
      </w:pPr>
      <w:r>
        <w:rPr>
          <w:rFonts w:ascii="Times New Roman" w:hAnsi="Times New Roman" w:eastAsia="仿宋_GB2312" w:cs="Times New Roman"/>
          <w:sz w:val="30"/>
          <w:szCs w:val="30"/>
          <w:lang w:val="zh-CN"/>
        </w:rPr>
        <w:t>为便于供应商及时了解政府采购信息，根据《财政部关于开展政府采购意向公开工作的通知》（财库〔2020〕10号）和《广西壮族自治区财政厅关于进一步规范政府采购意向公开工作的通知》（桂财采〔2022〕84号）等有关规定，现将上林县机关后勤服务中心</w:t>
      </w: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6</w:t>
      </w:r>
      <w:r>
        <w:rPr>
          <w:rFonts w:ascii="Times New Roman" w:hAnsi="Times New Roman" w:eastAsia="仿宋_GB2312" w:cs="Times New Roman"/>
          <w:sz w:val="30"/>
          <w:szCs w:val="30"/>
          <w:lang w:val="zh-CN"/>
        </w:rPr>
        <w:t>年</w:t>
      </w:r>
      <w:r>
        <w:rPr>
          <w:rFonts w:hint="eastAsia" w:ascii="Times New Roman" w:hAnsi="Times New Roman" w:eastAsia="仿宋_GB2312" w:cs="Times New Roman"/>
          <w:sz w:val="30"/>
          <w:szCs w:val="30"/>
          <w:lang w:val="en-US" w:eastAsia="zh-CN"/>
        </w:rPr>
        <w:t>9</w:t>
      </w:r>
      <w:r>
        <w:rPr>
          <w:rFonts w:ascii="Times New Roman" w:hAnsi="Times New Roman" w:eastAsia="仿宋_GB2312" w:cs="Times New Roman"/>
          <w:sz w:val="30"/>
          <w:szCs w:val="30"/>
          <w:lang w:val="zh-CN"/>
        </w:rPr>
        <w:t>月政府采购意向公开如下：</w:t>
      </w:r>
    </w:p>
    <w:tbl>
      <w:tblPr>
        <w:tblStyle w:val="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782"/>
        <w:gridCol w:w="6654"/>
        <w:gridCol w:w="1499"/>
        <w:gridCol w:w="1476"/>
        <w:gridCol w:w="1261"/>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tcPr>
          <w:p>
            <w:pPr>
              <w:widowControl/>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序号</w:t>
            </w:r>
          </w:p>
        </w:tc>
        <w:tc>
          <w:tcPr>
            <w:tcW w:w="629" w:type="pct"/>
          </w:tcPr>
          <w:p>
            <w:pPr>
              <w:widowControl/>
              <w:spacing w:line="520" w:lineRule="exact"/>
              <w:rPr>
                <w:rFonts w:ascii="Times New Roman" w:hAnsi="Times New Roman" w:eastAsia="仿宋_GB2312" w:cs="Times New Roman"/>
                <w:sz w:val="28"/>
                <w:szCs w:val="28"/>
                <w:lang w:val="zh-CN"/>
              </w:rPr>
            </w:pPr>
            <w:r>
              <w:rPr>
                <w:rFonts w:ascii="Times New Roman" w:hAnsi="Times New Roman" w:eastAsia="仿宋_GB2312" w:cs="Times New Roman"/>
                <w:sz w:val="28"/>
                <w:szCs w:val="28"/>
                <w:lang w:val="zh-CN"/>
              </w:rPr>
              <w:t>采购项目名称</w:t>
            </w:r>
          </w:p>
        </w:tc>
        <w:tc>
          <w:tcPr>
            <w:tcW w:w="2348" w:type="pct"/>
          </w:tcPr>
          <w:p>
            <w:pPr>
              <w:widowControl/>
              <w:spacing w:line="520" w:lineRule="exact"/>
              <w:rPr>
                <w:rFonts w:ascii="Times New Roman" w:hAnsi="Times New Roman" w:eastAsia="仿宋_GB2312" w:cs="Times New Roman"/>
                <w:sz w:val="28"/>
                <w:szCs w:val="28"/>
                <w:lang w:val="zh-CN"/>
              </w:rPr>
            </w:pPr>
            <w:r>
              <w:rPr>
                <w:rFonts w:ascii="Times New Roman" w:hAnsi="Times New Roman" w:eastAsia="仿宋_GB2312" w:cs="Times New Roman"/>
                <w:sz w:val="28"/>
                <w:szCs w:val="28"/>
                <w:lang w:val="zh-CN"/>
              </w:rPr>
              <w:t>采购需求概况</w:t>
            </w:r>
          </w:p>
        </w:tc>
        <w:tc>
          <w:tcPr>
            <w:tcW w:w="529" w:type="pct"/>
          </w:tcPr>
          <w:p>
            <w:pPr>
              <w:widowControl/>
              <w:spacing w:line="520" w:lineRule="exact"/>
              <w:rPr>
                <w:rFonts w:ascii="Times New Roman" w:hAnsi="Times New Roman" w:eastAsia="仿宋_GB2312" w:cs="Times New Roman"/>
                <w:sz w:val="28"/>
                <w:szCs w:val="28"/>
                <w:lang w:val="zh-CN"/>
              </w:rPr>
            </w:pPr>
            <w:r>
              <w:rPr>
                <w:rFonts w:ascii="Times New Roman" w:hAnsi="Times New Roman" w:eastAsia="仿宋_GB2312" w:cs="Times New Roman"/>
                <w:sz w:val="28"/>
                <w:szCs w:val="28"/>
                <w:lang w:val="zh-CN"/>
              </w:rPr>
              <w:t>预算金额（万元）</w:t>
            </w:r>
          </w:p>
        </w:tc>
        <w:tc>
          <w:tcPr>
            <w:tcW w:w="521" w:type="pct"/>
          </w:tcPr>
          <w:p>
            <w:pPr>
              <w:widowControl/>
              <w:spacing w:line="520" w:lineRule="exact"/>
              <w:rPr>
                <w:rFonts w:ascii="Times New Roman" w:hAnsi="Times New Roman" w:eastAsia="仿宋_GB2312" w:cs="Times New Roman"/>
                <w:sz w:val="28"/>
                <w:szCs w:val="28"/>
                <w:lang w:val="zh-CN"/>
              </w:rPr>
            </w:pPr>
            <w:r>
              <w:rPr>
                <w:rFonts w:ascii="Times New Roman" w:hAnsi="Times New Roman" w:eastAsia="仿宋_GB2312" w:cs="Times New Roman"/>
                <w:sz w:val="28"/>
                <w:szCs w:val="28"/>
                <w:lang w:val="zh-CN"/>
              </w:rPr>
              <w:t>预计采购时间（填写到月）</w:t>
            </w:r>
          </w:p>
        </w:tc>
        <w:tc>
          <w:tcPr>
            <w:tcW w:w="445" w:type="pct"/>
          </w:tcPr>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落实政府采购政策功能情况</w:t>
            </w:r>
          </w:p>
        </w:tc>
        <w:tc>
          <w:tcPr>
            <w:tcW w:w="260" w:type="pct"/>
          </w:tcPr>
          <w:p>
            <w:pPr>
              <w:widowControl/>
              <w:spacing w:line="520" w:lineRule="exact"/>
              <w:rPr>
                <w:rFonts w:ascii="Times New Roman" w:hAnsi="Times New Roman" w:eastAsia="仿宋_GB2312" w:cs="Times New Roman"/>
                <w:sz w:val="28"/>
                <w:szCs w:val="28"/>
                <w:lang w:val="zh-CN"/>
              </w:rPr>
            </w:pPr>
            <w:r>
              <w:rPr>
                <w:rFonts w:ascii="Times New Roman" w:hAnsi="Times New Roman" w:eastAsia="仿宋_GB2312" w:cs="Times New Roman"/>
                <w:sz w:val="28"/>
                <w:szCs w:val="28"/>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tcPr>
          <w:p>
            <w:pPr>
              <w:widowControl/>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1</w:t>
            </w:r>
          </w:p>
        </w:tc>
        <w:tc>
          <w:tcPr>
            <w:tcW w:w="629" w:type="pct"/>
          </w:tcPr>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视频会议</w:t>
            </w:r>
            <w:r>
              <w:rPr>
                <w:rFonts w:ascii="Times New Roman" w:hAnsi="Times New Roman" w:eastAsia="仿宋_GB2312" w:cs="Times New Roman"/>
                <w:sz w:val="28"/>
                <w:szCs w:val="28"/>
              </w:rPr>
              <w:t>服务</w:t>
            </w:r>
          </w:p>
        </w:tc>
        <w:tc>
          <w:tcPr>
            <w:tcW w:w="2348" w:type="pct"/>
          </w:tcPr>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一、</w:t>
            </w:r>
            <w:r>
              <w:rPr>
                <w:rFonts w:ascii="Times New Roman" w:hAnsi="Times New Roman" w:eastAsia="仿宋_GB2312" w:cs="Times New Roman"/>
                <w:sz w:val="28"/>
                <w:szCs w:val="28"/>
              </w:rPr>
              <w:t>视频会议云平台服务</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1、支持会议锁定/解锁功能：在会议进行过程中，会议管理员可以锁定会议。保证会议过程中，其他终端无法主动入会。</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2、可同时提供语音会议、标清视频会议、高清视频会议、多媒体会议，并且支持语音、标清视频、高清视频、多媒体会议混合组会。</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3、支持普通参会者和会议管理员两种与会角色，普通参会者可执行的会议操作包括：根据会议管理员设置的权限（听说或只听不说）进行发言。</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4、支持会议预约：会议管理员通过平台自服务门户访问会议管理WEB界面来预定立即会议、定时会议。</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5、支持查找会议：会议管理员登录会议管理WEB页面，通过会议主题或会议时间段查找相应会议，查找到会议后，可根据会议的状态信息进行相应操作，包括：加入到一个正在召开会议（未锁定）的会场中；修改或删除一个本管理员预订但尚未召开的会议；再次发起一个已经结束的会议。</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6、支持修改会议：会议管理员可在会议管理Web界面上根据时间、会议主题等信息查询已经结束、没有召开和正在召开的会议的相关信息，发起会议的会议管理员可以对没有召开的会议的信息进行修改。可修改的会议信息包括：会议主题、会议召开日期时间、与会人员、取消尚未开始的会议等。</w:t>
            </w:r>
          </w:p>
          <w:p>
            <w:pPr>
              <w:pStyle w:val="2"/>
              <w:widowControl w:val="0"/>
              <w:rPr>
                <w:rFonts w:ascii="Times New Roman" w:hAnsi="Times New Roman" w:eastAsia="仿宋_GB2312" w:cs="Times New Roman"/>
                <w:sz w:val="28"/>
                <w:szCs w:val="28"/>
              </w:rPr>
            </w:pPr>
            <w:r>
              <w:rPr>
                <w:rFonts w:ascii="Times New Roman" w:hAnsi="Times New Roman" w:eastAsia="仿宋_GB2312" w:cs="Times New Roman"/>
                <w:sz w:val="28"/>
                <w:szCs w:val="28"/>
              </w:rPr>
              <w:t>7、对于语音会议，支持允许/取消发言功能，本会议管理员可以通过会议管理界面或web客户端对参会者进行是否发言、禁言、禁音等操作。</w:t>
            </w:r>
          </w:p>
          <w:p>
            <w:pPr>
              <w:pStyle w:val="2"/>
              <w:widowControl w:val="0"/>
            </w:pPr>
            <w:r>
              <w:rPr>
                <w:rFonts w:ascii="Times New Roman" w:hAnsi="Times New Roman" w:eastAsia="仿宋_GB2312" w:cs="Times New Roman"/>
                <w:sz w:val="28"/>
                <w:szCs w:val="28"/>
              </w:rPr>
              <w:t>8、对于视频会议，所投设备支持会议管理员选择多画面视频布局，支持在1-16画面中任意选择。主会场会议管理员支持在以下的显示模式中进行选择：固定画面模式、声控模式、轮询模式、演讲者模式。</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二、42套分体式视频会议系统配套服务</w:t>
            </w:r>
          </w:p>
          <w:p>
            <w:pPr>
              <w:pStyle w:val="2"/>
              <w:widowControl w:val="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1、采用一体化结构设计，非PC、工控机架构，集成编解码器、麦克风、摄像头、扬声器和Wi-Fi模块、配套稳固支架等，方便安装部署。</w:t>
            </w:r>
          </w:p>
          <w:p>
            <w:pPr>
              <w:pStyle w:val="2"/>
              <w:widowControl w:val="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2、支持IETF SIP协议，具有良好的兼容性和开放性。</w:t>
            </w:r>
          </w:p>
          <w:p>
            <w:pPr>
              <w:pStyle w:val="2"/>
              <w:widowControl w:val="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3、支持IPv4和IPv6双协议栈。</w:t>
            </w:r>
          </w:p>
          <w:p>
            <w:pPr>
              <w:pStyle w:val="2"/>
              <w:widowControl w:val="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4、支持EPTZ+电子云台（机械云台+电子云台）复合云台，适应会场能力更强。</w:t>
            </w:r>
          </w:p>
          <w:p>
            <w:pPr>
              <w:pStyle w:val="2"/>
              <w:widowControl w:val="0"/>
            </w:pPr>
            <w:r>
              <w:rPr>
                <w:rFonts w:hint="eastAsia" w:ascii="Times New Roman" w:hAnsi="Times New Roman" w:eastAsia="仿宋_GB2312" w:cs="Times New Roman"/>
                <w:sz w:val="28"/>
                <w:szCs w:val="28"/>
              </w:rPr>
              <w:t>采用金属机身设计，最大功耗不超过15W。</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三、134套一体式视频会议系统配套服务</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1、采用一体化结构设计，非PC、工控机架构，集成编解码器、麦克风、摄像头、扬声器和Wi-Fi模块、配套稳固支架等，方便安装部署。</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2、支持IETF SIP协议，具有良好的兼容性和开放性。</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3、支持IPv4和IPv6双协议栈。</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4、支持EPTZ+电子云台（机械云台+电子云台）复合云台，适应会场能力更强。</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采用金属机身设计，最大功耗不超过15W。</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四、线路接入服务</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（一）主会场</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1.采购人指定地点部署2条20M专线，IP地址为静态地址；2条100M宽带，IP地址为动态地址；</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2、提供各种主流物理光、电接口，如RJ45/LC/FC等供采购人使用。</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（二）分会场</w:t>
            </w:r>
          </w:p>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1.采购人指定地点部署174条100M宽带，IP地址为动态地址；</w:t>
            </w:r>
          </w:p>
          <w:p>
            <w:pPr>
              <w:widowControl/>
              <w:numPr>
                <w:ilvl w:val="0"/>
                <w:numId w:val="2"/>
              </w:numPr>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提供各种主流物理光、电接口，如RJ45/LC/FC等供采购人使用。</w:t>
            </w:r>
            <w:bookmarkStart w:id="0" w:name="_GoBack"/>
            <w:bookmarkEnd w:id="0"/>
          </w:p>
          <w:p>
            <w:pPr>
              <w:widowControl/>
              <w:spacing w:line="520" w:lineRule="exact"/>
              <w:rPr>
                <w:rFonts w:ascii="Times New Roman" w:hAnsi="Times New Roman" w:eastAsia="仿宋_GB2312" w:cs="Times New Roman"/>
                <w:sz w:val="28"/>
                <w:szCs w:val="28"/>
                <w:lang w:val="zh-CN"/>
              </w:rPr>
            </w:pPr>
            <w:r>
              <w:rPr>
                <w:rFonts w:hint="eastAsia" w:ascii="Times New Roman" w:hAnsi="Times New Roman" w:eastAsia="仿宋_GB2312" w:cs="Times New Roman"/>
                <w:sz w:val="28"/>
                <w:szCs w:val="28"/>
              </w:rPr>
              <w:t>五、</w:t>
            </w:r>
            <w:r>
              <w:rPr>
                <w:rFonts w:ascii="Times New Roman" w:hAnsi="Times New Roman" w:eastAsia="仿宋_GB2312" w:cs="Times New Roman"/>
                <w:sz w:val="28"/>
                <w:szCs w:val="28"/>
                <w:lang w:val="zh-CN"/>
              </w:rPr>
              <w:t xml:space="preserve">服务期限： </w:t>
            </w: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lang w:val="zh-CN"/>
              </w:rPr>
              <w:t>年（</w:t>
            </w:r>
            <w:r>
              <w:rPr>
                <w:rFonts w:hint="eastAsia" w:ascii="Times New Roman" w:hAnsi="Times New Roman" w:eastAsia="仿宋_GB2312" w:cs="Times New Roman"/>
                <w:sz w:val="28"/>
                <w:szCs w:val="28"/>
                <w:lang w:val="en-US" w:eastAsia="zh-CN"/>
              </w:rPr>
              <w:t>2026年11月1日至2028年10月31日</w:t>
            </w:r>
            <w:r>
              <w:rPr>
                <w:rFonts w:ascii="Times New Roman" w:hAnsi="Times New Roman" w:eastAsia="仿宋_GB2312" w:cs="Times New Roman"/>
                <w:sz w:val="28"/>
                <w:szCs w:val="28"/>
                <w:lang w:val="zh-CN"/>
              </w:rPr>
              <w:t>）</w:t>
            </w:r>
            <w:r>
              <w:rPr>
                <w:rFonts w:hint="eastAsia" w:ascii="Times New Roman" w:hAnsi="Times New Roman" w:eastAsia="仿宋_GB2312" w:cs="Times New Roman"/>
                <w:sz w:val="28"/>
                <w:szCs w:val="28"/>
                <w:lang w:val="zh-CN"/>
              </w:rPr>
              <w:t>。</w:t>
            </w:r>
          </w:p>
        </w:tc>
        <w:tc>
          <w:tcPr>
            <w:tcW w:w="529" w:type="pct"/>
          </w:tcPr>
          <w:p>
            <w:pPr>
              <w:widowControl/>
              <w:spacing w:line="520" w:lineRule="exact"/>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69.50万元</w:t>
            </w:r>
          </w:p>
        </w:tc>
        <w:tc>
          <w:tcPr>
            <w:tcW w:w="521" w:type="pct"/>
          </w:tcPr>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6</w:t>
            </w:r>
            <w:r>
              <w:rPr>
                <w:rFonts w:hint="eastAsia"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9-10</w:t>
            </w:r>
            <w:r>
              <w:rPr>
                <w:rFonts w:hint="eastAsia" w:ascii="Times New Roman" w:hAnsi="Times New Roman" w:eastAsia="仿宋_GB2312" w:cs="Times New Roman"/>
                <w:sz w:val="28"/>
                <w:szCs w:val="28"/>
              </w:rPr>
              <w:t>月</w:t>
            </w:r>
          </w:p>
        </w:tc>
        <w:tc>
          <w:tcPr>
            <w:tcW w:w="445" w:type="pct"/>
          </w:tcPr>
          <w:p>
            <w:pPr>
              <w:widowControl/>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无</w:t>
            </w:r>
          </w:p>
        </w:tc>
        <w:tc>
          <w:tcPr>
            <w:tcW w:w="260" w:type="pct"/>
          </w:tcPr>
          <w:p>
            <w:pPr>
              <w:widowControl/>
              <w:spacing w:line="520" w:lineRule="exact"/>
              <w:rPr>
                <w:rFonts w:ascii="Times New Roman" w:hAnsi="Times New Roman" w:eastAsia="仿宋_GB2312" w:cs="Times New Roman"/>
                <w:sz w:val="28"/>
                <w:szCs w:val="28"/>
                <w:lang w:val="zh-CN"/>
              </w:rPr>
            </w:pPr>
          </w:p>
        </w:tc>
      </w:tr>
    </w:tbl>
    <w:p>
      <w:pPr>
        <w:spacing w:line="520" w:lineRule="exact"/>
        <w:ind w:firstLine="480"/>
        <w:rPr>
          <w:rFonts w:ascii="Times New Roman" w:hAnsi="Times New Roman" w:eastAsia="Times New Roman" w:cs="Times New Roman"/>
          <w:sz w:val="24"/>
          <w:szCs w:val="24"/>
          <w:lang w:val="zh-CN"/>
        </w:rPr>
      </w:pPr>
    </w:p>
    <w:p>
      <w:pPr>
        <w:spacing w:line="520" w:lineRule="exact"/>
        <w:ind w:firstLine="480"/>
        <w:rPr>
          <w:rFonts w:ascii="Times New Roman" w:hAnsi="Times New Roman" w:eastAsia="仿宋_GB2312" w:cs="Times New Roman"/>
          <w:sz w:val="30"/>
          <w:szCs w:val="30"/>
          <w:lang w:val="zh-CN"/>
        </w:rPr>
      </w:pPr>
      <w:r>
        <w:rPr>
          <w:rFonts w:ascii="Times New Roman" w:hAnsi="Times New Roman" w:eastAsia="仿宋_GB2312" w:cs="Times New Roman"/>
          <w:sz w:val="30"/>
          <w:szCs w:val="30"/>
          <w:lang w:val="zh-CN"/>
        </w:rPr>
        <w:t>本次公开的政府采购意向是本单位政府采购工作的初步安排，具体采购项目情况以相关采购公告和采购文件为准。</w:t>
      </w:r>
    </w:p>
    <w:p>
      <w:pPr>
        <w:spacing w:line="520" w:lineRule="exact"/>
        <w:ind w:firstLine="480"/>
        <w:rPr>
          <w:rFonts w:ascii="Times New Roman" w:hAnsi="Times New Roman" w:eastAsia="Times New Roman" w:cs="Times New Roman"/>
          <w:sz w:val="30"/>
          <w:szCs w:val="30"/>
          <w:lang w:val="zh-CN"/>
        </w:rPr>
      </w:pPr>
    </w:p>
    <w:p>
      <w:pPr>
        <w:spacing w:line="520" w:lineRule="exact"/>
        <w:jc w:val="center"/>
        <w:rPr>
          <w:rFonts w:ascii="Times New Roman" w:hAnsi="Times New Roman" w:eastAsia="仿宋_GB2312" w:cs="Times New Roman"/>
          <w:sz w:val="30"/>
          <w:szCs w:val="30"/>
          <w:lang w:val="zh-CN"/>
        </w:rPr>
      </w:pPr>
      <w:r>
        <w:rPr>
          <w:rFonts w:hint="eastAsia" w:ascii="Times New Roman" w:hAnsi="Times New Roman" w:eastAsia="仿宋_GB2312" w:cs="Times New Roman"/>
          <w:sz w:val="30"/>
          <w:szCs w:val="30"/>
        </w:rPr>
        <w:t xml:space="preserve">                                                                  </w:t>
      </w:r>
      <w:r>
        <w:rPr>
          <w:rFonts w:ascii="Times New Roman" w:hAnsi="Times New Roman" w:eastAsia="仿宋_GB2312" w:cs="Times New Roman"/>
          <w:sz w:val="30"/>
          <w:szCs w:val="30"/>
          <w:lang w:val="zh-CN"/>
        </w:rPr>
        <w:t>上林县机关后勤服务中心</w:t>
      </w:r>
    </w:p>
    <w:p>
      <w:pPr>
        <w:spacing w:line="52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r>
        <w:rPr>
          <w:rFonts w:hint="eastAsia" w:ascii="Times New Roman" w:hAnsi="Times New Roman" w:eastAsia="仿宋_GB2312" w:cs="Times New Roman"/>
          <w:sz w:val="30"/>
          <w:szCs w:val="30"/>
        </w:rPr>
        <w:t xml:space="preserve">                              </w:t>
      </w: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6</w:t>
      </w:r>
      <w:r>
        <w:rPr>
          <w:rFonts w:ascii="Times New Roman" w:hAnsi="Times New Roman" w:eastAsia="仿宋_GB2312" w:cs="Times New Roman"/>
          <w:sz w:val="30"/>
          <w:szCs w:val="30"/>
          <w:lang w:val="zh-CN"/>
        </w:rPr>
        <w:t>年</w:t>
      </w:r>
      <w:r>
        <w:rPr>
          <w:rFonts w:hint="eastAsia" w:ascii="Times New Roman" w:hAnsi="Times New Roman" w:eastAsia="仿宋_GB2312" w:cs="Times New Roman"/>
          <w:sz w:val="30"/>
          <w:szCs w:val="30"/>
          <w:lang w:val="en-US" w:eastAsia="zh-CN"/>
        </w:rPr>
        <w:t>8</w:t>
      </w:r>
      <w:r>
        <w:rPr>
          <w:rFonts w:ascii="Times New Roman" w:hAnsi="Times New Roman" w:eastAsia="仿宋_GB2312" w:cs="Times New Roman"/>
          <w:sz w:val="30"/>
          <w:szCs w:val="30"/>
          <w:lang w:val="zh-CN"/>
        </w:rPr>
        <w:t>月</w:t>
      </w:r>
      <w:r>
        <w:rPr>
          <w:rFonts w:hint="eastAsia" w:ascii="Times New Roman" w:hAnsi="Times New Roman" w:eastAsia="仿宋_GB2312" w:cs="Times New Roman"/>
          <w:sz w:val="30"/>
          <w:szCs w:val="30"/>
          <w:lang w:val="en-US" w:eastAsia="zh-CN"/>
        </w:rPr>
        <w:t>3</w:t>
      </w:r>
      <w:r>
        <w:rPr>
          <w:rFonts w:ascii="Times New Roman" w:hAnsi="Times New Roman" w:eastAsia="仿宋_GB2312" w:cs="Times New Roman"/>
          <w:sz w:val="30"/>
          <w:szCs w:val="30"/>
          <w:lang w:val="zh-CN"/>
        </w:rPr>
        <w:t>日</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95CA5"/>
    <w:multiLevelType w:val="singleLevel"/>
    <w:tmpl w:val="CFF95CA5"/>
    <w:lvl w:ilvl="0" w:tentative="0">
      <w:start w:val="2"/>
      <w:numFmt w:val="decimal"/>
      <w:suff w:val="nothing"/>
      <w:lvlText w:val="%1、"/>
      <w:lvlJc w:val="left"/>
    </w:lvl>
  </w:abstractNum>
  <w:abstractNum w:abstractNumId="1">
    <w:nsid w:val="2154573C"/>
    <w:multiLevelType w:val="multilevel"/>
    <w:tmpl w:val="2154573C"/>
    <w:lvl w:ilvl="0" w:tentative="0">
      <w:start w:val="1"/>
      <w:numFmt w:val="decimal"/>
      <w:isLgl/>
      <w:lvlText w:val="第 %1 章"/>
      <w:lvlJc w:val="left"/>
      <w:pPr>
        <w:tabs>
          <w:tab w:val="left" w:pos="3119"/>
        </w:tabs>
        <w:ind w:left="2127" w:firstLine="0"/>
      </w:pPr>
      <w:rPr>
        <w:rFonts w:hint="eastAsia" w:eastAsia="宋体"/>
        <w:b/>
        <w:i w:val="0"/>
        <w:caps w:val="0"/>
        <w:smallCaps w:val="0"/>
        <w:strike w:val="0"/>
        <w:dstrike w:val="0"/>
        <w:vanish w:val="0"/>
        <w:color w:val="000000"/>
        <w:spacing w:val="0"/>
        <w:position w:val="0"/>
        <w:sz w:val="36"/>
        <w:u w:val="none"/>
        <w:vertAlign w:val="baseline"/>
      </w:rPr>
    </w:lvl>
    <w:lvl w:ilvl="1" w:tentative="0">
      <w:start w:val="1"/>
      <w:numFmt w:val="decimal"/>
      <w:isLgl/>
      <w:lvlText w:val="%1.%2"/>
      <w:lvlJc w:val="left"/>
      <w:pPr>
        <w:tabs>
          <w:tab w:val="left" w:pos="992"/>
        </w:tabs>
        <w:ind w:left="0" w:firstLine="0"/>
      </w:pPr>
      <w:rPr>
        <w:rFonts w:hint="default" w:ascii="宋体" w:hAnsi="宋体" w:eastAsia="宋体" w:cs="Times New Roman"/>
        <w:i w:val="0"/>
        <w:caps w:val="0"/>
        <w:smallCaps w:val="0"/>
        <w:strike w:val="0"/>
        <w:dstrike w:val="0"/>
        <w:vanish w:val="0"/>
        <w:color w:val="000000"/>
        <w:spacing w:val="0"/>
        <w:position w:val="0"/>
        <w:u w:val="none"/>
        <w:vertAlign w:val="baseline"/>
      </w:rPr>
    </w:lvl>
    <w:lvl w:ilvl="2" w:tentative="0">
      <w:start w:val="1"/>
      <w:numFmt w:val="decimal"/>
      <w:isLgl/>
      <w:lvlText w:val="%1.%2.%3"/>
      <w:lvlJc w:val="left"/>
      <w:pPr>
        <w:tabs>
          <w:tab w:val="left" w:pos="992"/>
        </w:tabs>
        <w:ind w:left="0" w:firstLine="0"/>
      </w:pPr>
      <w:rPr>
        <w:rFonts w:hint="eastAsia"/>
        <w:b w:val="0"/>
        <w:bCs w:val="0"/>
        <w:i w:val="0"/>
        <w:iCs w:val="0"/>
        <w:caps w:val="0"/>
        <w:smallCaps w:val="0"/>
        <w:strike w:val="0"/>
        <w:dstrike w:val="0"/>
        <w:vanish w:val="0"/>
        <w:spacing w:val="0"/>
        <w:position w:val="0"/>
        <w:u w:val="none"/>
        <w:vertAlign w:val="baseline"/>
      </w:rPr>
    </w:lvl>
    <w:lvl w:ilvl="3" w:tentative="0">
      <w:start w:val="1"/>
      <w:numFmt w:val="decimal"/>
      <w:pStyle w:val="3"/>
      <w:lvlText w:val="%1.%2.%3.%4"/>
      <w:lvlJc w:val="left"/>
      <w:pPr>
        <w:tabs>
          <w:tab w:val="left" w:pos="992"/>
        </w:tabs>
        <w:ind w:left="-1134" w:firstLine="1134"/>
      </w:pPr>
      <w:rPr>
        <w:rFonts w:hint="eastAsia"/>
        <w:b w:val="0"/>
        <w:bCs w:val="0"/>
        <w:i w:val="0"/>
        <w:iCs w:val="0"/>
        <w:caps w:val="0"/>
        <w:smallCaps w:val="0"/>
        <w:strike w:val="0"/>
        <w:dstrike w:val="0"/>
        <w:vanish w:val="0"/>
        <w:spacing w:val="0"/>
        <w:position w:val="0"/>
        <w:u w:val="none"/>
        <w:vertAlign w:val="baseline"/>
      </w:rPr>
    </w:lvl>
    <w:lvl w:ilvl="4" w:tentative="0">
      <w:start w:val="1"/>
      <w:numFmt w:val="decimal"/>
      <w:lvlText w:val="%1.%2.%3.%4.%5"/>
      <w:lvlJc w:val="left"/>
      <w:pPr>
        <w:tabs>
          <w:tab w:val="left" w:pos="992"/>
        </w:tabs>
        <w:ind w:left="0" w:firstLine="0"/>
      </w:pPr>
      <w:rPr>
        <w:rFonts w:hint="eastAsia"/>
        <w:b w:val="0"/>
        <w:bCs w:val="0"/>
        <w:i w:val="0"/>
        <w:iCs w:val="0"/>
        <w:caps w:val="0"/>
        <w:smallCaps w:val="0"/>
        <w:strike w:val="0"/>
        <w:dstrike w:val="0"/>
        <w:vanish w:val="0"/>
        <w:spacing w:val="0"/>
        <w:position w:val="0"/>
        <w:u w:val="none"/>
        <w:vertAlign w:val="baseline"/>
      </w:rPr>
    </w:lvl>
    <w:lvl w:ilvl="5" w:tentative="0">
      <w:start w:val="1"/>
      <w:numFmt w:val="decimal"/>
      <w:lvlText w:val="%1.%2.%3.%4.%5.%6"/>
      <w:lvlJc w:val="left"/>
      <w:pPr>
        <w:tabs>
          <w:tab w:val="left" w:pos="992"/>
        </w:tabs>
        <w:ind w:left="0" w:firstLine="0"/>
      </w:pPr>
      <w:rPr>
        <w:rFonts w:hint="eastAsia"/>
      </w:rPr>
    </w:lvl>
    <w:lvl w:ilvl="6" w:tentative="0">
      <w:start w:val="1"/>
      <w:numFmt w:val="decimal"/>
      <w:lvlText w:val="%1.%2.%3.%4.%5.%6.%7"/>
      <w:lvlJc w:val="left"/>
      <w:pPr>
        <w:tabs>
          <w:tab w:val="left" w:pos="992"/>
        </w:tabs>
        <w:ind w:left="0" w:firstLine="0"/>
      </w:pPr>
      <w:rPr>
        <w:rFonts w:hint="eastAsia"/>
      </w:rPr>
    </w:lvl>
    <w:lvl w:ilvl="7" w:tentative="0">
      <w:start w:val="1"/>
      <w:numFmt w:val="decimal"/>
      <w:lvlText w:val="%1.%2.%3.%4.%5.%6.%7.%8"/>
      <w:lvlJc w:val="left"/>
      <w:pPr>
        <w:tabs>
          <w:tab w:val="left" w:pos="992"/>
        </w:tabs>
        <w:ind w:left="0" w:firstLine="0"/>
      </w:pPr>
      <w:rPr>
        <w:rFonts w:hint="eastAsia"/>
      </w:rPr>
    </w:lvl>
    <w:lvl w:ilvl="8" w:tentative="0">
      <w:start w:val="1"/>
      <w:numFmt w:val="decimal"/>
      <w:lvlText w:val="%1.%2.%3.%4.%5.%6.%7.%8.%9"/>
      <w:lvlJc w:val="left"/>
      <w:pPr>
        <w:tabs>
          <w:tab w:val="left" w:pos="992"/>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CA9"/>
    <w:rsid w:val="00086CA9"/>
    <w:rsid w:val="00AA1D67"/>
    <w:rsid w:val="00B47367"/>
    <w:rsid w:val="065F6CD1"/>
    <w:rsid w:val="15576CD9"/>
    <w:rsid w:val="23C56307"/>
    <w:rsid w:val="34133FCE"/>
    <w:rsid w:val="4EA00D8C"/>
    <w:rsid w:val="56C93018"/>
    <w:rsid w:val="69E86FE8"/>
    <w:rsid w:val="788C1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lang w:val="en-US" w:eastAsia="zh-CN" w:bidi="ar-SA"/>
    </w:rPr>
  </w:style>
  <w:style w:type="paragraph" w:styleId="3">
    <w:name w:val="heading 4"/>
    <w:basedOn w:val="1"/>
    <w:next w:val="1"/>
    <w:unhideWhenUsed/>
    <w:qFormat/>
    <w:uiPriority w:val="9"/>
    <w:pPr>
      <w:keepNext/>
      <w:keepLines/>
      <w:numPr>
        <w:ilvl w:val="3"/>
        <w:numId w:val="1"/>
      </w:numPr>
      <w:outlineLvl w:val="3"/>
    </w:pPr>
    <w:rPr>
      <w:rFonts w:cs="Times New Roman"/>
      <w:b/>
      <w:bCs/>
      <w:szCs w:val="28"/>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Plain Text"/>
    <w:basedOn w:val="1"/>
    <w:next w:val="3"/>
    <w:qFormat/>
    <w:uiPriority w:val="0"/>
    <w:rPr>
      <w:rFonts w:ascii="宋体" w:hAnsi="Courier New"/>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255</Words>
  <Characters>1455</Characters>
  <Lines>12</Lines>
  <Paragraphs>3</Paragraphs>
  <TotalTime>79</TotalTime>
  <ScaleCrop>false</ScaleCrop>
  <LinksUpToDate>false</LinksUpToDate>
  <CharactersWithSpaces>1707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2023-05-25T02:06:00Z</dcterms:created>
  <dc:creator>Administrator</dc:creator>
  <cp:lastModifiedBy>lenovo</cp:lastModifiedBy>
  <dcterms:modified xsi:type="dcterms:W3CDTF">2026-07-30T03:14:30Z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402E5C8B318546D9A4DCE2810F36B27D</vt:lpwstr>
  </property>
</Properties>
</file>