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D99D5">
      <w:pPr>
        <w:keepNext w:val="0"/>
        <w:keepLines w:val="0"/>
        <w:widowControl/>
        <w:suppressLineNumbers w:val="0"/>
        <w:pBdr>
          <w:bottom w:val="none" w:color="auto" w:sz="0" w:space="0"/>
        </w:pBdr>
        <w:spacing w:line="360" w:lineRule="atLeast"/>
        <w:ind w:left="0" w:firstLine="0"/>
        <w:jc w:val="center"/>
        <w:rPr>
          <w:rFonts w:hint="eastAsia" w:asciiTheme="minorEastAsia" w:hAnsiTheme="minorEastAsia" w:eastAsiaTheme="minorEastAsia" w:cstheme="minorEastAsia"/>
          <w:b/>
          <w:bCs/>
          <w:i w:val="0"/>
          <w:iCs w:val="0"/>
          <w:caps w:val="0"/>
          <w:color w:val="000000"/>
          <w:spacing w:val="0"/>
          <w:sz w:val="28"/>
          <w:szCs w:val="28"/>
        </w:rPr>
      </w:pPr>
      <w:r>
        <w:rPr>
          <w:rFonts w:hint="eastAsia" w:asciiTheme="minorEastAsia" w:hAnsiTheme="minorEastAsia" w:eastAsiaTheme="minorEastAsia" w:cstheme="minorEastAsia"/>
          <w:b/>
          <w:bCs/>
          <w:i w:val="0"/>
          <w:iCs w:val="0"/>
          <w:caps w:val="0"/>
          <w:color w:val="000000"/>
          <w:spacing w:val="0"/>
          <w:kern w:val="0"/>
          <w:sz w:val="32"/>
          <w:szCs w:val="32"/>
          <w:lang w:val="en-US" w:eastAsia="zh-CN" w:bidi="ar"/>
        </w:rPr>
        <w:t>宾阳县洋桥镇人民政府2026年5月政府采购意向</w:t>
      </w:r>
    </w:p>
    <w:p w14:paraId="07243F00">
      <w:pPr>
        <w:pStyle w:val="2"/>
        <w:keepNext w:val="0"/>
        <w:keepLines w:val="0"/>
        <w:widowControl/>
        <w:suppressLineNumbers w:val="0"/>
        <w:wordWrap/>
        <w:spacing w:before="60" w:beforeAutospacing="0" w:after="60" w:afterAutospacing="0"/>
        <w:ind w:left="0" w:right="0" w:firstLine="42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000000"/>
          <w:spacing w:val="0"/>
          <w:sz w:val="28"/>
          <w:szCs w:val="28"/>
        </w:rPr>
        <w:t>为便于供应商及时了解政府采购信息，根据《财政部关于开展政府采购意向公开工作的通知》（财库〔2020〕10号）和《广西壮族自治区财政厅关于进一步规范政府采购意向公开工作的通知》（桂财采〔2022〕84号）等有关规定，现将</w:t>
      </w:r>
      <w:r>
        <w:rPr>
          <w:rStyle w:val="6"/>
          <w:rFonts w:hint="eastAsia" w:asciiTheme="minorEastAsia" w:hAnsiTheme="minorEastAsia" w:eastAsiaTheme="minorEastAsia" w:cstheme="minorEastAsia"/>
          <w:i w:val="0"/>
          <w:iCs w:val="0"/>
          <w:caps w:val="0"/>
          <w:color w:val="000000"/>
          <w:spacing w:val="0"/>
          <w:sz w:val="28"/>
          <w:szCs w:val="28"/>
        </w:rPr>
        <w:t>宾阳县洋桥镇</w:t>
      </w:r>
      <w:r>
        <w:rPr>
          <w:rStyle w:val="6"/>
          <w:rFonts w:hint="eastAsia" w:asciiTheme="minorEastAsia" w:hAnsiTheme="minorEastAsia" w:eastAsiaTheme="minorEastAsia" w:cstheme="minorEastAsia"/>
          <w:i w:val="0"/>
          <w:iCs w:val="0"/>
          <w:caps w:val="0"/>
          <w:color w:val="000000"/>
          <w:spacing w:val="0"/>
          <w:sz w:val="28"/>
          <w:szCs w:val="28"/>
          <w:lang w:val="en-US" w:eastAsia="zh-CN"/>
        </w:rPr>
        <w:t>人民政府</w:t>
      </w:r>
      <w:r>
        <w:rPr>
          <w:rStyle w:val="6"/>
          <w:rFonts w:hint="eastAsia" w:asciiTheme="minorEastAsia" w:hAnsiTheme="minorEastAsia" w:eastAsiaTheme="minorEastAsia" w:cstheme="minorEastAsia"/>
          <w:i w:val="0"/>
          <w:iCs w:val="0"/>
          <w:caps w:val="0"/>
          <w:color w:val="000000"/>
          <w:spacing w:val="0"/>
          <w:sz w:val="28"/>
          <w:szCs w:val="28"/>
        </w:rPr>
        <w:t>2026年5月采购意向公开</w:t>
      </w:r>
      <w:r>
        <w:rPr>
          <w:rFonts w:hint="eastAsia" w:asciiTheme="minorEastAsia" w:hAnsiTheme="minorEastAsia" w:eastAsiaTheme="minorEastAsia" w:cstheme="minorEastAsia"/>
          <w:i w:val="0"/>
          <w:iCs w:val="0"/>
          <w:caps w:val="0"/>
          <w:color w:val="000000"/>
          <w:spacing w:val="0"/>
          <w:sz w:val="28"/>
          <w:szCs w:val="28"/>
        </w:rPr>
        <w:t>如下：</w:t>
      </w:r>
      <w:r>
        <w:rPr>
          <w:rFonts w:hint="eastAsia" w:asciiTheme="minorEastAsia" w:hAnsiTheme="minorEastAsia" w:eastAsiaTheme="minorEastAsia" w:cstheme="minorEastAsia"/>
          <w:i w:val="0"/>
          <w:iCs w:val="0"/>
          <w:caps w:val="0"/>
          <w:color w:val="000000"/>
          <w:spacing w:val="0"/>
          <w:sz w:val="27"/>
          <w:szCs w:val="27"/>
        </w:rPr>
        <w:t>       </w:t>
      </w:r>
    </w:p>
    <w:tbl>
      <w:tblPr>
        <w:tblW w:w="133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92"/>
        <w:gridCol w:w="1799"/>
        <w:gridCol w:w="5712"/>
        <w:gridCol w:w="957"/>
        <w:gridCol w:w="1210"/>
        <w:gridCol w:w="1940"/>
        <w:gridCol w:w="911"/>
      </w:tblGrid>
      <w:tr w14:paraId="52552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297" w:type="pct"/>
            <w:tcBorders>
              <w:top w:val="single" w:color="BBBBBB" w:sz="4" w:space="0"/>
              <w:left w:val="single" w:color="BBBBBB" w:sz="4" w:space="0"/>
              <w:bottom w:val="single" w:color="BBBBBB" w:sz="4" w:space="0"/>
              <w:right w:val="single" w:color="BBBBBB" w:sz="4" w:space="0"/>
            </w:tcBorders>
            <w:shd w:val="clear"/>
            <w:tcMar>
              <w:top w:w="60" w:type="dxa"/>
              <w:left w:w="120" w:type="dxa"/>
              <w:bottom w:w="60" w:type="dxa"/>
              <w:right w:w="120" w:type="dxa"/>
            </w:tcMar>
            <w:vAlign w:val="center"/>
          </w:tcPr>
          <w:p w14:paraId="7321BBF0">
            <w:pPr>
              <w:keepNext w:val="0"/>
              <w:keepLines w:val="0"/>
              <w:widowControl/>
              <w:suppressLineNumbers w:val="0"/>
              <w:ind w:left="0" w:firstLine="0"/>
              <w:jc w:val="center"/>
              <w:rPr>
                <w:rFonts w:hint="eastAsia" w:asciiTheme="minorEastAsia" w:hAnsiTheme="minorEastAsia" w:eastAsiaTheme="minorEastAsia" w:cstheme="minorEastAsia"/>
                <w:sz w:val="21"/>
                <w:szCs w:val="21"/>
              </w:rPr>
            </w:pPr>
            <w:r>
              <w:rPr>
                <w:rStyle w:val="5"/>
                <w:rFonts w:hint="eastAsia" w:asciiTheme="minorEastAsia" w:hAnsiTheme="minorEastAsia" w:eastAsiaTheme="minorEastAsia" w:cstheme="minorEastAsia"/>
                <w:kern w:val="0"/>
                <w:sz w:val="21"/>
                <w:szCs w:val="21"/>
                <w:bdr w:val="none" w:color="auto" w:sz="0" w:space="0"/>
                <w:lang w:val="en-US" w:eastAsia="zh-CN" w:bidi="ar"/>
              </w:rPr>
              <w:t>序号</w:t>
            </w:r>
          </w:p>
        </w:tc>
        <w:tc>
          <w:tcPr>
            <w:tcW w:w="675" w:type="pct"/>
            <w:tcBorders>
              <w:top w:val="single" w:color="BBBBBB" w:sz="4" w:space="0"/>
              <w:left w:val="single" w:color="BBBBBB" w:sz="4" w:space="0"/>
              <w:bottom w:val="single" w:color="BBBBBB" w:sz="4" w:space="0"/>
              <w:right w:val="single" w:color="BBBBBB" w:sz="4" w:space="0"/>
            </w:tcBorders>
            <w:shd w:val="clear"/>
            <w:tcMar>
              <w:top w:w="60" w:type="dxa"/>
              <w:left w:w="120" w:type="dxa"/>
              <w:bottom w:w="60" w:type="dxa"/>
              <w:right w:w="120" w:type="dxa"/>
            </w:tcMar>
            <w:vAlign w:val="center"/>
          </w:tcPr>
          <w:p w14:paraId="6F86A88F">
            <w:pPr>
              <w:keepNext w:val="0"/>
              <w:keepLines w:val="0"/>
              <w:widowControl/>
              <w:suppressLineNumbers w:val="0"/>
              <w:ind w:left="0" w:firstLine="0"/>
              <w:jc w:val="center"/>
              <w:rPr>
                <w:rFonts w:hint="eastAsia" w:asciiTheme="minorEastAsia" w:hAnsiTheme="minorEastAsia" w:eastAsiaTheme="minorEastAsia" w:cstheme="minorEastAsia"/>
                <w:sz w:val="21"/>
                <w:szCs w:val="21"/>
              </w:rPr>
            </w:pPr>
            <w:r>
              <w:rPr>
                <w:rStyle w:val="5"/>
                <w:rFonts w:hint="eastAsia" w:asciiTheme="minorEastAsia" w:hAnsiTheme="minorEastAsia" w:eastAsiaTheme="minorEastAsia" w:cstheme="minorEastAsia"/>
                <w:kern w:val="0"/>
                <w:sz w:val="21"/>
                <w:szCs w:val="21"/>
                <w:bdr w:val="none" w:color="auto" w:sz="0" w:space="0"/>
                <w:lang w:val="en-US" w:eastAsia="zh-CN" w:bidi="ar"/>
              </w:rPr>
              <w:t>采购项目名称</w:t>
            </w:r>
          </w:p>
        </w:tc>
        <w:tc>
          <w:tcPr>
            <w:tcW w:w="2143" w:type="pct"/>
            <w:tcBorders>
              <w:top w:val="single" w:color="BBBBBB" w:sz="4" w:space="0"/>
              <w:left w:val="single" w:color="BBBBBB" w:sz="4" w:space="0"/>
              <w:bottom w:val="single" w:color="BBBBBB" w:sz="4" w:space="0"/>
              <w:right w:val="single" w:color="BBBBBB" w:sz="4" w:space="0"/>
            </w:tcBorders>
            <w:shd w:val="clear"/>
            <w:tcMar>
              <w:top w:w="60" w:type="dxa"/>
              <w:left w:w="120" w:type="dxa"/>
              <w:bottom w:w="60" w:type="dxa"/>
              <w:right w:w="120" w:type="dxa"/>
            </w:tcMar>
            <w:vAlign w:val="center"/>
          </w:tcPr>
          <w:p w14:paraId="43EDBC79">
            <w:pPr>
              <w:keepNext w:val="0"/>
              <w:keepLines w:val="0"/>
              <w:widowControl/>
              <w:suppressLineNumbers w:val="0"/>
              <w:ind w:left="0" w:firstLine="0"/>
              <w:jc w:val="center"/>
              <w:rPr>
                <w:rFonts w:hint="eastAsia" w:asciiTheme="minorEastAsia" w:hAnsiTheme="minorEastAsia" w:eastAsiaTheme="minorEastAsia" w:cstheme="minorEastAsia"/>
                <w:sz w:val="21"/>
                <w:szCs w:val="21"/>
              </w:rPr>
            </w:pPr>
            <w:r>
              <w:rPr>
                <w:rStyle w:val="5"/>
                <w:rFonts w:hint="eastAsia" w:asciiTheme="minorEastAsia" w:hAnsiTheme="minorEastAsia" w:eastAsiaTheme="minorEastAsia" w:cstheme="minorEastAsia"/>
                <w:kern w:val="0"/>
                <w:sz w:val="21"/>
                <w:szCs w:val="21"/>
                <w:bdr w:val="none" w:color="auto" w:sz="0" w:space="0"/>
                <w:lang w:val="en-US" w:eastAsia="zh-CN" w:bidi="ar"/>
              </w:rPr>
              <w:t>采购需求概况</w:t>
            </w:r>
          </w:p>
        </w:tc>
        <w:tc>
          <w:tcPr>
            <w:tcW w:w="359" w:type="pct"/>
            <w:tcBorders>
              <w:top w:val="single" w:color="BBBBBB" w:sz="4" w:space="0"/>
              <w:left w:val="single" w:color="BBBBBB" w:sz="4" w:space="0"/>
              <w:bottom w:val="single" w:color="BBBBBB" w:sz="4" w:space="0"/>
              <w:right w:val="single" w:color="BBBBBB" w:sz="4" w:space="0"/>
            </w:tcBorders>
            <w:shd w:val="clear"/>
            <w:tcMar>
              <w:top w:w="60" w:type="dxa"/>
              <w:left w:w="120" w:type="dxa"/>
              <w:bottom w:w="60" w:type="dxa"/>
              <w:right w:w="120" w:type="dxa"/>
            </w:tcMar>
            <w:vAlign w:val="center"/>
          </w:tcPr>
          <w:p w14:paraId="585809E1">
            <w:pPr>
              <w:keepNext w:val="0"/>
              <w:keepLines w:val="0"/>
              <w:widowControl/>
              <w:suppressLineNumbers w:val="0"/>
              <w:ind w:left="0" w:firstLine="0"/>
              <w:jc w:val="center"/>
              <w:rPr>
                <w:rFonts w:hint="eastAsia" w:asciiTheme="minorEastAsia" w:hAnsiTheme="minorEastAsia" w:eastAsiaTheme="minorEastAsia" w:cstheme="minorEastAsia"/>
                <w:sz w:val="21"/>
                <w:szCs w:val="21"/>
              </w:rPr>
            </w:pPr>
            <w:r>
              <w:rPr>
                <w:rStyle w:val="5"/>
                <w:rFonts w:hint="eastAsia" w:asciiTheme="minorEastAsia" w:hAnsiTheme="minorEastAsia" w:eastAsiaTheme="minorEastAsia" w:cstheme="minorEastAsia"/>
                <w:kern w:val="0"/>
                <w:sz w:val="21"/>
                <w:szCs w:val="21"/>
                <w:bdr w:val="none" w:color="auto" w:sz="0" w:space="0"/>
                <w:lang w:val="en-US" w:eastAsia="zh-CN" w:bidi="ar"/>
              </w:rPr>
              <w:t>预算金额（万元）</w:t>
            </w:r>
          </w:p>
        </w:tc>
        <w:tc>
          <w:tcPr>
            <w:tcW w:w="454" w:type="pct"/>
            <w:tcBorders>
              <w:top w:val="single" w:color="BBBBBB" w:sz="4" w:space="0"/>
              <w:left w:val="single" w:color="BBBBBB" w:sz="4" w:space="0"/>
              <w:bottom w:val="single" w:color="BBBBBB" w:sz="4" w:space="0"/>
              <w:right w:val="single" w:color="BBBBBB" w:sz="4" w:space="0"/>
            </w:tcBorders>
            <w:shd w:val="clear"/>
            <w:tcMar>
              <w:top w:w="60" w:type="dxa"/>
              <w:left w:w="120" w:type="dxa"/>
              <w:bottom w:w="60" w:type="dxa"/>
              <w:right w:w="120" w:type="dxa"/>
            </w:tcMar>
            <w:vAlign w:val="center"/>
          </w:tcPr>
          <w:p w14:paraId="156DD634">
            <w:pPr>
              <w:keepNext w:val="0"/>
              <w:keepLines w:val="0"/>
              <w:widowControl/>
              <w:suppressLineNumbers w:val="0"/>
              <w:ind w:left="0" w:firstLine="0"/>
              <w:jc w:val="center"/>
              <w:rPr>
                <w:rFonts w:hint="eastAsia" w:asciiTheme="minorEastAsia" w:hAnsiTheme="minorEastAsia" w:eastAsiaTheme="minorEastAsia" w:cstheme="minorEastAsia"/>
                <w:sz w:val="21"/>
                <w:szCs w:val="21"/>
              </w:rPr>
            </w:pPr>
            <w:r>
              <w:rPr>
                <w:rStyle w:val="5"/>
                <w:rFonts w:hint="eastAsia" w:asciiTheme="minorEastAsia" w:hAnsiTheme="minorEastAsia" w:eastAsiaTheme="minorEastAsia" w:cstheme="minorEastAsia"/>
                <w:kern w:val="0"/>
                <w:sz w:val="21"/>
                <w:szCs w:val="21"/>
                <w:bdr w:val="none" w:color="auto" w:sz="0" w:space="0"/>
                <w:lang w:val="en-US" w:eastAsia="zh-CN" w:bidi="ar"/>
              </w:rPr>
              <w:t>预计采购时间（填写到月）</w:t>
            </w:r>
          </w:p>
        </w:tc>
        <w:tc>
          <w:tcPr>
            <w:tcW w:w="728" w:type="pct"/>
            <w:tcBorders>
              <w:top w:val="single" w:color="BBBBBB" w:sz="4" w:space="0"/>
              <w:left w:val="single" w:color="BBBBBB" w:sz="4" w:space="0"/>
              <w:bottom w:val="single" w:color="BBBBBB" w:sz="4" w:space="0"/>
              <w:right w:val="single" w:color="BBBBBB" w:sz="4" w:space="0"/>
            </w:tcBorders>
            <w:shd w:val="clear"/>
            <w:tcMar>
              <w:top w:w="60" w:type="dxa"/>
              <w:left w:w="120" w:type="dxa"/>
              <w:bottom w:w="60" w:type="dxa"/>
              <w:right w:w="120" w:type="dxa"/>
            </w:tcMar>
            <w:vAlign w:val="center"/>
          </w:tcPr>
          <w:p w14:paraId="39034744">
            <w:pPr>
              <w:keepNext w:val="0"/>
              <w:keepLines w:val="0"/>
              <w:widowControl/>
              <w:suppressLineNumbers w:val="0"/>
              <w:ind w:left="0" w:firstLine="0"/>
              <w:jc w:val="center"/>
              <w:rPr>
                <w:rFonts w:hint="eastAsia" w:asciiTheme="minorEastAsia" w:hAnsiTheme="minorEastAsia" w:eastAsiaTheme="minorEastAsia" w:cstheme="minorEastAsia"/>
                <w:sz w:val="21"/>
                <w:szCs w:val="21"/>
              </w:rPr>
            </w:pPr>
            <w:r>
              <w:rPr>
                <w:rStyle w:val="5"/>
                <w:rFonts w:hint="eastAsia" w:asciiTheme="minorEastAsia" w:hAnsiTheme="minorEastAsia" w:eastAsiaTheme="minorEastAsia" w:cstheme="minorEastAsia"/>
                <w:kern w:val="0"/>
                <w:sz w:val="21"/>
                <w:szCs w:val="21"/>
                <w:bdr w:val="none" w:color="auto" w:sz="0" w:space="0"/>
                <w:lang w:val="en-US" w:eastAsia="zh-CN" w:bidi="ar"/>
              </w:rPr>
              <w:t>落实政府采购政策功能情况</w:t>
            </w:r>
          </w:p>
        </w:tc>
        <w:tc>
          <w:tcPr>
            <w:tcW w:w="342" w:type="pct"/>
            <w:tcBorders>
              <w:top w:val="single" w:color="BBBBBB" w:sz="4" w:space="0"/>
              <w:left w:val="single" w:color="BBBBBB" w:sz="4" w:space="0"/>
              <w:bottom w:val="single" w:color="BBBBBB" w:sz="4" w:space="0"/>
              <w:right w:val="single" w:color="BBBBBB" w:sz="4" w:space="0"/>
            </w:tcBorders>
            <w:shd w:val="clear"/>
            <w:tcMar>
              <w:top w:w="60" w:type="dxa"/>
              <w:left w:w="120" w:type="dxa"/>
              <w:bottom w:w="60" w:type="dxa"/>
              <w:right w:w="120" w:type="dxa"/>
            </w:tcMar>
            <w:vAlign w:val="center"/>
          </w:tcPr>
          <w:p w14:paraId="5FF3A138">
            <w:pPr>
              <w:keepNext w:val="0"/>
              <w:keepLines w:val="0"/>
              <w:widowControl/>
              <w:suppressLineNumbers w:val="0"/>
              <w:ind w:left="0" w:firstLine="0"/>
              <w:jc w:val="center"/>
              <w:rPr>
                <w:rFonts w:hint="eastAsia" w:asciiTheme="minorEastAsia" w:hAnsiTheme="minorEastAsia" w:eastAsiaTheme="minorEastAsia" w:cstheme="minorEastAsia"/>
                <w:sz w:val="21"/>
                <w:szCs w:val="21"/>
              </w:rPr>
            </w:pPr>
            <w:r>
              <w:rPr>
                <w:rStyle w:val="5"/>
                <w:rFonts w:hint="eastAsia" w:asciiTheme="minorEastAsia" w:hAnsiTheme="minorEastAsia" w:eastAsiaTheme="minorEastAsia" w:cstheme="minorEastAsia"/>
                <w:kern w:val="0"/>
                <w:sz w:val="21"/>
                <w:szCs w:val="21"/>
                <w:bdr w:val="none" w:color="auto" w:sz="0" w:space="0"/>
                <w:lang w:val="en-US" w:eastAsia="zh-CN" w:bidi="ar"/>
              </w:rPr>
              <w:t>备注</w:t>
            </w:r>
          </w:p>
        </w:tc>
      </w:tr>
      <w:tr w14:paraId="67CA9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297" w:type="pct"/>
            <w:tcBorders>
              <w:top w:val="single" w:color="BBBBBB" w:sz="4" w:space="0"/>
              <w:left w:val="single" w:color="BBBBBB" w:sz="4" w:space="0"/>
              <w:bottom w:val="single" w:color="BBBBBB" w:sz="4" w:space="0"/>
              <w:right w:val="single" w:color="BBBBBB" w:sz="4" w:space="0"/>
            </w:tcBorders>
            <w:shd w:val="clear"/>
            <w:tcMar>
              <w:top w:w="60" w:type="dxa"/>
              <w:left w:w="120" w:type="dxa"/>
              <w:bottom w:w="60" w:type="dxa"/>
              <w:right w:w="120" w:type="dxa"/>
            </w:tcMar>
            <w:vAlign w:val="center"/>
          </w:tcPr>
          <w:p w14:paraId="43BC9C1C">
            <w:pPr>
              <w:keepNext w:val="0"/>
              <w:keepLines w:val="0"/>
              <w:widowControl/>
              <w:suppressLineNumbers w:val="0"/>
              <w:ind w:lef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bdr w:val="none" w:color="auto" w:sz="0" w:space="0"/>
                <w:lang w:val="en-US" w:eastAsia="zh-CN" w:bidi="ar"/>
              </w:rPr>
              <w:t>1</w:t>
            </w:r>
          </w:p>
        </w:tc>
        <w:tc>
          <w:tcPr>
            <w:tcW w:w="675" w:type="pct"/>
            <w:tcBorders>
              <w:top w:val="single" w:color="BBBBBB" w:sz="4" w:space="0"/>
              <w:left w:val="single" w:color="BBBBBB" w:sz="4" w:space="0"/>
              <w:bottom w:val="single" w:color="BBBBBB" w:sz="4" w:space="0"/>
              <w:right w:val="single" w:color="BBBBBB" w:sz="4" w:space="0"/>
            </w:tcBorders>
            <w:shd w:val="clear"/>
            <w:tcMar>
              <w:top w:w="60" w:type="dxa"/>
              <w:left w:w="120" w:type="dxa"/>
              <w:bottom w:w="60" w:type="dxa"/>
              <w:right w:w="120" w:type="dxa"/>
            </w:tcMar>
            <w:vAlign w:val="center"/>
          </w:tcPr>
          <w:p w14:paraId="05F5562A">
            <w:pPr>
              <w:keepNext w:val="0"/>
              <w:keepLines w:val="0"/>
              <w:widowControl/>
              <w:suppressLineNumbers w:val="0"/>
              <w:ind w:lef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bdr w:val="none" w:color="auto" w:sz="0" w:space="0"/>
                <w:lang w:val="en-US" w:eastAsia="zh-CN" w:bidi="ar"/>
              </w:rPr>
              <w:t>宾阳县洋桥镇凌达村基础设施以工代赈项目</w:t>
            </w:r>
          </w:p>
        </w:tc>
        <w:tc>
          <w:tcPr>
            <w:tcW w:w="2143" w:type="pct"/>
            <w:tcBorders>
              <w:top w:val="single" w:color="BBBBBB" w:sz="4" w:space="0"/>
              <w:left w:val="single" w:color="BBBBBB" w:sz="4" w:space="0"/>
              <w:bottom w:val="single" w:color="BBBBBB" w:sz="4" w:space="0"/>
              <w:right w:val="single" w:color="BBBBBB" w:sz="4" w:space="0"/>
            </w:tcBorders>
            <w:shd w:val="clear"/>
            <w:tcMar>
              <w:top w:w="60" w:type="dxa"/>
              <w:left w:w="120" w:type="dxa"/>
              <w:bottom w:w="60" w:type="dxa"/>
              <w:right w:w="120" w:type="dxa"/>
            </w:tcMar>
            <w:vAlign w:val="center"/>
          </w:tcPr>
          <w:p w14:paraId="079E5E61">
            <w:pPr>
              <w:keepNext w:val="0"/>
              <w:keepLines w:val="0"/>
              <w:widowControl/>
              <w:suppressLineNumbers w:val="0"/>
              <w:ind w:lef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bdr w:val="none" w:color="auto" w:sz="0" w:space="0"/>
                <w:lang w:val="en-US" w:eastAsia="zh-CN" w:bidi="ar"/>
              </w:rPr>
              <w:t>①.道路硬化：长度192米，宽3.5米；②.农田护坡1：长度150米，高度2.5米；③.农田护坡2：长度145米，高度3.5米；④.农田护坡3：长度125米，高度5.0米；⑤.已有管涵进出口两侧护坡：长度24米，高度2米。</w:t>
            </w:r>
          </w:p>
        </w:tc>
        <w:tc>
          <w:tcPr>
            <w:tcW w:w="359" w:type="pct"/>
            <w:tcBorders>
              <w:top w:val="single" w:color="BBBBBB" w:sz="4" w:space="0"/>
              <w:left w:val="single" w:color="BBBBBB" w:sz="4" w:space="0"/>
              <w:bottom w:val="single" w:color="BBBBBB" w:sz="4" w:space="0"/>
              <w:right w:val="single" w:color="BBBBBB" w:sz="4" w:space="0"/>
            </w:tcBorders>
            <w:shd w:val="clear"/>
            <w:tcMar>
              <w:top w:w="60" w:type="dxa"/>
              <w:left w:w="120" w:type="dxa"/>
              <w:bottom w:w="60" w:type="dxa"/>
              <w:right w:w="120" w:type="dxa"/>
            </w:tcMar>
            <w:vAlign w:val="center"/>
          </w:tcPr>
          <w:p w14:paraId="1D47C8F9">
            <w:pPr>
              <w:keepNext w:val="0"/>
              <w:keepLines w:val="0"/>
              <w:widowControl/>
              <w:suppressLineNumbers w:val="0"/>
              <w:ind w:left="0" w:firstLine="0"/>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kern w:val="0"/>
                <w:sz w:val="21"/>
                <w:szCs w:val="21"/>
                <w:bdr w:val="none" w:color="auto" w:sz="0" w:space="0"/>
                <w:lang w:val="en-US" w:eastAsia="zh-CN" w:bidi="ar"/>
              </w:rPr>
              <w:t>245</w:t>
            </w:r>
          </w:p>
        </w:tc>
        <w:tc>
          <w:tcPr>
            <w:tcW w:w="454" w:type="pct"/>
            <w:tcBorders>
              <w:top w:val="single" w:color="BBBBBB" w:sz="4" w:space="0"/>
              <w:left w:val="single" w:color="BBBBBB" w:sz="4" w:space="0"/>
              <w:bottom w:val="single" w:color="BBBBBB" w:sz="4" w:space="0"/>
              <w:right w:val="single" w:color="BBBBBB" w:sz="4" w:space="0"/>
            </w:tcBorders>
            <w:shd w:val="clear"/>
            <w:tcMar>
              <w:top w:w="60" w:type="dxa"/>
              <w:left w:w="120" w:type="dxa"/>
              <w:bottom w:w="60" w:type="dxa"/>
              <w:right w:w="120" w:type="dxa"/>
            </w:tcMar>
            <w:vAlign w:val="center"/>
          </w:tcPr>
          <w:p w14:paraId="2AC3B736">
            <w:pPr>
              <w:keepNext w:val="0"/>
              <w:keepLines w:val="0"/>
              <w:widowControl/>
              <w:suppressLineNumbers w:val="0"/>
              <w:ind w:lef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bdr w:val="none" w:color="auto" w:sz="0" w:space="0"/>
                <w:lang w:val="en-US" w:eastAsia="zh-CN" w:bidi="ar"/>
              </w:rPr>
              <w:t>2026年6月</w:t>
            </w:r>
          </w:p>
        </w:tc>
        <w:tc>
          <w:tcPr>
            <w:tcW w:w="728" w:type="pct"/>
            <w:tcBorders>
              <w:top w:val="single" w:color="BBBBBB" w:sz="4" w:space="0"/>
              <w:left w:val="single" w:color="BBBBBB" w:sz="4" w:space="0"/>
              <w:bottom w:val="single" w:color="BBBBBB" w:sz="4" w:space="0"/>
              <w:right w:val="single" w:color="BBBBBB" w:sz="4" w:space="0"/>
            </w:tcBorders>
            <w:shd w:val="clear"/>
            <w:tcMar>
              <w:top w:w="60" w:type="dxa"/>
              <w:left w:w="120" w:type="dxa"/>
              <w:bottom w:w="60" w:type="dxa"/>
              <w:right w:w="120" w:type="dxa"/>
            </w:tcMar>
            <w:vAlign w:val="center"/>
          </w:tcPr>
          <w:p w14:paraId="215A00E8">
            <w:pPr>
              <w:keepNext w:val="0"/>
              <w:keepLines w:val="0"/>
              <w:widowControl/>
              <w:suppressLineNumbers w:val="0"/>
              <w:ind w:lef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bdr w:val="none" w:color="auto" w:sz="0" w:space="0"/>
                <w:lang w:val="en-US" w:eastAsia="zh-CN" w:bidi="ar"/>
              </w:rPr>
              <w:t>按照政府采购相关政策法规执行</w:t>
            </w:r>
          </w:p>
        </w:tc>
        <w:tc>
          <w:tcPr>
            <w:tcW w:w="342" w:type="pct"/>
            <w:tcBorders>
              <w:top w:val="single" w:color="BBBBBB" w:sz="4" w:space="0"/>
              <w:left w:val="single" w:color="BBBBBB" w:sz="4" w:space="0"/>
              <w:bottom w:val="single" w:color="BBBBBB" w:sz="4" w:space="0"/>
              <w:right w:val="single" w:color="BBBBBB" w:sz="4" w:space="0"/>
            </w:tcBorders>
            <w:shd w:val="clear"/>
            <w:tcMar>
              <w:top w:w="60" w:type="dxa"/>
              <w:left w:w="120" w:type="dxa"/>
              <w:bottom w:w="60" w:type="dxa"/>
              <w:right w:w="120" w:type="dxa"/>
            </w:tcMar>
            <w:vAlign w:val="center"/>
          </w:tcPr>
          <w:p w14:paraId="3F5FB6F3">
            <w:pPr>
              <w:keepNext w:val="0"/>
              <w:keepLines w:val="0"/>
              <w:widowControl/>
              <w:suppressLineNumbers w:val="0"/>
              <w:wordWrap w:val="0"/>
              <w:ind w:left="0" w:firstLine="0"/>
              <w:jc w:val="center"/>
              <w:rPr>
                <w:rFonts w:hint="eastAsia" w:asciiTheme="minorEastAsia" w:hAnsiTheme="minorEastAsia" w:eastAsiaTheme="minorEastAsia" w:cstheme="minorEastAsia"/>
                <w:sz w:val="21"/>
                <w:szCs w:val="21"/>
              </w:rPr>
            </w:pPr>
          </w:p>
        </w:tc>
      </w:tr>
    </w:tbl>
    <w:p w14:paraId="292BE938">
      <w:pPr>
        <w:pStyle w:val="2"/>
        <w:keepNext w:val="0"/>
        <w:keepLines w:val="0"/>
        <w:widowControl/>
        <w:suppressLineNumbers w:val="0"/>
        <w:wordWrap/>
        <w:spacing w:before="60" w:beforeAutospacing="0" w:after="60" w:afterAutospacing="0"/>
        <w:ind w:left="0" w:right="0" w:firstLine="42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rPr>
        <w:t>本次公开的采购意向是本单位政府采购工作的初步安排，具体采购项目情况以相关采购公告和采购文件为准。               </w:t>
      </w:r>
    </w:p>
    <w:p w14:paraId="19E3A9BB">
      <w:pPr>
        <w:keepNext w:val="0"/>
        <w:keepLines w:val="0"/>
        <w:widowControl/>
        <w:suppressLineNumbers w:val="0"/>
        <w:bidi w:val="0"/>
        <w:ind w:left="0" w:firstLine="0"/>
        <w:jc w:val="right"/>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kern w:val="0"/>
          <w:sz w:val="28"/>
          <w:szCs w:val="28"/>
          <w:lang w:val="en-US" w:eastAsia="zh-CN" w:bidi="ar"/>
        </w:rPr>
        <w:t>     </w:t>
      </w:r>
      <w:r>
        <w:rPr>
          <w:rFonts w:hint="eastAsia" w:asciiTheme="minorEastAsia" w:hAnsiTheme="minorEastAsia" w:cstheme="minorEastAsia"/>
          <w:i w:val="0"/>
          <w:iCs w:val="0"/>
          <w:caps w:val="0"/>
          <w:color w:val="000000"/>
          <w:spacing w:val="0"/>
          <w:kern w:val="0"/>
          <w:sz w:val="28"/>
          <w:szCs w:val="28"/>
          <w:lang w:val="en-US" w:eastAsia="zh-CN" w:bidi="ar"/>
        </w:rPr>
        <w:t xml:space="preserve">    </w:t>
      </w:r>
      <w:r>
        <w:rPr>
          <w:rFonts w:hint="eastAsia" w:asciiTheme="minorEastAsia" w:hAnsiTheme="minorEastAsia" w:eastAsiaTheme="minorEastAsia" w:cstheme="minorEastAsia"/>
          <w:i w:val="0"/>
          <w:iCs w:val="0"/>
          <w:caps w:val="0"/>
          <w:color w:val="000000"/>
          <w:spacing w:val="0"/>
          <w:kern w:val="0"/>
          <w:sz w:val="28"/>
          <w:szCs w:val="28"/>
          <w:lang w:val="en-US" w:eastAsia="zh-CN" w:bidi="ar"/>
        </w:rPr>
        <w:t xml:space="preserve">  </w:t>
      </w:r>
      <w:r>
        <w:rPr>
          <w:rFonts w:hint="eastAsia" w:asciiTheme="minorEastAsia" w:hAnsiTheme="minorEastAsia" w:eastAsiaTheme="minorEastAsia" w:cstheme="minorEastAsia"/>
          <w:b/>
          <w:bCs/>
          <w:i w:val="0"/>
          <w:iCs w:val="0"/>
          <w:caps w:val="0"/>
          <w:color w:val="000000"/>
          <w:spacing w:val="0"/>
          <w:kern w:val="0"/>
          <w:sz w:val="28"/>
          <w:szCs w:val="28"/>
          <w:lang w:val="en-US" w:eastAsia="zh-CN" w:bidi="ar"/>
        </w:rPr>
        <w:t>宾阳县洋桥镇人民政府</w:t>
      </w:r>
      <w:r>
        <w:rPr>
          <w:rFonts w:hint="eastAsia" w:asciiTheme="minorEastAsia" w:hAnsiTheme="minorEastAsia" w:eastAsiaTheme="minorEastAsia" w:cstheme="minorEastAsia"/>
          <w:i w:val="0"/>
          <w:iCs w:val="0"/>
          <w:caps w:val="0"/>
          <w:color w:val="000000"/>
          <w:spacing w:val="0"/>
          <w:kern w:val="0"/>
          <w:sz w:val="28"/>
          <w:szCs w:val="28"/>
          <w:lang w:val="en-US" w:eastAsia="zh-CN" w:bidi="ar"/>
        </w:rPr>
        <w:t>        </w:t>
      </w:r>
    </w:p>
    <w:p w14:paraId="03497ED6">
      <w:pPr>
        <w:pStyle w:val="2"/>
        <w:keepNext w:val="0"/>
        <w:keepLines w:val="0"/>
        <w:widowControl/>
        <w:suppressLineNumbers w:val="0"/>
        <w:wordWrap/>
        <w:spacing w:before="60" w:beforeAutospacing="0" w:after="60" w:afterAutospacing="0"/>
        <w:ind w:left="0" w:right="0"/>
        <w:jc w:val="center"/>
        <w:rPr>
          <w:rFonts w:hint="eastAsia" w:asciiTheme="minorEastAsia" w:hAnsiTheme="minorEastAsia" w:eastAsiaTheme="minorEastAsia" w:cstheme="minorEastAsia"/>
        </w:rPr>
      </w:pPr>
      <w:r>
        <w:rPr>
          <w:rFonts w:hint="eastAsia" w:asciiTheme="minorEastAsia" w:hAnsiTheme="minorEastAsia" w:cstheme="minorEastAsia"/>
          <w:i w:val="0"/>
          <w:iCs w:val="0"/>
          <w:caps w:val="0"/>
          <w:color w:val="000000"/>
          <w:spacing w:val="0"/>
          <w:sz w:val="28"/>
          <w:szCs w:val="28"/>
          <w:lang w:val="en-US" w:eastAsia="zh-CN"/>
        </w:rPr>
        <w:t xml:space="preserve">                                                         </w:t>
      </w:r>
      <w:bookmarkStart w:id="0" w:name="_GoBack"/>
      <w:bookmarkEnd w:id="0"/>
      <w:r>
        <w:rPr>
          <w:rFonts w:hint="eastAsia" w:asciiTheme="minorEastAsia" w:hAnsiTheme="minorEastAsia" w:eastAsiaTheme="minorEastAsia" w:cstheme="minorEastAsia"/>
          <w:i w:val="0"/>
          <w:iCs w:val="0"/>
          <w:caps w:val="0"/>
          <w:color w:val="000000"/>
          <w:spacing w:val="0"/>
          <w:sz w:val="28"/>
          <w:szCs w:val="28"/>
        </w:rPr>
        <w:t> </w:t>
      </w:r>
      <w:r>
        <w:rPr>
          <w:rStyle w:val="6"/>
          <w:rFonts w:hint="eastAsia" w:asciiTheme="minorEastAsia" w:hAnsiTheme="minorEastAsia" w:eastAsiaTheme="minorEastAsia" w:cstheme="minorEastAsia"/>
          <w:i w:val="0"/>
          <w:iCs w:val="0"/>
          <w:caps w:val="0"/>
          <w:color w:val="000000"/>
          <w:spacing w:val="0"/>
          <w:sz w:val="28"/>
          <w:szCs w:val="28"/>
        </w:rPr>
        <w:t>2026年05月27日</w:t>
      </w:r>
      <w:r>
        <w:rPr>
          <w:rFonts w:hint="eastAsia" w:asciiTheme="minorEastAsia" w:hAnsiTheme="minorEastAsia" w:eastAsiaTheme="minorEastAsia" w:cstheme="minorEastAsia"/>
          <w:i w:val="0"/>
          <w:iCs w:val="0"/>
          <w:caps w:val="0"/>
          <w:color w:val="000000"/>
          <w:spacing w:val="0"/>
          <w:sz w:val="28"/>
          <w:szCs w:val="28"/>
        </w:rPr>
        <w:t>   </w:t>
      </w:r>
    </w:p>
    <w:p w14:paraId="49B89C5E">
      <w:pPr>
        <w:rPr>
          <w:rFonts w:hint="eastAsia" w:asciiTheme="minorEastAsia" w:hAnsiTheme="minorEastAsia" w:eastAsiaTheme="minorEastAsia" w:cstheme="minor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257A0E"/>
    <w:rsid w:val="0D55387B"/>
    <w:rsid w:val="24117BB9"/>
    <w:rsid w:val="28257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2026-05-27T03:25:00Z</dcterms:created>
  <dc:creator>dqy</dc:creator>
  <cp:lastModifiedBy>dqy</cp:lastModifiedBy>
  <dcterms:modified xsi:type="dcterms:W3CDTF">2026-05-27T03:33:50Z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6679CCAAF2FA438BBD44CDEA5B1A67FC_11</vt:lpwstr>
  </property>
  <property fmtid="{D5CDD505-2E9C-101B-9397-08002B2CF9AE}" pid="4" name="KSOTemplateDocerSaveRecord">
    <vt:lpwstr>eyJoZGlkIjoiOTQ4YWFhODNmMjA2MWY5OGU1ZmRkMjViZDc4ZTA4YTIiLCJ1c2VySWQiOiI1ODIzNDI2NjkifQ==</vt:lpwstr>
  </property>
</Properties>
</file>