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9CD73">
      <w:pPr>
        <w:bidi w:val="0"/>
        <w:jc w:val="center"/>
        <w:rPr>
          <w:rFonts w:hint="eastAsia"/>
          <w:sz w:val="30"/>
          <w:szCs w:val="30"/>
        </w:rPr>
      </w:pPr>
      <w:bookmarkStart w:id="0" w:name="_GoBack"/>
      <w:r>
        <w:rPr>
          <w:rFonts w:hint="eastAsia"/>
          <w:sz w:val="30"/>
          <w:szCs w:val="30"/>
        </w:rPr>
        <w:t>采购需求概况</w:t>
      </w:r>
      <w:bookmarkEnd w:id="0"/>
    </w:p>
    <w:p w14:paraId="1B7D7F53">
      <w:pPr>
        <w:rPr>
          <w:rFonts w:hint="eastAsia"/>
        </w:rPr>
      </w:pPr>
      <w:r>
        <w:rPr>
          <w:rFonts w:hint="eastAsia"/>
        </w:rPr>
        <w:t>一、工作范围</w:t>
      </w:r>
    </w:p>
    <w:p w14:paraId="07C9AECB">
      <w:pPr>
        <w:rPr>
          <w:rFonts w:hint="eastAsia"/>
        </w:rPr>
      </w:pPr>
      <w:r>
        <w:rPr>
          <w:rFonts w:hint="eastAsia"/>
        </w:rPr>
        <w:t>融水苗族自治县行政区域内全部范围，包括县城区及下辖的20个乡镇。</w:t>
      </w:r>
    </w:p>
    <w:p w14:paraId="2253010B">
      <w:pPr>
        <w:rPr>
          <w:rFonts w:hint="eastAsia"/>
        </w:rPr>
      </w:pPr>
      <w:r>
        <w:rPr>
          <w:rFonts w:hint="eastAsia"/>
        </w:rPr>
        <w:t>二、工作内容完成国家下发我县开展2025年度土地、矿产违法线索图斑和2018至2024年历史存量卫片核查、系统数据上报入库销号和立档组卷服务等工作。1.图斑前期技术辅助服务:协助完成执法图斑的前期数据处理，包括图斑坐标校准、与土地利用总体规划图及矿产资源规划图叠加分析，明确图斑涉及的规划地类、权属单位等基础信息。对初步提取的疑似违法图斑进行预筛查，剔除明显误判图斑，减少后续实地核查工作量。编制图斑核查工作底图，标注图斑核心区域、周边参照物、核查路线建议等，为现场作业提供消晰指引。2.外业实地核查服务:协助执法人员开展现场核查，负责图斑实地定位、边界测量(辅助使用GPS设备)，记录土地和矿产图斑实际使用主体、用途、建设进度等信息。收集核查证据，包括拍摄现场照片(全景、局部特写)、录制视频，填写《图斑核查记录表》，并同步将信息上传至执法信息化系统。</w:t>
      </w:r>
    </w:p>
    <w:p w14:paraId="79B64369">
      <w:pPr>
        <w:rPr>
          <w:rFonts w:hint="eastAsia"/>
        </w:rPr>
      </w:pPr>
      <w:r>
        <w:rPr>
          <w:rFonts w:hint="eastAsia"/>
        </w:rPr>
        <w:t>3.违法问题处置与整改跟踪服务:协助整理违法图斑的核查材料，按执法流程规范编制《违法问题初步认定报告》，明确违法事实、涉及法律法规条款、初步处置建议。跟踪违法图斑整改进度，定期到现场复核整改进度(如拆除违法建筑、恢复土地原状等)，拍摄整改过程照片、视频，形成《整改跟踪记录》。对整改完成的图斑，协助收集整改验收材料(如恢复后土地的地类证明、相关部门验收意见等)，初步核验整改是否符合要求，为正式验收提供支撑4.成果汇总与数据服务:负责卫片执法全流程数据的整理、汇总，包括图斑核查数据、违法处置数据、整改验收数据等，按统一标准录入系统，确保数据完整、准确。编制执法数据统计分析报告，对本年度图斑数量、违法类型分布、整改完成率等指标进行分析，提炼违法问题趋势，为执法决策提供数据参考。协助完成执法成果归档，将图斑相关的技术报告、核查记录、证据材料、整改文件等按档案管理规范整理成册，形成可追溯的执法档案。三、成果要求</w:t>
      </w:r>
    </w:p>
    <w:p w14:paraId="056A7C66">
      <w:pPr>
        <w:rPr>
          <w:rFonts w:hint="eastAsia"/>
        </w:rPr>
      </w:pPr>
      <w:r>
        <w:rPr>
          <w:rFonts w:hint="eastAsia"/>
        </w:rPr>
        <w:t>1.图斑前期技术辅助服务成果作底图(带坐标、标注)》。2.外业实地核查成果拍摄人。</w:t>
      </w:r>
    </w:p>
    <w:p w14:paraId="3BE8099D">
      <w:pPr>
        <w:rPr>
          <w:rFonts w:hint="eastAsia"/>
        </w:rPr>
      </w:pPr>
      <w:r>
        <w:rPr>
          <w:rFonts w:hint="eastAsia"/>
        </w:rPr>
        <w:t>成果形式:《图斑坐标校准与规划叠加分析报告》《疑似违法图斑预筛查剔除清单》《图斑核查工</w:t>
      </w:r>
    </w:p>
    <w:p w14:paraId="0DE0C45E">
      <w:pPr>
        <w:rPr>
          <w:rFonts w:hint="eastAsia"/>
        </w:rPr>
      </w:pPr>
      <w:r>
        <w:rPr>
          <w:rFonts w:hint="eastAsia"/>
        </w:rPr>
        <w:t>成果形式:《图斑实地核查记录表(含电子/纸质版)》《核查现场证据材料包(照片、视频)》</w:t>
      </w:r>
    </w:p>
    <w:p w14:paraId="2E58D84D">
      <w:pPr>
        <w:rPr>
          <w:rFonts w:hint="eastAsia"/>
        </w:rPr>
      </w:pPr>
      <w:r>
        <w:rPr>
          <w:rFonts w:hint="eastAsia"/>
        </w:rPr>
        <w:t>3.违法问题处置与整改跟踪服务成果验报告》。</w:t>
      </w:r>
    </w:p>
    <w:p w14:paraId="15DC0490">
      <w:pPr>
        <w:rPr>
          <w:rFonts w:hint="eastAsia"/>
        </w:rPr>
      </w:pPr>
      <w:r>
        <w:rPr>
          <w:rFonts w:hint="eastAsia"/>
        </w:rPr>
        <w:t>成果形式:《违法问题初步认定报告》《整改跟踪记录表(含进度照片/视频)》《整改完成初步核</w:t>
      </w:r>
    </w:p>
    <w:p w14:paraId="0F5D434C">
      <w:pPr>
        <w:rPr>
          <w:rFonts w:hint="eastAsia"/>
        </w:rPr>
      </w:pPr>
      <w:r>
        <w:rPr>
          <w:rFonts w:hint="eastAsia"/>
        </w:rPr>
        <w:t>4.成果汇总与数据服务成果案(电子/纸质版)》。</w:t>
      </w:r>
    </w:p>
    <w:p w14:paraId="649AB191">
      <w:pPr>
        <w:rPr>
          <w:rFonts w:hint="eastAsia"/>
        </w:rPr>
      </w:pPr>
      <w:r>
        <w:rPr>
          <w:rFonts w:hint="eastAsia"/>
        </w:rPr>
        <w:t>成果形式:《卫片执法数据汇总表(含电子版)》《执法数据统计分析报告》《卫片执法成果归档档</w:t>
      </w:r>
    </w:p>
    <w:p w14:paraId="15D933F4">
      <w:pPr>
        <w:rPr>
          <w:rFonts w:hint="eastAsia"/>
        </w:rPr>
      </w:pPr>
      <w:r>
        <w:rPr>
          <w:rFonts w:hint="eastAsia"/>
        </w:rPr>
        <w:t>四、项目完成时间</w:t>
      </w:r>
    </w:p>
    <w:p w14:paraId="6E6402E5">
      <w:r>
        <w:rPr>
          <w:rFonts w:hint="eastAsia"/>
        </w:rPr>
        <w:t>2026年1月30日前完成上述工作(具体完成时间以上级部门通知为准)。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C5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2026-07-13T08:10:25Z</dcterms:created>
  <dc:creator>Administrator</dc:creator>
  <cp:lastModifiedBy>融水先飞达速运+蚁链物流</cp:lastModifiedBy>
  <dcterms:modified xsi:type="dcterms:W3CDTF">2026-07-13T08:10:55Z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eyJoZGlkIjoiMmE1ZWFlMWY5ZjU4NDkwZDM2NGE0NzgwYWVmOGNkZTAiLCJ1c2VySWQiOiIxMDgwNjQ5NTQwIn0=</vt:lpwstr>
  </property>
  <property fmtid="{D5CDD505-2E9C-101B-9397-08002B2CF9AE}" pid="4" name="ICV">
    <vt:lpwstr>2D9A48633BE7437E8004C33626F0AEE2_12</vt:lpwstr>
  </property>
</Properties>
</file>