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0F882C6">
      <w:pPr>
        <w:ind w:firstLine="0" w:firstLineChars="0"/>
        <w:jc w:val="center"/>
      </w:pPr>
    </w:p>
    <w:p w14:paraId="396289C4">
      <w:pPr>
        <w:ind w:firstLine="0" w:firstLineChars="0"/>
        <w:jc w:val="center"/>
      </w:pPr>
    </w:p>
    <w:p w14:paraId="71D2A9E4">
      <w:pPr>
        <w:spacing w:line="800" w:lineRule="exact"/>
        <w:ind w:firstLine="0" w:firstLineChars="0"/>
        <w:jc w:val="center"/>
        <w:rPr>
          <w:rFonts w:eastAsiaTheme="minorEastAsia"/>
          <w:b/>
          <w:bCs/>
          <w:kern w:val="0"/>
          <w:sz w:val="52"/>
          <w:szCs w:val="52"/>
        </w:rPr>
      </w:pPr>
      <w:r>
        <w:rPr>
          <w:rFonts w:eastAsiaTheme="minorEastAsia"/>
          <w:b/>
          <w:bCs/>
          <w:kern w:val="0"/>
          <w:sz w:val="52"/>
          <w:szCs w:val="52"/>
        </w:rPr>
        <w:t>华润水泥（上思）有限公司龙大山矿区水泥用灰岩矿整合区</w:t>
      </w:r>
    </w:p>
    <w:p w14:paraId="2A09567A">
      <w:pPr>
        <w:widowControl/>
        <w:spacing w:line="800" w:lineRule="exact"/>
        <w:ind w:firstLine="0" w:firstLineChars="0"/>
        <w:jc w:val="center"/>
        <w:rPr>
          <w:rFonts w:eastAsiaTheme="minorEastAsia"/>
          <w:b/>
          <w:bCs/>
          <w:kern w:val="0"/>
          <w:sz w:val="52"/>
          <w:szCs w:val="52"/>
        </w:rPr>
      </w:pPr>
      <w:r>
        <w:rPr>
          <w:rFonts w:eastAsiaTheme="minorEastAsia"/>
          <w:b/>
          <w:bCs/>
          <w:kern w:val="0"/>
          <w:sz w:val="52"/>
          <w:szCs w:val="52"/>
        </w:rPr>
        <w:t>详查实施方案</w:t>
      </w:r>
    </w:p>
    <w:p w14:paraId="717E8D10">
      <w:pPr>
        <w:ind w:firstLine="0" w:firstLineChars="0"/>
        <w:jc w:val="center"/>
      </w:pPr>
    </w:p>
    <w:p w14:paraId="3AAD5154">
      <w:pPr>
        <w:ind w:firstLine="0" w:firstLineChars="0"/>
        <w:jc w:val="center"/>
      </w:pPr>
    </w:p>
    <w:p w14:paraId="3EFCB220">
      <w:pPr>
        <w:ind w:firstLine="0" w:firstLineChars="0"/>
        <w:jc w:val="center"/>
      </w:pPr>
    </w:p>
    <w:p w14:paraId="51A92AFB">
      <w:pPr>
        <w:ind w:firstLine="0" w:firstLineChars="0"/>
        <w:jc w:val="center"/>
      </w:pPr>
    </w:p>
    <w:p w14:paraId="4D474237">
      <w:pPr>
        <w:ind w:firstLine="0" w:firstLineChars="0"/>
        <w:jc w:val="center"/>
      </w:pPr>
    </w:p>
    <w:p w14:paraId="3BD9B84E">
      <w:pPr>
        <w:ind w:firstLine="0" w:firstLineChars="0"/>
        <w:jc w:val="center"/>
      </w:pPr>
    </w:p>
    <w:p w14:paraId="062E401F">
      <w:pPr>
        <w:ind w:firstLine="0" w:firstLineChars="0"/>
        <w:jc w:val="center"/>
      </w:pPr>
    </w:p>
    <w:p w14:paraId="6573C71C">
      <w:pPr>
        <w:ind w:firstLine="0" w:firstLineChars="0"/>
        <w:jc w:val="center"/>
      </w:pPr>
    </w:p>
    <w:p w14:paraId="35A2B9EB">
      <w:pPr>
        <w:ind w:firstLine="0" w:firstLineChars="0"/>
        <w:jc w:val="center"/>
      </w:pPr>
    </w:p>
    <w:p w14:paraId="0280F412">
      <w:pPr>
        <w:ind w:firstLine="0" w:firstLineChars="0"/>
        <w:jc w:val="center"/>
      </w:pPr>
    </w:p>
    <w:p w14:paraId="4EAC59FF">
      <w:pPr>
        <w:ind w:firstLine="0" w:firstLineChars="0"/>
        <w:jc w:val="center"/>
      </w:pPr>
    </w:p>
    <w:p w14:paraId="1D0D36A4">
      <w:pPr>
        <w:ind w:firstLine="0" w:firstLineChars="0"/>
        <w:jc w:val="center"/>
      </w:pPr>
    </w:p>
    <w:p w14:paraId="706FC8CE">
      <w:pPr>
        <w:ind w:firstLine="0" w:firstLineChars="0"/>
        <w:jc w:val="center"/>
      </w:pPr>
    </w:p>
    <w:p w14:paraId="6CEC0B15">
      <w:pPr>
        <w:ind w:firstLine="0" w:firstLineChars="0"/>
        <w:jc w:val="center"/>
      </w:pPr>
    </w:p>
    <w:p w14:paraId="0319A768">
      <w:pPr>
        <w:ind w:firstLine="0" w:firstLineChars="0"/>
        <w:jc w:val="center"/>
      </w:pPr>
    </w:p>
    <w:p w14:paraId="0D683E55">
      <w:pPr>
        <w:widowControl/>
        <w:ind w:firstLine="1606" w:firstLineChars="500"/>
        <w:rPr>
          <w:rFonts w:eastAsia="宋体"/>
          <w:b/>
          <w:bCs/>
          <w:snapToGrid w:val="0"/>
          <w:kern w:val="21"/>
          <w:sz w:val="32"/>
          <w:szCs w:val="32"/>
        </w:rPr>
      </w:pPr>
      <w:r>
        <w:rPr>
          <w:rFonts w:eastAsia="宋体"/>
          <w:b/>
          <w:bCs/>
          <w:snapToGrid w:val="0"/>
          <w:kern w:val="21"/>
          <w:sz w:val="32"/>
          <w:szCs w:val="32"/>
        </w:rPr>
        <w:t>委托单位：防城港市自然资源局</w:t>
      </w:r>
    </w:p>
    <w:p w14:paraId="07EB2305">
      <w:pPr>
        <w:widowControl/>
        <w:ind w:firstLine="1606" w:firstLineChars="500"/>
        <w:rPr>
          <w:rFonts w:eastAsia="宋体"/>
          <w:b/>
          <w:bCs/>
          <w:snapToGrid w:val="0"/>
          <w:kern w:val="21"/>
          <w:sz w:val="32"/>
          <w:szCs w:val="32"/>
        </w:rPr>
      </w:pPr>
      <w:r>
        <w:rPr>
          <w:rFonts w:eastAsia="宋体"/>
          <w:b/>
          <w:bCs/>
          <w:snapToGrid w:val="0"/>
          <w:kern w:val="21"/>
          <w:sz w:val="32"/>
          <w:szCs w:val="32"/>
        </w:rPr>
        <w:t>编写单位：</w:t>
      </w:r>
      <w:r>
        <w:rPr>
          <w:rFonts w:eastAsia="宋体"/>
          <w:b/>
          <w:snapToGrid w:val="0"/>
          <w:kern w:val="21"/>
          <w:sz w:val="32"/>
          <w:szCs w:val="32"/>
        </w:rPr>
        <w:t>广西国土资源规划设计集团有限公司</w:t>
      </w:r>
    </w:p>
    <w:p w14:paraId="406BFD6F">
      <w:pPr>
        <w:widowControl/>
        <w:ind w:firstLine="1606" w:firstLineChars="500"/>
        <w:rPr>
          <w:rFonts w:eastAsia="宋体"/>
          <w:b/>
          <w:bCs/>
          <w:sz w:val="32"/>
          <w:szCs w:val="32"/>
        </w:rPr>
      </w:pPr>
      <w:r>
        <w:rPr>
          <w:rFonts w:eastAsia="宋体"/>
          <w:b/>
          <w:bCs/>
          <w:sz w:val="32"/>
          <w:szCs w:val="32"/>
        </w:rPr>
        <w:t>日    期：二〇二六</w:t>
      </w:r>
      <w:r>
        <w:rPr>
          <w:rFonts w:eastAsia="宋体"/>
          <w:b/>
          <w:bCs/>
          <w:color w:val="auto"/>
          <w:sz w:val="32"/>
          <w:szCs w:val="32"/>
        </w:rPr>
        <w:t>年六月</w:t>
      </w:r>
    </w:p>
    <w:p w14:paraId="3864EA21">
      <w:pPr>
        <w:widowControl/>
        <w:ind w:firstLine="1928" w:firstLineChars="600"/>
        <w:rPr>
          <w:rFonts w:eastAsia="宋体"/>
          <w:b/>
          <w:bCs/>
          <w:sz w:val="32"/>
          <w:szCs w:val="32"/>
        </w:rPr>
        <w:sectPr>
          <w:headerReference r:id="rId6" w:type="first"/>
          <w:footerReference r:id="rId9" w:type="first"/>
          <w:footerReference r:id="rId7" w:type="default"/>
          <w:headerReference r:id="rId5" w:type="even"/>
          <w:footerReference r:id="rId8" w:type="even"/>
          <w:pgSz w:w="11906" w:h="16838"/>
          <w:pgMar w:top="1418" w:right="1418" w:bottom="1418" w:left="1418" w:header="851" w:footer="1304" w:gutter="0"/>
          <w:pgNumType w:start="0"/>
          <w:cols w:space="720" w:num="1"/>
          <w:titlePg/>
          <w:docGrid w:type="lines" w:linePitch="381" w:charSpace="0"/>
        </w:sectPr>
      </w:pPr>
    </w:p>
    <w:p w14:paraId="604F6C76">
      <w:pPr>
        <w:widowControl/>
        <w:ind w:firstLine="0" w:firstLineChars="0"/>
        <w:jc w:val="center"/>
        <w:rPr>
          <w:rFonts w:eastAsia="宋体"/>
          <w:b/>
          <w:sz w:val="52"/>
          <w:szCs w:val="52"/>
        </w:rPr>
      </w:pPr>
      <w:bookmarkStart w:id="0" w:name="_Toc224987004"/>
      <w:bookmarkStart w:id="1" w:name="_Toc224986740"/>
    </w:p>
    <w:p w14:paraId="586EA2A4">
      <w:pPr>
        <w:spacing w:line="800" w:lineRule="exact"/>
        <w:ind w:firstLine="0" w:firstLineChars="0"/>
        <w:jc w:val="center"/>
        <w:rPr>
          <w:rFonts w:eastAsiaTheme="minorEastAsia"/>
          <w:b/>
          <w:bCs/>
          <w:kern w:val="0"/>
          <w:sz w:val="52"/>
          <w:szCs w:val="52"/>
        </w:rPr>
      </w:pPr>
      <w:r>
        <w:rPr>
          <w:rFonts w:eastAsiaTheme="minorEastAsia"/>
          <w:b/>
          <w:bCs/>
          <w:kern w:val="0"/>
          <w:sz w:val="52"/>
          <w:szCs w:val="52"/>
        </w:rPr>
        <w:t>华润水泥（上思）有限公司龙大山矿区水泥用灰岩矿整合区</w:t>
      </w:r>
    </w:p>
    <w:p w14:paraId="3FDC5126">
      <w:pPr>
        <w:widowControl/>
        <w:spacing w:line="800" w:lineRule="exact"/>
        <w:ind w:firstLine="0" w:firstLineChars="0"/>
        <w:jc w:val="center"/>
        <w:rPr>
          <w:rFonts w:eastAsiaTheme="minorEastAsia"/>
          <w:b/>
          <w:bCs/>
          <w:kern w:val="0"/>
          <w:sz w:val="52"/>
          <w:szCs w:val="52"/>
        </w:rPr>
      </w:pPr>
      <w:r>
        <w:rPr>
          <w:rFonts w:eastAsiaTheme="minorEastAsia"/>
          <w:b/>
          <w:bCs/>
          <w:kern w:val="0"/>
          <w:sz w:val="52"/>
          <w:szCs w:val="52"/>
        </w:rPr>
        <w:t>详查实施方案</w:t>
      </w:r>
    </w:p>
    <w:p w14:paraId="3B4A45F4">
      <w:pPr>
        <w:widowControl/>
        <w:ind w:firstLine="0" w:firstLineChars="0"/>
        <w:jc w:val="center"/>
        <w:rPr>
          <w:rFonts w:eastAsia="宋体"/>
          <w:b/>
          <w:sz w:val="52"/>
          <w:szCs w:val="52"/>
        </w:rPr>
      </w:pPr>
    </w:p>
    <w:p w14:paraId="22E0F840">
      <w:pPr>
        <w:ind w:firstLine="0" w:firstLineChars="0"/>
        <w:jc w:val="center"/>
        <w:rPr>
          <w:rFonts w:eastAsia="宋体"/>
          <w:szCs w:val="28"/>
        </w:rPr>
      </w:pPr>
    </w:p>
    <w:p w14:paraId="28002B93">
      <w:pPr>
        <w:ind w:firstLine="0" w:firstLineChars="0"/>
        <w:jc w:val="center"/>
        <w:rPr>
          <w:rFonts w:eastAsia="宋体"/>
          <w:szCs w:val="28"/>
        </w:rPr>
      </w:pPr>
    </w:p>
    <w:p w14:paraId="5496755D">
      <w:pPr>
        <w:ind w:firstLine="0" w:firstLineChars="0"/>
        <w:jc w:val="center"/>
        <w:rPr>
          <w:rFonts w:eastAsia="宋体"/>
          <w:szCs w:val="28"/>
        </w:rPr>
      </w:pPr>
    </w:p>
    <w:p w14:paraId="040867E6">
      <w:pPr>
        <w:ind w:firstLine="0" w:firstLineChars="0"/>
        <w:jc w:val="center"/>
        <w:rPr>
          <w:rFonts w:eastAsia="宋体"/>
          <w:szCs w:val="28"/>
        </w:rPr>
      </w:pPr>
    </w:p>
    <w:p w14:paraId="76C30137">
      <w:pPr>
        <w:spacing w:line="600" w:lineRule="exact"/>
        <w:ind w:firstLine="1400" w:firstLineChars="500"/>
        <w:rPr>
          <w:rFonts w:eastAsia="宋体"/>
          <w:szCs w:val="28"/>
        </w:rPr>
      </w:pPr>
      <w:r>
        <w:rPr>
          <w:rFonts w:eastAsia="宋体"/>
          <w:szCs w:val="28"/>
        </w:rPr>
        <w:t>委托单位：防城港市自然资源局</w:t>
      </w:r>
    </w:p>
    <w:p w14:paraId="320ECB3A">
      <w:pPr>
        <w:spacing w:line="600" w:lineRule="exact"/>
        <w:ind w:firstLine="1400" w:firstLineChars="500"/>
        <w:rPr>
          <w:rFonts w:eastAsia="宋体"/>
          <w:szCs w:val="28"/>
        </w:rPr>
      </w:pPr>
      <w:r>
        <w:rPr>
          <w:rFonts w:eastAsia="宋体"/>
          <w:szCs w:val="28"/>
        </w:rPr>
        <w:t>委托日期：二〇二六年五月</w:t>
      </w:r>
    </w:p>
    <w:p w14:paraId="768F8B06">
      <w:pPr>
        <w:ind w:firstLine="0" w:firstLineChars="0"/>
        <w:jc w:val="center"/>
        <w:rPr>
          <w:rFonts w:eastAsia="宋体"/>
          <w:szCs w:val="28"/>
        </w:rPr>
      </w:pPr>
    </w:p>
    <w:p w14:paraId="7F1AAED6">
      <w:pPr>
        <w:ind w:firstLine="0" w:firstLineChars="0"/>
        <w:jc w:val="center"/>
        <w:rPr>
          <w:rFonts w:eastAsia="宋体"/>
          <w:szCs w:val="28"/>
        </w:rPr>
      </w:pPr>
    </w:p>
    <w:bookmarkEnd w:id="0"/>
    <w:bookmarkEnd w:id="1"/>
    <w:p w14:paraId="3600EBEF">
      <w:pPr>
        <w:spacing w:line="600" w:lineRule="exact"/>
        <w:ind w:firstLine="1400" w:firstLineChars="500"/>
        <w:rPr>
          <w:rFonts w:eastAsia="宋体"/>
          <w:szCs w:val="28"/>
        </w:rPr>
      </w:pPr>
      <w:r>
        <w:rPr>
          <w:rFonts w:eastAsia="宋体"/>
          <w:szCs w:val="28"/>
        </w:rPr>
        <w:t>编写单位：</w:t>
      </w:r>
      <w:r>
        <w:rPr>
          <w:rFonts w:eastAsia="宋体"/>
          <w:bCs/>
          <w:spacing w:val="40"/>
          <w:kern w:val="0"/>
          <w:szCs w:val="28"/>
        </w:rPr>
        <w:t>广西国土资源规划设计集团有限公司</w:t>
      </w:r>
    </w:p>
    <w:p w14:paraId="667201EB">
      <w:pPr>
        <w:spacing w:line="600" w:lineRule="exact"/>
        <w:ind w:firstLine="1400" w:firstLineChars="500"/>
        <w:rPr>
          <w:rFonts w:eastAsia="宋体"/>
          <w:szCs w:val="28"/>
        </w:rPr>
      </w:pPr>
      <w:r>
        <w:rPr>
          <w:rFonts w:eastAsia="宋体"/>
          <w:szCs w:val="28"/>
        </w:rPr>
        <w:t>编 写 人：吴城明 黄敦杰 韦帅熊 陆春形 张晓晨 黄秘伟</w:t>
      </w:r>
    </w:p>
    <w:p w14:paraId="34389A9A">
      <w:pPr>
        <w:spacing w:line="600" w:lineRule="exact"/>
        <w:ind w:firstLine="1400" w:firstLineChars="500"/>
        <w:rPr>
          <w:rFonts w:eastAsia="宋体"/>
          <w:szCs w:val="28"/>
        </w:rPr>
      </w:pPr>
      <w:r>
        <w:rPr>
          <w:rFonts w:eastAsia="宋体"/>
          <w:szCs w:val="28"/>
        </w:rPr>
        <w:t>审 核 人：覃  伟</w:t>
      </w:r>
    </w:p>
    <w:p w14:paraId="12A15F1A">
      <w:pPr>
        <w:spacing w:line="600" w:lineRule="exact"/>
        <w:ind w:firstLine="1400" w:firstLineChars="500"/>
        <w:rPr>
          <w:rFonts w:eastAsia="宋体"/>
          <w:szCs w:val="28"/>
        </w:rPr>
      </w:pPr>
      <w:r>
        <w:rPr>
          <w:rFonts w:eastAsia="宋体"/>
          <w:szCs w:val="28"/>
        </w:rPr>
        <w:t>审 定 人：黄荣强</w:t>
      </w:r>
    </w:p>
    <w:p w14:paraId="047048DC">
      <w:pPr>
        <w:spacing w:line="600" w:lineRule="exact"/>
        <w:ind w:firstLine="1400" w:firstLineChars="500"/>
        <w:rPr>
          <w:rFonts w:eastAsia="宋体"/>
          <w:szCs w:val="28"/>
        </w:rPr>
      </w:pPr>
      <w:r>
        <w:rPr>
          <w:rFonts w:eastAsia="宋体"/>
          <w:szCs w:val="28"/>
        </w:rPr>
        <w:t>项目负责人：吴城明</w:t>
      </w:r>
    </w:p>
    <w:p w14:paraId="1DBAB34B">
      <w:pPr>
        <w:spacing w:line="600" w:lineRule="exact"/>
        <w:ind w:firstLine="1400" w:firstLineChars="500"/>
        <w:rPr>
          <w:rFonts w:eastAsia="宋体"/>
          <w:szCs w:val="28"/>
        </w:rPr>
      </w:pPr>
      <w:r>
        <w:rPr>
          <w:rFonts w:eastAsia="宋体"/>
          <w:szCs w:val="28"/>
        </w:rPr>
        <w:t>总工程师：农宵宵</w:t>
      </w:r>
    </w:p>
    <w:p w14:paraId="40DAF927">
      <w:pPr>
        <w:spacing w:line="600" w:lineRule="exact"/>
        <w:ind w:firstLine="1400" w:firstLineChars="500"/>
        <w:rPr>
          <w:rFonts w:eastAsia="宋体"/>
          <w:szCs w:val="28"/>
        </w:rPr>
      </w:pPr>
      <w:r>
        <w:rPr>
          <w:rFonts w:eastAsia="宋体"/>
          <w:szCs w:val="28"/>
        </w:rPr>
        <w:t>法人代表：余述琼</w:t>
      </w:r>
    </w:p>
    <w:p w14:paraId="0D394A8F">
      <w:pPr>
        <w:spacing w:line="600" w:lineRule="exact"/>
        <w:ind w:firstLine="1400" w:firstLineChars="500"/>
        <w:rPr>
          <w:rFonts w:eastAsia="宋体"/>
          <w:szCs w:val="28"/>
        </w:rPr>
        <w:sectPr>
          <w:pgSz w:w="11906" w:h="16838"/>
          <w:pgMar w:top="1418" w:right="1418" w:bottom="1418" w:left="1418" w:header="851" w:footer="1304" w:gutter="0"/>
          <w:pgNumType w:start="0"/>
          <w:cols w:space="720" w:num="1"/>
          <w:titlePg/>
          <w:docGrid w:type="lines" w:linePitch="381" w:charSpace="0"/>
        </w:sectPr>
      </w:pPr>
      <w:r>
        <w:rPr>
          <w:rFonts w:eastAsia="宋体"/>
          <w:szCs w:val="28"/>
        </w:rPr>
        <w:t>提交日期</w:t>
      </w:r>
      <w:r>
        <w:rPr>
          <w:rFonts w:eastAsia="宋体"/>
          <w:color w:val="auto"/>
          <w:szCs w:val="28"/>
        </w:rPr>
        <w:t>：二〇二六年六月</w:t>
      </w:r>
    </w:p>
    <w:p w14:paraId="7FC16B30">
      <w:pPr>
        <w:spacing w:line="240" w:lineRule="auto"/>
        <w:ind w:firstLine="0" w:firstLineChars="0"/>
        <w:jc w:val="center"/>
        <w:rPr>
          <w:rFonts w:eastAsia="宋体"/>
          <w:b/>
          <w:bCs/>
          <w:sz w:val="32"/>
          <w:szCs w:val="32"/>
        </w:rPr>
      </w:pPr>
      <w:bookmarkStart w:id="2" w:name="_Toc9516"/>
      <w:r>
        <w:rPr>
          <w:rFonts w:eastAsia="宋体"/>
          <w:b/>
          <w:bCs/>
          <w:sz w:val="32"/>
          <w:szCs w:val="32"/>
        </w:rPr>
        <w:t>华润水泥（上思）有限公司龙大山矿区水泥用灰岩矿整合区详查实施方案编制人员分工表</w:t>
      </w:r>
      <w:bookmarkEnd w:id="2"/>
    </w:p>
    <w:tbl>
      <w:tblPr>
        <w:tblStyle w:val="32"/>
        <w:tblW w:w="505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849"/>
        <w:gridCol w:w="849"/>
        <w:gridCol w:w="1700"/>
        <w:gridCol w:w="2413"/>
        <w:gridCol w:w="2554"/>
        <w:gridCol w:w="2833"/>
        <w:gridCol w:w="2002"/>
      </w:tblGrid>
      <w:tr w14:paraId="529A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jc w:val="center"/>
        </w:trPr>
        <w:tc>
          <w:tcPr>
            <w:tcW w:w="411" w:type="pct"/>
            <w:vAlign w:val="center"/>
          </w:tcPr>
          <w:p w14:paraId="1492D13A">
            <w:pPr>
              <w:spacing w:line="240" w:lineRule="auto"/>
              <w:ind w:firstLine="0" w:firstLineChars="0"/>
              <w:jc w:val="center"/>
              <w:rPr>
                <w:rFonts w:eastAsiaTheme="minorEastAsia"/>
                <w:sz w:val="24"/>
                <w:szCs w:val="24"/>
              </w:rPr>
            </w:pPr>
            <w:r>
              <w:rPr>
                <w:rFonts w:eastAsiaTheme="minorEastAsia"/>
                <w:sz w:val="24"/>
                <w:szCs w:val="24"/>
              </w:rPr>
              <w:t>姓 名</w:t>
            </w:r>
          </w:p>
        </w:tc>
        <w:tc>
          <w:tcPr>
            <w:tcW w:w="295" w:type="pct"/>
            <w:vAlign w:val="center"/>
          </w:tcPr>
          <w:p w14:paraId="2C1ADE17">
            <w:pPr>
              <w:spacing w:line="240" w:lineRule="auto"/>
              <w:ind w:firstLine="0" w:firstLineChars="0"/>
              <w:jc w:val="center"/>
              <w:rPr>
                <w:rFonts w:eastAsiaTheme="minorEastAsia"/>
                <w:sz w:val="24"/>
                <w:szCs w:val="24"/>
              </w:rPr>
            </w:pPr>
            <w:r>
              <w:rPr>
                <w:rFonts w:eastAsiaTheme="minorEastAsia"/>
                <w:sz w:val="24"/>
                <w:szCs w:val="24"/>
              </w:rPr>
              <w:t>性 别</w:t>
            </w:r>
          </w:p>
        </w:tc>
        <w:tc>
          <w:tcPr>
            <w:tcW w:w="295" w:type="pct"/>
            <w:vAlign w:val="center"/>
          </w:tcPr>
          <w:p w14:paraId="28C1A227">
            <w:pPr>
              <w:spacing w:line="240" w:lineRule="auto"/>
              <w:ind w:firstLine="0" w:firstLineChars="0"/>
              <w:jc w:val="center"/>
              <w:rPr>
                <w:rFonts w:eastAsiaTheme="minorEastAsia"/>
                <w:sz w:val="24"/>
                <w:szCs w:val="24"/>
              </w:rPr>
            </w:pPr>
            <w:r>
              <w:rPr>
                <w:rFonts w:eastAsiaTheme="minorEastAsia"/>
                <w:sz w:val="24"/>
                <w:szCs w:val="24"/>
              </w:rPr>
              <w:t>年 龄</w:t>
            </w:r>
          </w:p>
        </w:tc>
        <w:tc>
          <w:tcPr>
            <w:tcW w:w="590" w:type="pct"/>
            <w:vAlign w:val="center"/>
          </w:tcPr>
          <w:p w14:paraId="790E20A7">
            <w:pPr>
              <w:spacing w:line="240" w:lineRule="auto"/>
              <w:ind w:firstLine="0" w:firstLineChars="0"/>
              <w:jc w:val="center"/>
              <w:rPr>
                <w:rFonts w:eastAsiaTheme="minorEastAsia"/>
                <w:sz w:val="24"/>
                <w:szCs w:val="24"/>
              </w:rPr>
            </w:pPr>
            <w:r>
              <w:rPr>
                <w:rFonts w:eastAsiaTheme="minorEastAsia"/>
                <w:sz w:val="24"/>
                <w:szCs w:val="24"/>
              </w:rPr>
              <w:t>职称/职务</w:t>
            </w:r>
          </w:p>
        </w:tc>
        <w:tc>
          <w:tcPr>
            <w:tcW w:w="838" w:type="pct"/>
            <w:vAlign w:val="center"/>
          </w:tcPr>
          <w:p w14:paraId="34AFFFE1">
            <w:pPr>
              <w:spacing w:line="240" w:lineRule="auto"/>
              <w:ind w:firstLine="0" w:firstLineChars="0"/>
              <w:jc w:val="center"/>
              <w:rPr>
                <w:rFonts w:eastAsiaTheme="minorEastAsia"/>
                <w:sz w:val="24"/>
                <w:szCs w:val="24"/>
              </w:rPr>
            </w:pPr>
            <w:r>
              <w:rPr>
                <w:rFonts w:eastAsiaTheme="minorEastAsia"/>
                <w:sz w:val="24"/>
                <w:szCs w:val="24"/>
              </w:rPr>
              <w:t>职称专业/毕业专业</w:t>
            </w:r>
          </w:p>
        </w:tc>
        <w:tc>
          <w:tcPr>
            <w:tcW w:w="887" w:type="pct"/>
            <w:vAlign w:val="center"/>
          </w:tcPr>
          <w:p w14:paraId="2B656E93">
            <w:pPr>
              <w:spacing w:line="240" w:lineRule="auto"/>
              <w:ind w:firstLine="0" w:firstLineChars="0"/>
              <w:jc w:val="center"/>
              <w:rPr>
                <w:rFonts w:eastAsiaTheme="minorEastAsia"/>
                <w:sz w:val="24"/>
                <w:szCs w:val="24"/>
              </w:rPr>
            </w:pPr>
            <w:r>
              <w:rPr>
                <w:rFonts w:eastAsiaTheme="minorEastAsia"/>
                <w:sz w:val="24"/>
                <w:szCs w:val="24"/>
              </w:rPr>
              <w:t>职称证书编号/</w:t>
            </w:r>
          </w:p>
          <w:p w14:paraId="673B26F1">
            <w:pPr>
              <w:spacing w:line="240" w:lineRule="auto"/>
              <w:ind w:firstLine="0" w:firstLineChars="0"/>
              <w:jc w:val="center"/>
              <w:rPr>
                <w:rFonts w:eastAsiaTheme="minorEastAsia"/>
                <w:sz w:val="24"/>
                <w:szCs w:val="24"/>
              </w:rPr>
            </w:pPr>
            <w:r>
              <w:rPr>
                <w:rFonts w:eastAsiaTheme="minorEastAsia"/>
                <w:sz w:val="24"/>
                <w:szCs w:val="24"/>
              </w:rPr>
              <w:t>毕业证编号</w:t>
            </w:r>
          </w:p>
        </w:tc>
        <w:tc>
          <w:tcPr>
            <w:tcW w:w="984" w:type="pct"/>
            <w:vAlign w:val="center"/>
          </w:tcPr>
          <w:p w14:paraId="0B1E50F9">
            <w:pPr>
              <w:spacing w:line="240" w:lineRule="auto"/>
              <w:ind w:firstLine="0" w:firstLineChars="0"/>
              <w:jc w:val="center"/>
              <w:rPr>
                <w:rFonts w:eastAsiaTheme="minorEastAsia"/>
                <w:sz w:val="24"/>
                <w:szCs w:val="24"/>
              </w:rPr>
            </w:pPr>
            <w:r>
              <w:rPr>
                <w:rFonts w:eastAsiaTheme="minorEastAsia"/>
                <w:sz w:val="24"/>
                <w:szCs w:val="24"/>
              </w:rPr>
              <w:t>承担的主要工作</w:t>
            </w:r>
          </w:p>
        </w:tc>
        <w:tc>
          <w:tcPr>
            <w:tcW w:w="695" w:type="pct"/>
            <w:vAlign w:val="center"/>
          </w:tcPr>
          <w:p w14:paraId="0EDBA615">
            <w:pPr>
              <w:spacing w:line="240" w:lineRule="auto"/>
              <w:ind w:firstLine="0" w:firstLineChars="0"/>
              <w:jc w:val="center"/>
              <w:rPr>
                <w:rFonts w:eastAsiaTheme="minorEastAsia"/>
                <w:sz w:val="24"/>
                <w:szCs w:val="24"/>
              </w:rPr>
            </w:pPr>
            <w:r>
              <w:rPr>
                <w:rFonts w:eastAsiaTheme="minorEastAsia"/>
                <w:sz w:val="24"/>
                <w:szCs w:val="24"/>
              </w:rPr>
              <w:t>签 字</w:t>
            </w:r>
          </w:p>
        </w:tc>
      </w:tr>
      <w:tr w14:paraId="57D94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jc w:val="center"/>
        </w:trPr>
        <w:tc>
          <w:tcPr>
            <w:tcW w:w="411" w:type="pct"/>
            <w:shd w:val="clear" w:color="auto" w:fill="auto"/>
            <w:vAlign w:val="center"/>
          </w:tcPr>
          <w:p w14:paraId="03885473">
            <w:pPr>
              <w:spacing w:line="240" w:lineRule="auto"/>
              <w:ind w:firstLine="0" w:firstLineChars="0"/>
              <w:jc w:val="center"/>
              <w:rPr>
                <w:rFonts w:eastAsiaTheme="minorEastAsia"/>
                <w:sz w:val="24"/>
                <w:szCs w:val="24"/>
              </w:rPr>
            </w:pPr>
            <w:r>
              <w:rPr>
                <w:rFonts w:eastAsiaTheme="minorEastAsia"/>
                <w:sz w:val="24"/>
                <w:szCs w:val="24"/>
              </w:rPr>
              <w:t>吴城明</w:t>
            </w:r>
          </w:p>
        </w:tc>
        <w:tc>
          <w:tcPr>
            <w:tcW w:w="295" w:type="pct"/>
            <w:shd w:val="clear" w:color="auto" w:fill="auto"/>
            <w:vAlign w:val="center"/>
          </w:tcPr>
          <w:p w14:paraId="116DFBA5">
            <w:pPr>
              <w:spacing w:line="240" w:lineRule="auto"/>
              <w:ind w:firstLine="0" w:firstLineChars="0"/>
              <w:jc w:val="center"/>
              <w:rPr>
                <w:rFonts w:eastAsiaTheme="minorEastAsia"/>
                <w:sz w:val="24"/>
                <w:szCs w:val="24"/>
              </w:rPr>
            </w:pPr>
            <w:r>
              <w:rPr>
                <w:rFonts w:eastAsiaTheme="minorEastAsia"/>
                <w:sz w:val="24"/>
                <w:szCs w:val="24"/>
              </w:rPr>
              <w:t>男</w:t>
            </w:r>
          </w:p>
        </w:tc>
        <w:tc>
          <w:tcPr>
            <w:tcW w:w="295" w:type="pct"/>
            <w:shd w:val="clear" w:color="auto" w:fill="auto"/>
            <w:vAlign w:val="center"/>
          </w:tcPr>
          <w:p w14:paraId="5F7A241F">
            <w:pPr>
              <w:spacing w:line="240" w:lineRule="auto"/>
              <w:ind w:firstLine="0" w:firstLineChars="0"/>
              <w:jc w:val="center"/>
              <w:rPr>
                <w:rFonts w:eastAsiaTheme="minorEastAsia"/>
                <w:sz w:val="24"/>
                <w:szCs w:val="24"/>
              </w:rPr>
            </w:pPr>
            <w:r>
              <w:rPr>
                <w:rFonts w:eastAsiaTheme="minorEastAsia"/>
                <w:sz w:val="24"/>
                <w:szCs w:val="24"/>
              </w:rPr>
              <w:t>40</w:t>
            </w:r>
          </w:p>
        </w:tc>
        <w:tc>
          <w:tcPr>
            <w:tcW w:w="590" w:type="pct"/>
            <w:shd w:val="clear" w:color="auto" w:fill="auto"/>
            <w:vAlign w:val="center"/>
          </w:tcPr>
          <w:p w14:paraId="17D5FEF5">
            <w:pPr>
              <w:spacing w:line="240" w:lineRule="auto"/>
              <w:ind w:firstLine="0" w:firstLineChars="0"/>
              <w:jc w:val="center"/>
              <w:rPr>
                <w:rFonts w:eastAsiaTheme="minorEastAsia"/>
                <w:sz w:val="24"/>
                <w:szCs w:val="24"/>
              </w:rPr>
            </w:pPr>
            <w:r>
              <w:rPr>
                <w:rFonts w:eastAsiaTheme="minorEastAsia"/>
                <w:sz w:val="24"/>
                <w:szCs w:val="24"/>
              </w:rPr>
              <w:t>高级工程师</w:t>
            </w:r>
          </w:p>
        </w:tc>
        <w:tc>
          <w:tcPr>
            <w:tcW w:w="838" w:type="pct"/>
            <w:shd w:val="clear" w:color="auto" w:fill="auto"/>
            <w:vAlign w:val="center"/>
          </w:tcPr>
          <w:p w14:paraId="3E9AD67D">
            <w:pPr>
              <w:spacing w:line="240" w:lineRule="auto"/>
              <w:ind w:firstLine="0" w:firstLineChars="0"/>
              <w:jc w:val="center"/>
              <w:rPr>
                <w:rFonts w:eastAsiaTheme="minorEastAsia"/>
                <w:sz w:val="24"/>
                <w:szCs w:val="24"/>
              </w:rPr>
            </w:pPr>
            <w:r>
              <w:rPr>
                <w:rFonts w:eastAsiaTheme="minorEastAsia"/>
                <w:sz w:val="24"/>
                <w:szCs w:val="24"/>
              </w:rPr>
              <w:t>地质矿产</w:t>
            </w:r>
          </w:p>
        </w:tc>
        <w:tc>
          <w:tcPr>
            <w:tcW w:w="887" w:type="pct"/>
            <w:shd w:val="clear" w:color="auto" w:fill="auto"/>
            <w:vAlign w:val="center"/>
          </w:tcPr>
          <w:p w14:paraId="18F7488F">
            <w:pPr>
              <w:spacing w:line="240" w:lineRule="auto"/>
              <w:ind w:firstLine="0" w:firstLineChars="0"/>
              <w:jc w:val="center"/>
              <w:rPr>
                <w:rFonts w:eastAsiaTheme="minorEastAsia"/>
                <w:sz w:val="24"/>
                <w:szCs w:val="24"/>
                <w:highlight w:val="yellow"/>
              </w:rPr>
            </w:pPr>
            <w:r>
              <w:rPr>
                <w:rFonts w:eastAsiaTheme="minorEastAsia"/>
                <w:sz w:val="24"/>
                <w:szCs w:val="24"/>
              </w:rPr>
              <w:t>11702896</w:t>
            </w:r>
          </w:p>
        </w:tc>
        <w:tc>
          <w:tcPr>
            <w:tcW w:w="984" w:type="pct"/>
            <w:shd w:val="clear" w:color="auto" w:fill="auto"/>
            <w:vAlign w:val="center"/>
          </w:tcPr>
          <w:p w14:paraId="20682BBB">
            <w:pPr>
              <w:spacing w:line="240" w:lineRule="auto"/>
              <w:ind w:firstLine="0" w:firstLineChars="0"/>
              <w:jc w:val="center"/>
              <w:rPr>
                <w:rFonts w:eastAsiaTheme="minorEastAsia"/>
                <w:sz w:val="24"/>
                <w:szCs w:val="24"/>
              </w:rPr>
            </w:pPr>
            <w:r>
              <w:rPr>
                <w:rFonts w:eastAsiaTheme="minorEastAsia"/>
                <w:sz w:val="24"/>
                <w:szCs w:val="24"/>
              </w:rPr>
              <w:t>野外调查、项目负责、</w:t>
            </w:r>
          </w:p>
          <w:p w14:paraId="4DF0E750">
            <w:pPr>
              <w:spacing w:line="240" w:lineRule="auto"/>
              <w:ind w:firstLine="0" w:firstLineChars="0"/>
              <w:jc w:val="center"/>
              <w:rPr>
                <w:rFonts w:eastAsiaTheme="minorEastAsia"/>
                <w:sz w:val="24"/>
                <w:szCs w:val="24"/>
              </w:rPr>
            </w:pPr>
            <w:r>
              <w:rPr>
                <w:rFonts w:eastAsiaTheme="minorEastAsia"/>
                <w:sz w:val="24"/>
                <w:szCs w:val="24"/>
              </w:rPr>
              <w:t>方案主编</w:t>
            </w:r>
          </w:p>
        </w:tc>
        <w:tc>
          <w:tcPr>
            <w:tcW w:w="695" w:type="pct"/>
            <w:vAlign w:val="center"/>
          </w:tcPr>
          <w:p w14:paraId="20041295">
            <w:pPr>
              <w:spacing w:line="240" w:lineRule="auto"/>
              <w:ind w:firstLine="0" w:firstLineChars="0"/>
              <w:jc w:val="center"/>
              <w:rPr>
                <w:rFonts w:eastAsiaTheme="minorEastAsia"/>
                <w:sz w:val="24"/>
                <w:szCs w:val="24"/>
              </w:rPr>
            </w:pPr>
          </w:p>
        </w:tc>
      </w:tr>
      <w:tr w14:paraId="1699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411" w:type="pct"/>
            <w:shd w:val="clear" w:color="auto" w:fill="auto"/>
            <w:vAlign w:val="center"/>
          </w:tcPr>
          <w:p w14:paraId="3C27FC41">
            <w:pPr>
              <w:spacing w:line="240" w:lineRule="auto"/>
              <w:ind w:firstLine="0" w:firstLineChars="0"/>
              <w:jc w:val="center"/>
              <w:rPr>
                <w:rFonts w:eastAsiaTheme="minorEastAsia"/>
                <w:sz w:val="24"/>
                <w:szCs w:val="24"/>
              </w:rPr>
            </w:pPr>
            <w:r>
              <w:rPr>
                <w:rFonts w:eastAsiaTheme="minorEastAsia"/>
                <w:sz w:val="24"/>
                <w:szCs w:val="24"/>
              </w:rPr>
              <w:t>黄敦杰</w:t>
            </w:r>
          </w:p>
        </w:tc>
        <w:tc>
          <w:tcPr>
            <w:tcW w:w="295" w:type="pct"/>
            <w:shd w:val="clear" w:color="auto" w:fill="auto"/>
            <w:vAlign w:val="center"/>
          </w:tcPr>
          <w:p w14:paraId="5E5E0C75">
            <w:pPr>
              <w:spacing w:line="240" w:lineRule="auto"/>
              <w:ind w:firstLine="0" w:firstLineChars="0"/>
              <w:jc w:val="center"/>
              <w:rPr>
                <w:rFonts w:eastAsiaTheme="minorEastAsia"/>
                <w:sz w:val="24"/>
                <w:szCs w:val="24"/>
              </w:rPr>
            </w:pPr>
            <w:r>
              <w:rPr>
                <w:rFonts w:eastAsiaTheme="minorEastAsia"/>
                <w:sz w:val="24"/>
                <w:szCs w:val="24"/>
              </w:rPr>
              <w:t>男</w:t>
            </w:r>
          </w:p>
        </w:tc>
        <w:tc>
          <w:tcPr>
            <w:tcW w:w="295" w:type="pct"/>
            <w:shd w:val="clear" w:color="auto" w:fill="auto"/>
            <w:vAlign w:val="center"/>
          </w:tcPr>
          <w:p w14:paraId="00759153">
            <w:pPr>
              <w:spacing w:line="240" w:lineRule="auto"/>
              <w:ind w:firstLine="0" w:firstLineChars="0"/>
              <w:jc w:val="center"/>
              <w:rPr>
                <w:rFonts w:eastAsiaTheme="minorEastAsia"/>
                <w:sz w:val="24"/>
                <w:szCs w:val="24"/>
              </w:rPr>
            </w:pPr>
            <w:r>
              <w:rPr>
                <w:rFonts w:eastAsiaTheme="minorEastAsia"/>
                <w:sz w:val="24"/>
                <w:szCs w:val="24"/>
              </w:rPr>
              <w:t>37</w:t>
            </w:r>
          </w:p>
        </w:tc>
        <w:tc>
          <w:tcPr>
            <w:tcW w:w="590" w:type="pct"/>
            <w:shd w:val="clear" w:color="auto" w:fill="auto"/>
            <w:vAlign w:val="center"/>
          </w:tcPr>
          <w:p w14:paraId="78410B11">
            <w:pPr>
              <w:spacing w:line="240" w:lineRule="auto"/>
              <w:ind w:firstLine="0" w:firstLineChars="0"/>
              <w:jc w:val="center"/>
              <w:rPr>
                <w:rFonts w:eastAsiaTheme="minorEastAsia"/>
                <w:sz w:val="24"/>
                <w:szCs w:val="24"/>
              </w:rPr>
            </w:pPr>
            <w:r>
              <w:rPr>
                <w:rFonts w:eastAsiaTheme="minorEastAsia"/>
                <w:sz w:val="24"/>
                <w:szCs w:val="24"/>
              </w:rPr>
              <w:t>高级工程师</w:t>
            </w:r>
          </w:p>
        </w:tc>
        <w:tc>
          <w:tcPr>
            <w:tcW w:w="838" w:type="pct"/>
            <w:shd w:val="clear" w:color="auto" w:fill="auto"/>
            <w:vAlign w:val="center"/>
          </w:tcPr>
          <w:p w14:paraId="728AEA3B">
            <w:pPr>
              <w:spacing w:line="240" w:lineRule="auto"/>
              <w:ind w:firstLine="0" w:firstLineChars="0"/>
              <w:jc w:val="center"/>
              <w:rPr>
                <w:rFonts w:eastAsiaTheme="minorEastAsia"/>
                <w:sz w:val="24"/>
                <w:szCs w:val="24"/>
              </w:rPr>
            </w:pPr>
            <w:r>
              <w:rPr>
                <w:rFonts w:eastAsiaTheme="minorEastAsia"/>
                <w:sz w:val="24"/>
                <w:szCs w:val="24"/>
              </w:rPr>
              <w:t>矿业工程</w:t>
            </w:r>
          </w:p>
        </w:tc>
        <w:tc>
          <w:tcPr>
            <w:tcW w:w="887" w:type="pct"/>
            <w:shd w:val="clear" w:color="auto" w:fill="auto"/>
            <w:vAlign w:val="center"/>
          </w:tcPr>
          <w:p w14:paraId="2B87E24E">
            <w:pPr>
              <w:spacing w:line="240" w:lineRule="auto"/>
              <w:ind w:firstLine="0" w:firstLineChars="0"/>
              <w:jc w:val="center"/>
              <w:rPr>
                <w:rFonts w:eastAsiaTheme="minorEastAsia"/>
                <w:sz w:val="24"/>
                <w:szCs w:val="24"/>
              </w:rPr>
            </w:pPr>
            <w:r>
              <w:rPr>
                <w:rFonts w:eastAsiaTheme="minorEastAsia"/>
                <w:sz w:val="24"/>
                <w:szCs w:val="24"/>
              </w:rPr>
              <w:t>GX12023025628</w:t>
            </w:r>
          </w:p>
        </w:tc>
        <w:tc>
          <w:tcPr>
            <w:tcW w:w="984" w:type="pct"/>
            <w:shd w:val="clear" w:color="auto" w:fill="auto"/>
            <w:vAlign w:val="center"/>
          </w:tcPr>
          <w:p w14:paraId="43F6F462">
            <w:pPr>
              <w:spacing w:line="240" w:lineRule="auto"/>
              <w:ind w:firstLine="0" w:firstLineChars="0"/>
              <w:jc w:val="center"/>
              <w:rPr>
                <w:rFonts w:eastAsiaTheme="minorEastAsia"/>
                <w:sz w:val="24"/>
                <w:szCs w:val="24"/>
              </w:rPr>
            </w:pPr>
            <w:r>
              <w:rPr>
                <w:rFonts w:eastAsiaTheme="minorEastAsia"/>
                <w:sz w:val="24"/>
                <w:szCs w:val="24"/>
              </w:rPr>
              <w:t>野外调查、资料整理、</w:t>
            </w:r>
          </w:p>
          <w:p w14:paraId="72667A07">
            <w:pPr>
              <w:spacing w:line="240" w:lineRule="auto"/>
              <w:ind w:firstLine="0" w:firstLineChars="0"/>
              <w:jc w:val="center"/>
              <w:rPr>
                <w:rFonts w:eastAsiaTheme="minorEastAsia"/>
                <w:sz w:val="24"/>
                <w:szCs w:val="24"/>
              </w:rPr>
            </w:pPr>
            <w:r>
              <w:rPr>
                <w:rFonts w:eastAsiaTheme="minorEastAsia"/>
                <w:sz w:val="24"/>
                <w:szCs w:val="24"/>
              </w:rPr>
              <w:t>方案主编</w:t>
            </w:r>
          </w:p>
        </w:tc>
        <w:tc>
          <w:tcPr>
            <w:tcW w:w="695" w:type="pct"/>
            <w:vAlign w:val="center"/>
          </w:tcPr>
          <w:p w14:paraId="37BB5755">
            <w:pPr>
              <w:spacing w:line="240" w:lineRule="auto"/>
              <w:ind w:firstLine="0" w:firstLineChars="0"/>
              <w:jc w:val="center"/>
              <w:rPr>
                <w:rFonts w:eastAsiaTheme="minorEastAsia"/>
                <w:sz w:val="24"/>
                <w:szCs w:val="24"/>
              </w:rPr>
            </w:pPr>
          </w:p>
        </w:tc>
      </w:tr>
      <w:tr w14:paraId="1836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411" w:type="pct"/>
            <w:shd w:val="clear" w:color="auto" w:fill="auto"/>
            <w:vAlign w:val="center"/>
          </w:tcPr>
          <w:p w14:paraId="390F1892">
            <w:pPr>
              <w:spacing w:line="240" w:lineRule="auto"/>
              <w:ind w:firstLine="0" w:firstLineChars="0"/>
              <w:jc w:val="center"/>
              <w:rPr>
                <w:rFonts w:eastAsiaTheme="minorEastAsia"/>
                <w:sz w:val="24"/>
                <w:szCs w:val="24"/>
              </w:rPr>
            </w:pPr>
            <w:r>
              <w:rPr>
                <w:rFonts w:eastAsiaTheme="minorEastAsia"/>
                <w:sz w:val="24"/>
                <w:szCs w:val="24"/>
              </w:rPr>
              <w:t>韦帅熊</w:t>
            </w:r>
          </w:p>
        </w:tc>
        <w:tc>
          <w:tcPr>
            <w:tcW w:w="295" w:type="pct"/>
            <w:shd w:val="clear" w:color="auto" w:fill="auto"/>
            <w:vAlign w:val="center"/>
          </w:tcPr>
          <w:p w14:paraId="467E3992">
            <w:pPr>
              <w:spacing w:line="240" w:lineRule="auto"/>
              <w:ind w:firstLine="0" w:firstLineChars="0"/>
              <w:jc w:val="center"/>
              <w:rPr>
                <w:rFonts w:eastAsiaTheme="minorEastAsia"/>
                <w:sz w:val="24"/>
                <w:szCs w:val="24"/>
              </w:rPr>
            </w:pPr>
            <w:r>
              <w:rPr>
                <w:rFonts w:eastAsiaTheme="minorEastAsia"/>
                <w:sz w:val="24"/>
                <w:szCs w:val="24"/>
              </w:rPr>
              <w:t>男</w:t>
            </w:r>
          </w:p>
        </w:tc>
        <w:tc>
          <w:tcPr>
            <w:tcW w:w="295" w:type="pct"/>
            <w:shd w:val="clear" w:color="auto" w:fill="auto"/>
            <w:vAlign w:val="center"/>
          </w:tcPr>
          <w:p w14:paraId="2A73A22F">
            <w:pPr>
              <w:spacing w:line="240" w:lineRule="auto"/>
              <w:ind w:firstLine="0" w:firstLineChars="0"/>
              <w:jc w:val="center"/>
              <w:rPr>
                <w:rFonts w:eastAsiaTheme="minorEastAsia"/>
                <w:sz w:val="24"/>
                <w:szCs w:val="24"/>
              </w:rPr>
            </w:pPr>
            <w:r>
              <w:rPr>
                <w:rFonts w:eastAsiaTheme="minorEastAsia"/>
                <w:sz w:val="24"/>
                <w:szCs w:val="24"/>
              </w:rPr>
              <w:t>23</w:t>
            </w:r>
          </w:p>
        </w:tc>
        <w:tc>
          <w:tcPr>
            <w:tcW w:w="590" w:type="pct"/>
            <w:shd w:val="clear" w:color="auto" w:fill="auto"/>
            <w:vAlign w:val="center"/>
          </w:tcPr>
          <w:p w14:paraId="5763DB1F">
            <w:pPr>
              <w:spacing w:line="240" w:lineRule="auto"/>
              <w:ind w:firstLine="0" w:firstLineChars="0"/>
              <w:jc w:val="center"/>
              <w:rPr>
                <w:rFonts w:eastAsiaTheme="minorEastAsia"/>
                <w:sz w:val="24"/>
                <w:szCs w:val="24"/>
              </w:rPr>
            </w:pPr>
            <w:r>
              <w:rPr>
                <w:rFonts w:eastAsiaTheme="minorEastAsia"/>
                <w:sz w:val="24"/>
                <w:szCs w:val="24"/>
              </w:rPr>
              <w:t>助理工程师</w:t>
            </w:r>
          </w:p>
        </w:tc>
        <w:tc>
          <w:tcPr>
            <w:tcW w:w="838" w:type="pct"/>
            <w:shd w:val="clear" w:color="auto" w:fill="auto"/>
            <w:vAlign w:val="center"/>
          </w:tcPr>
          <w:p w14:paraId="292E74AD">
            <w:pPr>
              <w:spacing w:line="240" w:lineRule="auto"/>
              <w:ind w:firstLine="0" w:firstLineChars="0"/>
              <w:jc w:val="center"/>
              <w:rPr>
                <w:rFonts w:eastAsiaTheme="minorEastAsia"/>
                <w:sz w:val="24"/>
                <w:szCs w:val="24"/>
              </w:rPr>
            </w:pPr>
            <w:r>
              <w:rPr>
                <w:rFonts w:eastAsiaTheme="minorEastAsia"/>
                <w:sz w:val="24"/>
                <w:szCs w:val="24"/>
              </w:rPr>
              <w:t>地质资源与地质工程</w:t>
            </w:r>
          </w:p>
        </w:tc>
        <w:tc>
          <w:tcPr>
            <w:tcW w:w="887" w:type="pct"/>
            <w:shd w:val="clear" w:color="auto" w:fill="auto"/>
            <w:vAlign w:val="center"/>
          </w:tcPr>
          <w:p w14:paraId="5508F64B">
            <w:pPr>
              <w:spacing w:line="240" w:lineRule="auto"/>
              <w:ind w:firstLine="0" w:firstLineChars="0"/>
              <w:jc w:val="center"/>
              <w:rPr>
                <w:rFonts w:eastAsiaTheme="minorEastAsia"/>
                <w:sz w:val="24"/>
                <w:szCs w:val="24"/>
              </w:rPr>
            </w:pPr>
            <w:r>
              <w:rPr>
                <w:rFonts w:eastAsiaTheme="minorEastAsia"/>
                <w:sz w:val="24"/>
                <w:szCs w:val="24"/>
              </w:rPr>
              <w:t>GX32026017540</w:t>
            </w:r>
          </w:p>
        </w:tc>
        <w:tc>
          <w:tcPr>
            <w:tcW w:w="984" w:type="pct"/>
            <w:shd w:val="clear" w:color="auto" w:fill="auto"/>
            <w:vAlign w:val="center"/>
          </w:tcPr>
          <w:p w14:paraId="43269A9B">
            <w:pPr>
              <w:spacing w:line="240" w:lineRule="auto"/>
              <w:ind w:firstLine="0" w:firstLineChars="0"/>
              <w:jc w:val="center"/>
              <w:rPr>
                <w:rFonts w:eastAsiaTheme="minorEastAsia"/>
                <w:sz w:val="24"/>
                <w:szCs w:val="24"/>
              </w:rPr>
            </w:pPr>
            <w:r>
              <w:rPr>
                <w:rFonts w:eastAsiaTheme="minorEastAsia"/>
                <w:sz w:val="24"/>
                <w:szCs w:val="24"/>
              </w:rPr>
              <w:t>资料整理、制图、</w:t>
            </w:r>
          </w:p>
          <w:p w14:paraId="29EB7CBC">
            <w:pPr>
              <w:spacing w:line="240" w:lineRule="auto"/>
              <w:ind w:firstLine="0" w:firstLineChars="0"/>
              <w:jc w:val="center"/>
              <w:rPr>
                <w:rFonts w:eastAsiaTheme="minorEastAsia"/>
                <w:sz w:val="24"/>
                <w:szCs w:val="24"/>
              </w:rPr>
            </w:pPr>
            <w:r>
              <w:rPr>
                <w:rFonts w:eastAsiaTheme="minorEastAsia"/>
                <w:sz w:val="24"/>
                <w:szCs w:val="24"/>
              </w:rPr>
              <w:t>方案主编</w:t>
            </w:r>
          </w:p>
        </w:tc>
        <w:tc>
          <w:tcPr>
            <w:tcW w:w="695" w:type="pct"/>
            <w:vAlign w:val="center"/>
          </w:tcPr>
          <w:p w14:paraId="2EF401B0">
            <w:pPr>
              <w:spacing w:line="240" w:lineRule="auto"/>
              <w:ind w:firstLine="0" w:firstLineChars="0"/>
              <w:jc w:val="center"/>
              <w:rPr>
                <w:rFonts w:eastAsiaTheme="minorEastAsia"/>
                <w:sz w:val="24"/>
                <w:szCs w:val="24"/>
              </w:rPr>
            </w:pPr>
          </w:p>
        </w:tc>
      </w:tr>
      <w:tr w14:paraId="51E1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411" w:type="pct"/>
            <w:shd w:val="clear" w:color="auto" w:fill="auto"/>
            <w:vAlign w:val="center"/>
          </w:tcPr>
          <w:p w14:paraId="2060C037">
            <w:pPr>
              <w:spacing w:line="240" w:lineRule="auto"/>
              <w:ind w:firstLine="0" w:firstLineChars="0"/>
              <w:jc w:val="center"/>
              <w:rPr>
                <w:rFonts w:eastAsiaTheme="minorEastAsia"/>
                <w:sz w:val="24"/>
                <w:szCs w:val="24"/>
              </w:rPr>
            </w:pPr>
            <w:r>
              <w:rPr>
                <w:rFonts w:eastAsiaTheme="minorEastAsia"/>
                <w:sz w:val="24"/>
                <w:szCs w:val="24"/>
              </w:rPr>
              <w:t>陆春形</w:t>
            </w:r>
          </w:p>
        </w:tc>
        <w:tc>
          <w:tcPr>
            <w:tcW w:w="295" w:type="pct"/>
            <w:shd w:val="clear" w:color="auto" w:fill="auto"/>
            <w:vAlign w:val="center"/>
          </w:tcPr>
          <w:p w14:paraId="7480612B">
            <w:pPr>
              <w:spacing w:line="240" w:lineRule="auto"/>
              <w:ind w:firstLine="0" w:firstLineChars="0"/>
              <w:jc w:val="center"/>
              <w:rPr>
                <w:rFonts w:eastAsiaTheme="minorEastAsia"/>
                <w:sz w:val="24"/>
                <w:szCs w:val="24"/>
              </w:rPr>
            </w:pPr>
            <w:r>
              <w:rPr>
                <w:rFonts w:eastAsiaTheme="minorEastAsia"/>
                <w:sz w:val="24"/>
                <w:szCs w:val="24"/>
              </w:rPr>
              <w:t>男</w:t>
            </w:r>
          </w:p>
        </w:tc>
        <w:tc>
          <w:tcPr>
            <w:tcW w:w="295" w:type="pct"/>
            <w:shd w:val="clear" w:color="auto" w:fill="auto"/>
            <w:vAlign w:val="center"/>
          </w:tcPr>
          <w:p w14:paraId="499A05B4">
            <w:pPr>
              <w:spacing w:line="240" w:lineRule="auto"/>
              <w:ind w:firstLine="0" w:firstLineChars="0"/>
              <w:jc w:val="center"/>
              <w:rPr>
                <w:rFonts w:eastAsiaTheme="minorEastAsia"/>
                <w:sz w:val="24"/>
                <w:szCs w:val="24"/>
              </w:rPr>
            </w:pPr>
            <w:r>
              <w:rPr>
                <w:rFonts w:eastAsiaTheme="minorEastAsia"/>
                <w:sz w:val="24"/>
                <w:szCs w:val="24"/>
              </w:rPr>
              <w:t>33</w:t>
            </w:r>
          </w:p>
        </w:tc>
        <w:tc>
          <w:tcPr>
            <w:tcW w:w="590" w:type="pct"/>
            <w:shd w:val="clear" w:color="auto" w:fill="auto"/>
            <w:vAlign w:val="center"/>
          </w:tcPr>
          <w:p w14:paraId="2071EEF8">
            <w:pPr>
              <w:spacing w:line="240" w:lineRule="auto"/>
              <w:ind w:firstLine="0" w:firstLineChars="0"/>
              <w:jc w:val="center"/>
              <w:rPr>
                <w:rFonts w:eastAsiaTheme="minorEastAsia"/>
                <w:sz w:val="24"/>
                <w:szCs w:val="24"/>
              </w:rPr>
            </w:pPr>
            <w:r>
              <w:rPr>
                <w:rFonts w:eastAsiaTheme="minorEastAsia"/>
                <w:sz w:val="24"/>
                <w:szCs w:val="24"/>
              </w:rPr>
              <w:t>工程师</w:t>
            </w:r>
          </w:p>
        </w:tc>
        <w:tc>
          <w:tcPr>
            <w:tcW w:w="838" w:type="pct"/>
            <w:shd w:val="clear" w:color="auto" w:fill="auto"/>
            <w:vAlign w:val="center"/>
          </w:tcPr>
          <w:p w14:paraId="093FCDA9">
            <w:pPr>
              <w:spacing w:line="240" w:lineRule="auto"/>
              <w:ind w:firstLine="0" w:firstLineChars="0"/>
              <w:jc w:val="center"/>
              <w:rPr>
                <w:rFonts w:eastAsiaTheme="minorEastAsia"/>
                <w:sz w:val="24"/>
                <w:szCs w:val="24"/>
              </w:rPr>
            </w:pPr>
            <w:r>
              <w:rPr>
                <w:rFonts w:eastAsiaTheme="minorEastAsia"/>
                <w:sz w:val="24"/>
                <w:szCs w:val="24"/>
              </w:rPr>
              <w:t>地质资源与地质工程</w:t>
            </w:r>
          </w:p>
        </w:tc>
        <w:tc>
          <w:tcPr>
            <w:tcW w:w="887" w:type="pct"/>
            <w:shd w:val="clear" w:color="auto" w:fill="auto"/>
            <w:vAlign w:val="center"/>
          </w:tcPr>
          <w:p w14:paraId="786D41DC">
            <w:pPr>
              <w:spacing w:line="240" w:lineRule="auto"/>
              <w:ind w:firstLine="0" w:firstLineChars="0"/>
              <w:jc w:val="center"/>
              <w:rPr>
                <w:rFonts w:eastAsiaTheme="minorEastAsia"/>
                <w:sz w:val="24"/>
                <w:szCs w:val="24"/>
              </w:rPr>
            </w:pPr>
            <w:r>
              <w:rPr>
                <w:sz w:val="24"/>
                <w:szCs w:val="24"/>
              </w:rPr>
              <w:t>GX22021008845</w:t>
            </w:r>
          </w:p>
        </w:tc>
        <w:tc>
          <w:tcPr>
            <w:tcW w:w="984" w:type="pct"/>
            <w:shd w:val="clear" w:color="auto" w:fill="auto"/>
            <w:vAlign w:val="center"/>
          </w:tcPr>
          <w:p w14:paraId="044EFB2C">
            <w:pPr>
              <w:spacing w:line="240" w:lineRule="auto"/>
              <w:ind w:firstLine="0" w:firstLineChars="0"/>
              <w:jc w:val="center"/>
              <w:rPr>
                <w:rFonts w:eastAsiaTheme="minorEastAsia"/>
                <w:sz w:val="24"/>
                <w:szCs w:val="24"/>
              </w:rPr>
            </w:pPr>
            <w:r>
              <w:rPr>
                <w:rFonts w:eastAsiaTheme="minorEastAsia"/>
                <w:sz w:val="24"/>
                <w:szCs w:val="24"/>
              </w:rPr>
              <w:t>资料整理、制图、方案参编</w:t>
            </w:r>
          </w:p>
        </w:tc>
        <w:tc>
          <w:tcPr>
            <w:tcW w:w="695" w:type="pct"/>
            <w:vAlign w:val="center"/>
          </w:tcPr>
          <w:p w14:paraId="43EB7322">
            <w:pPr>
              <w:spacing w:line="240" w:lineRule="auto"/>
              <w:ind w:firstLine="0" w:firstLineChars="0"/>
              <w:jc w:val="center"/>
              <w:rPr>
                <w:rFonts w:eastAsiaTheme="minorEastAsia"/>
                <w:sz w:val="24"/>
                <w:szCs w:val="24"/>
              </w:rPr>
            </w:pPr>
          </w:p>
        </w:tc>
      </w:tr>
      <w:tr w14:paraId="1824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411" w:type="pct"/>
            <w:shd w:val="clear" w:color="auto" w:fill="auto"/>
            <w:vAlign w:val="center"/>
          </w:tcPr>
          <w:p w14:paraId="6BE11FB6">
            <w:pPr>
              <w:spacing w:line="240" w:lineRule="auto"/>
              <w:ind w:firstLine="0" w:firstLineChars="0"/>
              <w:jc w:val="center"/>
              <w:rPr>
                <w:rFonts w:eastAsiaTheme="minorEastAsia"/>
                <w:sz w:val="24"/>
                <w:szCs w:val="24"/>
              </w:rPr>
            </w:pPr>
            <w:r>
              <w:rPr>
                <w:rFonts w:eastAsiaTheme="minorEastAsia"/>
                <w:sz w:val="24"/>
                <w:szCs w:val="24"/>
              </w:rPr>
              <w:t>张晓晨</w:t>
            </w:r>
          </w:p>
        </w:tc>
        <w:tc>
          <w:tcPr>
            <w:tcW w:w="295" w:type="pct"/>
            <w:shd w:val="clear" w:color="auto" w:fill="auto"/>
            <w:vAlign w:val="center"/>
          </w:tcPr>
          <w:p w14:paraId="5EACAD73">
            <w:pPr>
              <w:spacing w:line="240" w:lineRule="auto"/>
              <w:ind w:firstLine="0" w:firstLineChars="0"/>
              <w:jc w:val="center"/>
              <w:rPr>
                <w:rFonts w:eastAsiaTheme="minorEastAsia"/>
                <w:sz w:val="24"/>
                <w:szCs w:val="24"/>
              </w:rPr>
            </w:pPr>
            <w:r>
              <w:rPr>
                <w:rFonts w:eastAsiaTheme="minorEastAsia"/>
                <w:sz w:val="24"/>
                <w:szCs w:val="24"/>
              </w:rPr>
              <w:t>男</w:t>
            </w:r>
          </w:p>
        </w:tc>
        <w:tc>
          <w:tcPr>
            <w:tcW w:w="295" w:type="pct"/>
            <w:shd w:val="clear" w:color="auto" w:fill="auto"/>
            <w:vAlign w:val="center"/>
          </w:tcPr>
          <w:p w14:paraId="6E5ADB09">
            <w:pPr>
              <w:spacing w:line="240" w:lineRule="auto"/>
              <w:ind w:firstLine="0" w:firstLineChars="0"/>
              <w:jc w:val="center"/>
              <w:rPr>
                <w:rFonts w:eastAsiaTheme="minorEastAsia"/>
                <w:sz w:val="24"/>
                <w:szCs w:val="24"/>
              </w:rPr>
            </w:pPr>
            <w:r>
              <w:rPr>
                <w:rFonts w:eastAsiaTheme="minorEastAsia"/>
                <w:sz w:val="24"/>
                <w:szCs w:val="24"/>
              </w:rPr>
              <w:t>33</w:t>
            </w:r>
          </w:p>
        </w:tc>
        <w:tc>
          <w:tcPr>
            <w:tcW w:w="590" w:type="pct"/>
            <w:shd w:val="clear" w:color="auto" w:fill="auto"/>
            <w:vAlign w:val="center"/>
          </w:tcPr>
          <w:p w14:paraId="16A482A7">
            <w:pPr>
              <w:spacing w:line="240" w:lineRule="auto"/>
              <w:ind w:firstLine="0" w:firstLineChars="0"/>
              <w:jc w:val="center"/>
              <w:rPr>
                <w:rFonts w:eastAsiaTheme="minorEastAsia"/>
                <w:sz w:val="24"/>
                <w:szCs w:val="24"/>
              </w:rPr>
            </w:pPr>
            <w:r>
              <w:rPr>
                <w:rFonts w:eastAsiaTheme="minorEastAsia"/>
                <w:sz w:val="24"/>
                <w:szCs w:val="24"/>
              </w:rPr>
              <w:t>工程师</w:t>
            </w:r>
          </w:p>
        </w:tc>
        <w:tc>
          <w:tcPr>
            <w:tcW w:w="838" w:type="pct"/>
            <w:shd w:val="clear" w:color="auto" w:fill="auto"/>
            <w:vAlign w:val="center"/>
          </w:tcPr>
          <w:p w14:paraId="5AF4CD6A">
            <w:pPr>
              <w:spacing w:line="240" w:lineRule="auto"/>
              <w:ind w:firstLine="0" w:firstLineChars="0"/>
              <w:jc w:val="center"/>
              <w:rPr>
                <w:rFonts w:eastAsiaTheme="minorEastAsia"/>
                <w:sz w:val="24"/>
                <w:szCs w:val="24"/>
              </w:rPr>
            </w:pPr>
            <w:r>
              <w:rPr>
                <w:rFonts w:eastAsiaTheme="minorEastAsia"/>
                <w:sz w:val="24"/>
                <w:szCs w:val="24"/>
              </w:rPr>
              <w:t>地质资源与地质工程</w:t>
            </w:r>
          </w:p>
        </w:tc>
        <w:tc>
          <w:tcPr>
            <w:tcW w:w="887" w:type="pct"/>
            <w:shd w:val="clear" w:color="auto" w:fill="auto"/>
            <w:vAlign w:val="center"/>
          </w:tcPr>
          <w:p w14:paraId="6758A0B5">
            <w:pPr>
              <w:spacing w:line="240" w:lineRule="auto"/>
              <w:ind w:firstLine="0" w:firstLineChars="0"/>
              <w:jc w:val="center"/>
              <w:rPr>
                <w:rFonts w:eastAsiaTheme="minorEastAsia"/>
                <w:sz w:val="24"/>
                <w:szCs w:val="24"/>
              </w:rPr>
            </w:pPr>
            <w:r>
              <w:rPr>
                <w:sz w:val="24"/>
                <w:szCs w:val="24"/>
              </w:rPr>
              <w:t>GX22023043260</w:t>
            </w:r>
          </w:p>
        </w:tc>
        <w:tc>
          <w:tcPr>
            <w:tcW w:w="984" w:type="pct"/>
            <w:shd w:val="clear" w:color="auto" w:fill="auto"/>
            <w:vAlign w:val="center"/>
          </w:tcPr>
          <w:p w14:paraId="20346E26">
            <w:pPr>
              <w:spacing w:line="240" w:lineRule="auto"/>
              <w:ind w:firstLine="0" w:firstLineChars="0"/>
              <w:jc w:val="center"/>
              <w:rPr>
                <w:rFonts w:eastAsiaTheme="minorEastAsia"/>
                <w:sz w:val="24"/>
                <w:szCs w:val="24"/>
              </w:rPr>
            </w:pPr>
            <w:r>
              <w:rPr>
                <w:rFonts w:eastAsiaTheme="minorEastAsia"/>
                <w:sz w:val="24"/>
                <w:szCs w:val="24"/>
              </w:rPr>
              <w:t>资料整理、制图、方案参编</w:t>
            </w:r>
          </w:p>
        </w:tc>
        <w:tc>
          <w:tcPr>
            <w:tcW w:w="695" w:type="pct"/>
            <w:vAlign w:val="center"/>
          </w:tcPr>
          <w:p w14:paraId="0B3C7545">
            <w:pPr>
              <w:spacing w:line="240" w:lineRule="auto"/>
              <w:ind w:firstLine="0" w:firstLineChars="0"/>
              <w:jc w:val="center"/>
              <w:rPr>
                <w:rFonts w:eastAsiaTheme="minorEastAsia"/>
                <w:sz w:val="24"/>
                <w:szCs w:val="24"/>
              </w:rPr>
            </w:pPr>
          </w:p>
        </w:tc>
      </w:tr>
      <w:tr w14:paraId="0782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411" w:type="pct"/>
            <w:shd w:val="clear" w:color="auto" w:fill="auto"/>
            <w:vAlign w:val="center"/>
          </w:tcPr>
          <w:p w14:paraId="32E310E1">
            <w:pPr>
              <w:spacing w:line="240" w:lineRule="auto"/>
              <w:ind w:firstLine="0" w:firstLineChars="0"/>
              <w:jc w:val="center"/>
              <w:rPr>
                <w:rFonts w:eastAsiaTheme="minorEastAsia"/>
                <w:sz w:val="24"/>
                <w:szCs w:val="24"/>
              </w:rPr>
            </w:pPr>
            <w:r>
              <w:rPr>
                <w:rFonts w:eastAsiaTheme="minorEastAsia"/>
                <w:sz w:val="24"/>
                <w:szCs w:val="24"/>
              </w:rPr>
              <w:t>黄秘伟</w:t>
            </w:r>
          </w:p>
        </w:tc>
        <w:tc>
          <w:tcPr>
            <w:tcW w:w="295" w:type="pct"/>
            <w:shd w:val="clear" w:color="auto" w:fill="auto"/>
            <w:vAlign w:val="center"/>
          </w:tcPr>
          <w:p w14:paraId="3CFA70F1">
            <w:pPr>
              <w:spacing w:line="240" w:lineRule="auto"/>
              <w:ind w:firstLine="0" w:firstLineChars="0"/>
              <w:jc w:val="center"/>
              <w:rPr>
                <w:rFonts w:eastAsiaTheme="minorEastAsia"/>
                <w:sz w:val="24"/>
                <w:szCs w:val="24"/>
              </w:rPr>
            </w:pPr>
            <w:r>
              <w:rPr>
                <w:rFonts w:eastAsiaTheme="minorEastAsia"/>
                <w:sz w:val="24"/>
                <w:szCs w:val="24"/>
              </w:rPr>
              <w:t>男</w:t>
            </w:r>
          </w:p>
        </w:tc>
        <w:tc>
          <w:tcPr>
            <w:tcW w:w="295" w:type="pct"/>
            <w:shd w:val="clear" w:color="auto" w:fill="auto"/>
            <w:vAlign w:val="center"/>
          </w:tcPr>
          <w:p w14:paraId="56E3091E">
            <w:pPr>
              <w:spacing w:line="240" w:lineRule="auto"/>
              <w:ind w:firstLine="0" w:firstLineChars="0"/>
              <w:jc w:val="center"/>
              <w:rPr>
                <w:rFonts w:eastAsiaTheme="minorEastAsia"/>
                <w:sz w:val="24"/>
                <w:szCs w:val="24"/>
              </w:rPr>
            </w:pPr>
            <w:r>
              <w:rPr>
                <w:rFonts w:eastAsiaTheme="minorEastAsia"/>
                <w:sz w:val="24"/>
                <w:szCs w:val="24"/>
              </w:rPr>
              <w:t>38</w:t>
            </w:r>
          </w:p>
        </w:tc>
        <w:tc>
          <w:tcPr>
            <w:tcW w:w="590" w:type="pct"/>
            <w:shd w:val="clear" w:color="auto" w:fill="auto"/>
            <w:vAlign w:val="center"/>
          </w:tcPr>
          <w:p w14:paraId="28A7F5C1">
            <w:pPr>
              <w:spacing w:line="240" w:lineRule="auto"/>
              <w:ind w:firstLine="0" w:firstLineChars="0"/>
              <w:jc w:val="center"/>
              <w:rPr>
                <w:rFonts w:eastAsiaTheme="minorEastAsia"/>
                <w:sz w:val="24"/>
                <w:szCs w:val="24"/>
              </w:rPr>
            </w:pPr>
            <w:r>
              <w:rPr>
                <w:rFonts w:eastAsiaTheme="minorEastAsia"/>
                <w:sz w:val="24"/>
                <w:szCs w:val="24"/>
              </w:rPr>
              <w:t>高级工程师</w:t>
            </w:r>
          </w:p>
        </w:tc>
        <w:tc>
          <w:tcPr>
            <w:tcW w:w="838" w:type="pct"/>
            <w:shd w:val="clear" w:color="auto" w:fill="auto"/>
            <w:vAlign w:val="center"/>
          </w:tcPr>
          <w:p w14:paraId="42B6E453">
            <w:pPr>
              <w:spacing w:line="240" w:lineRule="auto"/>
              <w:ind w:firstLine="0" w:firstLineChars="0"/>
              <w:jc w:val="center"/>
              <w:rPr>
                <w:rFonts w:eastAsiaTheme="minorEastAsia"/>
                <w:sz w:val="24"/>
                <w:szCs w:val="24"/>
              </w:rPr>
            </w:pPr>
            <w:r>
              <w:rPr>
                <w:rFonts w:eastAsiaTheme="minorEastAsia"/>
                <w:sz w:val="24"/>
                <w:szCs w:val="24"/>
              </w:rPr>
              <w:t>国土空间规划</w:t>
            </w:r>
          </w:p>
        </w:tc>
        <w:tc>
          <w:tcPr>
            <w:tcW w:w="887" w:type="pct"/>
            <w:shd w:val="clear" w:color="auto" w:fill="auto"/>
            <w:vAlign w:val="center"/>
          </w:tcPr>
          <w:p w14:paraId="50DAC37E">
            <w:pPr>
              <w:spacing w:line="240" w:lineRule="auto"/>
              <w:ind w:firstLine="0" w:firstLineChars="0"/>
              <w:jc w:val="center"/>
              <w:rPr>
                <w:rFonts w:eastAsiaTheme="minorEastAsia"/>
                <w:sz w:val="24"/>
                <w:szCs w:val="24"/>
              </w:rPr>
            </w:pPr>
            <w:r>
              <w:rPr>
                <w:sz w:val="24"/>
                <w:szCs w:val="24"/>
              </w:rPr>
              <w:t>GX12024015568</w:t>
            </w:r>
          </w:p>
        </w:tc>
        <w:tc>
          <w:tcPr>
            <w:tcW w:w="984" w:type="pct"/>
            <w:shd w:val="clear" w:color="auto" w:fill="auto"/>
            <w:vAlign w:val="center"/>
          </w:tcPr>
          <w:p w14:paraId="0D736A0E">
            <w:pPr>
              <w:spacing w:line="240" w:lineRule="auto"/>
              <w:ind w:firstLine="0" w:firstLineChars="0"/>
              <w:jc w:val="center"/>
              <w:rPr>
                <w:rFonts w:eastAsiaTheme="minorEastAsia"/>
                <w:sz w:val="24"/>
                <w:szCs w:val="24"/>
              </w:rPr>
            </w:pPr>
            <w:r>
              <w:rPr>
                <w:rFonts w:eastAsiaTheme="minorEastAsia"/>
                <w:sz w:val="24"/>
                <w:szCs w:val="24"/>
              </w:rPr>
              <w:t>资料整理、方案参编</w:t>
            </w:r>
          </w:p>
        </w:tc>
        <w:tc>
          <w:tcPr>
            <w:tcW w:w="695" w:type="pct"/>
            <w:vAlign w:val="center"/>
          </w:tcPr>
          <w:p w14:paraId="224C00DB">
            <w:pPr>
              <w:spacing w:line="240" w:lineRule="auto"/>
              <w:ind w:firstLine="0" w:firstLineChars="0"/>
              <w:jc w:val="center"/>
              <w:rPr>
                <w:rFonts w:eastAsiaTheme="minorEastAsia"/>
                <w:sz w:val="24"/>
                <w:szCs w:val="24"/>
              </w:rPr>
            </w:pPr>
          </w:p>
        </w:tc>
      </w:tr>
      <w:tr w14:paraId="4724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411" w:type="pct"/>
            <w:shd w:val="clear" w:color="auto" w:fill="auto"/>
            <w:vAlign w:val="center"/>
          </w:tcPr>
          <w:p w14:paraId="5286F98C">
            <w:pPr>
              <w:spacing w:line="240" w:lineRule="auto"/>
              <w:ind w:firstLine="0" w:firstLineChars="0"/>
              <w:jc w:val="center"/>
              <w:rPr>
                <w:rFonts w:eastAsiaTheme="minorEastAsia"/>
                <w:sz w:val="24"/>
                <w:szCs w:val="24"/>
              </w:rPr>
            </w:pPr>
            <w:r>
              <w:rPr>
                <w:rFonts w:eastAsiaTheme="minorEastAsia"/>
                <w:sz w:val="24"/>
                <w:szCs w:val="24"/>
              </w:rPr>
              <w:t>覃  伟</w:t>
            </w:r>
          </w:p>
        </w:tc>
        <w:tc>
          <w:tcPr>
            <w:tcW w:w="295" w:type="pct"/>
            <w:shd w:val="clear" w:color="auto" w:fill="auto"/>
            <w:vAlign w:val="center"/>
          </w:tcPr>
          <w:p w14:paraId="2168CFED">
            <w:pPr>
              <w:spacing w:line="240" w:lineRule="auto"/>
              <w:ind w:firstLine="0" w:firstLineChars="0"/>
              <w:jc w:val="center"/>
              <w:rPr>
                <w:rFonts w:eastAsiaTheme="minorEastAsia"/>
                <w:sz w:val="24"/>
                <w:szCs w:val="24"/>
              </w:rPr>
            </w:pPr>
            <w:r>
              <w:rPr>
                <w:rFonts w:eastAsiaTheme="minorEastAsia"/>
                <w:sz w:val="24"/>
                <w:szCs w:val="24"/>
              </w:rPr>
              <w:t>男</w:t>
            </w:r>
          </w:p>
        </w:tc>
        <w:tc>
          <w:tcPr>
            <w:tcW w:w="295" w:type="pct"/>
            <w:shd w:val="clear" w:color="auto" w:fill="auto"/>
            <w:vAlign w:val="center"/>
          </w:tcPr>
          <w:p w14:paraId="3714D70E">
            <w:pPr>
              <w:spacing w:line="240" w:lineRule="auto"/>
              <w:ind w:firstLine="0" w:firstLineChars="0"/>
              <w:jc w:val="center"/>
              <w:rPr>
                <w:rFonts w:eastAsiaTheme="minorEastAsia"/>
                <w:sz w:val="24"/>
                <w:szCs w:val="24"/>
              </w:rPr>
            </w:pPr>
            <w:r>
              <w:rPr>
                <w:rFonts w:eastAsiaTheme="minorEastAsia"/>
                <w:sz w:val="24"/>
                <w:szCs w:val="24"/>
              </w:rPr>
              <w:t>58</w:t>
            </w:r>
          </w:p>
        </w:tc>
        <w:tc>
          <w:tcPr>
            <w:tcW w:w="590" w:type="pct"/>
            <w:shd w:val="clear" w:color="auto" w:fill="auto"/>
            <w:vAlign w:val="center"/>
          </w:tcPr>
          <w:p w14:paraId="2507FCC5">
            <w:pPr>
              <w:spacing w:line="240" w:lineRule="auto"/>
              <w:ind w:firstLine="0" w:firstLineChars="0"/>
              <w:jc w:val="center"/>
              <w:rPr>
                <w:rFonts w:eastAsiaTheme="minorEastAsia"/>
                <w:sz w:val="24"/>
                <w:szCs w:val="24"/>
              </w:rPr>
            </w:pPr>
            <w:r>
              <w:rPr>
                <w:rFonts w:eastAsiaTheme="minorEastAsia"/>
                <w:sz w:val="24"/>
                <w:szCs w:val="24"/>
              </w:rPr>
              <w:t>高级工程师</w:t>
            </w:r>
          </w:p>
        </w:tc>
        <w:tc>
          <w:tcPr>
            <w:tcW w:w="838" w:type="pct"/>
            <w:shd w:val="clear" w:color="auto" w:fill="auto"/>
            <w:vAlign w:val="center"/>
          </w:tcPr>
          <w:p w14:paraId="007502AB">
            <w:pPr>
              <w:spacing w:line="240" w:lineRule="auto"/>
              <w:ind w:firstLine="0" w:firstLineChars="0"/>
              <w:jc w:val="center"/>
              <w:rPr>
                <w:rFonts w:eastAsiaTheme="minorEastAsia"/>
                <w:sz w:val="24"/>
                <w:szCs w:val="24"/>
              </w:rPr>
            </w:pPr>
            <w:r>
              <w:rPr>
                <w:rFonts w:eastAsiaTheme="minorEastAsia"/>
                <w:sz w:val="24"/>
                <w:szCs w:val="24"/>
              </w:rPr>
              <w:t>地质矿产</w:t>
            </w:r>
          </w:p>
        </w:tc>
        <w:tc>
          <w:tcPr>
            <w:tcW w:w="887" w:type="pct"/>
            <w:shd w:val="clear" w:color="auto" w:fill="auto"/>
            <w:vAlign w:val="center"/>
          </w:tcPr>
          <w:p w14:paraId="07E5DAC3">
            <w:pPr>
              <w:spacing w:line="240" w:lineRule="auto"/>
              <w:ind w:firstLine="0" w:firstLineChars="0"/>
              <w:jc w:val="center"/>
              <w:rPr>
                <w:rFonts w:eastAsiaTheme="minorEastAsia"/>
                <w:sz w:val="24"/>
                <w:szCs w:val="24"/>
              </w:rPr>
            </w:pPr>
            <w:r>
              <w:rPr>
                <w:sz w:val="24"/>
                <w:szCs w:val="24"/>
              </w:rPr>
              <w:t>0005667</w:t>
            </w:r>
          </w:p>
        </w:tc>
        <w:tc>
          <w:tcPr>
            <w:tcW w:w="984" w:type="pct"/>
            <w:shd w:val="clear" w:color="auto" w:fill="auto"/>
            <w:vAlign w:val="center"/>
          </w:tcPr>
          <w:p w14:paraId="7C10602C">
            <w:pPr>
              <w:spacing w:line="240" w:lineRule="auto"/>
              <w:ind w:firstLine="0" w:firstLineChars="0"/>
              <w:jc w:val="center"/>
              <w:rPr>
                <w:rFonts w:eastAsiaTheme="minorEastAsia"/>
                <w:sz w:val="24"/>
                <w:szCs w:val="24"/>
              </w:rPr>
            </w:pPr>
            <w:r>
              <w:rPr>
                <w:rFonts w:eastAsiaTheme="minorEastAsia"/>
                <w:sz w:val="24"/>
                <w:szCs w:val="24"/>
              </w:rPr>
              <w:t>审 核</w:t>
            </w:r>
          </w:p>
        </w:tc>
        <w:tc>
          <w:tcPr>
            <w:tcW w:w="695" w:type="pct"/>
            <w:vAlign w:val="center"/>
          </w:tcPr>
          <w:p w14:paraId="768051D7">
            <w:pPr>
              <w:spacing w:line="240" w:lineRule="auto"/>
              <w:ind w:firstLine="0" w:firstLineChars="0"/>
              <w:jc w:val="center"/>
              <w:rPr>
                <w:rFonts w:eastAsiaTheme="minorEastAsia"/>
                <w:sz w:val="24"/>
                <w:szCs w:val="24"/>
              </w:rPr>
            </w:pPr>
          </w:p>
        </w:tc>
      </w:tr>
      <w:tr w14:paraId="0119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183" w:type="dxa"/>
            <w:shd w:val="clear" w:color="auto" w:fill="auto"/>
            <w:vAlign w:val="center"/>
          </w:tcPr>
          <w:p w14:paraId="7FF0FCCE">
            <w:pPr>
              <w:spacing w:line="240" w:lineRule="auto"/>
              <w:ind w:firstLine="0" w:firstLineChars="0"/>
              <w:jc w:val="center"/>
              <w:rPr>
                <w:rFonts w:eastAsiaTheme="minorEastAsia"/>
                <w:sz w:val="24"/>
                <w:szCs w:val="24"/>
              </w:rPr>
            </w:pPr>
            <w:r>
              <w:rPr>
                <w:rFonts w:eastAsiaTheme="minorEastAsia"/>
                <w:sz w:val="24"/>
                <w:szCs w:val="24"/>
              </w:rPr>
              <w:t>黄荣强</w:t>
            </w:r>
          </w:p>
        </w:tc>
        <w:tc>
          <w:tcPr>
            <w:tcW w:w="849" w:type="dxa"/>
            <w:shd w:val="clear" w:color="auto" w:fill="auto"/>
            <w:vAlign w:val="center"/>
          </w:tcPr>
          <w:p w14:paraId="42F0025C">
            <w:pPr>
              <w:spacing w:line="240" w:lineRule="auto"/>
              <w:ind w:firstLine="0" w:firstLineChars="0"/>
              <w:jc w:val="center"/>
              <w:rPr>
                <w:rFonts w:eastAsiaTheme="minorEastAsia"/>
                <w:sz w:val="24"/>
                <w:szCs w:val="24"/>
              </w:rPr>
            </w:pPr>
            <w:r>
              <w:rPr>
                <w:rFonts w:eastAsiaTheme="minorEastAsia"/>
                <w:sz w:val="24"/>
                <w:szCs w:val="24"/>
              </w:rPr>
              <w:t>男</w:t>
            </w:r>
          </w:p>
        </w:tc>
        <w:tc>
          <w:tcPr>
            <w:tcW w:w="849" w:type="dxa"/>
            <w:shd w:val="clear" w:color="auto" w:fill="auto"/>
            <w:vAlign w:val="center"/>
          </w:tcPr>
          <w:p w14:paraId="396E6050">
            <w:pPr>
              <w:spacing w:line="240" w:lineRule="auto"/>
              <w:ind w:firstLine="0" w:firstLineChars="0"/>
              <w:jc w:val="center"/>
              <w:rPr>
                <w:rFonts w:eastAsiaTheme="minorEastAsia"/>
                <w:sz w:val="24"/>
                <w:szCs w:val="24"/>
              </w:rPr>
            </w:pPr>
            <w:r>
              <w:rPr>
                <w:rFonts w:eastAsiaTheme="minorEastAsia"/>
                <w:sz w:val="24"/>
                <w:szCs w:val="24"/>
              </w:rPr>
              <w:t>45</w:t>
            </w:r>
          </w:p>
        </w:tc>
        <w:tc>
          <w:tcPr>
            <w:tcW w:w="1700" w:type="dxa"/>
            <w:shd w:val="clear" w:color="auto" w:fill="auto"/>
            <w:vAlign w:val="center"/>
          </w:tcPr>
          <w:p w14:paraId="39C64E08">
            <w:pPr>
              <w:spacing w:line="240" w:lineRule="auto"/>
              <w:ind w:firstLine="0" w:firstLineChars="0"/>
              <w:jc w:val="center"/>
              <w:rPr>
                <w:rFonts w:eastAsiaTheme="minorEastAsia"/>
                <w:sz w:val="24"/>
                <w:szCs w:val="24"/>
              </w:rPr>
            </w:pPr>
            <w:r>
              <w:rPr>
                <w:rFonts w:eastAsiaTheme="minorEastAsia"/>
                <w:sz w:val="24"/>
                <w:szCs w:val="24"/>
              </w:rPr>
              <w:t>正高级工程师</w:t>
            </w:r>
          </w:p>
        </w:tc>
        <w:tc>
          <w:tcPr>
            <w:tcW w:w="2413" w:type="dxa"/>
            <w:shd w:val="clear" w:color="auto" w:fill="auto"/>
            <w:vAlign w:val="center"/>
          </w:tcPr>
          <w:p w14:paraId="43FCCC92">
            <w:pPr>
              <w:spacing w:line="240" w:lineRule="auto"/>
              <w:ind w:firstLine="0" w:firstLineChars="0"/>
              <w:jc w:val="center"/>
              <w:rPr>
                <w:rFonts w:eastAsiaTheme="minorEastAsia"/>
                <w:sz w:val="24"/>
                <w:szCs w:val="24"/>
              </w:rPr>
            </w:pPr>
            <w:r>
              <w:rPr>
                <w:rFonts w:eastAsiaTheme="minorEastAsia"/>
                <w:sz w:val="24"/>
                <w:szCs w:val="24"/>
              </w:rPr>
              <w:t>采矿工程</w:t>
            </w:r>
          </w:p>
        </w:tc>
        <w:tc>
          <w:tcPr>
            <w:tcW w:w="2554" w:type="dxa"/>
            <w:shd w:val="clear" w:color="auto" w:fill="auto"/>
            <w:vAlign w:val="center"/>
          </w:tcPr>
          <w:p w14:paraId="0F09AC8F">
            <w:pPr>
              <w:spacing w:line="240" w:lineRule="auto"/>
              <w:ind w:firstLine="0" w:firstLineChars="0"/>
              <w:jc w:val="center"/>
              <w:rPr>
                <w:rFonts w:eastAsiaTheme="minorEastAsia"/>
                <w:sz w:val="24"/>
                <w:szCs w:val="24"/>
              </w:rPr>
            </w:pPr>
            <w:r>
              <w:rPr>
                <w:rFonts w:eastAsiaTheme="minorEastAsia"/>
                <w:sz w:val="24"/>
                <w:szCs w:val="24"/>
              </w:rPr>
              <w:t>1312717</w:t>
            </w:r>
          </w:p>
        </w:tc>
        <w:tc>
          <w:tcPr>
            <w:tcW w:w="2833" w:type="dxa"/>
            <w:shd w:val="clear" w:color="auto" w:fill="auto"/>
            <w:vAlign w:val="center"/>
          </w:tcPr>
          <w:p w14:paraId="66BF4AFF">
            <w:pPr>
              <w:spacing w:line="240" w:lineRule="auto"/>
              <w:ind w:firstLine="0" w:firstLineChars="0"/>
              <w:jc w:val="center"/>
              <w:rPr>
                <w:rFonts w:eastAsiaTheme="minorEastAsia"/>
                <w:sz w:val="24"/>
                <w:szCs w:val="24"/>
              </w:rPr>
            </w:pPr>
            <w:r>
              <w:rPr>
                <w:rFonts w:eastAsiaTheme="minorEastAsia"/>
                <w:sz w:val="24"/>
                <w:szCs w:val="24"/>
              </w:rPr>
              <w:t>审 定</w:t>
            </w:r>
          </w:p>
        </w:tc>
        <w:tc>
          <w:tcPr>
            <w:tcW w:w="2002" w:type="dxa"/>
          </w:tcPr>
          <w:p w14:paraId="4F7318C6">
            <w:pPr>
              <w:spacing w:line="240" w:lineRule="auto"/>
              <w:ind w:firstLine="0" w:firstLineChars="0"/>
              <w:jc w:val="center"/>
              <w:rPr>
                <w:rFonts w:eastAsiaTheme="minorEastAsia"/>
                <w:sz w:val="24"/>
                <w:szCs w:val="24"/>
              </w:rPr>
            </w:pPr>
          </w:p>
        </w:tc>
      </w:tr>
    </w:tbl>
    <w:p w14:paraId="7DD3D4B8">
      <w:pPr>
        <w:widowControl/>
        <w:spacing w:line="600" w:lineRule="exact"/>
        <w:ind w:firstLine="1282" w:firstLineChars="458"/>
        <w:jc w:val="left"/>
        <w:rPr>
          <w:rFonts w:eastAsia="宋体"/>
          <w:szCs w:val="28"/>
        </w:rPr>
        <w:sectPr>
          <w:pgSz w:w="16838" w:h="11906" w:orient="landscape"/>
          <w:pgMar w:top="1701" w:right="1418" w:bottom="1418" w:left="1418" w:header="851" w:footer="1304" w:gutter="0"/>
          <w:pgNumType w:start="0"/>
          <w:cols w:space="720" w:num="1"/>
          <w:titlePg/>
          <w:docGrid w:type="lines" w:linePitch="381" w:charSpace="0"/>
        </w:sectPr>
      </w:pPr>
    </w:p>
    <w:sdt>
      <w:sdtPr>
        <w:rPr>
          <w:rFonts w:eastAsia="宋体"/>
          <w:szCs w:val="28"/>
        </w:rPr>
        <w:id w:val="147461026"/>
        <w:docPartObj>
          <w:docPartGallery w:val="Table of Contents"/>
          <w:docPartUnique/>
        </w:docPartObj>
      </w:sdtPr>
      <w:sdtEndPr>
        <w:rPr>
          <w:rStyle w:val="42"/>
          <w:rFonts w:eastAsia="宋体"/>
          <w:b/>
          <w:bCs/>
          <w:sz w:val="21"/>
          <w:szCs w:val="28"/>
          <w:lang w:val="zh-CN"/>
        </w:rPr>
      </w:sdtEndPr>
      <w:sdtContent>
        <w:p w14:paraId="530AE7C4">
          <w:pPr>
            <w:spacing w:line="240" w:lineRule="auto"/>
            <w:ind w:firstLine="0" w:firstLineChars="0"/>
            <w:jc w:val="center"/>
            <w:rPr>
              <w:szCs w:val="28"/>
            </w:rPr>
          </w:pPr>
          <w:r>
            <w:rPr>
              <w:b/>
              <w:bCs/>
              <w:szCs w:val="28"/>
            </w:rPr>
            <w:t>目  录</w:t>
          </w:r>
        </w:p>
        <w:p w14:paraId="529A4281">
          <w:pPr>
            <w:pStyle w:val="24"/>
            <w:tabs>
              <w:tab w:val="right" w:leader="dot" w:pos="9070"/>
            </w:tabs>
          </w:pPr>
          <w:r>
            <w:rPr>
              <w:rFonts w:eastAsia="宋体" w:cs="Times New Roman"/>
              <w:snapToGrid w:val="0"/>
              <w:kern w:val="0"/>
              <w:sz w:val="32"/>
              <w:szCs w:val="32"/>
            </w:rPr>
            <w:fldChar w:fldCharType="begin"/>
          </w:r>
          <w:r>
            <w:rPr>
              <w:rFonts w:eastAsia="宋体" w:cs="Times New Roman"/>
              <w:snapToGrid w:val="0"/>
              <w:kern w:val="0"/>
              <w:sz w:val="32"/>
              <w:szCs w:val="32"/>
            </w:rPr>
            <w:instrText xml:space="preserve">TOC \o "1-2" \h \u </w:instrText>
          </w:r>
          <w:r>
            <w:rPr>
              <w:rFonts w:eastAsia="宋体" w:cs="Times New Roman"/>
              <w:snapToGrid w:val="0"/>
              <w:kern w:val="0"/>
              <w:sz w:val="32"/>
              <w:szCs w:val="32"/>
            </w:rPr>
            <w:fldChar w:fldCharType="separate"/>
          </w:r>
          <w:r>
            <w:rPr>
              <w:rFonts w:eastAsia="宋体" w:cs="Times New Roman"/>
              <w:snapToGrid w:val="0"/>
              <w:kern w:val="0"/>
              <w:szCs w:val="32"/>
            </w:rPr>
            <w:fldChar w:fldCharType="begin"/>
          </w:r>
          <w:r>
            <w:rPr>
              <w:rFonts w:eastAsia="宋体" w:cs="Times New Roman"/>
              <w:snapToGrid w:val="0"/>
              <w:kern w:val="0"/>
              <w:szCs w:val="32"/>
            </w:rPr>
            <w:instrText xml:space="preserve"> HYPERLINK \l _Toc28194 </w:instrText>
          </w:r>
          <w:r>
            <w:rPr>
              <w:rFonts w:eastAsia="宋体" w:cs="Times New Roman"/>
              <w:snapToGrid w:val="0"/>
              <w:kern w:val="0"/>
              <w:szCs w:val="32"/>
            </w:rPr>
            <w:fldChar w:fldCharType="separate"/>
          </w:r>
          <w:r>
            <w:t>1 前言</w:t>
          </w:r>
          <w:r>
            <w:tab/>
          </w:r>
          <w:r>
            <w:fldChar w:fldCharType="begin"/>
          </w:r>
          <w:r>
            <w:instrText xml:space="preserve"> PAGEREF _Toc28194 \h </w:instrText>
          </w:r>
          <w:r>
            <w:fldChar w:fldCharType="separate"/>
          </w:r>
          <w:r>
            <w:t>1</w:t>
          </w:r>
          <w:r>
            <w:fldChar w:fldCharType="end"/>
          </w:r>
          <w:r>
            <w:rPr>
              <w:rFonts w:eastAsia="宋体" w:cs="Times New Roman"/>
              <w:snapToGrid w:val="0"/>
              <w:kern w:val="0"/>
              <w:szCs w:val="32"/>
            </w:rPr>
            <w:fldChar w:fldCharType="end"/>
          </w:r>
        </w:p>
        <w:p w14:paraId="0F5D2756">
          <w:pPr>
            <w:pStyle w:val="27"/>
            <w:tabs>
              <w:tab w:val="right" w:leader="dot" w:pos="9070"/>
            </w:tabs>
          </w:pPr>
          <w:r>
            <w:fldChar w:fldCharType="begin"/>
          </w:r>
          <w:r>
            <w:instrText xml:space="preserve"> HYPERLINK \l _Toc19735 </w:instrText>
          </w:r>
          <w:r>
            <w:fldChar w:fldCharType="separate"/>
          </w:r>
          <w:r>
            <w:t>1.1 目的与任务</w:t>
          </w:r>
          <w:r>
            <w:tab/>
          </w:r>
          <w:r>
            <w:fldChar w:fldCharType="begin"/>
          </w:r>
          <w:r>
            <w:instrText xml:space="preserve"> PAGEREF _Toc19735 \h </w:instrText>
          </w:r>
          <w:r>
            <w:fldChar w:fldCharType="separate"/>
          </w:r>
          <w:r>
            <w:t>1</w:t>
          </w:r>
          <w:r>
            <w:fldChar w:fldCharType="end"/>
          </w:r>
          <w:r>
            <w:fldChar w:fldCharType="end"/>
          </w:r>
        </w:p>
        <w:p w14:paraId="77E089DA">
          <w:pPr>
            <w:pStyle w:val="27"/>
            <w:tabs>
              <w:tab w:val="right" w:leader="dot" w:pos="9070"/>
            </w:tabs>
          </w:pPr>
          <w:r>
            <w:fldChar w:fldCharType="begin"/>
          </w:r>
          <w:r>
            <w:instrText xml:space="preserve"> HYPERLINK \l _Toc24841 </w:instrText>
          </w:r>
          <w:r>
            <w:fldChar w:fldCharType="separate"/>
          </w:r>
          <w:r>
            <w:t>1.2 矿</w:t>
          </w:r>
          <w:r>
            <w:rPr>
              <w:lang w:val="en-US"/>
            </w:rPr>
            <w:t>业</w:t>
          </w:r>
          <w:r>
            <w:t>权设置情况</w:t>
          </w:r>
          <w:r>
            <w:tab/>
          </w:r>
          <w:r>
            <w:fldChar w:fldCharType="begin"/>
          </w:r>
          <w:r>
            <w:instrText xml:space="preserve"> PAGEREF _Toc24841 \h </w:instrText>
          </w:r>
          <w:r>
            <w:fldChar w:fldCharType="separate"/>
          </w:r>
          <w:r>
            <w:t>3</w:t>
          </w:r>
          <w:r>
            <w:fldChar w:fldCharType="end"/>
          </w:r>
          <w:r>
            <w:fldChar w:fldCharType="end"/>
          </w:r>
        </w:p>
        <w:p w14:paraId="19C20AA3">
          <w:pPr>
            <w:pStyle w:val="27"/>
            <w:tabs>
              <w:tab w:val="right" w:leader="dot" w:pos="9070"/>
            </w:tabs>
          </w:pPr>
          <w:r>
            <w:fldChar w:fldCharType="begin"/>
          </w:r>
          <w:r>
            <w:instrText xml:space="preserve"> HYPERLINK \l _Toc15856 </w:instrText>
          </w:r>
          <w:r>
            <w:fldChar w:fldCharType="separate"/>
          </w:r>
          <w:r>
            <w:t>1.3 矿区概况</w:t>
          </w:r>
          <w:r>
            <w:tab/>
          </w:r>
          <w:r>
            <w:fldChar w:fldCharType="begin"/>
          </w:r>
          <w:r>
            <w:instrText xml:space="preserve"> PAGEREF _Toc15856 \h </w:instrText>
          </w:r>
          <w:r>
            <w:fldChar w:fldCharType="separate"/>
          </w:r>
          <w:r>
            <w:t>8</w:t>
          </w:r>
          <w:r>
            <w:fldChar w:fldCharType="end"/>
          </w:r>
          <w:r>
            <w:fldChar w:fldCharType="end"/>
          </w:r>
        </w:p>
        <w:p w14:paraId="4853C57C">
          <w:pPr>
            <w:pStyle w:val="24"/>
            <w:tabs>
              <w:tab w:val="right" w:leader="dot" w:pos="9070"/>
            </w:tabs>
          </w:pPr>
          <w:r>
            <w:fldChar w:fldCharType="begin"/>
          </w:r>
          <w:r>
            <w:instrText xml:space="preserve"> HYPERLINK \l _Toc7028 </w:instrText>
          </w:r>
          <w:r>
            <w:fldChar w:fldCharType="separate"/>
          </w:r>
          <w:r>
            <w:t>2 设计地质依据</w:t>
          </w:r>
          <w:r>
            <w:tab/>
          </w:r>
          <w:r>
            <w:fldChar w:fldCharType="begin"/>
          </w:r>
          <w:r>
            <w:instrText xml:space="preserve"> PAGEREF _Toc7028 \h </w:instrText>
          </w:r>
          <w:r>
            <w:fldChar w:fldCharType="separate"/>
          </w:r>
          <w:r>
            <w:t>11</w:t>
          </w:r>
          <w:r>
            <w:fldChar w:fldCharType="end"/>
          </w:r>
          <w:r>
            <w:fldChar w:fldCharType="end"/>
          </w:r>
        </w:p>
        <w:p w14:paraId="0976D6E2">
          <w:pPr>
            <w:pStyle w:val="27"/>
            <w:tabs>
              <w:tab w:val="right" w:leader="dot" w:pos="9070"/>
            </w:tabs>
          </w:pPr>
          <w:r>
            <w:fldChar w:fldCharType="begin"/>
          </w:r>
          <w:r>
            <w:instrText xml:space="preserve"> HYPERLINK \l _Toc10987 </w:instrText>
          </w:r>
          <w:r>
            <w:fldChar w:fldCharType="separate"/>
          </w:r>
          <w:r>
            <w:t>2.1 以往地质工作情况</w:t>
          </w:r>
          <w:r>
            <w:tab/>
          </w:r>
          <w:r>
            <w:fldChar w:fldCharType="begin"/>
          </w:r>
          <w:r>
            <w:instrText xml:space="preserve"> PAGEREF _Toc10987 \h </w:instrText>
          </w:r>
          <w:r>
            <w:fldChar w:fldCharType="separate"/>
          </w:r>
          <w:r>
            <w:t>11</w:t>
          </w:r>
          <w:r>
            <w:fldChar w:fldCharType="end"/>
          </w:r>
          <w:r>
            <w:fldChar w:fldCharType="end"/>
          </w:r>
        </w:p>
        <w:p w14:paraId="1A071AE1">
          <w:pPr>
            <w:pStyle w:val="27"/>
            <w:tabs>
              <w:tab w:val="right" w:leader="dot" w:pos="9070"/>
            </w:tabs>
          </w:pPr>
          <w:r>
            <w:fldChar w:fldCharType="begin"/>
          </w:r>
          <w:r>
            <w:instrText xml:space="preserve"> HYPERLINK \l _Toc13932 </w:instrText>
          </w:r>
          <w:r>
            <w:fldChar w:fldCharType="separate"/>
          </w:r>
          <w:r>
            <w:rPr>
              <w:lang w:val="en-US"/>
            </w:rPr>
            <w:t>2.2</w:t>
          </w:r>
          <w:r>
            <w:t>本次勘查</w:t>
          </w:r>
          <w:r>
            <w:rPr>
              <w:lang w:val="en-US"/>
            </w:rPr>
            <w:t>相关</w:t>
          </w:r>
          <w:r>
            <w:t>法律法规、规范</w:t>
          </w:r>
          <w:r>
            <w:rPr>
              <w:lang w:val="en-US"/>
            </w:rPr>
            <w:t>及资料</w:t>
          </w:r>
          <w:r>
            <w:tab/>
          </w:r>
          <w:r>
            <w:fldChar w:fldCharType="begin"/>
          </w:r>
          <w:r>
            <w:instrText xml:space="preserve"> PAGEREF _Toc13932 \h </w:instrText>
          </w:r>
          <w:r>
            <w:fldChar w:fldCharType="separate"/>
          </w:r>
          <w:r>
            <w:t>14</w:t>
          </w:r>
          <w:r>
            <w:fldChar w:fldCharType="end"/>
          </w:r>
          <w:r>
            <w:fldChar w:fldCharType="end"/>
          </w:r>
        </w:p>
        <w:p w14:paraId="282DE5A9">
          <w:pPr>
            <w:pStyle w:val="27"/>
            <w:tabs>
              <w:tab w:val="right" w:leader="dot" w:pos="9070"/>
            </w:tabs>
          </w:pPr>
          <w:r>
            <w:fldChar w:fldCharType="begin"/>
          </w:r>
          <w:r>
            <w:instrText xml:space="preserve"> HYPERLINK \l _Toc4204 </w:instrText>
          </w:r>
          <w:r>
            <w:fldChar w:fldCharType="separate"/>
          </w:r>
          <w:r>
            <w:t>2.</w:t>
          </w:r>
          <w:r>
            <w:rPr>
              <w:lang w:val="en-US"/>
            </w:rPr>
            <w:t>3</w:t>
          </w:r>
          <w:r>
            <w:t xml:space="preserve"> 区域地质</w:t>
          </w:r>
          <w:r>
            <w:tab/>
          </w:r>
          <w:r>
            <w:fldChar w:fldCharType="begin"/>
          </w:r>
          <w:r>
            <w:instrText xml:space="preserve"> PAGEREF _Toc4204 \h </w:instrText>
          </w:r>
          <w:r>
            <w:fldChar w:fldCharType="separate"/>
          </w:r>
          <w:r>
            <w:t>15</w:t>
          </w:r>
          <w:r>
            <w:fldChar w:fldCharType="end"/>
          </w:r>
          <w:r>
            <w:fldChar w:fldCharType="end"/>
          </w:r>
        </w:p>
        <w:p w14:paraId="57DC3E1A">
          <w:pPr>
            <w:pStyle w:val="27"/>
            <w:tabs>
              <w:tab w:val="right" w:leader="dot" w:pos="9070"/>
            </w:tabs>
          </w:pPr>
          <w:r>
            <w:fldChar w:fldCharType="begin"/>
          </w:r>
          <w:r>
            <w:instrText xml:space="preserve"> HYPERLINK \l _Toc20055 </w:instrText>
          </w:r>
          <w:r>
            <w:fldChar w:fldCharType="separate"/>
          </w:r>
          <w:r>
            <w:t>2.</w:t>
          </w:r>
          <w:r>
            <w:rPr>
              <w:lang w:val="en-US"/>
            </w:rPr>
            <w:t>4</w:t>
          </w:r>
          <w:r>
            <w:t xml:space="preserve"> 矿区地质</w:t>
          </w:r>
          <w:r>
            <w:tab/>
          </w:r>
          <w:r>
            <w:fldChar w:fldCharType="begin"/>
          </w:r>
          <w:r>
            <w:instrText xml:space="preserve"> PAGEREF _Toc20055 \h </w:instrText>
          </w:r>
          <w:r>
            <w:fldChar w:fldCharType="separate"/>
          </w:r>
          <w:r>
            <w:t>19</w:t>
          </w:r>
          <w:r>
            <w:fldChar w:fldCharType="end"/>
          </w:r>
          <w:r>
            <w:fldChar w:fldCharType="end"/>
          </w:r>
        </w:p>
        <w:p w14:paraId="37A2B72B">
          <w:pPr>
            <w:pStyle w:val="24"/>
            <w:tabs>
              <w:tab w:val="right" w:leader="dot" w:pos="9070"/>
            </w:tabs>
          </w:pPr>
          <w:r>
            <w:fldChar w:fldCharType="begin"/>
          </w:r>
          <w:r>
            <w:instrText xml:space="preserve"> HYPERLINK \l _Toc11394 </w:instrText>
          </w:r>
          <w:r>
            <w:fldChar w:fldCharType="separate"/>
          </w:r>
          <w:r>
            <w:t>3 勘查工作部署</w:t>
          </w:r>
          <w:r>
            <w:tab/>
          </w:r>
          <w:r>
            <w:fldChar w:fldCharType="begin"/>
          </w:r>
          <w:r>
            <w:instrText xml:space="preserve"> PAGEREF _Toc11394 \h </w:instrText>
          </w:r>
          <w:r>
            <w:fldChar w:fldCharType="separate"/>
          </w:r>
          <w:r>
            <w:t>31</w:t>
          </w:r>
          <w:r>
            <w:fldChar w:fldCharType="end"/>
          </w:r>
          <w:r>
            <w:fldChar w:fldCharType="end"/>
          </w:r>
        </w:p>
        <w:p w14:paraId="79F168CE">
          <w:pPr>
            <w:pStyle w:val="27"/>
            <w:tabs>
              <w:tab w:val="right" w:leader="dot" w:pos="9070"/>
            </w:tabs>
          </w:pPr>
          <w:r>
            <w:fldChar w:fldCharType="begin"/>
          </w:r>
          <w:r>
            <w:instrText xml:space="preserve"> HYPERLINK \l _Toc5926 </w:instrText>
          </w:r>
          <w:r>
            <w:fldChar w:fldCharType="separate"/>
          </w:r>
          <w:r>
            <w:t>3.1 总体部署原则</w:t>
          </w:r>
          <w:r>
            <w:tab/>
          </w:r>
          <w:r>
            <w:fldChar w:fldCharType="begin"/>
          </w:r>
          <w:r>
            <w:instrText xml:space="preserve"> PAGEREF _Toc5926 \h </w:instrText>
          </w:r>
          <w:r>
            <w:fldChar w:fldCharType="separate"/>
          </w:r>
          <w:r>
            <w:t>31</w:t>
          </w:r>
          <w:r>
            <w:fldChar w:fldCharType="end"/>
          </w:r>
          <w:r>
            <w:fldChar w:fldCharType="end"/>
          </w:r>
        </w:p>
        <w:p w14:paraId="3672FD2B">
          <w:pPr>
            <w:pStyle w:val="27"/>
            <w:tabs>
              <w:tab w:val="right" w:leader="dot" w:pos="9070"/>
            </w:tabs>
          </w:pPr>
          <w:r>
            <w:fldChar w:fldCharType="begin"/>
          </w:r>
          <w:r>
            <w:instrText xml:space="preserve"> HYPERLINK \l _Toc8446 </w:instrText>
          </w:r>
          <w:r>
            <w:fldChar w:fldCharType="separate"/>
          </w:r>
          <w:r>
            <w:t>3.2 勘查工作方法选择</w:t>
          </w:r>
          <w:r>
            <w:tab/>
          </w:r>
          <w:r>
            <w:fldChar w:fldCharType="begin"/>
          </w:r>
          <w:r>
            <w:instrText xml:space="preserve"> PAGEREF _Toc8446 \h </w:instrText>
          </w:r>
          <w:r>
            <w:fldChar w:fldCharType="separate"/>
          </w:r>
          <w:r>
            <w:t>32</w:t>
          </w:r>
          <w:r>
            <w:fldChar w:fldCharType="end"/>
          </w:r>
          <w:r>
            <w:fldChar w:fldCharType="end"/>
          </w:r>
        </w:p>
        <w:p w14:paraId="0C792997">
          <w:pPr>
            <w:pStyle w:val="27"/>
            <w:tabs>
              <w:tab w:val="right" w:leader="dot" w:pos="9070"/>
            </w:tabs>
          </w:pPr>
          <w:r>
            <w:fldChar w:fldCharType="begin"/>
          </w:r>
          <w:r>
            <w:instrText xml:space="preserve"> HYPERLINK \l _Toc23199 </w:instrText>
          </w:r>
          <w:r>
            <w:fldChar w:fldCharType="separate"/>
          </w:r>
          <w:r>
            <w:t>3.</w:t>
          </w:r>
          <w:r>
            <w:rPr>
              <w:lang w:val="en-US"/>
            </w:rPr>
            <w:t>3</w:t>
          </w:r>
          <w:r>
            <w:t xml:space="preserve"> 矿床勘查类型及勘查工程间距的确定</w:t>
          </w:r>
          <w:r>
            <w:tab/>
          </w:r>
          <w:r>
            <w:fldChar w:fldCharType="begin"/>
          </w:r>
          <w:r>
            <w:instrText xml:space="preserve"> PAGEREF _Toc23199 \h </w:instrText>
          </w:r>
          <w:r>
            <w:fldChar w:fldCharType="separate"/>
          </w:r>
          <w:r>
            <w:t>33</w:t>
          </w:r>
          <w:r>
            <w:fldChar w:fldCharType="end"/>
          </w:r>
          <w:r>
            <w:fldChar w:fldCharType="end"/>
          </w:r>
        </w:p>
        <w:p w14:paraId="67E27B56">
          <w:pPr>
            <w:pStyle w:val="27"/>
            <w:tabs>
              <w:tab w:val="right" w:leader="dot" w:pos="9070"/>
            </w:tabs>
          </w:pPr>
          <w:r>
            <w:fldChar w:fldCharType="begin"/>
          </w:r>
          <w:r>
            <w:instrText xml:space="preserve"> HYPERLINK \l _Toc19185 </w:instrText>
          </w:r>
          <w:r>
            <w:fldChar w:fldCharType="separate"/>
          </w:r>
          <w:r>
            <w:t>3.</w:t>
          </w:r>
          <w:r>
            <w:rPr>
              <w:lang w:val="en-US"/>
            </w:rPr>
            <w:t>4</w:t>
          </w:r>
          <w:r>
            <w:t xml:space="preserve"> 勘查工程布置</w:t>
          </w:r>
          <w:r>
            <w:tab/>
          </w:r>
          <w:r>
            <w:fldChar w:fldCharType="begin"/>
          </w:r>
          <w:r>
            <w:instrText xml:space="preserve"> PAGEREF _Toc19185 \h </w:instrText>
          </w:r>
          <w:r>
            <w:fldChar w:fldCharType="separate"/>
          </w:r>
          <w:r>
            <w:t>33</w:t>
          </w:r>
          <w:r>
            <w:fldChar w:fldCharType="end"/>
          </w:r>
          <w:r>
            <w:fldChar w:fldCharType="end"/>
          </w:r>
        </w:p>
        <w:p w14:paraId="5E861DCC">
          <w:pPr>
            <w:pStyle w:val="27"/>
            <w:tabs>
              <w:tab w:val="right" w:leader="dot" w:pos="9070"/>
            </w:tabs>
          </w:pPr>
          <w:r>
            <w:fldChar w:fldCharType="begin"/>
          </w:r>
          <w:r>
            <w:instrText xml:space="preserve"> HYPERLINK \l _Toc31306 </w:instrText>
          </w:r>
          <w:r>
            <w:fldChar w:fldCharType="separate"/>
          </w:r>
          <w:r>
            <w:t>3.</w:t>
          </w:r>
          <w:r>
            <w:rPr>
              <w:lang w:val="en-US"/>
            </w:rPr>
            <w:t>5</w:t>
          </w:r>
          <w:r>
            <w:t xml:space="preserve"> 工作安排</w:t>
          </w:r>
          <w:r>
            <w:tab/>
          </w:r>
          <w:r>
            <w:fldChar w:fldCharType="begin"/>
          </w:r>
          <w:r>
            <w:instrText xml:space="preserve"> PAGEREF _Toc31306 \h </w:instrText>
          </w:r>
          <w:r>
            <w:fldChar w:fldCharType="separate"/>
          </w:r>
          <w:r>
            <w:t>36</w:t>
          </w:r>
          <w:r>
            <w:fldChar w:fldCharType="end"/>
          </w:r>
          <w:r>
            <w:fldChar w:fldCharType="end"/>
          </w:r>
        </w:p>
        <w:p w14:paraId="5180EE9F">
          <w:pPr>
            <w:pStyle w:val="27"/>
            <w:tabs>
              <w:tab w:val="right" w:leader="dot" w:pos="9070"/>
            </w:tabs>
          </w:pPr>
          <w:r>
            <w:fldChar w:fldCharType="begin"/>
          </w:r>
          <w:r>
            <w:instrText xml:space="preserve"> HYPERLINK \l _Toc9086 </w:instrText>
          </w:r>
          <w:r>
            <w:fldChar w:fldCharType="separate"/>
          </w:r>
          <w:r>
            <w:t>3.</w:t>
          </w:r>
          <w:r>
            <w:rPr>
              <w:lang w:val="en-US"/>
            </w:rPr>
            <w:t>6</w:t>
          </w:r>
          <w:r>
            <w:t xml:space="preserve"> 实物工作量</w:t>
          </w:r>
          <w:r>
            <w:tab/>
          </w:r>
          <w:r>
            <w:fldChar w:fldCharType="begin"/>
          </w:r>
          <w:r>
            <w:instrText xml:space="preserve"> PAGEREF _Toc9086 \h </w:instrText>
          </w:r>
          <w:r>
            <w:fldChar w:fldCharType="separate"/>
          </w:r>
          <w:r>
            <w:t>37</w:t>
          </w:r>
          <w:r>
            <w:fldChar w:fldCharType="end"/>
          </w:r>
          <w:r>
            <w:fldChar w:fldCharType="end"/>
          </w:r>
        </w:p>
        <w:p w14:paraId="56CFC10B">
          <w:pPr>
            <w:pStyle w:val="24"/>
            <w:tabs>
              <w:tab w:val="right" w:leader="dot" w:pos="9070"/>
            </w:tabs>
          </w:pPr>
          <w:r>
            <w:fldChar w:fldCharType="begin"/>
          </w:r>
          <w:r>
            <w:instrText xml:space="preserve"> HYPERLINK \l _Toc6550 </w:instrText>
          </w:r>
          <w:r>
            <w:fldChar w:fldCharType="separate"/>
          </w:r>
          <w:r>
            <w:t>4 勘查工作及质量要求</w:t>
          </w:r>
          <w:r>
            <w:tab/>
          </w:r>
          <w:r>
            <w:fldChar w:fldCharType="begin"/>
          </w:r>
          <w:r>
            <w:instrText xml:space="preserve"> PAGEREF _Toc6550 \h </w:instrText>
          </w:r>
          <w:r>
            <w:fldChar w:fldCharType="separate"/>
          </w:r>
          <w:r>
            <w:t>40</w:t>
          </w:r>
          <w:r>
            <w:fldChar w:fldCharType="end"/>
          </w:r>
          <w:r>
            <w:fldChar w:fldCharType="end"/>
          </w:r>
        </w:p>
        <w:p w14:paraId="1DA3B23A">
          <w:pPr>
            <w:pStyle w:val="27"/>
            <w:tabs>
              <w:tab w:val="right" w:leader="dot" w:pos="9070"/>
            </w:tabs>
          </w:pPr>
          <w:r>
            <w:fldChar w:fldCharType="begin"/>
          </w:r>
          <w:r>
            <w:instrText xml:space="preserve"> HYPERLINK \l _Toc23526 </w:instrText>
          </w:r>
          <w:r>
            <w:fldChar w:fldCharType="separate"/>
          </w:r>
          <w:r>
            <w:rPr>
              <w:lang w:val="en-US"/>
            </w:rPr>
            <w:t>4.1</w:t>
          </w:r>
          <w:r>
            <w:t xml:space="preserve"> 首采地段选择</w:t>
          </w:r>
          <w:r>
            <w:tab/>
          </w:r>
          <w:r>
            <w:fldChar w:fldCharType="begin"/>
          </w:r>
          <w:r>
            <w:instrText xml:space="preserve"> PAGEREF _Toc23526 \h </w:instrText>
          </w:r>
          <w:r>
            <w:fldChar w:fldCharType="separate"/>
          </w:r>
          <w:r>
            <w:t>40</w:t>
          </w:r>
          <w:r>
            <w:fldChar w:fldCharType="end"/>
          </w:r>
          <w:r>
            <w:fldChar w:fldCharType="end"/>
          </w:r>
        </w:p>
        <w:p w14:paraId="02910342">
          <w:pPr>
            <w:pStyle w:val="27"/>
            <w:tabs>
              <w:tab w:val="right" w:leader="dot" w:pos="9070"/>
            </w:tabs>
          </w:pPr>
          <w:r>
            <w:fldChar w:fldCharType="begin"/>
          </w:r>
          <w:r>
            <w:instrText xml:space="preserve"> HYPERLINK \l _Toc31262 </w:instrText>
          </w:r>
          <w:r>
            <w:fldChar w:fldCharType="separate"/>
          </w:r>
          <w:r>
            <w:t>4.</w:t>
          </w:r>
          <w:r>
            <w:rPr>
              <w:lang w:val="en-US"/>
            </w:rPr>
            <w:t>2</w:t>
          </w:r>
          <w:r>
            <w:t xml:space="preserve"> 测量工作</w:t>
          </w:r>
          <w:r>
            <w:tab/>
          </w:r>
          <w:r>
            <w:fldChar w:fldCharType="begin"/>
          </w:r>
          <w:r>
            <w:instrText xml:space="preserve"> PAGEREF _Toc31262 \h </w:instrText>
          </w:r>
          <w:r>
            <w:fldChar w:fldCharType="separate"/>
          </w:r>
          <w:r>
            <w:t>40</w:t>
          </w:r>
          <w:r>
            <w:fldChar w:fldCharType="end"/>
          </w:r>
          <w:r>
            <w:fldChar w:fldCharType="end"/>
          </w:r>
        </w:p>
        <w:p w14:paraId="47C8FAB4">
          <w:pPr>
            <w:pStyle w:val="27"/>
            <w:tabs>
              <w:tab w:val="right" w:leader="dot" w:pos="9070"/>
            </w:tabs>
          </w:pPr>
          <w:r>
            <w:fldChar w:fldCharType="begin"/>
          </w:r>
          <w:r>
            <w:instrText xml:space="preserve"> HYPERLINK \l _Toc14127 </w:instrText>
          </w:r>
          <w:r>
            <w:fldChar w:fldCharType="separate"/>
          </w:r>
          <w:r>
            <w:t>4.</w:t>
          </w:r>
          <w:r>
            <w:rPr>
              <w:lang w:val="en-US"/>
            </w:rPr>
            <w:t>3</w:t>
          </w:r>
          <w:r>
            <w:t xml:space="preserve"> 地质填图工作</w:t>
          </w:r>
          <w:r>
            <w:tab/>
          </w:r>
          <w:r>
            <w:fldChar w:fldCharType="begin"/>
          </w:r>
          <w:r>
            <w:instrText xml:space="preserve"> PAGEREF _Toc14127 \h </w:instrText>
          </w:r>
          <w:r>
            <w:fldChar w:fldCharType="separate"/>
          </w:r>
          <w:r>
            <w:t>43</w:t>
          </w:r>
          <w:r>
            <w:fldChar w:fldCharType="end"/>
          </w:r>
          <w:r>
            <w:fldChar w:fldCharType="end"/>
          </w:r>
        </w:p>
        <w:p w14:paraId="0288B55C">
          <w:pPr>
            <w:pStyle w:val="27"/>
            <w:tabs>
              <w:tab w:val="right" w:leader="dot" w:pos="9070"/>
            </w:tabs>
          </w:pPr>
          <w:r>
            <w:fldChar w:fldCharType="begin"/>
          </w:r>
          <w:r>
            <w:instrText xml:space="preserve"> HYPERLINK \l _Toc9027 </w:instrText>
          </w:r>
          <w:r>
            <w:fldChar w:fldCharType="separate"/>
          </w:r>
          <w:r>
            <w:t>4.</w:t>
          </w:r>
          <w:r>
            <w:rPr>
              <w:lang w:val="en-US"/>
            </w:rPr>
            <w:t>4</w:t>
          </w:r>
          <w:r>
            <w:t xml:space="preserve"> 钻探工程</w:t>
          </w:r>
          <w:r>
            <w:tab/>
          </w:r>
          <w:r>
            <w:fldChar w:fldCharType="begin"/>
          </w:r>
          <w:r>
            <w:instrText xml:space="preserve"> PAGEREF _Toc9027 \h </w:instrText>
          </w:r>
          <w:r>
            <w:fldChar w:fldCharType="separate"/>
          </w:r>
          <w:r>
            <w:t>44</w:t>
          </w:r>
          <w:r>
            <w:fldChar w:fldCharType="end"/>
          </w:r>
          <w:r>
            <w:fldChar w:fldCharType="end"/>
          </w:r>
        </w:p>
        <w:p w14:paraId="43DF8EB9">
          <w:pPr>
            <w:pStyle w:val="27"/>
            <w:tabs>
              <w:tab w:val="right" w:leader="dot" w:pos="9070"/>
            </w:tabs>
          </w:pPr>
          <w:r>
            <w:fldChar w:fldCharType="begin"/>
          </w:r>
          <w:r>
            <w:instrText xml:space="preserve"> HYPERLINK \l _Toc30174 </w:instrText>
          </w:r>
          <w:r>
            <w:fldChar w:fldCharType="separate"/>
          </w:r>
          <w:r>
            <w:rPr>
              <w:lang w:val="en-US"/>
            </w:rPr>
            <w:t>4.5 剥土工程</w:t>
          </w:r>
          <w:r>
            <w:tab/>
          </w:r>
          <w:r>
            <w:fldChar w:fldCharType="begin"/>
          </w:r>
          <w:r>
            <w:instrText xml:space="preserve"> PAGEREF _Toc30174 \h </w:instrText>
          </w:r>
          <w:r>
            <w:fldChar w:fldCharType="separate"/>
          </w:r>
          <w:r>
            <w:t>45</w:t>
          </w:r>
          <w:r>
            <w:fldChar w:fldCharType="end"/>
          </w:r>
          <w:r>
            <w:fldChar w:fldCharType="end"/>
          </w:r>
        </w:p>
        <w:p w14:paraId="14B594E4">
          <w:pPr>
            <w:pStyle w:val="27"/>
            <w:tabs>
              <w:tab w:val="right" w:leader="dot" w:pos="9070"/>
            </w:tabs>
          </w:pPr>
          <w:r>
            <w:fldChar w:fldCharType="begin"/>
          </w:r>
          <w:r>
            <w:instrText xml:space="preserve"> HYPERLINK \l _Toc30585 </w:instrText>
          </w:r>
          <w:r>
            <w:fldChar w:fldCharType="separate"/>
          </w:r>
          <w:r>
            <w:t>4.</w:t>
          </w:r>
          <w:r>
            <w:rPr>
              <w:lang w:val="en-US"/>
            </w:rPr>
            <w:t>6</w:t>
          </w:r>
          <w:r>
            <w:t xml:space="preserve"> 水文地质、工程地质、环境地质工作</w:t>
          </w:r>
          <w:r>
            <w:tab/>
          </w:r>
          <w:r>
            <w:fldChar w:fldCharType="begin"/>
          </w:r>
          <w:r>
            <w:instrText xml:space="preserve"> PAGEREF _Toc30585 \h </w:instrText>
          </w:r>
          <w:r>
            <w:fldChar w:fldCharType="separate"/>
          </w:r>
          <w:r>
            <w:t>46</w:t>
          </w:r>
          <w:r>
            <w:fldChar w:fldCharType="end"/>
          </w:r>
          <w:r>
            <w:fldChar w:fldCharType="end"/>
          </w:r>
        </w:p>
        <w:p w14:paraId="68E1F272">
          <w:pPr>
            <w:pStyle w:val="27"/>
            <w:tabs>
              <w:tab w:val="right" w:leader="dot" w:pos="9070"/>
            </w:tabs>
          </w:pPr>
          <w:r>
            <w:fldChar w:fldCharType="begin"/>
          </w:r>
          <w:r>
            <w:instrText xml:space="preserve"> HYPERLINK \l _Toc3221 </w:instrText>
          </w:r>
          <w:r>
            <w:fldChar w:fldCharType="separate"/>
          </w:r>
          <w:r>
            <w:t>4.</w:t>
          </w:r>
          <w:r>
            <w:rPr>
              <w:lang w:val="en-US"/>
            </w:rPr>
            <w:t>7</w:t>
          </w:r>
          <w:r>
            <w:t xml:space="preserve"> 取样化验工作</w:t>
          </w:r>
          <w:r>
            <w:tab/>
          </w:r>
          <w:r>
            <w:fldChar w:fldCharType="begin"/>
          </w:r>
          <w:r>
            <w:instrText xml:space="preserve"> PAGEREF _Toc3221 \h </w:instrText>
          </w:r>
          <w:r>
            <w:fldChar w:fldCharType="separate"/>
          </w:r>
          <w:r>
            <w:t>59</w:t>
          </w:r>
          <w:r>
            <w:fldChar w:fldCharType="end"/>
          </w:r>
          <w:r>
            <w:fldChar w:fldCharType="end"/>
          </w:r>
        </w:p>
        <w:p w14:paraId="313A4718">
          <w:pPr>
            <w:pStyle w:val="27"/>
            <w:tabs>
              <w:tab w:val="right" w:leader="dot" w:pos="9070"/>
            </w:tabs>
          </w:pPr>
          <w:r>
            <w:fldChar w:fldCharType="begin"/>
          </w:r>
          <w:r>
            <w:instrText xml:space="preserve"> HYPERLINK \l _Toc11500 </w:instrText>
          </w:r>
          <w:r>
            <w:fldChar w:fldCharType="separate"/>
          </w:r>
          <w:r>
            <w:t>4.</w:t>
          </w:r>
          <w:r>
            <w:rPr>
              <w:lang w:val="en-US"/>
            </w:rPr>
            <w:t>8</w:t>
          </w:r>
          <w:r>
            <w:t xml:space="preserve"> 原始地质编录、资料综合整理</w:t>
          </w:r>
          <w:r>
            <w:tab/>
          </w:r>
          <w:r>
            <w:fldChar w:fldCharType="begin"/>
          </w:r>
          <w:r>
            <w:instrText xml:space="preserve"> PAGEREF _Toc11500 \h </w:instrText>
          </w:r>
          <w:r>
            <w:fldChar w:fldCharType="separate"/>
          </w:r>
          <w:r>
            <w:t>62</w:t>
          </w:r>
          <w:r>
            <w:fldChar w:fldCharType="end"/>
          </w:r>
          <w:r>
            <w:fldChar w:fldCharType="end"/>
          </w:r>
        </w:p>
        <w:p w14:paraId="5CDA9FEA">
          <w:pPr>
            <w:pStyle w:val="24"/>
            <w:tabs>
              <w:tab w:val="right" w:leader="dot" w:pos="9070"/>
            </w:tabs>
          </w:pPr>
          <w:r>
            <w:fldChar w:fldCharType="begin"/>
          </w:r>
          <w:r>
            <w:instrText xml:space="preserve"> HYPERLINK \l _Toc25752 </w:instrText>
          </w:r>
          <w:r>
            <w:fldChar w:fldCharType="separate"/>
          </w:r>
          <w:r>
            <w:t>5 资源量预算</w:t>
          </w:r>
          <w:r>
            <w:tab/>
          </w:r>
          <w:r>
            <w:fldChar w:fldCharType="begin"/>
          </w:r>
          <w:r>
            <w:instrText xml:space="preserve"> PAGEREF _Toc25752 \h </w:instrText>
          </w:r>
          <w:r>
            <w:fldChar w:fldCharType="separate"/>
          </w:r>
          <w:r>
            <w:t>63</w:t>
          </w:r>
          <w:r>
            <w:fldChar w:fldCharType="end"/>
          </w:r>
          <w:r>
            <w:fldChar w:fldCharType="end"/>
          </w:r>
        </w:p>
        <w:p w14:paraId="1861CCE5">
          <w:pPr>
            <w:pStyle w:val="27"/>
            <w:tabs>
              <w:tab w:val="right" w:leader="dot" w:pos="9070"/>
            </w:tabs>
          </w:pPr>
          <w:r>
            <w:fldChar w:fldCharType="begin"/>
          </w:r>
          <w:r>
            <w:instrText xml:space="preserve"> HYPERLINK \l _Toc3183 </w:instrText>
          </w:r>
          <w:r>
            <w:fldChar w:fldCharType="separate"/>
          </w:r>
          <w:r>
            <w:t>5.1 工业指标</w:t>
          </w:r>
          <w:r>
            <w:tab/>
          </w:r>
          <w:r>
            <w:fldChar w:fldCharType="begin"/>
          </w:r>
          <w:r>
            <w:instrText xml:space="preserve"> PAGEREF _Toc3183 \h </w:instrText>
          </w:r>
          <w:r>
            <w:fldChar w:fldCharType="separate"/>
          </w:r>
          <w:r>
            <w:t>63</w:t>
          </w:r>
          <w:r>
            <w:fldChar w:fldCharType="end"/>
          </w:r>
          <w:r>
            <w:fldChar w:fldCharType="end"/>
          </w:r>
        </w:p>
        <w:p w14:paraId="0AFB2835">
          <w:pPr>
            <w:pStyle w:val="27"/>
            <w:tabs>
              <w:tab w:val="right" w:leader="dot" w:pos="9070"/>
            </w:tabs>
          </w:pPr>
          <w:r>
            <w:fldChar w:fldCharType="begin"/>
          </w:r>
          <w:r>
            <w:instrText xml:space="preserve"> HYPERLINK \l _Toc7558 </w:instrText>
          </w:r>
          <w:r>
            <w:fldChar w:fldCharType="separate"/>
          </w:r>
          <w:r>
            <w:t>5.2 矿体圈定原则</w:t>
          </w:r>
          <w:r>
            <w:tab/>
          </w:r>
          <w:r>
            <w:fldChar w:fldCharType="begin"/>
          </w:r>
          <w:r>
            <w:instrText xml:space="preserve"> PAGEREF _Toc7558 \h </w:instrText>
          </w:r>
          <w:r>
            <w:fldChar w:fldCharType="separate"/>
          </w:r>
          <w:r>
            <w:t>63</w:t>
          </w:r>
          <w:r>
            <w:fldChar w:fldCharType="end"/>
          </w:r>
          <w:r>
            <w:fldChar w:fldCharType="end"/>
          </w:r>
        </w:p>
        <w:p w14:paraId="5E1C8BEC">
          <w:pPr>
            <w:pStyle w:val="27"/>
            <w:tabs>
              <w:tab w:val="right" w:leader="dot" w:pos="9070"/>
            </w:tabs>
          </w:pPr>
          <w:r>
            <w:fldChar w:fldCharType="begin"/>
          </w:r>
          <w:r>
            <w:instrText xml:space="preserve"> HYPERLINK \l _Toc12505 </w:instrText>
          </w:r>
          <w:r>
            <w:fldChar w:fldCharType="separate"/>
          </w:r>
          <w:r>
            <w:t>5.3 预算方法</w:t>
          </w:r>
          <w:r>
            <w:tab/>
          </w:r>
          <w:r>
            <w:fldChar w:fldCharType="begin"/>
          </w:r>
          <w:r>
            <w:instrText xml:space="preserve"> PAGEREF _Toc12505 \h </w:instrText>
          </w:r>
          <w:r>
            <w:fldChar w:fldCharType="separate"/>
          </w:r>
          <w:r>
            <w:t>64</w:t>
          </w:r>
          <w:r>
            <w:fldChar w:fldCharType="end"/>
          </w:r>
          <w:r>
            <w:fldChar w:fldCharType="end"/>
          </w:r>
        </w:p>
        <w:p w14:paraId="2FC7E851">
          <w:pPr>
            <w:pStyle w:val="27"/>
            <w:tabs>
              <w:tab w:val="right" w:leader="dot" w:pos="9070"/>
            </w:tabs>
          </w:pPr>
          <w:r>
            <w:fldChar w:fldCharType="begin"/>
          </w:r>
          <w:r>
            <w:instrText xml:space="preserve"> HYPERLINK \l _Toc16841 </w:instrText>
          </w:r>
          <w:r>
            <w:fldChar w:fldCharType="separate"/>
          </w:r>
          <w:r>
            <w:t>5.4 资源量预算参数</w:t>
          </w:r>
          <w:r>
            <w:tab/>
          </w:r>
          <w:r>
            <w:fldChar w:fldCharType="begin"/>
          </w:r>
          <w:r>
            <w:instrText xml:space="preserve"> PAGEREF _Toc16841 \h </w:instrText>
          </w:r>
          <w:r>
            <w:fldChar w:fldCharType="separate"/>
          </w:r>
          <w:r>
            <w:t>64</w:t>
          </w:r>
          <w:r>
            <w:fldChar w:fldCharType="end"/>
          </w:r>
          <w:r>
            <w:fldChar w:fldCharType="end"/>
          </w:r>
        </w:p>
        <w:p w14:paraId="5F911B04">
          <w:pPr>
            <w:pStyle w:val="27"/>
            <w:tabs>
              <w:tab w:val="right" w:leader="dot" w:pos="9070"/>
            </w:tabs>
          </w:pPr>
          <w:r>
            <w:fldChar w:fldCharType="begin"/>
          </w:r>
          <w:r>
            <w:instrText xml:space="preserve"> HYPERLINK \l _Toc4656 </w:instrText>
          </w:r>
          <w:r>
            <w:fldChar w:fldCharType="separate"/>
          </w:r>
          <w:r>
            <w:t>5.5 资源量预算结果</w:t>
          </w:r>
          <w:r>
            <w:tab/>
          </w:r>
          <w:r>
            <w:fldChar w:fldCharType="begin"/>
          </w:r>
          <w:r>
            <w:instrText xml:space="preserve"> PAGEREF _Toc4656 \h </w:instrText>
          </w:r>
          <w:r>
            <w:fldChar w:fldCharType="separate"/>
          </w:r>
          <w:r>
            <w:t>64</w:t>
          </w:r>
          <w:r>
            <w:fldChar w:fldCharType="end"/>
          </w:r>
          <w:r>
            <w:fldChar w:fldCharType="end"/>
          </w:r>
        </w:p>
        <w:p w14:paraId="727F5D85">
          <w:pPr>
            <w:pStyle w:val="27"/>
            <w:tabs>
              <w:tab w:val="right" w:leader="dot" w:pos="9070"/>
            </w:tabs>
          </w:pPr>
          <w:r>
            <w:fldChar w:fldCharType="begin"/>
          </w:r>
          <w:r>
            <w:instrText xml:space="preserve"> HYPERLINK \l _Toc11140 </w:instrText>
          </w:r>
          <w:r>
            <w:fldChar w:fldCharType="separate"/>
          </w:r>
          <w:r>
            <w:t>5.6 资源量预算其他问题</w:t>
          </w:r>
          <w:r>
            <w:tab/>
          </w:r>
          <w:r>
            <w:fldChar w:fldCharType="begin"/>
          </w:r>
          <w:r>
            <w:instrText xml:space="preserve"> PAGEREF _Toc11140 \h </w:instrText>
          </w:r>
          <w:r>
            <w:fldChar w:fldCharType="separate"/>
          </w:r>
          <w:r>
            <w:t>71</w:t>
          </w:r>
          <w:r>
            <w:fldChar w:fldCharType="end"/>
          </w:r>
          <w:r>
            <w:fldChar w:fldCharType="end"/>
          </w:r>
        </w:p>
        <w:p w14:paraId="180BA964">
          <w:pPr>
            <w:pStyle w:val="24"/>
            <w:tabs>
              <w:tab w:val="right" w:leader="dot" w:pos="9070"/>
            </w:tabs>
          </w:pPr>
          <w:r>
            <w:fldChar w:fldCharType="begin"/>
          </w:r>
          <w:r>
            <w:instrText xml:space="preserve"> HYPERLINK \l _Toc17243 </w:instrText>
          </w:r>
          <w:r>
            <w:fldChar w:fldCharType="separate"/>
          </w:r>
          <w:r>
            <w:t>6 预期成果</w:t>
          </w:r>
          <w:r>
            <w:tab/>
          </w:r>
          <w:r>
            <w:fldChar w:fldCharType="begin"/>
          </w:r>
          <w:r>
            <w:instrText xml:space="preserve"> PAGEREF _Toc17243 \h </w:instrText>
          </w:r>
          <w:r>
            <w:fldChar w:fldCharType="separate"/>
          </w:r>
          <w:r>
            <w:t>72</w:t>
          </w:r>
          <w:r>
            <w:fldChar w:fldCharType="end"/>
          </w:r>
          <w:r>
            <w:fldChar w:fldCharType="end"/>
          </w:r>
        </w:p>
        <w:p w14:paraId="30740735">
          <w:pPr>
            <w:pStyle w:val="24"/>
            <w:tabs>
              <w:tab w:val="right" w:leader="dot" w:pos="9070"/>
            </w:tabs>
          </w:pPr>
          <w:r>
            <w:fldChar w:fldCharType="begin"/>
          </w:r>
          <w:r>
            <w:instrText xml:space="preserve"> HYPERLINK \l _Toc1553 </w:instrText>
          </w:r>
          <w:r>
            <w:fldChar w:fldCharType="separate"/>
          </w:r>
          <w:r>
            <w:t>7 组织管理及保障措施</w:t>
          </w:r>
          <w:r>
            <w:tab/>
          </w:r>
          <w:r>
            <w:fldChar w:fldCharType="begin"/>
          </w:r>
          <w:r>
            <w:instrText xml:space="preserve"> PAGEREF _Toc1553 \h </w:instrText>
          </w:r>
          <w:r>
            <w:fldChar w:fldCharType="separate"/>
          </w:r>
          <w:r>
            <w:t>73</w:t>
          </w:r>
          <w:r>
            <w:fldChar w:fldCharType="end"/>
          </w:r>
          <w:r>
            <w:fldChar w:fldCharType="end"/>
          </w:r>
        </w:p>
        <w:p w14:paraId="18A28AA9">
          <w:pPr>
            <w:pStyle w:val="27"/>
            <w:tabs>
              <w:tab w:val="right" w:leader="dot" w:pos="9070"/>
            </w:tabs>
          </w:pPr>
          <w:r>
            <w:fldChar w:fldCharType="begin"/>
          </w:r>
          <w:r>
            <w:instrText xml:space="preserve"> HYPERLINK \l _Toc15918 </w:instrText>
          </w:r>
          <w:r>
            <w:fldChar w:fldCharType="separate"/>
          </w:r>
          <w:r>
            <w:t>7.1 组织管理</w:t>
          </w:r>
          <w:r>
            <w:tab/>
          </w:r>
          <w:r>
            <w:fldChar w:fldCharType="begin"/>
          </w:r>
          <w:r>
            <w:instrText xml:space="preserve"> PAGEREF _Toc15918 \h </w:instrText>
          </w:r>
          <w:r>
            <w:fldChar w:fldCharType="separate"/>
          </w:r>
          <w:r>
            <w:t>73</w:t>
          </w:r>
          <w:r>
            <w:fldChar w:fldCharType="end"/>
          </w:r>
          <w:r>
            <w:fldChar w:fldCharType="end"/>
          </w:r>
        </w:p>
        <w:p w14:paraId="01E81AEE">
          <w:pPr>
            <w:pStyle w:val="27"/>
            <w:tabs>
              <w:tab w:val="right" w:leader="dot" w:pos="9070"/>
            </w:tabs>
          </w:pPr>
          <w:r>
            <w:fldChar w:fldCharType="begin"/>
          </w:r>
          <w:r>
            <w:instrText xml:space="preserve"> HYPERLINK \l _Toc30794 </w:instrText>
          </w:r>
          <w:r>
            <w:fldChar w:fldCharType="separate"/>
          </w:r>
          <w:r>
            <w:t>7.2 设备配备</w:t>
          </w:r>
          <w:r>
            <w:tab/>
          </w:r>
          <w:r>
            <w:fldChar w:fldCharType="begin"/>
          </w:r>
          <w:r>
            <w:instrText xml:space="preserve"> PAGEREF _Toc30794 \h </w:instrText>
          </w:r>
          <w:r>
            <w:fldChar w:fldCharType="separate"/>
          </w:r>
          <w:r>
            <w:t>74</w:t>
          </w:r>
          <w:r>
            <w:fldChar w:fldCharType="end"/>
          </w:r>
          <w:r>
            <w:fldChar w:fldCharType="end"/>
          </w:r>
        </w:p>
        <w:p w14:paraId="22542955">
          <w:pPr>
            <w:pStyle w:val="27"/>
            <w:tabs>
              <w:tab w:val="right" w:leader="dot" w:pos="9070"/>
            </w:tabs>
          </w:pPr>
          <w:r>
            <w:fldChar w:fldCharType="begin"/>
          </w:r>
          <w:r>
            <w:instrText xml:space="preserve"> HYPERLINK \l _Toc14605 </w:instrText>
          </w:r>
          <w:r>
            <w:fldChar w:fldCharType="separate"/>
          </w:r>
          <w:r>
            <w:t>7.3 质量控制措施</w:t>
          </w:r>
          <w:r>
            <w:tab/>
          </w:r>
          <w:r>
            <w:fldChar w:fldCharType="begin"/>
          </w:r>
          <w:r>
            <w:instrText xml:space="preserve"> PAGEREF _Toc14605 \h </w:instrText>
          </w:r>
          <w:r>
            <w:fldChar w:fldCharType="separate"/>
          </w:r>
          <w:r>
            <w:t>74</w:t>
          </w:r>
          <w:r>
            <w:fldChar w:fldCharType="end"/>
          </w:r>
          <w:r>
            <w:fldChar w:fldCharType="end"/>
          </w:r>
        </w:p>
        <w:p w14:paraId="185660E5">
          <w:pPr>
            <w:pStyle w:val="27"/>
            <w:tabs>
              <w:tab w:val="right" w:leader="dot" w:pos="9070"/>
            </w:tabs>
          </w:pPr>
          <w:r>
            <w:fldChar w:fldCharType="begin"/>
          </w:r>
          <w:r>
            <w:instrText xml:space="preserve"> HYPERLINK \l _Toc9774 </w:instrText>
          </w:r>
          <w:r>
            <w:fldChar w:fldCharType="separate"/>
          </w:r>
          <w:r>
            <w:t>7.4 安全措施</w:t>
          </w:r>
          <w:r>
            <w:tab/>
          </w:r>
          <w:r>
            <w:fldChar w:fldCharType="begin"/>
          </w:r>
          <w:r>
            <w:instrText xml:space="preserve"> PAGEREF _Toc9774 \h </w:instrText>
          </w:r>
          <w:r>
            <w:fldChar w:fldCharType="separate"/>
          </w:r>
          <w:r>
            <w:t>76</w:t>
          </w:r>
          <w:r>
            <w:fldChar w:fldCharType="end"/>
          </w:r>
          <w:r>
            <w:fldChar w:fldCharType="end"/>
          </w:r>
        </w:p>
        <w:p w14:paraId="59C0C1DA">
          <w:pPr>
            <w:pStyle w:val="27"/>
            <w:tabs>
              <w:tab w:val="right" w:leader="dot" w:pos="9070"/>
            </w:tabs>
          </w:pPr>
          <w:r>
            <w:fldChar w:fldCharType="begin"/>
          </w:r>
          <w:r>
            <w:instrText xml:space="preserve"> HYPERLINK \l _Toc6782 </w:instrText>
          </w:r>
          <w:r>
            <w:fldChar w:fldCharType="separate"/>
          </w:r>
          <w:r>
            <w:t>7.5 绿色勘查措施</w:t>
          </w:r>
          <w:r>
            <w:tab/>
          </w:r>
          <w:r>
            <w:fldChar w:fldCharType="begin"/>
          </w:r>
          <w:r>
            <w:instrText xml:space="preserve"> PAGEREF _Toc6782 \h </w:instrText>
          </w:r>
          <w:r>
            <w:fldChar w:fldCharType="separate"/>
          </w:r>
          <w:r>
            <w:t>78</w:t>
          </w:r>
          <w:r>
            <w:fldChar w:fldCharType="end"/>
          </w:r>
          <w:r>
            <w:fldChar w:fldCharType="end"/>
          </w:r>
        </w:p>
        <w:p w14:paraId="39312D72">
          <w:pPr>
            <w:pStyle w:val="27"/>
            <w:tabs>
              <w:tab w:val="right" w:leader="dot" w:pos="9070"/>
            </w:tabs>
          </w:pPr>
          <w:r>
            <w:fldChar w:fldCharType="begin"/>
          </w:r>
          <w:r>
            <w:instrText xml:space="preserve"> HYPERLINK \l _Toc27813 </w:instrText>
          </w:r>
          <w:r>
            <w:fldChar w:fldCharType="separate"/>
          </w:r>
          <w:r>
            <w:t>7.6 设计变更</w:t>
          </w:r>
          <w:r>
            <w:tab/>
          </w:r>
          <w:r>
            <w:fldChar w:fldCharType="begin"/>
          </w:r>
          <w:r>
            <w:instrText xml:space="preserve"> PAGEREF _Toc27813 \h </w:instrText>
          </w:r>
          <w:r>
            <w:fldChar w:fldCharType="separate"/>
          </w:r>
          <w:r>
            <w:t>81</w:t>
          </w:r>
          <w:r>
            <w:fldChar w:fldCharType="end"/>
          </w:r>
          <w:r>
            <w:fldChar w:fldCharType="end"/>
          </w:r>
        </w:p>
        <w:p w14:paraId="61A27FD8">
          <w:pPr>
            <w:pStyle w:val="24"/>
            <w:tabs>
              <w:tab w:val="right" w:leader="dot" w:pos="9070"/>
            </w:tabs>
          </w:pPr>
          <w:r>
            <w:fldChar w:fldCharType="begin"/>
          </w:r>
          <w:r>
            <w:instrText xml:space="preserve"> HYPERLINK \l _Toc602 </w:instrText>
          </w:r>
          <w:r>
            <w:fldChar w:fldCharType="separate"/>
          </w:r>
          <w:r>
            <w:t>8 经费预算</w:t>
          </w:r>
          <w:r>
            <w:tab/>
          </w:r>
          <w:r>
            <w:fldChar w:fldCharType="begin"/>
          </w:r>
          <w:r>
            <w:instrText xml:space="preserve"> PAGEREF _Toc602 \h </w:instrText>
          </w:r>
          <w:r>
            <w:fldChar w:fldCharType="separate"/>
          </w:r>
          <w:r>
            <w:t>82</w:t>
          </w:r>
          <w:r>
            <w:fldChar w:fldCharType="end"/>
          </w:r>
          <w:r>
            <w:fldChar w:fldCharType="end"/>
          </w:r>
        </w:p>
        <w:p w14:paraId="7A7370AF">
          <w:pPr>
            <w:pStyle w:val="27"/>
            <w:tabs>
              <w:tab w:val="right" w:leader="dot" w:pos="9070"/>
            </w:tabs>
          </w:pPr>
          <w:r>
            <w:fldChar w:fldCharType="begin"/>
          </w:r>
          <w:r>
            <w:instrText xml:space="preserve"> HYPERLINK \l _Toc4208 </w:instrText>
          </w:r>
          <w:r>
            <w:fldChar w:fldCharType="separate"/>
          </w:r>
          <w:r>
            <w:rPr>
              <w:lang w:val="en-US"/>
            </w:rPr>
            <w:t>8.1 项目概况</w:t>
          </w:r>
          <w:r>
            <w:tab/>
          </w:r>
          <w:r>
            <w:fldChar w:fldCharType="begin"/>
          </w:r>
          <w:r>
            <w:instrText xml:space="preserve"> PAGEREF _Toc4208 \h </w:instrText>
          </w:r>
          <w:r>
            <w:fldChar w:fldCharType="separate"/>
          </w:r>
          <w:r>
            <w:t>82</w:t>
          </w:r>
          <w:r>
            <w:fldChar w:fldCharType="end"/>
          </w:r>
          <w:r>
            <w:fldChar w:fldCharType="end"/>
          </w:r>
        </w:p>
        <w:p w14:paraId="6113FF25">
          <w:pPr>
            <w:pStyle w:val="27"/>
            <w:tabs>
              <w:tab w:val="right" w:leader="dot" w:pos="9070"/>
            </w:tabs>
          </w:pPr>
          <w:r>
            <w:fldChar w:fldCharType="begin"/>
          </w:r>
          <w:r>
            <w:instrText xml:space="preserve"> HYPERLINK \l _Toc23937 </w:instrText>
          </w:r>
          <w:r>
            <w:fldChar w:fldCharType="separate"/>
          </w:r>
          <w:r>
            <w:rPr>
              <w:lang w:val="en-US"/>
            </w:rPr>
            <w:t xml:space="preserve">8.2 </w:t>
          </w:r>
          <w:r>
            <w:t>预算编制依据</w:t>
          </w:r>
          <w:r>
            <w:tab/>
          </w:r>
          <w:r>
            <w:fldChar w:fldCharType="begin"/>
          </w:r>
          <w:r>
            <w:instrText xml:space="preserve"> PAGEREF _Toc23937 \h </w:instrText>
          </w:r>
          <w:r>
            <w:fldChar w:fldCharType="separate"/>
          </w:r>
          <w:r>
            <w:t>83</w:t>
          </w:r>
          <w:r>
            <w:fldChar w:fldCharType="end"/>
          </w:r>
          <w:r>
            <w:fldChar w:fldCharType="end"/>
          </w:r>
        </w:p>
        <w:p w14:paraId="32D6DF9D">
          <w:pPr>
            <w:pStyle w:val="27"/>
            <w:tabs>
              <w:tab w:val="right" w:leader="dot" w:pos="9070"/>
            </w:tabs>
          </w:pPr>
          <w:r>
            <w:fldChar w:fldCharType="begin"/>
          </w:r>
          <w:r>
            <w:instrText xml:space="preserve"> HYPERLINK \l _Toc8581 </w:instrText>
          </w:r>
          <w:r>
            <w:fldChar w:fldCharType="separate"/>
          </w:r>
          <w:r>
            <w:rPr>
              <w:lang w:val="en-US"/>
            </w:rPr>
            <w:t>8.3采用的预算标准和计算方法</w:t>
          </w:r>
          <w:r>
            <w:tab/>
          </w:r>
          <w:r>
            <w:fldChar w:fldCharType="begin"/>
          </w:r>
          <w:r>
            <w:instrText xml:space="preserve"> PAGEREF _Toc8581 \h </w:instrText>
          </w:r>
          <w:r>
            <w:fldChar w:fldCharType="separate"/>
          </w:r>
          <w:r>
            <w:t>84</w:t>
          </w:r>
          <w:r>
            <w:fldChar w:fldCharType="end"/>
          </w:r>
          <w:r>
            <w:fldChar w:fldCharType="end"/>
          </w:r>
        </w:p>
        <w:p w14:paraId="261CAF1F">
          <w:pPr>
            <w:pStyle w:val="27"/>
            <w:tabs>
              <w:tab w:val="right" w:leader="dot" w:pos="9070"/>
            </w:tabs>
          </w:pPr>
          <w:r>
            <w:fldChar w:fldCharType="begin"/>
          </w:r>
          <w:r>
            <w:instrText xml:space="preserve"> HYPERLINK \l _Toc24639 </w:instrText>
          </w:r>
          <w:r>
            <w:fldChar w:fldCharType="separate"/>
          </w:r>
          <w:r>
            <w:rPr>
              <w:lang w:val="en-US"/>
            </w:rPr>
            <w:t xml:space="preserve">8.4 </w:t>
          </w:r>
          <w:r>
            <w:t>预算编制</w:t>
          </w:r>
          <w:r>
            <w:rPr>
              <w:lang w:val="en-US"/>
            </w:rPr>
            <w:t>费用标准及编制方法</w:t>
          </w:r>
          <w:r>
            <w:tab/>
          </w:r>
          <w:r>
            <w:fldChar w:fldCharType="begin"/>
          </w:r>
          <w:r>
            <w:instrText xml:space="preserve"> PAGEREF _Toc24639 \h </w:instrText>
          </w:r>
          <w:r>
            <w:fldChar w:fldCharType="separate"/>
          </w:r>
          <w:r>
            <w:t>85</w:t>
          </w:r>
          <w:r>
            <w:fldChar w:fldCharType="end"/>
          </w:r>
          <w:r>
            <w:fldChar w:fldCharType="end"/>
          </w:r>
        </w:p>
        <w:p w14:paraId="7825B94A">
          <w:pPr>
            <w:pStyle w:val="27"/>
            <w:tabs>
              <w:tab w:val="right" w:leader="dot" w:pos="9070"/>
            </w:tabs>
          </w:pPr>
          <w:r>
            <w:fldChar w:fldCharType="begin"/>
          </w:r>
          <w:r>
            <w:instrText xml:space="preserve"> HYPERLINK \l _Toc7788 </w:instrText>
          </w:r>
          <w:r>
            <w:fldChar w:fldCharType="separate"/>
          </w:r>
          <w:r>
            <w:rPr>
              <w:lang w:val="en-US"/>
            </w:rPr>
            <w:t xml:space="preserve">8.5 </w:t>
          </w:r>
          <w:r>
            <w:t>预算编制补充说明</w:t>
          </w:r>
          <w:r>
            <w:tab/>
          </w:r>
          <w:r>
            <w:fldChar w:fldCharType="begin"/>
          </w:r>
          <w:r>
            <w:instrText xml:space="preserve"> PAGEREF _Toc7788 \h </w:instrText>
          </w:r>
          <w:r>
            <w:fldChar w:fldCharType="separate"/>
          </w:r>
          <w:r>
            <w:t>87</w:t>
          </w:r>
          <w:r>
            <w:fldChar w:fldCharType="end"/>
          </w:r>
          <w:r>
            <w:fldChar w:fldCharType="end"/>
          </w:r>
        </w:p>
        <w:p w14:paraId="7E7E4D5B">
          <w:pPr>
            <w:pStyle w:val="27"/>
            <w:tabs>
              <w:tab w:val="right" w:leader="dot" w:pos="9070"/>
            </w:tabs>
          </w:pPr>
          <w:r>
            <w:fldChar w:fldCharType="begin"/>
          </w:r>
          <w:r>
            <w:instrText xml:space="preserve"> HYPERLINK \l _Toc25795 </w:instrText>
          </w:r>
          <w:r>
            <w:fldChar w:fldCharType="separate"/>
          </w:r>
          <w:r>
            <w:rPr>
              <w:lang w:val="en-US"/>
            </w:rPr>
            <w:t xml:space="preserve">8.6 </w:t>
          </w:r>
          <w:r>
            <w:t>经费</w:t>
          </w:r>
          <w:r>
            <w:rPr>
              <w:lang w:val="en-US"/>
            </w:rPr>
            <w:t>预算结果</w:t>
          </w:r>
          <w:r>
            <w:tab/>
          </w:r>
          <w:r>
            <w:fldChar w:fldCharType="begin"/>
          </w:r>
          <w:r>
            <w:instrText xml:space="preserve"> PAGEREF _Toc25795 \h </w:instrText>
          </w:r>
          <w:r>
            <w:fldChar w:fldCharType="separate"/>
          </w:r>
          <w:r>
            <w:t>87</w:t>
          </w:r>
          <w:r>
            <w:fldChar w:fldCharType="end"/>
          </w:r>
          <w:r>
            <w:fldChar w:fldCharType="end"/>
          </w:r>
        </w:p>
        <w:p w14:paraId="33662429">
          <w:pPr>
            <w:pStyle w:val="27"/>
            <w:tabs>
              <w:tab w:val="right" w:leader="dot" w:pos="9070"/>
            </w:tabs>
          </w:pPr>
          <w:r>
            <w:fldChar w:fldCharType="begin"/>
          </w:r>
          <w:r>
            <w:instrText xml:space="preserve"> HYPERLINK \l _Toc32596 </w:instrText>
          </w:r>
          <w:r>
            <w:fldChar w:fldCharType="separate"/>
          </w:r>
          <w:r>
            <w:rPr>
              <w:lang w:val="en-US"/>
            </w:rPr>
            <w:t xml:space="preserve">8.7 </w:t>
          </w:r>
          <w:r>
            <w:t>项目预算的可靠性及合理性分析</w:t>
          </w:r>
          <w:r>
            <w:tab/>
          </w:r>
          <w:r>
            <w:fldChar w:fldCharType="begin"/>
          </w:r>
          <w:r>
            <w:instrText xml:space="preserve"> PAGEREF _Toc32596 \h </w:instrText>
          </w:r>
          <w:r>
            <w:fldChar w:fldCharType="separate"/>
          </w:r>
          <w:r>
            <w:t>91</w:t>
          </w:r>
          <w:r>
            <w:fldChar w:fldCharType="end"/>
          </w:r>
          <w:r>
            <w:fldChar w:fldCharType="end"/>
          </w:r>
        </w:p>
        <w:p w14:paraId="6106B9A7">
          <w:pPr>
            <w:pStyle w:val="27"/>
            <w:tabs>
              <w:tab w:val="right" w:leader="dot" w:pos="9070"/>
            </w:tabs>
          </w:pPr>
          <w:r>
            <w:fldChar w:fldCharType="begin"/>
          </w:r>
          <w:r>
            <w:instrText xml:space="preserve"> HYPERLINK \l _Toc22098 </w:instrText>
          </w:r>
          <w:r>
            <w:fldChar w:fldCharType="separate"/>
          </w:r>
          <w:r>
            <w:t>8.</w:t>
          </w:r>
          <w:r>
            <w:rPr>
              <w:lang w:val="en-US"/>
            </w:rPr>
            <w:t>8</w:t>
          </w:r>
          <w:r>
            <w:t xml:space="preserve"> 需要说明的问题</w:t>
          </w:r>
          <w:r>
            <w:tab/>
          </w:r>
          <w:r>
            <w:fldChar w:fldCharType="begin"/>
          </w:r>
          <w:r>
            <w:instrText xml:space="preserve"> PAGEREF _Toc22098 \h </w:instrText>
          </w:r>
          <w:r>
            <w:fldChar w:fldCharType="separate"/>
          </w:r>
          <w:r>
            <w:t>92</w:t>
          </w:r>
          <w:r>
            <w:fldChar w:fldCharType="end"/>
          </w:r>
          <w:r>
            <w:fldChar w:fldCharType="end"/>
          </w:r>
        </w:p>
        <w:p w14:paraId="4A895AE2">
          <w:pPr>
            <w:pStyle w:val="24"/>
            <w:tabs>
              <w:tab w:val="right" w:leader="dot" w:pos="9070"/>
            </w:tabs>
          </w:pPr>
          <w:r>
            <w:fldChar w:fldCharType="begin"/>
          </w:r>
          <w:r>
            <w:instrText xml:space="preserve"> HYPERLINK \l _Toc20213 </w:instrText>
          </w:r>
          <w:r>
            <w:fldChar w:fldCharType="separate"/>
          </w:r>
          <w:r>
            <w:rPr>
              <w:szCs w:val="32"/>
              <w:lang w:val="en-US"/>
            </w:rPr>
            <w:t>附件</w:t>
          </w:r>
          <w:r>
            <w:tab/>
          </w:r>
          <w:r>
            <w:fldChar w:fldCharType="begin"/>
          </w:r>
          <w:r>
            <w:instrText xml:space="preserve"> PAGEREF _Toc20213 \h </w:instrText>
          </w:r>
          <w:r>
            <w:fldChar w:fldCharType="separate"/>
          </w:r>
          <w:r>
            <w:t>93</w:t>
          </w:r>
          <w:r>
            <w:fldChar w:fldCharType="end"/>
          </w:r>
          <w:r>
            <w:fldChar w:fldCharType="end"/>
          </w:r>
        </w:p>
        <w:p w14:paraId="7ABF2842">
          <w:pPr>
            <w:pStyle w:val="27"/>
            <w:tabs>
              <w:tab w:val="right" w:leader="dot" w:pos="9070"/>
            </w:tabs>
          </w:pPr>
          <w:r>
            <w:fldChar w:fldCharType="begin"/>
          </w:r>
          <w:r>
            <w:instrText xml:space="preserve"> HYPERLINK \l _Toc22307 </w:instrText>
          </w:r>
          <w:r>
            <w:fldChar w:fldCharType="separate"/>
          </w:r>
          <w:r>
            <w:t>附件1：勘查设计委托书</w:t>
          </w:r>
          <w:r>
            <w:tab/>
          </w:r>
          <w:r>
            <w:fldChar w:fldCharType="begin"/>
          </w:r>
          <w:r>
            <w:instrText xml:space="preserve"> PAGEREF _Toc22307 \h </w:instrText>
          </w:r>
          <w:r>
            <w:fldChar w:fldCharType="separate"/>
          </w:r>
          <w:r>
            <w:t>93</w:t>
          </w:r>
          <w:r>
            <w:fldChar w:fldCharType="end"/>
          </w:r>
          <w:r>
            <w:fldChar w:fldCharType="end"/>
          </w:r>
        </w:p>
        <w:p w14:paraId="06AE74A0">
          <w:pPr>
            <w:pStyle w:val="27"/>
            <w:tabs>
              <w:tab w:val="right" w:leader="dot" w:pos="9070"/>
            </w:tabs>
          </w:pPr>
          <w:r>
            <w:fldChar w:fldCharType="begin"/>
          </w:r>
          <w:r>
            <w:instrText xml:space="preserve"> HYPERLINK \l _Toc26502 </w:instrText>
          </w:r>
          <w:r>
            <w:fldChar w:fldCharType="separate"/>
          </w:r>
          <w:r>
            <w:t>附件2：采矿许可证</w:t>
          </w:r>
          <w:r>
            <w:tab/>
          </w:r>
          <w:r>
            <w:fldChar w:fldCharType="begin"/>
          </w:r>
          <w:r>
            <w:instrText xml:space="preserve"> PAGEREF _Toc26502 \h </w:instrText>
          </w:r>
          <w:r>
            <w:fldChar w:fldCharType="separate"/>
          </w:r>
          <w:r>
            <w:t>94</w:t>
          </w:r>
          <w:r>
            <w:fldChar w:fldCharType="end"/>
          </w:r>
          <w:r>
            <w:fldChar w:fldCharType="end"/>
          </w:r>
        </w:p>
        <w:p w14:paraId="1B9FFE80">
          <w:pPr>
            <w:pStyle w:val="27"/>
            <w:tabs>
              <w:tab w:val="right" w:leader="dot" w:pos="9070"/>
            </w:tabs>
          </w:pPr>
          <w:r>
            <w:fldChar w:fldCharType="begin"/>
          </w:r>
          <w:r>
            <w:instrText xml:space="preserve"> HYPERLINK \l _Toc32260 </w:instrText>
          </w:r>
          <w:r>
            <w:fldChar w:fldCharType="separate"/>
          </w:r>
          <w:r>
            <w:t>附件3：编制单位营业执照</w:t>
          </w:r>
          <w:r>
            <w:tab/>
          </w:r>
          <w:r>
            <w:fldChar w:fldCharType="begin"/>
          </w:r>
          <w:r>
            <w:instrText xml:space="preserve"> PAGEREF _Toc32260 \h </w:instrText>
          </w:r>
          <w:r>
            <w:fldChar w:fldCharType="separate"/>
          </w:r>
          <w:r>
            <w:t>97</w:t>
          </w:r>
          <w:r>
            <w:fldChar w:fldCharType="end"/>
          </w:r>
          <w:r>
            <w:fldChar w:fldCharType="end"/>
          </w:r>
        </w:p>
        <w:p w14:paraId="05473CC0">
          <w:pPr>
            <w:pStyle w:val="27"/>
            <w:tabs>
              <w:tab w:val="right" w:leader="dot" w:pos="9070"/>
            </w:tabs>
          </w:pPr>
          <w:r>
            <w:fldChar w:fldCharType="begin"/>
          </w:r>
          <w:r>
            <w:instrText xml:space="preserve"> HYPERLINK \l _Toc23624 </w:instrText>
          </w:r>
          <w:r>
            <w:fldChar w:fldCharType="separate"/>
          </w:r>
          <w:r>
            <w:t>附件4：编制单位承诺书</w:t>
          </w:r>
          <w:r>
            <w:tab/>
          </w:r>
          <w:r>
            <w:fldChar w:fldCharType="begin"/>
          </w:r>
          <w:r>
            <w:instrText xml:space="preserve"> PAGEREF _Toc23624 \h </w:instrText>
          </w:r>
          <w:r>
            <w:fldChar w:fldCharType="separate"/>
          </w:r>
          <w:r>
            <w:t>98</w:t>
          </w:r>
          <w:r>
            <w:fldChar w:fldCharType="end"/>
          </w:r>
          <w:r>
            <w:fldChar w:fldCharType="end"/>
          </w:r>
        </w:p>
        <w:p w14:paraId="6BC26E70">
          <w:pPr>
            <w:pStyle w:val="27"/>
            <w:tabs>
              <w:tab w:val="right" w:leader="dot" w:pos="9070"/>
            </w:tabs>
          </w:pPr>
          <w:r>
            <w:fldChar w:fldCharType="begin"/>
          </w:r>
          <w:r>
            <w:instrText xml:space="preserve"> HYPERLINK \l _Toc12853 </w:instrText>
          </w:r>
          <w:r>
            <w:fldChar w:fldCharType="separate"/>
          </w:r>
          <w:r>
            <w:t>附件5：编制单位初审意见</w:t>
          </w:r>
          <w:r>
            <w:tab/>
          </w:r>
          <w:r>
            <w:fldChar w:fldCharType="begin"/>
          </w:r>
          <w:r>
            <w:instrText xml:space="preserve"> PAGEREF _Toc12853 \h </w:instrText>
          </w:r>
          <w:r>
            <w:fldChar w:fldCharType="separate"/>
          </w:r>
          <w:r>
            <w:t>99</w:t>
          </w:r>
          <w:r>
            <w:fldChar w:fldCharType="end"/>
          </w:r>
          <w:r>
            <w:fldChar w:fldCharType="end"/>
          </w:r>
        </w:p>
        <w:p w14:paraId="57C620D7">
          <w:pPr>
            <w:pStyle w:val="27"/>
            <w:tabs>
              <w:tab w:val="right" w:leader="dot" w:pos="9070"/>
            </w:tabs>
          </w:pPr>
          <w:r>
            <w:fldChar w:fldCharType="begin"/>
          </w:r>
          <w:r>
            <w:instrText xml:space="preserve"> HYPERLINK \l _Toc7282 </w:instrText>
          </w:r>
          <w:r>
            <w:fldChar w:fldCharType="separate"/>
          </w:r>
          <w:r>
            <w:t>附件6：</w:t>
          </w:r>
          <w:r>
            <w:rPr>
              <w:rFonts w:hint="eastAsia"/>
            </w:rPr>
            <w:t>原地质报告评审意见书及备案证明</w:t>
          </w:r>
          <w:r>
            <w:tab/>
          </w:r>
          <w:r>
            <w:fldChar w:fldCharType="begin"/>
          </w:r>
          <w:r>
            <w:instrText xml:space="preserve"> PAGEREF _Toc7282 \h </w:instrText>
          </w:r>
          <w:r>
            <w:fldChar w:fldCharType="separate"/>
          </w:r>
          <w:r>
            <w:t>102</w:t>
          </w:r>
          <w:r>
            <w:fldChar w:fldCharType="end"/>
          </w:r>
          <w:r>
            <w:fldChar w:fldCharType="end"/>
          </w:r>
        </w:p>
        <w:p w14:paraId="3A3485E6">
          <w:pPr>
            <w:pStyle w:val="27"/>
            <w:tabs>
              <w:tab w:val="right" w:leader="dot" w:pos="9070"/>
            </w:tabs>
          </w:pPr>
          <w:r>
            <w:fldChar w:fldCharType="begin"/>
          </w:r>
          <w:r>
            <w:instrText xml:space="preserve"> HYPERLINK \l _Toc7971 </w:instrText>
          </w:r>
          <w:r>
            <w:fldChar w:fldCharType="separate"/>
          </w:r>
          <w:r>
            <w:t>附件7：专家意见及签到表</w:t>
          </w:r>
          <w:r>
            <w:tab/>
          </w:r>
          <w:r>
            <w:fldChar w:fldCharType="begin"/>
          </w:r>
          <w:r>
            <w:instrText xml:space="preserve"> PAGEREF _Toc7971 \h </w:instrText>
          </w:r>
          <w:r>
            <w:fldChar w:fldCharType="separate"/>
          </w:r>
          <w:r>
            <w:t>142</w:t>
          </w:r>
          <w:r>
            <w:fldChar w:fldCharType="end"/>
          </w:r>
          <w:r>
            <w:fldChar w:fldCharType="end"/>
          </w:r>
        </w:p>
        <w:p w14:paraId="2150CF83">
          <w:pPr>
            <w:pStyle w:val="27"/>
            <w:tabs>
              <w:tab w:val="right" w:leader="dot" w:pos="9070"/>
            </w:tabs>
          </w:pPr>
          <w:r>
            <w:fldChar w:fldCharType="begin"/>
          </w:r>
          <w:r>
            <w:instrText xml:space="preserve"> HYPERLINK \l _Toc647 </w:instrText>
          </w:r>
          <w:r>
            <w:fldChar w:fldCharType="separate"/>
          </w:r>
          <w:r>
            <w:t>附件8：专家意见修改说明</w:t>
          </w:r>
          <w:r>
            <w:tab/>
          </w:r>
          <w:r>
            <w:fldChar w:fldCharType="begin"/>
          </w:r>
          <w:r>
            <w:instrText xml:space="preserve"> PAGEREF _Toc647 \h </w:instrText>
          </w:r>
          <w:r>
            <w:fldChar w:fldCharType="separate"/>
          </w:r>
          <w:r>
            <w:t>151</w:t>
          </w:r>
          <w:r>
            <w:fldChar w:fldCharType="end"/>
          </w:r>
          <w:r>
            <w:fldChar w:fldCharType="end"/>
          </w:r>
        </w:p>
        <w:p w14:paraId="38A87E56">
          <w:pPr>
            <w:kinsoku w:val="0"/>
            <w:overflowPunct w:val="0"/>
            <w:autoSpaceDE w:val="0"/>
            <w:autoSpaceDN w:val="0"/>
            <w:ind w:firstLine="560"/>
            <w:rPr>
              <w:rStyle w:val="42"/>
              <w:lang w:val="en-US"/>
            </w:rPr>
            <w:sectPr>
              <w:footerReference r:id="rId10" w:type="default"/>
              <w:pgSz w:w="11906" w:h="16838"/>
              <w:pgMar w:top="1418" w:right="1418" w:bottom="1418" w:left="1418" w:header="851" w:footer="992" w:gutter="0"/>
              <w:pgNumType w:fmt="upperRoman" w:start="1"/>
              <w:cols w:space="720" w:num="1"/>
              <w:docGrid w:type="lines" w:linePitch="381" w:charSpace="0"/>
            </w:sectPr>
          </w:pPr>
          <w:r>
            <w:fldChar w:fldCharType="end"/>
          </w:r>
        </w:p>
      </w:sdtContent>
    </w:sdt>
    <w:p w14:paraId="44F9318C">
      <w:pPr>
        <w:spacing w:line="240" w:lineRule="auto"/>
        <w:ind w:firstLine="0" w:firstLineChars="0"/>
        <w:rPr>
          <w:b/>
          <w:bCs/>
          <w:snapToGrid w:val="0"/>
          <w:kern w:val="0"/>
          <w:sz w:val="32"/>
          <w:szCs w:val="32"/>
        </w:rPr>
      </w:pPr>
      <w:r>
        <w:rPr>
          <w:b/>
          <w:bCs/>
          <w:snapToGrid w:val="0"/>
          <w:kern w:val="0"/>
          <w:sz w:val="32"/>
          <w:szCs w:val="32"/>
        </w:rPr>
        <w:t>附图目录</w:t>
      </w:r>
    </w:p>
    <w:tbl>
      <w:tblPr>
        <w:tblStyle w:val="32"/>
        <w:tblW w:w="5000" w:type="pct"/>
        <w:jc w:val="center"/>
        <w:tblLayout w:type="autofit"/>
        <w:tblCellMar>
          <w:top w:w="0" w:type="dxa"/>
          <w:left w:w="108" w:type="dxa"/>
          <w:bottom w:w="0" w:type="dxa"/>
          <w:right w:w="108" w:type="dxa"/>
        </w:tblCellMar>
      </w:tblPr>
      <w:tblGrid>
        <w:gridCol w:w="824"/>
        <w:gridCol w:w="1007"/>
        <w:gridCol w:w="6279"/>
        <w:gridCol w:w="1176"/>
      </w:tblGrid>
      <w:tr w14:paraId="7F01A0C9">
        <w:tblPrEx>
          <w:tblCellMar>
            <w:top w:w="0" w:type="dxa"/>
            <w:left w:w="108" w:type="dxa"/>
            <w:bottom w:w="0" w:type="dxa"/>
            <w:right w:w="108" w:type="dxa"/>
          </w:tblCellMar>
        </w:tblPrEx>
        <w:trPr>
          <w:trHeight w:val="454" w:hRule="atLeast"/>
          <w:tblHeader/>
          <w:jc w:val="center"/>
        </w:trPr>
        <w:tc>
          <w:tcPr>
            <w:tcW w:w="444" w:type="pct"/>
            <w:tcBorders>
              <w:top w:val="single" w:color="auto" w:sz="4" w:space="0"/>
              <w:left w:val="single" w:color="auto" w:sz="4" w:space="0"/>
              <w:bottom w:val="single" w:color="auto" w:sz="4" w:space="0"/>
              <w:right w:val="single" w:color="auto" w:sz="4" w:space="0"/>
            </w:tcBorders>
            <w:vAlign w:val="center"/>
          </w:tcPr>
          <w:p w14:paraId="26F68754">
            <w:pPr>
              <w:spacing w:line="240" w:lineRule="auto"/>
              <w:ind w:firstLine="0" w:firstLineChars="0"/>
              <w:jc w:val="center"/>
              <w:rPr>
                <w:b/>
                <w:bCs/>
                <w:kern w:val="0"/>
                <w:sz w:val="24"/>
                <w:szCs w:val="24"/>
              </w:rPr>
            </w:pPr>
            <w:r>
              <w:rPr>
                <w:b/>
                <w:bCs/>
                <w:kern w:val="0"/>
                <w:sz w:val="24"/>
                <w:szCs w:val="24"/>
              </w:rPr>
              <w:t>图号</w:t>
            </w:r>
          </w:p>
        </w:tc>
        <w:tc>
          <w:tcPr>
            <w:tcW w:w="542" w:type="pct"/>
            <w:tcBorders>
              <w:top w:val="single" w:color="auto" w:sz="4" w:space="0"/>
              <w:left w:val="nil"/>
              <w:bottom w:val="single" w:color="auto" w:sz="4" w:space="0"/>
              <w:right w:val="single" w:color="auto" w:sz="4" w:space="0"/>
            </w:tcBorders>
            <w:vAlign w:val="center"/>
          </w:tcPr>
          <w:p w14:paraId="557CA9AE">
            <w:pPr>
              <w:spacing w:line="240" w:lineRule="auto"/>
              <w:ind w:firstLine="0" w:firstLineChars="0"/>
              <w:jc w:val="center"/>
              <w:rPr>
                <w:b/>
                <w:bCs/>
                <w:kern w:val="0"/>
                <w:sz w:val="24"/>
                <w:szCs w:val="24"/>
              </w:rPr>
            </w:pPr>
            <w:r>
              <w:rPr>
                <w:b/>
                <w:bCs/>
                <w:kern w:val="0"/>
                <w:sz w:val="24"/>
                <w:szCs w:val="24"/>
              </w:rPr>
              <w:t>顺序号</w:t>
            </w:r>
          </w:p>
        </w:tc>
        <w:tc>
          <w:tcPr>
            <w:tcW w:w="3380" w:type="pct"/>
            <w:tcBorders>
              <w:top w:val="single" w:color="auto" w:sz="4" w:space="0"/>
              <w:left w:val="nil"/>
              <w:bottom w:val="single" w:color="auto" w:sz="4" w:space="0"/>
              <w:right w:val="single" w:color="auto" w:sz="4" w:space="0"/>
            </w:tcBorders>
            <w:vAlign w:val="center"/>
          </w:tcPr>
          <w:p w14:paraId="31D6D165">
            <w:pPr>
              <w:spacing w:line="240" w:lineRule="auto"/>
              <w:ind w:firstLine="0" w:firstLineChars="0"/>
              <w:jc w:val="center"/>
              <w:rPr>
                <w:b/>
                <w:bCs/>
                <w:kern w:val="0"/>
                <w:sz w:val="24"/>
                <w:szCs w:val="24"/>
              </w:rPr>
            </w:pPr>
            <w:r>
              <w:rPr>
                <w:b/>
                <w:bCs/>
                <w:kern w:val="0"/>
                <w:sz w:val="24"/>
                <w:szCs w:val="24"/>
              </w:rPr>
              <w:t>图    名</w:t>
            </w:r>
          </w:p>
        </w:tc>
        <w:tc>
          <w:tcPr>
            <w:tcW w:w="633" w:type="pct"/>
            <w:tcBorders>
              <w:top w:val="single" w:color="auto" w:sz="4" w:space="0"/>
              <w:left w:val="nil"/>
              <w:bottom w:val="single" w:color="auto" w:sz="4" w:space="0"/>
              <w:right w:val="single" w:color="auto" w:sz="4" w:space="0"/>
            </w:tcBorders>
            <w:vAlign w:val="center"/>
          </w:tcPr>
          <w:p w14:paraId="25E899F4">
            <w:pPr>
              <w:spacing w:line="240" w:lineRule="auto"/>
              <w:ind w:firstLine="0" w:firstLineChars="0"/>
              <w:jc w:val="center"/>
              <w:rPr>
                <w:b/>
                <w:bCs/>
                <w:kern w:val="0"/>
                <w:sz w:val="24"/>
                <w:szCs w:val="24"/>
              </w:rPr>
            </w:pPr>
            <w:r>
              <w:rPr>
                <w:b/>
                <w:bCs/>
                <w:kern w:val="0"/>
                <w:sz w:val="24"/>
                <w:szCs w:val="24"/>
              </w:rPr>
              <w:t>比例尺</w:t>
            </w:r>
          </w:p>
        </w:tc>
      </w:tr>
      <w:tr w14:paraId="2D04C863">
        <w:tblPrEx>
          <w:tblCellMar>
            <w:top w:w="0" w:type="dxa"/>
            <w:left w:w="108" w:type="dxa"/>
            <w:bottom w:w="0" w:type="dxa"/>
            <w:right w:w="108" w:type="dxa"/>
          </w:tblCellMar>
        </w:tblPrEx>
        <w:trPr>
          <w:trHeight w:val="454" w:hRule="atLeast"/>
          <w:jc w:val="center"/>
        </w:trPr>
        <w:tc>
          <w:tcPr>
            <w:tcW w:w="444" w:type="pct"/>
            <w:tcBorders>
              <w:top w:val="nil"/>
              <w:left w:val="single" w:color="auto" w:sz="4" w:space="0"/>
              <w:bottom w:val="single" w:color="auto" w:sz="4" w:space="0"/>
              <w:right w:val="single" w:color="auto" w:sz="4" w:space="0"/>
            </w:tcBorders>
            <w:shd w:val="clear" w:color="auto" w:fill="auto"/>
            <w:vAlign w:val="center"/>
          </w:tcPr>
          <w:p w14:paraId="7F8247EF">
            <w:pPr>
              <w:spacing w:line="240" w:lineRule="auto"/>
              <w:ind w:firstLine="0" w:firstLineChars="0"/>
              <w:jc w:val="center"/>
              <w:rPr>
                <w:kern w:val="0"/>
                <w:sz w:val="24"/>
                <w:szCs w:val="24"/>
              </w:rPr>
            </w:pPr>
            <w:r>
              <w:rPr>
                <w:kern w:val="0"/>
                <w:sz w:val="24"/>
                <w:szCs w:val="24"/>
              </w:rPr>
              <w:t>1</w:t>
            </w:r>
          </w:p>
        </w:tc>
        <w:tc>
          <w:tcPr>
            <w:tcW w:w="542" w:type="pct"/>
            <w:tcBorders>
              <w:top w:val="nil"/>
              <w:left w:val="nil"/>
              <w:bottom w:val="single" w:color="auto" w:sz="4" w:space="0"/>
              <w:right w:val="single" w:color="auto" w:sz="4" w:space="0"/>
            </w:tcBorders>
            <w:vAlign w:val="center"/>
          </w:tcPr>
          <w:p w14:paraId="770100BD">
            <w:pPr>
              <w:spacing w:line="240" w:lineRule="auto"/>
              <w:ind w:firstLine="0" w:firstLineChars="0"/>
              <w:jc w:val="center"/>
              <w:rPr>
                <w:kern w:val="0"/>
                <w:sz w:val="24"/>
                <w:szCs w:val="24"/>
              </w:rPr>
            </w:pPr>
            <w:r>
              <w:rPr>
                <w:kern w:val="0"/>
                <w:sz w:val="24"/>
                <w:szCs w:val="24"/>
              </w:rPr>
              <w:t>1</w:t>
            </w:r>
          </w:p>
        </w:tc>
        <w:tc>
          <w:tcPr>
            <w:tcW w:w="3380" w:type="pct"/>
            <w:tcBorders>
              <w:top w:val="nil"/>
              <w:left w:val="nil"/>
              <w:bottom w:val="single" w:color="auto" w:sz="4" w:space="0"/>
              <w:right w:val="single" w:color="auto" w:sz="4" w:space="0"/>
            </w:tcBorders>
            <w:vAlign w:val="center"/>
          </w:tcPr>
          <w:p w14:paraId="0EE9DCD1">
            <w:pPr>
              <w:spacing w:line="240" w:lineRule="auto"/>
              <w:ind w:firstLine="0" w:firstLineChars="0"/>
              <w:jc w:val="left"/>
              <w:rPr>
                <w:kern w:val="0"/>
                <w:sz w:val="24"/>
                <w:szCs w:val="24"/>
              </w:rPr>
            </w:pPr>
            <w:r>
              <w:rPr>
                <w:kern w:val="0"/>
                <w:sz w:val="24"/>
                <w:szCs w:val="24"/>
              </w:rPr>
              <w:t>华润水泥（上思）有限公司龙大山矿区水泥用灰岩矿整合区区域地质图</w:t>
            </w:r>
          </w:p>
        </w:tc>
        <w:tc>
          <w:tcPr>
            <w:tcW w:w="633" w:type="pct"/>
            <w:tcBorders>
              <w:top w:val="nil"/>
              <w:left w:val="nil"/>
              <w:bottom w:val="single" w:color="auto" w:sz="4" w:space="0"/>
              <w:right w:val="single" w:color="auto" w:sz="4" w:space="0"/>
            </w:tcBorders>
            <w:vAlign w:val="center"/>
          </w:tcPr>
          <w:p w14:paraId="723DF734">
            <w:pPr>
              <w:spacing w:line="240" w:lineRule="auto"/>
              <w:ind w:firstLine="0" w:firstLineChars="0"/>
              <w:jc w:val="center"/>
              <w:rPr>
                <w:kern w:val="0"/>
                <w:sz w:val="24"/>
                <w:szCs w:val="24"/>
              </w:rPr>
            </w:pPr>
            <w:r>
              <w:rPr>
                <w:kern w:val="0"/>
                <w:sz w:val="24"/>
                <w:szCs w:val="24"/>
              </w:rPr>
              <w:t>1:50000</w:t>
            </w:r>
          </w:p>
        </w:tc>
      </w:tr>
      <w:tr w14:paraId="18EE10FE">
        <w:tblPrEx>
          <w:tblCellMar>
            <w:top w:w="0" w:type="dxa"/>
            <w:left w:w="108" w:type="dxa"/>
            <w:bottom w:w="0" w:type="dxa"/>
            <w:right w:w="108" w:type="dxa"/>
          </w:tblCellMar>
        </w:tblPrEx>
        <w:trPr>
          <w:trHeight w:val="454" w:hRule="atLeast"/>
          <w:jc w:val="center"/>
        </w:trPr>
        <w:tc>
          <w:tcPr>
            <w:tcW w:w="444" w:type="pct"/>
            <w:tcBorders>
              <w:top w:val="nil"/>
              <w:left w:val="single" w:color="auto" w:sz="4" w:space="0"/>
              <w:bottom w:val="single" w:color="auto" w:sz="4" w:space="0"/>
              <w:right w:val="single" w:color="auto" w:sz="4" w:space="0"/>
            </w:tcBorders>
            <w:shd w:val="clear" w:color="auto" w:fill="auto"/>
            <w:vAlign w:val="center"/>
          </w:tcPr>
          <w:p w14:paraId="26B92AB1">
            <w:pPr>
              <w:spacing w:line="240" w:lineRule="auto"/>
              <w:ind w:firstLine="0" w:firstLineChars="0"/>
              <w:jc w:val="center"/>
              <w:rPr>
                <w:kern w:val="0"/>
                <w:sz w:val="24"/>
                <w:szCs w:val="24"/>
              </w:rPr>
            </w:pPr>
            <w:r>
              <w:rPr>
                <w:kern w:val="0"/>
                <w:sz w:val="24"/>
                <w:szCs w:val="24"/>
              </w:rPr>
              <w:t>2</w:t>
            </w:r>
          </w:p>
        </w:tc>
        <w:tc>
          <w:tcPr>
            <w:tcW w:w="542" w:type="pct"/>
            <w:tcBorders>
              <w:top w:val="nil"/>
              <w:left w:val="nil"/>
              <w:bottom w:val="single" w:color="auto" w:sz="4" w:space="0"/>
              <w:right w:val="single" w:color="auto" w:sz="4" w:space="0"/>
            </w:tcBorders>
            <w:vAlign w:val="center"/>
          </w:tcPr>
          <w:p w14:paraId="126B6C3E">
            <w:pPr>
              <w:spacing w:line="240" w:lineRule="auto"/>
              <w:ind w:firstLine="0" w:firstLineChars="0"/>
              <w:jc w:val="center"/>
              <w:rPr>
                <w:kern w:val="0"/>
                <w:sz w:val="24"/>
                <w:szCs w:val="24"/>
              </w:rPr>
            </w:pPr>
            <w:r>
              <w:rPr>
                <w:kern w:val="0"/>
                <w:sz w:val="24"/>
                <w:szCs w:val="24"/>
              </w:rPr>
              <w:t>2</w:t>
            </w:r>
          </w:p>
        </w:tc>
        <w:tc>
          <w:tcPr>
            <w:tcW w:w="3380" w:type="pct"/>
            <w:tcBorders>
              <w:top w:val="nil"/>
              <w:left w:val="nil"/>
              <w:bottom w:val="single" w:color="auto" w:sz="4" w:space="0"/>
              <w:right w:val="single" w:color="auto" w:sz="4" w:space="0"/>
            </w:tcBorders>
            <w:vAlign w:val="center"/>
          </w:tcPr>
          <w:p w14:paraId="5B614F73">
            <w:pPr>
              <w:spacing w:line="240" w:lineRule="auto"/>
              <w:ind w:firstLine="0" w:firstLineChars="0"/>
              <w:jc w:val="left"/>
              <w:rPr>
                <w:kern w:val="0"/>
                <w:sz w:val="24"/>
                <w:szCs w:val="24"/>
              </w:rPr>
            </w:pPr>
            <w:r>
              <w:rPr>
                <w:kern w:val="0"/>
                <w:sz w:val="24"/>
                <w:szCs w:val="24"/>
              </w:rPr>
              <w:t>华润水泥（上思）有限公司龙大山矿区水泥用灰岩矿整合区地形地质及工程部署图</w:t>
            </w:r>
          </w:p>
        </w:tc>
        <w:tc>
          <w:tcPr>
            <w:tcW w:w="633" w:type="pct"/>
            <w:tcBorders>
              <w:top w:val="nil"/>
              <w:left w:val="nil"/>
              <w:bottom w:val="single" w:color="auto" w:sz="4" w:space="0"/>
              <w:right w:val="single" w:color="auto" w:sz="4" w:space="0"/>
            </w:tcBorders>
            <w:vAlign w:val="center"/>
          </w:tcPr>
          <w:p w14:paraId="0B56187A">
            <w:pPr>
              <w:spacing w:line="240" w:lineRule="auto"/>
              <w:ind w:firstLine="0" w:firstLineChars="0"/>
              <w:jc w:val="center"/>
              <w:rPr>
                <w:kern w:val="0"/>
                <w:sz w:val="24"/>
                <w:szCs w:val="24"/>
              </w:rPr>
            </w:pPr>
            <w:r>
              <w:rPr>
                <w:kern w:val="0"/>
                <w:sz w:val="24"/>
                <w:szCs w:val="24"/>
              </w:rPr>
              <w:t>1:2000</w:t>
            </w:r>
          </w:p>
        </w:tc>
      </w:tr>
      <w:tr w14:paraId="6DAF8C49">
        <w:tblPrEx>
          <w:tblCellMar>
            <w:top w:w="0" w:type="dxa"/>
            <w:left w:w="108" w:type="dxa"/>
            <w:bottom w:w="0" w:type="dxa"/>
            <w:right w:w="108" w:type="dxa"/>
          </w:tblCellMar>
        </w:tblPrEx>
        <w:trPr>
          <w:trHeight w:val="454" w:hRule="atLeast"/>
          <w:jc w:val="center"/>
        </w:trPr>
        <w:tc>
          <w:tcPr>
            <w:tcW w:w="444" w:type="pct"/>
            <w:tcBorders>
              <w:top w:val="nil"/>
              <w:left w:val="single" w:color="auto" w:sz="4" w:space="0"/>
              <w:bottom w:val="single" w:color="auto" w:sz="4" w:space="0"/>
              <w:right w:val="single" w:color="auto" w:sz="4" w:space="0"/>
            </w:tcBorders>
            <w:shd w:val="clear" w:color="auto" w:fill="auto"/>
            <w:vAlign w:val="center"/>
          </w:tcPr>
          <w:p w14:paraId="4EFC2DC6">
            <w:pPr>
              <w:spacing w:line="240" w:lineRule="auto"/>
              <w:ind w:firstLine="0" w:firstLineChars="0"/>
              <w:jc w:val="center"/>
              <w:rPr>
                <w:kern w:val="0"/>
                <w:sz w:val="24"/>
                <w:szCs w:val="24"/>
              </w:rPr>
            </w:pPr>
            <w:r>
              <w:rPr>
                <w:kern w:val="0"/>
                <w:sz w:val="24"/>
                <w:szCs w:val="24"/>
              </w:rPr>
              <w:t>3</w:t>
            </w:r>
          </w:p>
        </w:tc>
        <w:tc>
          <w:tcPr>
            <w:tcW w:w="542" w:type="pct"/>
            <w:tcBorders>
              <w:top w:val="nil"/>
              <w:left w:val="nil"/>
              <w:bottom w:val="single" w:color="auto" w:sz="4" w:space="0"/>
              <w:right w:val="single" w:color="auto" w:sz="4" w:space="0"/>
            </w:tcBorders>
            <w:vAlign w:val="center"/>
          </w:tcPr>
          <w:p w14:paraId="4A5E27B2">
            <w:pPr>
              <w:spacing w:line="240" w:lineRule="auto"/>
              <w:ind w:firstLine="0" w:firstLineChars="0"/>
              <w:jc w:val="center"/>
              <w:rPr>
                <w:kern w:val="0"/>
                <w:sz w:val="24"/>
                <w:szCs w:val="24"/>
              </w:rPr>
            </w:pPr>
            <w:r>
              <w:rPr>
                <w:kern w:val="0"/>
                <w:sz w:val="24"/>
                <w:szCs w:val="24"/>
              </w:rPr>
              <w:t>3</w:t>
            </w:r>
          </w:p>
        </w:tc>
        <w:tc>
          <w:tcPr>
            <w:tcW w:w="3380" w:type="pct"/>
            <w:tcBorders>
              <w:top w:val="nil"/>
              <w:left w:val="nil"/>
              <w:bottom w:val="single" w:color="auto" w:sz="4" w:space="0"/>
              <w:right w:val="single" w:color="auto" w:sz="4" w:space="0"/>
            </w:tcBorders>
            <w:vAlign w:val="center"/>
          </w:tcPr>
          <w:p w14:paraId="42DA5583">
            <w:pPr>
              <w:autoSpaceDE w:val="0"/>
              <w:autoSpaceDN w:val="0"/>
              <w:spacing w:line="240" w:lineRule="auto"/>
              <w:ind w:firstLine="0" w:firstLineChars="0"/>
              <w:rPr>
                <w:kern w:val="0"/>
                <w:sz w:val="24"/>
                <w:szCs w:val="24"/>
              </w:rPr>
            </w:pPr>
            <w:r>
              <w:rPr>
                <w:kern w:val="0"/>
                <w:sz w:val="24"/>
                <w:szCs w:val="24"/>
              </w:rPr>
              <w:t>华润水泥（上思）有限公司龙大山矿区水泥用灰岩矿整合区详查</w:t>
            </w:r>
            <w:r>
              <w:rPr>
                <w:rFonts w:hint="eastAsia"/>
                <w:kern w:val="0"/>
                <w:sz w:val="24"/>
                <w:szCs w:val="24"/>
                <w:lang w:val="en-US" w:eastAsia="zh-CN"/>
              </w:rPr>
              <w:t>1</w:t>
            </w:r>
            <w:r>
              <w:rPr>
                <w:kern w:val="0"/>
                <w:sz w:val="24"/>
                <w:szCs w:val="24"/>
              </w:rPr>
              <w:t>号勘探线地质设计剖面图</w:t>
            </w:r>
          </w:p>
        </w:tc>
        <w:tc>
          <w:tcPr>
            <w:tcW w:w="633" w:type="pct"/>
            <w:tcBorders>
              <w:top w:val="nil"/>
              <w:left w:val="nil"/>
              <w:bottom w:val="single" w:color="auto" w:sz="4" w:space="0"/>
              <w:right w:val="single" w:color="auto" w:sz="4" w:space="0"/>
            </w:tcBorders>
            <w:vAlign w:val="center"/>
          </w:tcPr>
          <w:p w14:paraId="34D3D760">
            <w:pPr>
              <w:spacing w:line="240" w:lineRule="auto"/>
              <w:ind w:firstLine="0" w:firstLineChars="0"/>
              <w:jc w:val="center"/>
              <w:rPr>
                <w:kern w:val="0"/>
                <w:sz w:val="24"/>
                <w:szCs w:val="24"/>
              </w:rPr>
            </w:pPr>
            <w:r>
              <w:rPr>
                <w:kern w:val="0"/>
                <w:sz w:val="24"/>
                <w:szCs w:val="24"/>
              </w:rPr>
              <w:t>1:1000</w:t>
            </w:r>
          </w:p>
        </w:tc>
      </w:tr>
      <w:tr w14:paraId="31AC8D6A">
        <w:tblPrEx>
          <w:tblCellMar>
            <w:top w:w="0" w:type="dxa"/>
            <w:left w:w="108" w:type="dxa"/>
            <w:bottom w:w="0" w:type="dxa"/>
            <w:right w:w="108" w:type="dxa"/>
          </w:tblCellMar>
        </w:tblPrEx>
        <w:trPr>
          <w:trHeight w:val="454" w:hRule="atLeast"/>
          <w:jc w:val="center"/>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2D6CAE52">
            <w:pPr>
              <w:spacing w:line="240" w:lineRule="auto"/>
              <w:ind w:firstLine="0" w:firstLineChars="0"/>
              <w:jc w:val="center"/>
              <w:rPr>
                <w:kern w:val="0"/>
                <w:sz w:val="24"/>
                <w:szCs w:val="24"/>
              </w:rPr>
            </w:pPr>
            <w:r>
              <w:rPr>
                <w:kern w:val="0"/>
                <w:sz w:val="24"/>
                <w:szCs w:val="24"/>
              </w:rPr>
              <w:t>4</w:t>
            </w:r>
          </w:p>
        </w:tc>
        <w:tc>
          <w:tcPr>
            <w:tcW w:w="542" w:type="pct"/>
            <w:tcBorders>
              <w:top w:val="single" w:color="auto" w:sz="4" w:space="0"/>
              <w:left w:val="nil"/>
              <w:bottom w:val="single" w:color="auto" w:sz="4" w:space="0"/>
              <w:right w:val="single" w:color="auto" w:sz="4" w:space="0"/>
            </w:tcBorders>
            <w:vAlign w:val="center"/>
          </w:tcPr>
          <w:p w14:paraId="07F95362">
            <w:pPr>
              <w:spacing w:line="240" w:lineRule="auto"/>
              <w:ind w:firstLine="0" w:firstLineChars="0"/>
              <w:jc w:val="center"/>
              <w:rPr>
                <w:kern w:val="0"/>
                <w:sz w:val="24"/>
                <w:szCs w:val="24"/>
              </w:rPr>
            </w:pPr>
            <w:r>
              <w:rPr>
                <w:kern w:val="0"/>
                <w:sz w:val="24"/>
                <w:szCs w:val="24"/>
              </w:rPr>
              <w:t>4</w:t>
            </w:r>
          </w:p>
        </w:tc>
        <w:tc>
          <w:tcPr>
            <w:tcW w:w="3380" w:type="pct"/>
            <w:tcBorders>
              <w:top w:val="single" w:color="auto" w:sz="4" w:space="0"/>
              <w:left w:val="nil"/>
              <w:bottom w:val="single" w:color="auto" w:sz="4" w:space="0"/>
              <w:right w:val="single" w:color="auto" w:sz="4" w:space="0"/>
            </w:tcBorders>
            <w:vAlign w:val="center"/>
          </w:tcPr>
          <w:p w14:paraId="3EE058F3">
            <w:pPr>
              <w:autoSpaceDE w:val="0"/>
              <w:autoSpaceDN w:val="0"/>
              <w:spacing w:line="240" w:lineRule="auto"/>
              <w:ind w:firstLine="0" w:firstLineChars="0"/>
              <w:rPr>
                <w:kern w:val="0"/>
                <w:sz w:val="24"/>
                <w:szCs w:val="24"/>
              </w:rPr>
            </w:pPr>
            <w:r>
              <w:rPr>
                <w:kern w:val="0"/>
                <w:sz w:val="24"/>
                <w:szCs w:val="24"/>
              </w:rPr>
              <w:t>华润水泥（上思）有限公司龙大山矿区水泥用灰岩矿整合区详查</w:t>
            </w:r>
            <w:r>
              <w:rPr>
                <w:rFonts w:hint="eastAsia"/>
                <w:kern w:val="0"/>
                <w:sz w:val="24"/>
                <w:szCs w:val="24"/>
                <w:lang w:val="en-US" w:eastAsia="zh-CN"/>
              </w:rPr>
              <w:t>3</w:t>
            </w:r>
            <w:r>
              <w:rPr>
                <w:kern w:val="0"/>
                <w:sz w:val="24"/>
                <w:szCs w:val="24"/>
              </w:rPr>
              <w:t>号勘探线地质设计剖面图</w:t>
            </w:r>
          </w:p>
        </w:tc>
        <w:tc>
          <w:tcPr>
            <w:tcW w:w="633" w:type="pct"/>
            <w:tcBorders>
              <w:top w:val="single" w:color="auto" w:sz="4" w:space="0"/>
              <w:left w:val="nil"/>
              <w:bottom w:val="single" w:color="auto" w:sz="4" w:space="0"/>
              <w:right w:val="single" w:color="auto" w:sz="4" w:space="0"/>
            </w:tcBorders>
            <w:vAlign w:val="center"/>
          </w:tcPr>
          <w:p w14:paraId="3B0DAC37">
            <w:pPr>
              <w:spacing w:line="240" w:lineRule="auto"/>
              <w:ind w:firstLine="0" w:firstLineChars="0"/>
              <w:jc w:val="center"/>
              <w:rPr>
                <w:kern w:val="0"/>
                <w:sz w:val="24"/>
                <w:szCs w:val="24"/>
              </w:rPr>
            </w:pPr>
            <w:r>
              <w:rPr>
                <w:kern w:val="0"/>
                <w:sz w:val="24"/>
                <w:szCs w:val="24"/>
              </w:rPr>
              <w:t>1:1000</w:t>
            </w:r>
          </w:p>
        </w:tc>
      </w:tr>
      <w:tr w14:paraId="35DAE3B5">
        <w:tblPrEx>
          <w:tblCellMar>
            <w:top w:w="0" w:type="dxa"/>
            <w:left w:w="108" w:type="dxa"/>
            <w:bottom w:w="0" w:type="dxa"/>
            <w:right w:w="108" w:type="dxa"/>
          </w:tblCellMar>
        </w:tblPrEx>
        <w:trPr>
          <w:trHeight w:val="454" w:hRule="atLeast"/>
          <w:jc w:val="center"/>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5FEA5DDD">
            <w:pPr>
              <w:spacing w:line="240" w:lineRule="auto"/>
              <w:ind w:firstLine="0" w:firstLineChars="0"/>
              <w:jc w:val="center"/>
              <w:rPr>
                <w:kern w:val="0"/>
                <w:sz w:val="24"/>
                <w:szCs w:val="24"/>
              </w:rPr>
            </w:pPr>
            <w:r>
              <w:rPr>
                <w:kern w:val="0"/>
                <w:sz w:val="24"/>
                <w:szCs w:val="24"/>
              </w:rPr>
              <w:t>5</w:t>
            </w:r>
          </w:p>
        </w:tc>
        <w:tc>
          <w:tcPr>
            <w:tcW w:w="542" w:type="pct"/>
            <w:tcBorders>
              <w:top w:val="single" w:color="auto" w:sz="4" w:space="0"/>
              <w:left w:val="nil"/>
              <w:bottom w:val="single" w:color="auto" w:sz="4" w:space="0"/>
              <w:right w:val="single" w:color="auto" w:sz="4" w:space="0"/>
            </w:tcBorders>
            <w:vAlign w:val="center"/>
          </w:tcPr>
          <w:p w14:paraId="60FFF192">
            <w:pPr>
              <w:spacing w:line="240" w:lineRule="auto"/>
              <w:ind w:firstLine="0" w:firstLineChars="0"/>
              <w:jc w:val="center"/>
              <w:rPr>
                <w:kern w:val="0"/>
                <w:sz w:val="24"/>
                <w:szCs w:val="24"/>
              </w:rPr>
            </w:pPr>
            <w:r>
              <w:rPr>
                <w:kern w:val="0"/>
                <w:sz w:val="24"/>
                <w:szCs w:val="24"/>
              </w:rPr>
              <w:t>5</w:t>
            </w:r>
          </w:p>
        </w:tc>
        <w:tc>
          <w:tcPr>
            <w:tcW w:w="3380" w:type="pct"/>
            <w:tcBorders>
              <w:top w:val="single" w:color="auto" w:sz="4" w:space="0"/>
              <w:left w:val="nil"/>
              <w:bottom w:val="single" w:color="auto" w:sz="4" w:space="0"/>
              <w:right w:val="single" w:color="auto" w:sz="4" w:space="0"/>
            </w:tcBorders>
            <w:vAlign w:val="center"/>
          </w:tcPr>
          <w:p w14:paraId="330E7228">
            <w:pPr>
              <w:autoSpaceDE w:val="0"/>
              <w:autoSpaceDN w:val="0"/>
              <w:spacing w:line="240" w:lineRule="auto"/>
              <w:ind w:firstLine="0" w:firstLineChars="0"/>
              <w:rPr>
                <w:kern w:val="0"/>
                <w:sz w:val="24"/>
                <w:szCs w:val="24"/>
              </w:rPr>
            </w:pPr>
            <w:r>
              <w:rPr>
                <w:kern w:val="0"/>
                <w:sz w:val="24"/>
                <w:szCs w:val="24"/>
              </w:rPr>
              <w:t>华润水泥（上思）有限公司龙大山矿区水泥用灰岩矿整合区详查</w:t>
            </w:r>
            <w:r>
              <w:rPr>
                <w:rFonts w:hint="eastAsia"/>
                <w:kern w:val="0"/>
                <w:sz w:val="24"/>
                <w:szCs w:val="24"/>
                <w:lang w:val="en-US" w:eastAsia="zh-CN"/>
              </w:rPr>
              <w:t>5</w:t>
            </w:r>
            <w:r>
              <w:rPr>
                <w:kern w:val="0"/>
                <w:sz w:val="24"/>
                <w:szCs w:val="24"/>
              </w:rPr>
              <w:t>号勘探线地质设计剖面图</w:t>
            </w:r>
          </w:p>
        </w:tc>
        <w:tc>
          <w:tcPr>
            <w:tcW w:w="633" w:type="pct"/>
            <w:tcBorders>
              <w:top w:val="single" w:color="auto" w:sz="4" w:space="0"/>
              <w:left w:val="nil"/>
              <w:bottom w:val="single" w:color="auto" w:sz="4" w:space="0"/>
              <w:right w:val="single" w:color="auto" w:sz="4" w:space="0"/>
            </w:tcBorders>
            <w:vAlign w:val="center"/>
          </w:tcPr>
          <w:p w14:paraId="27055592">
            <w:pPr>
              <w:spacing w:line="240" w:lineRule="auto"/>
              <w:ind w:firstLine="0" w:firstLineChars="0"/>
              <w:jc w:val="center"/>
              <w:rPr>
                <w:kern w:val="0"/>
                <w:sz w:val="24"/>
                <w:szCs w:val="24"/>
              </w:rPr>
            </w:pPr>
            <w:r>
              <w:rPr>
                <w:kern w:val="0"/>
                <w:sz w:val="24"/>
                <w:szCs w:val="24"/>
              </w:rPr>
              <w:t>1:1000</w:t>
            </w:r>
          </w:p>
        </w:tc>
      </w:tr>
      <w:tr w14:paraId="03F80838">
        <w:tblPrEx>
          <w:tblCellMar>
            <w:top w:w="0" w:type="dxa"/>
            <w:left w:w="108" w:type="dxa"/>
            <w:bottom w:w="0" w:type="dxa"/>
            <w:right w:w="108" w:type="dxa"/>
          </w:tblCellMar>
        </w:tblPrEx>
        <w:trPr>
          <w:trHeight w:val="454" w:hRule="atLeast"/>
          <w:jc w:val="center"/>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487535C7">
            <w:pPr>
              <w:spacing w:line="240" w:lineRule="auto"/>
              <w:ind w:firstLine="0" w:firstLineChars="0"/>
              <w:jc w:val="center"/>
              <w:rPr>
                <w:kern w:val="0"/>
                <w:sz w:val="24"/>
                <w:szCs w:val="24"/>
              </w:rPr>
            </w:pPr>
            <w:r>
              <w:rPr>
                <w:kern w:val="0"/>
                <w:sz w:val="24"/>
                <w:szCs w:val="24"/>
              </w:rPr>
              <w:t>6</w:t>
            </w:r>
          </w:p>
        </w:tc>
        <w:tc>
          <w:tcPr>
            <w:tcW w:w="542" w:type="pct"/>
            <w:tcBorders>
              <w:top w:val="single" w:color="auto" w:sz="4" w:space="0"/>
              <w:left w:val="nil"/>
              <w:bottom w:val="single" w:color="auto" w:sz="4" w:space="0"/>
              <w:right w:val="single" w:color="auto" w:sz="4" w:space="0"/>
            </w:tcBorders>
            <w:vAlign w:val="center"/>
          </w:tcPr>
          <w:p w14:paraId="0969A1DC">
            <w:pPr>
              <w:spacing w:line="240" w:lineRule="auto"/>
              <w:ind w:firstLine="0" w:firstLineChars="0"/>
              <w:jc w:val="center"/>
              <w:rPr>
                <w:kern w:val="0"/>
                <w:sz w:val="24"/>
                <w:szCs w:val="24"/>
              </w:rPr>
            </w:pPr>
            <w:r>
              <w:rPr>
                <w:kern w:val="0"/>
                <w:sz w:val="24"/>
                <w:szCs w:val="24"/>
              </w:rPr>
              <w:t>6</w:t>
            </w:r>
          </w:p>
        </w:tc>
        <w:tc>
          <w:tcPr>
            <w:tcW w:w="3380" w:type="pct"/>
            <w:tcBorders>
              <w:top w:val="single" w:color="auto" w:sz="4" w:space="0"/>
              <w:left w:val="nil"/>
              <w:bottom w:val="single" w:color="auto" w:sz="4" w:space="0"/>
              <w:right w:val="single" w:color="auto" w:sz="4" w:space="0"/>
            </w:tcBorders>
            <w:vAlign w:val="center"/>
          </w:tcPr>
          <w:p w14:paraId="0DF6F59E">
            <w:pPr>
              <w:autoSpaceDE w:val="0"/>
              <w:autoSpaceDN w:val="0"/>
              <w:spacing w:line="240" w:lineRule="auto"/>
              <w:ind w:firstLine="0" w:firstLineChars="0"/>
              <w:rPr>
                <w:kern w:val="0"/>
                <w:sz w:val="24"/>
                <w:szCs w:val="24"/>
              </w:rPr>
            </w:pPr>
            <w:r>
              <w:rPr>
                <w:kern w:val="0"/>
                <w:sz w:val="24"/>
                <w:szCs w:val="24"/>
              </w:rPr>
              <w:t>华润水泥（上思）有限公司龙大山矿区水泥用灰岩矿整合区详查7号勘探线地质设计剖面图</w:t>
            </w:r>
          </w:p>
        </w:tc>
        <w:tc>
          <w:tcPr>
            <w:tcW w:w="633" w:type="pct"/>
            <w:tcBorders>
              <w:top w:val="single" w:color="auto" w:sz="4" w:space="0"/>
              <w:left w:val="nil"/>
              <w:bottom w:val="single" w:color="auto" w:sz="4" w:space="0"/>
              <w:right w:val="single" w:color="auto" w:sz="4" w:space="0"/>
            </w:tcBorders>
            <w:vAlign w:val="center"/>
          </w:tcPr>
          <w:p w14:paraId="5562B7CE">
            <w:pPr>
              <w:spacing w:line="240" w:lineRule="auto"/>
              <w:ind w:firstLine="0" w:firstLineChars="0"/>
              <w:jc w:val="center"/>
              <w:rPr>
                <w:kern w:val="0"/>
                <w:sz w:val="24"/>
                <w:szCs w:val="24"/>
              </w:rPr>
            </w:pPr>
            <w:r>
              <w:rPr>
                <w:kern w:val="0"/>
                <w:sz w:val="24"/>
                <w:szCs w:val="24"/>
              </w:rPr>
              <w:t>1:1000</w:t>
            </w:r>
          </w:p>
        </w:tc>
      </w:tr>
      <w:tr w14:paraId="696DDB96">
        <w:tblPrEx>
          <w:tblCellMar>
            <w:top w:w="0" w:type="dxa"/>
            <w:left w:w="108" w:type="dxa"/>
            <w:bottom w:w="0" w:type="dxa"/>
            <w:right w:w="108" w:type="dxa"/>
          </w:tblCellMar>
        </w:tblPrEx>
        <w:trPr>
          <w:trHeight w:val="454" w:hRule="atLeast"/>
          <w:jc w:val="center"/>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182266E1">
            <w:pPr>
              <w:spacing w:line="240" w:lineRule="auto"/>
              <w:ind w:firstLine="0" w:firstLineChars="0"/>
              <w:jc w:val="center"/>
              <w:rPr>
                <w:kern w:val="0"/>
                <w:sz w:val="24"/>
                <w:szCs w:val="24"/>
              </w:rPr>
            </w:pPr>
            <w:r>
              <w:rPr>
                <w:kern w:val="0"/>
                <w:sz w:val="24"/>
                <w:szCs w:val="24"/>
              </w:rPr>
              <w:t>7</w:t>
            </w:r>
          </w:p>
        </w:tc>
        <w:tc>
          <w:tcPr>
            <w:tcW w:w="542" w:type="pct"/>
            <w:tcBorders>
              <w:top w:val="single" w:color="auto" w:sz="4" w:space="0"/>
              <w:left w:val="nil"/>
              <w:bottom w:val="single" w:color="auto" w:sz="4" w:space="0"/>
              <w:right w:val="single" w:color="auto" w:sz="4" w:space="0"/>
            </w:tcBorders>
            <w:vAlign w:val="center"/>
          </w:tcPr>
          <w:p w14:paraId="1066EB9D">
            <w:pPr>
              <w:spacing w:line="240" w:lineRule="auto"/>
              <w:ind w:firstLine="0" w:firstLineChars="0"/>
              <w:jc w:val="center"/>
              <w:rPr>
                <w:kern w:val="0"/>
                <w:sz w:val="24"/>
                <w:szCs w:val="24"/>
              </w:rPr>
            </w:pPr>
            <w:r>
              <w:rPr>
                <w:kern w:val="0"/>
                <w:sz w:val="24"/>
                <w:szCs w:val="24"/>
              </w:rPr>
              <w:t>7</w:t>
            </w:r>
          </w:p>
        </w:tc>
        <w:tc>
          <w:tcPr>
            <w:tcW w:w="3380" w:type="pct"/>
            <w:tcBorders>
              <w:top w:val="single" w:color="auto" w:sz="4" w:space="0"/>
              <w:left w:val="nil"/>
              <w:bottom w:val="single" w:color="auto" w:sz="4" w:space="0"/>
              <w:right w:val="single" w:color="auto" w:sz="4" w:space="0"/>
            </w:tcBorders>
            <w:vAlign w:val="center"/>
          </w:tcPr>
          <w:p w14:paraId="2FFF4E32">
            <w:pPr>
              <w:autoSpaceDE w:val="0"/>
              <w:autoSpaceDN w:val="0"/>
              <w:spacing w:line="240" w:lineRule="auto"/>
              <w:ind w:firstLine="0" w:firstLineChars="0"/>
              <w:rPr>
                <w:kern w:val="0"/>
                <w:sz w:val="24"/>
                <w:szCs w:val="24"/>
              </w:rPr>
            </w:pPr>
            <w:r>
              <w:rPr>
                <w:kern w:val="0"/>
                <w:sz w:val="24"/>
                <w:szCs w:val="24"/>
              </w:rPr>
              <w:t>华润水泥（上思）有限公司龙大山矿区水泥用灰岩矿整合区资源量预算水平断面图（一）</w:t>
            </w:r>
          </w:p>
        </w:tc>
        <w:tc>
          <w:tcPr>
            <w:tcW w:w="633" w:type="pct"/>
            <w:tcBorders>
              <w:top w:val="single" w:color="auto" w:sz="4" w:space="0"/>
              <w:left w:val="nil"/>
              <w:bottom w:val="single" w:color="auto" w:sz="4" w:space="0"/>
              <w:right w:val="single" w:color="auto" w:sz="4" w:space="0"/>
            </w:tcBorders>
            <w:vAlign w:val="center"/>
          </w:tcPr>
          <w:p w14:paraId="216048A0">
            <w:pPr>
              <w:spacing w:line="240" w:lineRule="auto"/>
              <w:ind w:firstLine="0" w:firstLineChars="0"/>
              <w:jc w:val="center"/>
              <w:rPr>
                <w:kern w:val="0"/>
                <w:sz w:val="24"/>
                <w:szCs w:val="24"/>
              </w:rPr>
            </w:pPr>
            <w:r>
              <w:rPr>
                <w:kern w:val="0"/>
                <w:sz w:val="24"/>
                <w:szCs w:val="24"/>
              </w:rPr>
              <w:t>1:5000</w:t>
            </w:r>
          </w:p>
        </w:tc>
      </w:tr>
      <w:tr w14:paraId="71BD461E">
        <w:tblPrEx>
          <w:tblCellMar>
            <w:top w:w="0" w:type="dxa"/>
            <w:left w:w="108" w:type="dxa"/>
            <w:bottom w:w="0" w:type="dxa"/>
            <w:right w:w="108" w:type="dxa"/>
          </w:tblCellMar>
        </w:tblPrEx>
        <w:trPr>
          <w:trHeight w:val="454" w:hRule="atLeast"/>
          <w:jc w:val="center"/>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4DD47ECB">
            <w:pPr>
              <w:spacing w:line="240" w:lineRule="auto"/>
              <w:ind w:firstLine="0" w:firstLineChars="0"/>
              <w:jc w:val="center"/>
              <w:rPr>
                <w:kern w:val="0"/>
                <w:sz w:val="24"/>
                <w:szCs w:val="24"/>
              </w:rPr>
            </w:pPr>
            <w:r>
              <w:rPr>
                <w:kern w:val="0"/>
                <w:sz w:val="24"/>
                <w:szCs w:val="24"/>
              </w:rPr>
              <w:t>8</w:t>
            </w:r>
          </w:p>
        </w:tc>
        <w:tc>
          <w:tcPr>
            <w:tcW w:w="542" w:type="pct"/>
            <w:tcBorders>
              <w:top w:val="single" w:color="auto" w:sz="4" w:space="0"/>
              <w:left w:val="nil"/>
              <w:bottom w:val="single" w:color="auto" w:sz="4" w:space="0"/>
              <w:right w:val="single" w:color="auto" w:sz="4" w:space="0"/>
            </w:tcBorders>
            <w:vAlign w:val="center"/>
          </w:tcPr>
          <w:p w14:paraId="134FA70A">
            <w:pPr>
              <w:spacing w:line="240" w:lineRule="auto"/>
              <w:ind w:firstLine="0" w:firstLineChars="0"/>
              <w:jc w:val="center"/>
              <w:rPr>
                <w:kern w:val="0"/>
                <w:sz w:val="24"/>
                <w:szCs w:val="24"/>
              </w:rPr>
            </w:pPr>
            <w:r>
              <w:rPr>
                <w:kern w:val="0"/>
                <w:sz w:val="24"/>
                <w:szCs w:val="24"/>
              </w:rPr>
              <w:t>8</w:t>
            </w:r>
          </w:p>
        </w:tc>
        <w:tc>
          <w:tcPr>
            <w:tcW w:w="3380" w:type="pct"/>
            <w:tcBorders>
              <w:top w:val="single" w:color="auto" w:sz="4" w:space="0"/>
              <w:left w:val="nil"/>
              <w:bottom w:val="single" w:color="auto" w:sz="4" w:space="0"/>
              <w:right w:val="single" w:color="auto" w:sz="4" w:space="0"/>
            </w:tcBorders>
            <w:vAlign w:val="center"/>
          </w:tcPr>
          <w:p w14:paraId="5F640FF5">
            <w:pPr>
              <w:autoSpaceDE w:val="0"/>
              <w:autoSpaceDN w:val="0"/>
              <w:spacing w:line="240" w:lineRule="auto"/>
              <w:ind w:firstLine="0" w:firstLineChars="0"/>
              <w:rPr>
                <w:kern w:val="0"/>
                <w:sz w:val="24"/>
                <w:szCs w:val="24"/>
              </w:rPr>
            </w:pPr>
            <w:r>
              <w:rPr>
                <w:kern w:val="0"/>
                <w:sz w:val="24"/>
                <w:szCs w:val="24"/>
              </w:rPr>
              <w:t>华润水泥（上思）有限公司龙大山矿区水泥用灰岩矿整合区资源量预算水平断面图（二）</w:t>
            </w:r>
          </w:p>
        </w:tc>
        <w:tc>
          <w:tcPr>
            <w:tcW w:w="633" w:type="pct"/>
            <w:tcBorders>
              <w:top w:val="single" w:color="auto" w:sz="4" w:space="0"/>
              <w:left w:val="nil"/>
              <w:bottom w:val="single" w:color="auto" w:sz="4" w:space="0"/>
              <w:right w:val="single" w:color="auto" w:sz="4" w:space="0"/>
            </w:tcBorders>
            <w:vAlign w:val="center"/>
          </w:tcPr>
          <w:p w14:paraId="1833EB0D">
            <w:pPr>
              <w:spacing w:line="240" w:lineRule="auto"/>
              <w:ind w:firstLine="0" w:firstLineChars="0"/>
              <w:jc w:val="center"/>
              <w:rPr>
                <w:kern w:val="0"/>
                <w:sz w:val="24"/>
                <w:szCs w:val="24"/>
              </w:rPr>
            </w:pPr>
            <w:r>
              <w:rPr>
                <w:kern w:val="0"/>
                <w:sz w:val="24"/>
                <w:szCs w:val="24"/>
              </w:rPr>
              <w:t>1:5000</w:t>
            </w:r>
          </w:p>
        </w:tc>
      </w:tr>
      <w:tr w14:paraId="4EE3C481">
        <w:tblPrEx>
          <w:tblCellMar>
            <w:top w:w="0" w:type="dxa"/>
            <w:left w:w="108" w:type="dxa"/>
            <w:bottom w:w="0" w:type="dxa"/>
            <w:right w:w="108" w:type="dxa"/>
          </w:tblCellMar>
        </w:tblPrEx>
        <w:trPr>
          <w:trHeight w:val="454" w:hRule="atLeast"/>
          <w:jc w:val="center"/>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6E937396">
            <w:pPr>
              <w:spacing w:line="240" w:lineRule="auto"/>
              <w:ind w:firstLine="0" w:firstLineChars="0"/>
              <w:jc w:val="center"/>
              <w:rPr>
                <w:kern w:val="0"/>
                <w:sz w:val="24"/>
                <w:szCs w:val="24"/>
              </w:rPr>
            </w:pPr>
            <w:r>
              <w:rPr>
                <w:kern w:val="0"/>
                <w:sz w:val="24"/>
                <w:szCs w:val="24"/>
              </w:rPr>
              <w:t>9</w:t>
            </w:r>
          </w:p>
        </w:tc>
        <w:tc>
          <w:tcPr>
            <w:tcW w:w="542" w:type="pct"/>
            <w:tcBorders>
              <w:top w:val="single" w:color="auto" w:sz="4" w:space="0"/>
              <w:left w:val="nil"/>
              <w:bottom w:val="single" w:color="auto" w:sz="4" w:space="0"/>
              <w:right w:val="single" w:color="auto" w:sz="4" w:space="0"/>
            </w:tcBorders>
            <w:vAlign w:val="center"/>
          </w:tcPr>
          <w:p w14:paraId="3D2B5CD4">
            <w:pPr>
              <w:spacing w:line="240" w:lineRule="auto"/>
              <w:ind w:firstLine="0" w:firstLineChars="0"/>
              <w:jc w:val="center"/>
              <w:rPr>
                <w:kern w:val="0"/>
                <w:sz w:val="24"/>
                <w:szCs w:val="24"/>
              </w:rPr>
            </w:pPr>
            <w:r>
              <w:rPr>
                <w:kern w:val="0"/>
                <w:sz w:val="24"/>
                <w:szCs w:val="24"/>
              </w:rPr>
              <w:t>9</w:t>
            </w:r>
          </w:p>
        </w:tc>
        <w:tc>
          <w:tcPr>
            <w:tcW w:w="3380" w:type="pct"/>
            <w:tcBorders>
              <w:top w:val="single" w:color="auto" w:sz="4" w:space="0"/>
              <w:left w:val="nil"/>
              <w:bottom w:val="single" w:color="auto" w:sz="4" w:space="0"/>
              <w:right w:val="single" w:color="auto" w:sz="4" w:space="0"/>
            </w:tcBorders>
            <w:vAlign w:val="center"/>
          </w:tcPr>
          <w:p w14:paraId="29729887">
            <w:pPr>
              <w:autoSpaceDE w:val="0"/>
              <w:autoSpaceDN w:val="0"/>
              <w:spacing w:line="240" w:lineRule="auto"/>
              <w:ind w:firstLine="0" w:firstLineChars="0"/>
              <w:rPr>
                <w:kern w:val="0"/>
                <w:sz w:val="24"/>
                <w:szCs w:val="24"/>
              </w:rPr>
            </w:pPr>
            <w:r>
              <w:rPr>
                <w:kern w:val="0"/>
                <w:sz w:val="24"/>
                <w:szCs w:val="24"/>
              </w:rPr>
              <w:t>华润水泥（上思）有限公司龙大山矿区水泥用灰岩矿整合区资源量预算水平断面图（三）</w:t>
            </w:r>
          </w:p>
        </w:tc>
        <w:tc>
          <w:tcPr>
            <w:tcW w:w="633" w:type="pct"/>
            <w:tcBorders>
              <w:top w:val="single" w:color="auto" w:sz="4" w:space="0"/>
              <w:left w:val="nil"/>
              <w:bottom w:val="single" w:color="auto" w:sz="4" w:space="0"/>
              <w:right w:val="single" w:color="auto" w:sz="4" w:space="0"/>
            </w:tcBorders>
            <w:vAlign w:val="center"/>
          </w:tcPr>
          <w:p w14:paraId="31DBCF46">
            <w:pPr>
              <w:spacing w:line="240" w:lineRule="auto"/>
              <w:ind w:firstLine="0" w:firstLineChars="0"/>
              <w:jc w:val="center"/>
              <w:rPr>
                <w:kern w:val="0"/>
                <w:sz w:val="24"/>
                <w:szCs w:val="24"/>
              </w:rPr>
            </w:pPr>
            <w:r>
              <w:rPr>
                <w:kern w:val="0"/>
                <w:sz w:val="24"/>
                <w:szCs w:val="24"/>
              </w:rPr>
              <w:t>1:5000</w:t>
            </w:r>
          </w:p>
        </w:tc>
      </w:tr>
      <w:tr w14:paraId="2D80811F">
        <w:tblPrEx>
          <w:tblCellMar>
            <w:top w:w="0" w:type="dxa"/>
            <w:left w:w="108" w:type="dxa"/>
            <w:bottom w:w="0" w:type="dxa"/>
            <w:right w:w="108" w:type="dxa"/>
          </w:tblCellMar>
        </w:tblPrEx>
        <w:trPr>
          <w:trHeight w:val="454" w:hRule="atLeast"/>
          <w:jc w:val="center"/>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307CD0A0">
            <w:pPr>
              <w:spacing w:line="240" w:lineRule="auto"/>
              <w:ind w:firstLine="0" w:firstLineChars="0"/>
              <w:jc w:val="center"/>
              <w:rPr>
                <w:kern w:val="0"/>
                <w:sz w:val="24"/>
                <w:szCs w:val="24"/>
              </w:rPr>
            </w:pPr>
            <w:r>
              <w:rPr>
                <w:kern w:val="0"/>
                <w:sz w:val="24"/>
                <w:szCs w:val="24"/>
              </w:rPr>
              <w:t>10</w:t>
            </w:r>
          </w:p>
        </w:tc>
        <w:tc>
          <w:tcPr>
            <w:tcW w:w="542" w:type="pct"/>
            <w:tcBorders>
              <w:top w:val="single" w:color="auto" w:sz="4" w:space="0"/>
              <w:left w:val="nil"/>
              <w:bottom w:val="single" w:color="auto" w:sz="4" w:space="0"/>
              <w:right w:val="single" w:color="auto" w:sz="4" w:space="0"/>
            </w:tcBorders>
            <w:vAlign w:val="center"/>
          </w:tcPr>
          <w:p w14:paraId="380F9484">
            <w:pPr>
              <w:spacing w:line="240" w:lineRule="auto"/>
              <w:ind w:firstLine="0" w:firstLineChars="0"/>
              <w:jc w:val="center"/>
              <w:rPr>
                <w:kern w:val="0"/>
                <w:sz w:val="24"/>
                <w:szCs w:val="24"/>
              </w:rPr>
            </w:pPr>
            <w:r>
              <w:rPr>
                <w:kern w:val="0"/>
                <w:sz w:val="24"/>
                <w:szCs w:val="24"/>
              </w:rPr>
              <w:t>10</w:t>
            </w:r>
          </w:p>
        </w:tc>
        <w:tc>
          <w:tcPr>
            <w:tcW w:w="3380" w:type="pct"/>
            <w:tcBorders>
              <w:top w:val="single" w:color="auto" w:sz="4" w:space="0"/>
              <w:left w:val="nil"/>
              <w:bottom w:val="single" w:color="auto" w:sz="4" w:space="0"/>
              <w:right w:val="single" w:color="auto" w:sz="4" w:space="0"/>
            </w:tcBorders>
            <w:vAlign w:val="center"/>
          </w:tcPr>
          <w:p w14:paraId="14487E29">
            <w:pPr>
              <w:autoSpaceDE w:val="0"/>
              <w:autoSpaceDN w:val="0"/>
              <w:spacing w:line="240" w:lineRule="auto"/>
              <w:ind w:firstLine="0" w:firstLineChars="0"/>
              <w:rPr>
                <w:kern w:val="0"/>
                <w:sz w:val="24"/>
                <w:szCs w:val="24"/>
              </w:rPr>
            </w:pPr>
            <w:r>
              <w:rPr>
                <w:kern w:val="0"/>
                <w:sz w:val="24"/>
                <w:szCs w:val="24"/>
              </w:rPr>
              <w:t>华润水泥（上思）有限公司龙大山矿区水泥用灰岩矿整合区资源量预算水平断面图（四）</w:t>
            </w:r>
          </w:p>
        </w:tc>
        <w:tc>
          <w:tcPr>
            <w:tcW w:w="633" w:type="pct"/>
            <w:tcBorders>
              <w:top w:val="single" w:color="auto" w:sz="4" w:space="0"/>
              <w:left w:val="nil"/>
              <w:bottom w:val="single" w:color="auto" w:sz="4" w:space="0"/>
              <w:right w:val="single" w:color="auto" w:sz="4" w:space="0"/>
            </w:tcBorders>
            <w:vAlign w:val="center"/>
          </w:tcPr>
          <w:p w14:paraId="1F3403C3">
            <w:pPr>
              <w:spacing w:line="240" w:lineRule="auto"/>
              <w:ind w:firstLine="0" w:firstLineChars="0"/>
              <w:jc w:val="center"/>
              <w:rPr>
                <w:kern w:val="0"/>
                <w:sz w:val="24"/>
                <w:szCs w:val="24"/>
              </w:rPr>
            </w:pPr>
            <w:r>
              <w:rPr>
                <w:kern w:val="0"/>
                <w:sz w:val="24"/>
                <w:szCs w:val="24"/>
              </w:rPr>
              <w:t>1:5000</w:t>
            </w:r>
          </w:p>
        </w:tc>
      </w:tr>
    </w:tbl>
    <w:p w14:paraId="72901AF2">
      <w:pPr>
        <w:spacing w:line="600" w:lineRule="exact"/>
        <w:ind w:firstLine="0" w:firstLineChars="0"/>
        <w:rPr>
          <w:rFonts w:eastAsia="宋体"/>
          <w:kern w:val="0"/>
          <w:szCs w:val="28"/>
        </w:rPr>
      </w:pPr>
    </w:p>
    <w:p w14:paraId="2871BD3B">
      <w:pPr>
        <w:ind w:firstLine="0" w:firstLineChars="0"/>
        <w:rPr>
          <w:rFonts w:eastAsia="宋体"/>
          <w:kern w:val="0"/>
          <w:szCs w:val="28"/>
        </w:rPr>
        <w:sectPr>
          <w:pgSz w:w="11906" w:h="16838"/>
          <w:pgMar w:top="1418" w:right="1418" w:bottom="1418" w:left="1418" w:header="851" w:footer="992" w:gutter="0"/>
          <w:pgNumType w:fmt="upperRoman"/>
          <w:cols w:space="720" w:num="1"/>
          <w:docGrid w:type="lines" w:linePitch="381" w:charSpace="0"/>
        </w:sectPr>
      </w:pPr>
    </w:p>
    <w:p w14:paraId="4C6B4995">
      <w:pPr>
        <w:pStyle w:val="3"/>
      </w:pPr>
      <w:bookmarkStart w:id="3" w:name="_Toc27183"/>
      <w:bookmarkStart w:id="4" w:name="_Toc32099"/>
      <w:bookmarkStart w:id="5" w:name="_Toc124107381"/>
      <w:bookmarkStart w:id="6" w:name="_Toc176901226"/>
      <w:bookmarkStart w:id="7" w:name="_Toc25522"/>
      <w:bookmarkStart w:id="8" w:name="_Toc19166"/>
      <w:bookmarkStart w:id="9" w:name="_Toc28194"/>
      <w:r>
        <w:t>1 前言</w:t>
      </w:r>
      <w:bookmarkEnd w:id="3"/>
      <w:bookmarkEnd w:id="4"/>
      <w:bookmarkEnd w:id="5"/>
      <w:bookmarkEnd w:id="6"/>
      <w:bookmarkEnd w:id="7"/>
      <w:bookmarkEnd w:id="8"/>
      <w:bookmarkEnd w:id="9"/>
    </w:p>
    <w:p w14:paraId="5A5DC305">
      <w:pPr>
        <w:pStyle w:val="4"/>
      </w:pPr>
      <w:bookmarkStart w:id="10" w:name="_Toc29511"/>
      <w:bookmarkStart w:id="11" w:name="_Toc17290"/>
      <w:bookmarkStart w:id="12" w:name="_Toc26908"/>
      <w:bookmarkStart w:id="13" w:name="_Toc124107382"/>
      <w:bookmarkStart w:id="14" w:name="_Toc176901227"/>
      <w:bookmarkStart w:id="15" w:name="_Toc19735"/>
      <w:bookmarkStart w:id="16" w:name="_Toc174759437"/>
      <w:r>
        <w:t>1.1 目的与任务</w:t>
      </w:r>
      <w:bookmarkEnd w:id="10"/>
      <w:bookmarkEnd w:id="11"/>
      <w:bookmarkEnd w:id="12"/>
      <w:bookmarkEnd w:id="13"/>
      <w:bookmarkEnd w:id="14"/>
      <w:bookmarkEnd w:id="15"/>
    </w:p>
    <w:bookmarkEnd w:id="16"/>
    <w:p w14:paraId="7889EF28">
      <w:pPr>
        <w:pStyle w:val="5"/>
      </w:pPr>
      <w:bookmarkStart w:id="17" w:name="_Toc198978217"/>
      <w:bookmarkStart w:id="18" w:name="_Toc261940924"/>
      <w:bookmarkStart w:id="19" w:name="_Toc405882870"/>
      <w:bookmarkStart w:id="20" w:name="_Toc178651992"/>
      <w:bookmarkStart w:id="21" w:name="_Toc410248198"/>
      <w:bookmarkStart w:id="22" w:name="_Toc178570096"/>
      <w:bookmarkStart w:id="23" w:name="_Toc407654137"/>
      <w:bookmarkStart w:id="24" w:name="_Toc178652196"/>
      <w:bookmarkStart w:id="25" w:name="_Toc407653922"/>
      <w:bookmarkStart w:id="26" w:name="_Toc177177620"/>
      <w:r>
        <w:t>1.1.1 任务来源</w:t>
      </w:r>
    </w:p>
    <w:p w14:paraId="43526433">
      <w:pPr>
        <w:ind w:firstLine="560"/>
      </w:pPr>
      <w:r>
        <w:t>为进一步规范采矿权管理工作，优化矿产资源开发布局，根据《防城港市矿业权整合方案》（2025年），防城港自然资源局拟对华润水泥（上思）有限公司龙大山矿区北矿段水泥用灰岩矿、华润水泥（上思）有限公司龙大山矿区南矿段水泥用灰岩矿、华润水泥（上思）有限公司讲鱼山石灰岩矿三个相互紧邻的采矿权进行整合。为完善采矿权整合前期相关手续，做好矿产资源勘查工作，受防城港市自然资源局委托，广西国土资源规划设计集团有限公司对华润水泥（上思）有限公司龙大山矿区水泥用灰岩矿进行矿区矿产资源勘查设计，接到任务委托后，我司组织相关专业技术人员通过收集矿区相关资料及地质踏勘工作，完成《华润水泥（上思）有限公司龙大山矿区水泥用灰岩矿整合区详查实施方案》的编制任务，为矿区后续的地质勘查工作实施提供指导依据。</w:t>
      </w:r>
    </w:p>
    <w:p w14:paraId="7347F628">
      <w:pPr>
        <w:pStyle w:val="5"/>
      </w:pPr>
      <w:r>
        <w:t>1.1.2 项目资金来源</w:t>
      </w:r>
    </w:p>
    <w:p w14:paraId="18A0C4AE">
      <w:pPr>
        <w:ind w:firstLine="560"/>
      </w:pPr>
      <w:r>
        <w:rPr>
          <w:color w:val="0000FF"/>
        </w:rPr>
        <w:t>本项目经费预算</w:t>
      </w:r>
      <w:r>
        <w:rPr>
          <w:rFonts w:hint="eastAsia"/>
          <w:color w:val="0000FF"/>
          <w:lang w:val="en-US" w:eastAsia="zh-CN"/>
        </w:rPr>
        <w:t>436.13</w:t>
      </w:r>
      <w:r>
        <w:rPr>
          <w:color w:val="0000FF"/>
        </w:rPr>
        <w:t>万元</w:t>
      </w:r>
      <w:r>
        <w:t>，资金来源为地方财政资金。</w:t>
      </w:r>
    </w:p>
    <w:bookmarkEnd w:id="17"/>
    <w:bookmarkEnd w:id="18"/>
    <w:bookmarkEnd w:id="19"/>
    <w:bookmarkEnd w:id="20"/>
    <w:bookmarkEnd w:id="21"/>
    <w:bookmarkEnd w:id="22"/>
    <w:bookmarkEnd w:id="23"/>
    <w:bookmarkEnd w:id="24"/>
    <w:bookmarkEnd w:id="25"/>
    <w:bookmarkEnd w:id="26"/>
    <w:p w14:paraId="247466F2">
      <w:pPr>
        <w:pStyle w:val="5"/>
      </w:pPr>
      <w:r>
        <w:t>1.1.3 目的任务</w:t>
      </w:r>
    </w:p>
    <w:p w14:paraId="1CF49D65">
      <w:pPr>
        <w:ind w:firstLine="560"/>
        <w:rPr>
          <w:kern w:val="0"/>
          <w:szCs w:val="28"/>
        </w:rPr>
      </w:pPr>
      <w:r>
        <w:rPr>
          <w:kern w:val="0"/>
          <w:szCs w:val="28"/>
        </w:rPr>
        <w:t>（1）工作目的</w:t>
      </w:r>
    </w:p>
    <w:p w14:paraId="449BC2B2">
      <w:pPr>
        <w:ind w:firstLine="560"/>
      </w:pPr>
      <w:r>
        <w:t>本次详查工作的目的是：基本查明地质、构造特征及其对矿体的控制情况，矿体形态、产状、大小和矿石质量，基本确定矿体的连续性。通过水工环地质测量，详细查明矿床的开采技术条件。预算矿区范围内水泥用灰岩矿资源储量，提交《</w:t>
      </w:r>
      <w:r>
        <w:rPr>
          <w:color w:val="auto"/>
        </w:rPr>
        <w:t>广西上思县龙大山-讲鱼山矿区水泥用灰岩矿核实报告</w:t>
      </w:r>
      <w:r>
        <w:t>》及相关附图、附表。目的是为下一步采矿权出让及矿山生产建设提供地质依据。</w:t>
      </w:r>
    </w:p>
    <w:p w14:paraId="0D3674F8">
      <w:pPr>
        <w:ind w:firstLine="560"/>
        <w:rPr>
          <w:kern w:val="0"/>
          <w:szCs w:val="28"/>
        </w:rPr>
      </w:pPr>
    </w:p>
    <w:p w14:paraId="1D1E34F4">
      <w:pPr>
        <w:ind w:firstLine="560"/>
        <w:rPr>
          <w:kern w:val="0"/>
          <w:szCs w:val="28"/>
        </w:rPr>
      </w:pPr>
      <w:r>
        <w:rPr>
          <w:kern w:val="0"/>
          <w:szCs w:val="28"/>
        </w:rPr>
        <w:t>（2）工作任务</w:t>
      </w:r>
    </w:p>
    <w:p w14:paraId="3E384EE0">
      <w:pPr>
        <w:ind w:firstLine="560"/>
        <w:rPr>
          <w:kern w:val="0"/>
          <w:szCs w:val="28"/>
        </w:rPr>
      </w:pPr>
      <w:r>
        <w:rPr>
          <w:kern w:val="0"/>
          <w:szCs w:val="28"/>
        </w:rPr>
        <w:t>本次详查工作任务如下：</w:t>
      </w:r>
    </w:p>
    <w:p w14:paraId="1A001E0C">
      <w:pPr>
        <w:ind w:firstLine="560"/>
        <w:rPr>
          <w:kern w:val="0"/>
          <w:szCs w:val="28"/>
        </w:rPr>
      </w:pPr>
      <w:r>
        <w:rPr>
          <w:kern w:val="0"/>
          <w:szCs w:val="28"/>
        </w:rPr>
        <w:t>1）系统收集与矿区成矿有关的基础地质、矿产及周边同一矿床类型的地质资料进行综合分析。</w:t>
      </w:r>
    </w:p>
    <w:p w14:paraId="170B509D">
      <w:pPr>
        <w:ind w:firstLine="560"/>
        <w:rPr>
          <w:kern w:val="0"/>
          <w:szCs w:val="28"/>
        </w:rPr>
      </w:pPr>
      <w:r>
        <w:rPr>
          <w:kern w:val="0"/>
          <w:szCs w:val="28"/>
        </w:rPr>
        <w:t>2）通过开展1:2000地形测量和地质测量，基本查明矿区地层层位、岩性变化特征，基本查明矿区</w:t>
      </w:r>
      <w:r>
        <w:rPr>
          <w:spacing w:val="-2"/>
          <w:szCs w:val="28"/>
        </w:rPr>
        <w:t>成矿地质特征，包括地层、构造、矿体分布、围岩蚀变特征。</w:t>
      </w:r>
    </w:p>
    <w:p w14:paraId="357B30A6">
      <w:pPr>
        <w:ind w:firstLine="560"/>
        <w:rPr>
          <w:kern w:val="0"/>
          <w:szCs w:val="28"/>
        </w:rPr>
      </w:pPr>
      <w:r>
        <w:rPr>
          <w:kern w:val="0"/>
          <w:szCs w:val="28"/>
        </w:rPr>
        <w:t>3）</w:t>
      </w:r>
      <w:r>
        <w:rPr>
          <w:spacing w:val="-2"/>
          <w:szCs w:val="28"/>
        </w:rPr>
        <w:t>在基本查明区内地表地质基础上，通过施工探矿工程，并进行系统取样，基本查明区内矿体形态、规模、厚度、变化规律及其矿石质量特征。</w:t>
      </w:r>
    </w:p>
    <w:p w14:paraId="3EF9153E">
      <w:pPr>
        <w:ind w:firstLine="560"/>
        <w:rPr>
          <w:spacing w:val="-2"/>
          <w:szCs w:val="28"/>
        </w:rPr>
      </w:pPr>
      <w:r>
        <w:rPr>
          <w:kern w:val="0"/>
          <w:szCs w:val="28"/>
        </w:rPr>
        <w:t>4）</w:t>
      </w:r>
      <w:r>
        <w:rPr>
          <w:spacing w:val="-2"/>
          <w:szCs w:val="28"/>
        </w:rPr>
        <w:t>开展专项水、工、环地质工作，详细查明矿区水文地质条件及矿床充水因素，预测矿坑涌水量，评估突水灾害危险性，对矿床水资源综合利用进行评价，指出供水水源方向，提出含水层保护意见。详细查明矿区工程地质条件，评价露天采场岩体质量和稳定性，分析和评价开采技术条件下可能发生的工程地质问题，预测可能出现的主要地质灾害提出防治措施。调查评价矿区环境质量，预测矿床开发可能引起的主要环境地质问题，提出防治建议。针对涉重金属元素对矿区矿石、土壤、水质进行取样测试，并对其进行评价分析。</w:t>
      </w:r>
    </w:p>
    <w:p w14:paraId="0CEDE582">
      <w:pPr>
        <w:ind w:firstLine="552"/>
        <w:rPr>
          <w:spacing w:val="-2"/>
          <w:szCs w:val="28"/>
        </w:rPr>
      </w:pPr>
      <w:r>
        <w:rPr>
          <w:spacing w:val="-2"/>
          <w:szCs w:val="28"/>
        </w:rPr>
        <w:t>5）经过系统采样、测试，基本查明矿石的物理性质及加工性能，即矿石的体重、吸水率、抗压强度、坚固性、压碎指标、放射性等，评价水泥用灰岩矿体的物理特征。</w:t>
      </w:r>
    </w:p>
    <w:p w14:paraId="36ACB0C7">
      <w:pPr>
        <w:widowControl/>
        <w:ind w:firstLine="560"/>
        <w:rPr>
          <w:szCs w:val="28"/>
        </w:rPr>
      </w:pPr>
      <w:r>
        <w:rPr>
          <w:kern w:val="0"/>
          <w:szCs w:val="28"/>
        </w:rPr>
        <w:t>6）</w:t>
      </w:r>
      <w:r>
        <w:rPr>
          <w:szCs w:val="28"/>
        </w:rPr>
        <w:t>根据勘查工作所获得的地质矿产资料、成果及国内外资源市场情况，进行矿床开发经济意义的概略研究，为矿山开采设计提供依据。</w:t>
      </w:r>
    </w:p>
    <w:p w14:paraId="70547E04">
      <w:pPr>
        <w:widowControl/>
        <w:ind w:firstLine="560"/>
        <w:rPr>
          <w:kern w:val="0"/>
          <w:szCs w:val="28"/>
        </w:rPr>
      </w:pPr>
      <w:r>
        <w:rPr>
          <w:kern w:val="0"/>
          <w:szCs w:val="28"/>
        </w:rPr>
        <w:t>7）</w:t>
      </w:r>
      <w:r>
        <w:t>通过勘查工程获取的成果，估算矿区水泥用石灰岩矿资源储量，提</w:t>
      </w:r>
      <w:r>
        <w:rPr>
          <w:color w:val="auto"/>
        </w:rPr>
        <w:t>交《广西上思县龙大山-讲鱼山矿区水泥用灰岩矿核实报告》，为矿山石灰</w:t>
      </w:r>
      <w:r>
        <w:t>岩矿开发利用提供地质依据。</w:t>
      </w:r>
    </w:p>
    <w:p w14:paraId="72148F12">
      <w:pPr>
        <w:pStyle w:val="5"/>
      </w:pPr>
      <w:r>
        <w:t>1.1.4 工作周期及成果提交时间</w:t>
      </w:r>
    </w:p>
    <w:p w14:paraId="7AB29FD5">
      <w:pPr>
        <w:ind w:firstLine="560"/>
        <w:rPr>
          <w:color w:val="auto"/>
        </w:rPr>
      </w:pPr>
      <w:r>
        <w:rPr>
          <w:color w:val="auto"/>
        </w:rPr>
        <w:t>预计工作时间为2026年8月至2027年1月，工作周期为6个月。其中2026年8月至2026年12月，开展野外地质工作；2027年1月底，完成野外验收及综合资料整理，编写成果报告。</w:t>
      </w:r>
    </w:p>
    <w:p w14:paraId="185FB504">
      <w:pPr>
        <w:pStyle w:val="4"/>
      </w:pPr>
      <w:bookmarkStart w:id="27" w:name="_Toc24606"/>
      <w:bookmarkStart w:id="28" w:name="_Toc124107384"/>
      <w:bookmarkStart w:id="29" w:name="_Toc11889"/>
      <w:bookmarkStart w:id="30" w:name="_Toc176901228"/>
      <w:bookmarkStart w:id="31" w:name="_Toc32393"/>
      <w:bookmarkStart w:id="32" w:name="_Toc24841"/>
      <w:r>
        <w:t>1.2 矿</w:t>
      </w:r>
      <w:r>
        <w:rPr>
          <w:lang w:val="en-US"/>
        </w:rPr>
        <w:t>业</w:t>
      </w:r>
      <w:r>
        <w:t>权设置情况</w:t>
      </w:r>
      <w:bookmarkEnd w:id="27"/>
      <w:bookmarkEnd w:id="28"/>
      <w:bookmarkEnd w:id="29"/>
      <w:bookmarkEnd w:id="30"/>
      <w:bookmarkEnd w:id="31"/>
      <w:bookmarkEnd w:id="32"/>
    </w:p>
    <w:p w14:paraId="7A7F32B8">
      <w:pPr>
        <w:ind w:firstLine="560"/>
        <w:rPr>
          <w:color w:val="auto"/>
        </w:rPr>
      </w:pPr>
      <w:r>
        <w:rPr>
          <w:color w:val="auto"/>
          <w:szCs w:val="28"/>
        </w:rPr>
        <w:t>本次矿权整合是基于以往三个矿权的基础上，将华润水泥（上思）有限公司龙大山矿区北矿段水泥用灰岩矿</w:t>
      </w:r>
      <w:r>
        <w:rPr>
          <w:color w:val="auto"/>
        </w:rPr>
        <w:t>、</w:t>
      </w:r>
      <w:r>
        <w:rPr>
          <w:color w:val="auto"/>
          <w:szCs w:val="28"/>
        </w:rPr>
        <w:t>华润水泥（上思）有限公司龙大山矿区南矿段水泥用灰岩矿</w:t>
      </w:r>
      <w:r>
        <w:rPr>
          <w:color w:val="auto"/>
        </w:rPr>
        <w:t>、</w:t>
      </w:r>
      <w:r>
        <w:rPr>
          <w:color w:val="auto"/>
          <w:szCs w:val="28"/>
        </w:rPr>
        <w:t>华润水泥（上思）有限公司讲鱼山石灰岩矿</w:t>
      </w:r>
      <w:r>
        <w:rPr>
          <w:color w:val="auto"/>
        </w:rPr>
        <w:t>整合为一个矿业权，整合主体为</w:t>
      </w:r>
      <w:r>
        <w:rPr>
          <w:color w:val="auto"/>
          <w:szCs w:val="28"/>
        </w:rPr>
        <w:t>华润水泥（上思）有限公司</w:t>
      </w:r>
      <w:r>
        <w:rPr>
          <w:color w:val="auto"/>
        </w:rPr>
        <w:t>。三个采矿权基本情况如下：</w:t>
      </w:r>
    </w:p>
    <w:p w14:paraId="295372C3">
      <w:pPr>
        <w:ind w:firstLine="560"/>
        <w:rPr>
          <w:color w:val="auto"/>
        </w:rPr>
      </w:pPr>
      <w:r>
        <w:rPr>
          <w:color w:val="auto"/>
        </w:rPr>
        <w:t>（1）华润水泥（上思）有限公司龙大山矿区北矿段水泥用灰岩矿</w:t>
      </w:r>
    </w:p>
    <w:p w14:paraId="32E0897F">
      <w:pPr>
        <w:ind w:firstLine="560"/>
        <w:rPr>
          <w:color w:val="auto"/>
        </w:rPr>
      </w:pPr>
      <w:r>
        <w:rPr>
          <w:color w:val="auto"/>
        </w:rPr>
        <w:t>华润水泥（上思）有限公司于2010年11月8日首次取得华润水泥（上思）有限公司龙大山矿区北矿段水泥用灰岩矿采矿权，采矿许可证颁发机关为原广西壮族自治区国土资源厅，矿区范围由12个拐点坐标圈定，矿区范围拐点坐标见表1-1。</w:t>
      </w:r>
    </w:p>
    <w:p w14:paraId="42505F3A">
      <w:pPr>
        <w:spacing w:line="240" w:lineRule="auto"/>
        <w:ind w:firstLine="0" w:firstLineChars="0"/>
        <w:jc w:val="center"/>
        <w:rPr>
          <w:b/>
          <w:bCs/>
          <w:color w:val="auto"/>
          <w:sz w:val="24"/>
          <w:szCs w:val="24"/>
        </w:rPr>
      </w:pPr>
      <w:r>
        <w:rPr>
          <w:b/>
          <w:bCs/>
          <w:color w:val="auto"/>
          <w:sz w:val="24"/>
          <w:szCs w:val="24"/>
        </w:rPr>
        <w:t>表1-1  龙大山矿区北矿段水泥用灰岩矿矿区范围拐点坐标表</w:t>
      </w:r>
    </w:p>
    <w:tbl>
      <w:tblPr>
        <w:tblStyle w:val="32"/>
        <w:tblW w:w="7040" w:type="dxa"/>
        <w:jc w:val="center"/>
        <w:tblLayout w:type="autofit"/>
        <w:tblCellMar>
          <w:top w:w="0" w:type="dxa"/>
          <w:left w:w="108" w:type="dxa"/>
          <w:bottom w:w="0" w:type="dxa"/>
          <w:right w:w="108" w:type="dxa"/>
        </w:tblCellMar>
      </w:tblPr>
      <w:tblGrid>
        <w:gridCol w:w="836"/>
        <w:gridCol w:w="1441"/>
        <w:gridCol w:w="1551"/>
        <w:gridCol w:w="1551"/>
        <w:gridCol w:w="1661"/>
      </w:tblGrid>
      <w:tr w14:paraId="2207E259">
        <w:tblPrEx>
          <w:tblCellMar>
            <w:top w:w="0" w:type="dxa"/>
            <w:left w:w="108" w:type="dxa"/>
            <w:bottom w:w="0" w:type="dxa"/>
            <w:right w:w="108" w:type="dxa"/>
          </w:tblCellMar>
        </w:tblPrEx>
        <w:trPr>
          <w:trHeight w:val="300" w:hRule="atLeast"/>
          <w:jc w:val="center"/>
        </w:trPr>
        <w:tc>
          <w:tcPr>
            <w:tcW w:w="83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BD4008">
            <w:pPr>
              <w:widowControl/>
              <w:spacing w:line="240" w:lineRule="auto"/>
              <w:ind w:firstLine="0" w:firstLineChars="0"/>
              <w:jc w:val="center"/>
              <w:rPr>
                <w:color w:val="auto"/>
                <w:kern w:val="0"/>
                <w:sz w:val="22"/>
                <w:szCs w:val="22"/>
              </w:rPr>
            </w:pPr>
            <w:r>
              <w:rPr>
                <w:color w:val="auto"/>
                <w:kern w:val="0"/>
                <w:sz w:val="22"/>
                <w:szCs w:val="22"/>
              </w:rPr>
              <w:t>拐点</w:t>
            </w:r>
            <w:r>
              <w:rPr>
                <w:color w:val="auto"/>
                <w:kern w:val="0"/>
                <w:sz w:val="22"/>
                <w:szCs w:val="22"/>
              </w:rPr>
              <w:br w:type="textWrapping"/>
            </w:r>
            <w:r>
              <w:rPr>
                <w:color w:val="auto"/>
                <w:kern w:val="0"/>
                <w:sz w:val="22"/>
                <w:szCs w:val="22"/>
              </w:rPr>
              <w:t>编号</w:t>
            </w:r>
          </w:p>
        </w:tc>
        <w:tc>
          <w:tcPr>
            <w:tcW w:w="2992" w:type="dxa"/>
            <w:gridSpan w:val="2"/>
            <w:tcBorders>
              <w:top w:val="single" w:color="auto" w:sz="4" w:space="0"/>
              <w:left w:val="nil"/>
              <w:bottom w:val="single" w:color="auto" w:sz="4" w:space="0"/>
              <w:right w:val="single" w:color="auto" w:sz="4" w:space="0"/>
            </w:tcBorders>
            <w:shd w:val="clear" w:color="auto" w:fill="auto"/>
            <w:noWrap/>
            <w:vAlign w:val="center"/>
          </w:tcPr>
          <w:p w14:paraId="537BB867">
            <w:pPr>
              <w:widowControl/>
              <w:spacing w:line="240" w:lineRule="auto"/>
              <w:ind w:firstLine="0" w:firstLineChars="0"/>
              <w:jc w:val="center"/>
              <w:rPr>
                <w:color w:val="auto"/>
                <w:kern w:val="0"/>
                <w:sz w:val="22"/>
                <w:szCs w:val="22"/>
              </w:rPr>
            </w:pPr>
            <w:r>
              <w:rPr>
                <w:color w:val="auto"/>
                <w:kern w:val="0"/>
                <w:sz w:val="22"/>
                <w:szCs w:val="22"/>
              </w:rPr>
              <w:t>1980西安坐标系</w:t>
            </w:r>
          </w:p>
        </w:tc>
        <w:tc>
          <w:tcPr>
            <w:tcW w:w="3212" w:type="dxa"/>
            <w:gridSpan w:val="2"/>
            <w:tcBorders>
              <w:top w:val="single" w:color="auto" w:sz="4" w:space="0"/>
              <w:left w:val="nil"/>
              <w:bottom w:val="single" w:color="auto" w:sz="4" w:space="0"/>
              <w:right w:val="single" w:color="auto" w:sz="4" w:space="0"/>
            </w:tcBorders>
            <w:shd w:val="clear" w:color="auto" w:fill="auto"/>
            <w:noWrap/>
            <w:vAlign w:val="center"/>
          </w:tcPr>
          <w:p w14:paraId="761B4567">
            <w:pPr>
              <w:widowControl/>
              <w:spacing w:line="240" w:lineRule="auto"/>
              <w:ind w:firstLine="0" w:firstLineChars="0"/>
              <w:jc w:val="center"/>
              <w:rPr>
                <w:color w:val="auto"/>
                <w:kern w:val="0"/>
                <w:sz w:val="22"/>
                <w:szCs w:val="22"/>
              </w:rPr>
            </w:pPr>
            <w:r>
              <w:rPr>
                <w:color w:val="auto"/>
                <w:kern w:val="0"/>
                <w:sz w:val="22"/>
                <w:szCs w:val="22"/>
              </w:rPr>
              <w:t>2000国家大地坐标系</w:t>
            </w:r>
          </w:p>
        </w:tc>
      </w:tr>
      <w:tr w14:paraId="0DA803F0">
        <w:tblPrEx>
          <w:tblCellMar>
            <w:top w:w="0" w:type="dxa"/>
            <w:left w:w="108" w:type="dxa"/>
            <w:bottom w:w="0" w:type="dxa"/>
            <w:right w:w="108" w:type="dxa"/>
          </w:tblCellMar>
        </w:tblPrEx>
        <w:trPr>
          <w:trHeight w:val="300" w:hRule="atLeast"/>
          <w:jc w:val="center"/>
        </w:trPr>
        <w:tc>
          <w:tcPr>
            <w:tcW w:w="836" w:type="dxa"/>
            <w:vMerge w:val="continue"/>
            <w:tcBorders>
              <w:top w:val="single" w:color="auto" w:sz="4" w:space="0"/>
              <w:left w:val="single" w:color="auto" w:sz="4" w:space="0"/>
              <w:bottom w:val="single" w:color="auto" w:sz="4" w:space="0"/>
              <w:right w:val="single" w:color="auto" w:sz="4" w:space="0"/>
            </w:tcBorders>
            <w:vAlign w:val="center"/>
          </w:tcPr>
          <w:p w14:paraId="2594D832">
            <w:pPr>
              <w:widowControl/>
              <w:spacing w:line="240" w:lineRule="auto"/>
              <w:ind w:firstLine="0" w:firstLineChars="0"/>
              <w:jc w:val="left"/>
              <w:rPr>
                <w:color w:val="auto"/>
                <w:kern w:val="0"/>
                <w:sz w:val="22"/>
                <w:szCs w:val="22"/>
              </w:rPr>
            </w:pPr>
          </w:p>
        </w:tc>
        <w:tc>
          <w:tcPr>
            <w:tcW w:w="1441" w:type="dxa"/>
            <w:tcBorders>
              <w:top w:val="nil"/>
              <w:left w:val="nil"/>
              <w:bottom w:val="nil"/>
              <w:right w:val="single" w:color="auto" w:sz="4" w:space="0"/>
            </w:tcBorders>
            <w:shd w:val="clear" w:color="auto" w:fill="auto"/>
            <w:noWrap/>
            <w:vAlign w:val="center"/>
          </w:tcPr>
          <w:p w14:paraId="6A508219">
            <w:pPr>
              <w:widowControl/>
              <w:spacing w:line="240" w:lineRule="auto"/>
              <w:ind w:firstLine="0" w:firstLineChars="0"/>
              <w:jc w:val="center"/>
              <w:rPr>
                <w:color w:val="auto"/>
                <w:kern w:val="0"/>
                <w:sz w:val="22"/>
                <w:szCs w:val="22"/>
              </w:rPr>
            </w:pPr>
            <w:r>
              <w:rPr>
                <w:color w:val="auto"/>
                <w:kern w:val="0"/>
                <w:sz w:val="22"/>
                <w:szCs w:val="22"/>
              </w:rPr>
              <w:t>X</w:t>
            </w:r>
          </w:p>
        </w:tc>
        <w:tc>
          <w:tcPr>
            <w:tcW w:w="1551" w:type="dxa"/>
            <w:tcBorders>
              <w:top w:val="nil"/>
              <w:left w:val="nil"/>
              <w:bottom w:val="nil"/>
              <w:right w:val="single" w:color="auto" w:sz="4" w:space="0"/>
            </w:tcBorders>
            <w:shd w:val="clear" w:color="auto" w:fill="auto"/>
            <w:noWrap/>
            <w:vAlign w:val="center"/>
          </w:tcPr>
          <w:p w14:paraId="1C55188D">
            <w:pPr>
              <w:widowControl/>
              <w:spacing w:line="240" w:lineRule="auto"/>
              <w:ind w:firstLine="0" w:firstLineChars="0"/>
              <w:jc w:val="center"/>
              <w:rPr>
                <w:color w:val="auto"/>
                <w:kern w:val="0"/>
                <w:sz w:val="22"/>
                <w:szCs w:val="22"/>
              </w:rPr>
            </w:pPr>
            <w:r>
              <w:rPr>
                <w:color w:val="auto"/>
                <w:kern w:val="0"/>
                <w:sz w:val="22"/>
                <w:szCs w:val="22"/>
              </w:rPr>
              <w:t>Y</w:t>
            </w:r>
          </w:p>
        </w:tc>
        <w:tc>
          <w:tcPr>
            <w:tcW w:w="1551" w:type="dxa"/>
            <w:tcBorders>
              <w:top w:val="nil"/>
              <w:left w:val="nil"/>
              <w:bottom w:val="single" w:color="auto" w:sz="4" w:space="0"/>
              <w:right w:val="single" w:color="auto" w:sz="4" w:space="0"/>
            </w:tcBorders>
            <w:shd w:val="clear" w:color="auto" w:fill="auto"/>
            <w:noWrap/>
            <w:vAlign w:val="center"/>
          </w:tcPr>
          <w:p w14:paraId="714B74D9">
            <w:pPr>
              <w:widowControl/>
              <w:spacing w:line="240" w:lineRule="auto"/>
              <w:ind w:firstLine="0" w:firstLineChars="0"/>
              <w:jc w:val="center"/>
              <w:rPr>
                <w:color w:val="auto"/>
                <w:kern w:val="0"/>
                <w:sz w:val="22"/>
                <w:szCs w:val="22"/>
              </w:rPr>
            </w:pPr>
            <w:r>
              <w:rPr>
                <w:color w:val="auto"/>
                <w:kern w:val="0"/>
                <w:sz w:val="22"/>
                <w:szCs w:val="22"/>
              </w:rPr>
              <w:t>X</w:t>
            </w:r>
          </w:p>
        </w:tc>
        <w:tc>
          <w:tcPr>
            <w:tcW w:w="1661" w:type="dxa"/>
            <w:tcBorders>
              <w:top w:val="nil"/>
              <w:left w:val="nil"/>
              <w:bottom w:val="single" w:color="auto" w:sz="4" w:space="0"/>
              <w:right w:val="single" w:color="auto" w:sz="4" w:space="0"/>
            </w:tcBorders>
            <w:shd w:val="clear" w:color="auto" w:fill="auto"/>
            <w:noWrap/>
            <w:vAlign w:val="center"/>
          </w:tcPr>
          <w:p w14:paraId="281CF90D">
            <w:pPr>
              <w:widowControl/>
              <w:spacing w:line="240" w:lineRule="auto"/>
              <w:ind w:firstLine="0" w:firstLineChars="0"/>
              <w:jc w:val="center"/>
              <w:rPr>
                <w:color w:val="auto"/>
                <w:kern w:val="0"/>
                <w:sz w:val="22"/>
                <w:szCs w:val="22"/>
              </w:rPr>
            </w:pPr>
            <w:r>
              <w:rPr>
                <w:color w:val="auto"/>
                <w:kern w:val="0"/>
                <w:sz w:val="22"/>
                <w:szCs w:val="22"/>
              </w:rPr>
              <w:t>Y</w:t>
            </w:r>
          </w:p>
        </w:tc>
      </w:tr>
      <w:tr w14:paraId="12F8CF5A">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338341A7">
            <w:pPr>
              <w:widowControl/>
              <w:spacing w:line="240" w:lineRule="auto"/>
              <w:ind w:firstLine="0" w:firstLineChars="0"/>
              <w:jc w:val="center"/>
              <w:rPr>
                <w:color w:val="auto"/>
                <w:kern w:val="0"/>
                <w:sz w:val="22"/>
                <w:szCs w:val="22"/>
              </w:rPr>
            </w:pPr>
            <w:r>
              <w:rPr>
                <w:color w:val="auto"/>
                <w:kern w:val="0"/>
                <w:sz w:val="22"/>
                <w:szCs w:val="22"/>
              </w:rPr>
              <w:t>A1</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75A87444">
            <w:pPr>
              <w:widowControl/>
              <w:spacing w:line="240" w:lineRule="auto"/>
              <w:ind w:firstLine="0" w:firstLineChars="0"/>
              <w:jc w:val="center"/>
              <w:rPr>
                <w:color w:val="auto"/>
                <w:kern w:val="0"/>
                <w:sz w:val="22"/>
                <w:szCs w:val="22"/>
              </w:rPr>
            </w:pPr>
            <w:r>
              <w:rPr>
                <w:color w:val="auto"/>
                <w:kern w:val="0"/>
                <w:sz w:val="22"/>
                <w:szCs w:val="22"/>
              </w:rPr>
              <w:t>2455104.74</w:t>
            </w:r>
          </w:p>
        </w:tc>
        <w:tc>
          <w:tcPr>
            <w:tcW w:w="1551" w:type="dxa"/>
            <w:tcBorders>
              <w:top w:val="single" w:color="auto" w:sz="4" w:space="0"/>
              <w:left w:val="nil"/>
              <w:bottom w:val="single" w:color="auto" w:sz="4" w:space="0"/>
              <w:right w:val="single" w:color="auto" w:sz="4" w:space="0"/>
            </w:tcBorders>
            <w:shd w:val="clear" w:color="auto" w:fill="auto"/>
            <w:vAlign w:val="center"/>
          </w:tcPr>
          <w:p w14:paraId="0490229E">
            <w:pPr>
              <w:widowControl/>
              <w:spacing w:line="240" w:lineRule="auto"/>
              <w:ind w:firstLine="0" w:firstLineChars="0"/>
              <w:jc w:val="center"/>
              <w:rPr>
                <w:color w:val="auto"/>
                <w:kern w:val="0"/>
                <w:sz w:val="22"/>
                <w:szCs w:val="22"/>
              </w:rPr>
            </w:pPr>
            <w:r>
              <w:rPr>
                <w:color w:val="auto"/>
                <w:kern w:val="0"/>
                <w:sz w:val="22"/>
                <w:szCs w:val="22"/>
              </w:rPr>
              <w:t>36492164.71</w:t>
            </w:r>
          </w:p>
        </w:tc>
        <w:tc>
          <w:tcPr>
            <w:tcW w:w="1551" w:type="dxa"/>
            <w:tcBorders>
              <w:top w:val="nil"/>
              <w:left w:val="nil"/>
              <w:bottom w:val="single" w:color="auto" w:sz="4" w:space="0"/>
              <w:right w:val="single" w:color="auto" w:sz="4" w:space="0"/>
            </w:tcBorders>
            <w:shd w:val="clear" w:color="auto" w:fill="auto"/>
            <w:noWrap/>
            <w:vAlign w:val="center"/>
          </w:tcPr>
          <w:p w14:paraId="2B1F1666">
            <w:pPr>
              <w:widowControl/>
              <w:spacing w:line="240" w:lineRule="auto"/>
              <w:ind w:firstLine="0" w:firstLineChars="0"/>
              <w:jc w:val="center"/>
              <w:rPr>
                <w:color w:val="auto"/>
                <w:kern w:val="0"/>
                <w:sz w:val="22"/>
                <w:szCs w:val="22"/>
              </w:rPr>
            </w:pPr>
            <w:r>
              <w:rPr>
                <w:color w:val="auto"/>
                <w:kern w:val="0"/>
                <w:sz w:val="22"/>
                <w:szCs w:val="22"/>
              </w:rPr>
              <w:t xml:space="preserve">2455106.11 </w:t>
            </w:r>
          </w:p>
        </w:tc>
        <w:tc>
          <w:tcPr>
            <w:tcW w:w="1661" w:type="dxa"/>
            <w:tcBorders>
              <w:top w:val="nil"/>
              <w:left w:val="nil"/>
              <w:bottom w:val="single" w:color="auto" w:sz="4" w:space="0"/>
              <w:right w:val="single" w:color="auto" w:sz="4" w:space="0"/>
            </w:tcBorders>
            <w:shd w:val="clear" w:color="auto" w:fill="auto"/>
            <w:noWrap/>
            <w:vAlign w:val="center"/>
          </w:tcPr>
          <w:p w14:paraId="35FE0FB7">
            <w:pPr>
              <w:widowControl/>
              <w:spacing w:line="240" w:lineRule="auto"/>
              <w:ind w:firstLine="0" w:firstLineChars="0"/>
              <w:jc w:val="center"/>
              <w:rPr>
                <w:color w:val="auto"/>
                <w:kern w:val="0"/>
                <w:sz w:val="22"/>
                <w:szCs w:val="22"/>
              </w:rPr>
            </w:pPr>
            <w:r>
              <w:rPr>
                <w:color w:val="auto"/>
                <w:kern w:val="0"/>
                <w:sz w:val="22"/>
                <w:szCs w:val="22"/>
              </w:rPr>
              <w:t xml:space="preserve">36492279.58 </w:t>
            </w:r>
          </w:p>
        </w:tc>
      </w:tr>
      <w:tr w14:paraId="1165EEC7">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736A233E">
            <w:pPr>
              <w:widowControl/>
              <w:spacing w:line="240" w:lineRule="auto"/>
              <w:ind w:firstLine="0" w:firstLineChars="0"/>
              <w:jc w:val="center"/>
              <w:rPr>
                <w:color w:val="auto"/>
                <w:kern w:val="0"/>
                <w:sz w:val="22"/>
                <w:szCs w:val="22"/>
              </w:rPr>
            </w:pPr>
            <w:r>
              <w:rPr>
                <w:color w:val="auto"/>
                <w:kern w:val="0"/>
                <w:sz w:val="22"/>
                <w:szCs w:val="22"/>
              </w:rPr>
              <w:t>A2</w:t>
            </w:r>
          </w:p>
        </w:tc>
        <w:tc>
          <w:tcPr>
            <w:tcW w:w="1441" w:type="dxa"/>
            <w:tcBorders>
              <w:top w:val="nil"/>
              <w:left w:val="single" w:color="auto" w:sz="4" w:space="0"/>
              <w:bottom w:val="single" w:color="auto" w:sz="4" w:space="0"/>
              <w:right w:val="single" w:color="auto" w:sz="4" w:space="0"/>
            </w:tcBorders>
            <w:shd w:val="clear" w:color="auto" w:fill="auto"/>
            <w:vAlign w:val="center"/>
          </w:tcPr>
          <w:p w14:paraId="3B499B1D">
            <w:pPr>
              <w:widowControl/>
              <w:spacing w:line="240" w:lineRule="auto"/>
              <w:ind w:firstLine="0" w:firstLineChars="0"/>
              <w:jc w:val="center"/>
              <w:rPr>
                <w:color w:val="auto"/>
                <w:kern w:val="0"/>
                <w:sz w:val="22"/>
                <w:szCs w:val="22"/>
              </w:rPr>
            </w:pPr>
            <w:r>
              <w:rPr>
                <w:color w:val="auto"/>
                <w:kern w:val="0"/>
                <w:sz w:val="22"/>
                <w:szCs w:val="22"/>
              </w:rPr>
              <w:t>2455068.90</w:t>
            </w:r>
          </w:p>
        </w:tc>
        <w:tc>
          <w:tcPr>
            <w:tcW w:w="1551" w:type="dxa"/>
            <w:tcBorders>
              <w:top w:val="nil"/>
              <w:left w:val="nil"/>
              <w:bottom w:val="single" w:color="auto" w:sz="4" w:space="0"/>
              <w:right w:val="single" w:color="auto" w:sz="4" w:space="0"/>
            </w:tcBorders>
            <w:shd w:val="clear" w:color="auto" w:fill="auto"/>
            <w:vAlign w:val="center"/>
          </w:tcPr>
          <w:p w14:paraId="47E35E5A">
            <w:pPr>
              <w:widowControl/>
              <w:spacing w:line="240" w:lineRule="auto"/>
              <w:ind w:firstLine="0" w:firstLineChars="0"/>
              <w:jc w:val="center"/>
              <w:rPr>
                <w:color w:val="auto"/>
                <w:kern w:val="0"/>
                <w:sz w:val="22"/>
                <w:szCs w:val="22"/>
              </w:rPr>
            </w:pPr>
            <w:r>
              <w:rPr>
                <w:color w:val="auto"/>
                <w:kern w:val="0"/>
                <w:sz w:val="22"/>
                <w:szCs w:val="22"/>
              </w:rPr>
              <w:t>36491826.69</w:t>
            </w:r>
          </w:p>
        </w:tc>
        <w:tc>
          <w:tcPr>
            <w:tcW w:w="1551" w:type="dxa"/>
            <w:tcBorders>
              <w:top w:val="nil"/>
              <w:left w:val="nil"/>
              <w:bottom w:val="single" w:color="auto" w:sz="4" w:space="0"/>
              <w:right w:val="single" w:color="auto" w:sz="4" w:space="0"/>
            </w:tcBorders>
            <w:shd w:val="clear" w:color="auto" w:fill="auto"/>
            <w:noWrap/>
            <w:vAlign w:val="center"/>
          </w:tcPr>
          <w:p w14:paraId="0BE77136">
            <w:pPr>
              <w:widowControl/>
              <w:spacing w:line="240" w:lineRule="auto"/>
              <w:ind w:firstLine="0" w:firstLineChars="0"/>
              <w:jc w:val="center"/>
              <w:rPr>
                <w:color w:val="auto"/>
                <w:kern w:val="0"/>
                <w:sz w:val="22"/>
                <w:szCs w:val="22"/>
              </w:rPr>
            </w:pPr>
            <w:r>
              <w:rPr>
                <w:color w:val="auto"/>
                <w:kern w:val="0"/>
                <w:sz w:val="22"/>
                <w:szCs w:val="22"/>
              </w:rPr>
              <w:t xml:space="preserve">2455070.27 </w:t>
            </w:r>
          </w:p>
        </w:tc>
        <w:tc>
          <w:tcPr>
            <w:tcW w:w="1661" w:type="dxa"/>
            <w:tcBorders>
              <w:top w:val="nil"/>
              <w:left w:val="nil"/>
              <w:bottom w:val="single" w:color="auto" w:sz="4" w:space="0"/>
              <w:right w:val="single" w:color="auto" w:sz="4" w:space="0"/>
            </w:tcBorders>
            <w:shd w:val="clear" w:color="auto" w:fill="auto"/>
            <w:noWrap/>
            <w:vAlign w:val="center"/>
          </w:tcPr>
          <w:p w14:paraId="153A41F4">
            <w:pPr>
              <w:widowControl/>
              <w:spacing w:line="240" w:lineRule="auto"/>
              <w:ind w:firstLine="0" w:firstLineChars="0"/>
              <w:jc w:val="center"/>
              <w:rPr>
                <w:color w:val="auto"/>
                <w:kern w:val="0"/>
                <w:sz w:val="22"/>
                <w:szCs w:val="22"/>
              </w:rPr>
            </w:pPr>
            <w:r>
              <w:rPr>
                <w:color w:val="auto"/>
                <w:kern w:val="0"/>
                <w:sz w:val="22"/>
                <w:szCs w:val="22"/>
              </w:rPr>
              <w:t xml:space="preserve">36491941.56 </w:t>
            </w:r>
          </w:p>
        </w:tc>
      </w:tr>
      <w:tr w14:paraId="28165B50">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21A630F9">
            <w:pPr>
              <w:widowControl/>
              <w:spacing w:line="240" w:lineRule="auto"/>
              <w:ind w:firstLine="0" w:firstLineChars="0"/>
              <w:jc w:val="center"/>
              <w:rPr>
                <w:color w:val="auto"/>
                <w:kern w:val="0"/>
                <w:sz w:val="22"/>
                <w:szCs w:val="22"/>
              </w:rPr>
            </w:pPr>
            <w:r>
              <w:rPr>
                <w:color w:val="auto"/>
                <w:kern w:val="0"/>
                <w:sz w:val="22"/>
                <w:szCs w:val="22"/>
              </w:rPr>
              <w:t>A3</w:t>
            </w:r>
          </w:p>
        </w:tc>
        <w:tc>
          <w:tcPr>
            <w:tcW w:w="1441" w:type="dxa"/>
            <w:tcBorders>
              <w:top w:val="nil"/>
              <w:left w:val="single" w:color="auto" w:sz="4" w:space="0"/>
              <w:bottom w:val="single" w:color="auto" w:sz="4" w:space="0"/>
              <w:right w:val="single" w:color="auto" w:sz="4" w:space="0"/>
            </w:tcBorders>
            <w:shd w:val="clear" w:color="auto" w:fill="auto"/>
            <w:vAlign w:val="center"/>
          </w:tcPr>
          <w:p w14:paraId="2147AF03">
            <w:pPr>
              <w:widowControl/>
              <w:spacing w:line="240" w:lineRule="auto"/>
              <w:ind w:firstLine="0" w:firstLineChars="0"/>
              <w:jc w:val="center"/>
              <w:rPr>
                <w:color w:val="auto"/>
                <w:kern w:val="0"/>
                <w:sz w:val="22"/>
                <w:szCs w:val="22"/>
              </w:rPr>
            </w:pPr>
            <w:r>
              <w:rPr>
                <w:color w:val="auto"/>
                <w:kern w:val="0"/>
                <w:sz w:val="22"/>
                <w:szCs w:val="22"/>
              </w:rPr>
              <w:t>2455288.58</w:t>
            </w:r>
          </w:p>
        </w:tc>
        <w:tc>
          <w:tcPr>
            <w:tcW w:w="1551" w:type="dxa"/>
            <w:tcBorders>
              <w:top w:val="nil"/>
              <w:left w:val="nil"/>
              <w:bottom w:val="single" w:color="auto" w:sz="4" w:space="0"/>
              <w:right w:val="single" w:color="auto" w:sz="4" w:space="0"/>
            </w:tcBorders>
            <w:shd w:val="clear" w:color="auto" w:fill="auto"/>
            <w:vAlign w:val="center"/>
          </w:tcPr>
          <w:p w14:paraId="1F55D0AF">
            <w:pPr>
              <w:widowControl/>
              <w:spacing w:line="240" w:lineRule="auto"/>
              <w:ind w:firstLine="0" w:firstLineChars="0"/>
              <w:jc w:val="center"/>
              <w:rPr>
                <w:color w:val="auto"/>
                <w:kern w:val="0"/>
                <w:sz w:val="22"/>
                <w:szCs w:val="22"/>
              </w:rPr>
            </w:pPr>
            <w:r>
              <w:rPr>
                <w:color w:val="auto"/>
                <w:kern w:val="0"/>
                <w:sz w:val="22"/>
                <w:szCs w:val="22"/>
              </w:rPr>
              <w:t>36491495.36</w:t>
            </w:r>
          </w:p>
        </w:tc>
        <w:tc>
          <w:tcPr>
            <w:tcW w:w="1551" w:type="dxa"/>
            <w:tcBorders>
              <w:top w:val="nil"/>
              <w:left w:val="nil"/>
              <w:bottom w:val="single" w:color="auto" w:sz="4" w:space="0"/>
              <w:right w:val="single" w:color="auto" w:sz="4" w:space="0"/>
            </w:tcBorders>
            <w:shd w:val="clear" w:color="auto" w:fill="auto"/>
            <w:noWrap/>
            <w:vAlign w:val="center"/>
          </w:tcPr>
          <w:p w14:paraId="45ECC6CF">
            <w:pPr>
              <w:widowControl/>
              <w:spacing w:line="240" w:lineRule="auto"/>
              <w:ind w:firstLine="0" w:firstLineChars="0"/>
              <w:jc w:val="center"/>
              <w:rPr>
                <w:color w:val="auto"/>
                <w:kern w:val="0"/>
                <w:sz w:val="22"/>
                <w:szCs w:val="22"/>
              </w:rPr>
            </w:pPr>
            <w:r>
              <w:rPr>
                <w:color w:val="auto"/>
                <w:kern w:val="0"/>
                <w:sz w:val="22"/>
                <w:szCs w:val="22"/>
              </w:rPr>
              <w:t xml:space="preserve">2455289.95 </w:t>
            </w:r>
          </w:p>
        </w:tc>
        <w:tc>
          <w:tcPr>
            <w:tcW w:w="1661" w:type="dxa"/>
            <w:tcBorders>
              <w:top w:val="nil"/>
              <w:left w:val="nil"/>
              <w:bottom w:val="single" w:color="auto" w:sz="4" w:space="0"/>
              <w:right w:val="single" w:color="auto" w:sz="4" w:space="0"/>
            </w:tcBorders>
            <w:shd w:val="clear" w:color="auto" w:fill="auto"/>
            <w:noWrap/>
            <w:vAlign w:val="center"/>
          </w:tcPr>
          <w:p w14:paraId="36BA69D1">
            <w:pPr>
              <w:widowControl/>
              <w:spacing w:line="240" w:lineRule="auto"/>
              <w:ind w:firstLine="0" w:firstLineChars="0"/>
              <w:jc w:val="center"/>
              <w:rPr>
                <w:color w:val="auto"/>
                <w:kern w:val="0"/>
                <w:sz w:val="22"/>
                <w:szCs w:val="22"/>
              </w:rPr>
            </w:pPr>
            <w:r>
              <w:rPr>
                <w:color w:val="auto"/>
                <w:kern w:val="0"/>
                <w:sz w:val="22"/>
                <w:szCs w:val="22"/>
              </w:rPr>
              <w:t xml:space="preserve">36491610.23 </w:t>
            </w:r>
          </w:p>
        </w:tc>
      </w:tr>
      <w:tr w14:paraId="7A8C3D23">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4BA53FD9">
            <w:pPr>
              <w:widowControl/>
              <w:spacing w:line="240" w:lineRule="auto"/>
              <w:ind w:firstLine="0" w:firstLineChars="0"/>
              <w:jc w:val="center"/>
              <w:rPr>
                <w:color w:val="auto"/>
                <w:kern w:val="0"/>
                <w:sz w:val="22"/>
                <w:szCs w:val="22"/>
              </w:rPr>
            </w:pPr>
            <w:r>
              <w:rPr>
                <w:color w:val="auto"/>
                <w:kern w:val="0"/>
                <w:sz w:val="22"/>
                <w:szCs w:val="22"/>
              </w:rPr>
              <w:t>A4</w:t>
            </w:r>
          </w:p>
        </w:tc>
        <w:tc>
          <w:tcPr>
            <w:tcW w:w="1441" w:type="dxa"/>
            <w:tcBorders>
              <w:top w:val="nil"/>
              <w:left w:val="single" w:color="auto" w:sz="4" w:space="0"/>
              <w:bottom w:val="single" w:color="auto" w:sz="4" w:space="0"/>
              <w:right w:val="single" w:color="auto" w:sz="4" w:space="0"/>
            </w:tcBorders>
            <w:shd w:val="clear" w:color="auto" w:fill="auto"/>
            <w:vAlign w:val="center"/>
          </w:tcPr>
          <w:p w14:paraId="3B062322">
            <w:pPr>
              <w:widowControl/>
              <w:spacing w:line="240" w:lineRule="auto"/>
              <w:ind w:firstLine="0" w:firstLineChars="0"/>
              <w:jc w:val="center"/>
              <w:rPr>
                <w:color w:val="auto"/>
                <w:kern w:val="0"/>
                <w:sz w:val="22"/>
                <w:szCs w:val="22"/>
              </w:rPr>
            </w:pPr>
            <w:r>
              <w:rPr>
                <w:color w:val="auto"/>
                <w:kern w:val="0"/>
                <w:sz w:val="22"/>
                <w:szCs w:val="22"/>
              </w:rPr>
              <w:t>2455155.21</w:t>
            </w:r>
          </w:p>
        </w:tc>
        <w:tc>
          <w:tcPr>
            <w:tcW w:w="1551" w:type="dxa"/>
            <w:tcBorders>
              <w:top w:val="nil"/>
              <w:left w:val="nil"/>
              <w:bottom w:val="single" w:color="auto" w:sz="4" w:space="0"/>
              <w:right w:val="single" w:color="auto" w:sz="4" w:space="0"/>
            </w:tcBorders>
            <w:shd w:val="clear" w:color="auto" w:fill="auto"/>
            <w:vAlign w:val="center"/>
          </w:tcPr>
          <w:p w14:paraId="13ABEB90">
            <w:pPr>
              <w:widowControl/>
              <w:spacing w:line="240" w:lineRule="auto"/>
              <w:ind w:firstLine="0" w:firstLineChars="0"/>
              <w:jc w:val="center"/>
              <w:rPr>
                <w:color w:val="auto"/>
                <w:kern w:val="0"/>
                <w:sz w:val="22"/>
                <w:szCs w:val="22"/>
              </w:rPr>
            </w:pPr>
            <w:r>
              <w:rPr>
                <w:color w:val="auto"/>
                <w:kern w:val="0"/>
                <w:sz w:val="22"/>
                <w:szCs w:val="22"/>
              </w:rPr>
              <w:t>36491118.57</w:t>
            </w:r>
          </w:p>
        </w:tc>
        <w:tc>
          <w:tcPr>
            <w:tcW w:w="1551" w:type="dxa"/>
            <w:tcBorders>
              <w:top w:val="nil"/>
              <w:left w:val="nil"/>
              <w:bottom w:val="single" w:color="auto" w:sz="4" w:space="0"/>
              <w:right w:val="single" w:color="auto" w:sz="4" w:space="0"/>
            </w:tcBorders>
            <w:shd w:val="clear" w:color="auto" w:fill="auto"/>
            <w:noWrap/>
            <w:vAlign w:val="center"/>
          </w:tcPr>
          <w:p w14:paraId="0BE6CEC2">
            <w:pPr>
              <w:widowControl/>
              <w:spacing w:line="240" w:lineRule="auto"/>
              <w:ind w:firstLine="0" w:firstLineChars="0"/>
              <w:jc w:val="center"/>
              <w:rPr>
                <w:color w:val="auto"/>
                <w:kern w:val="0"/>
                <w:sz w:val="22"/>
                <w:szCs w:val="22"/>
              </w:rPr>
            </w:pPr>
            <w:r>
              <w:rPr>
                <w:color w:val="auto"/>
                <w:kern w:val="0"/>
                <w:sz w:val="22"/>
                <w:szCs w:val="22"/>
              </w:rPr>
              <w:t xml:space="preserve">2455156.58 </w:t>
            </w:r>
          </w:p>
        </w:tc>
        <w:tc>
          <w:tcPr>
            <w:tcW w:w="1661" w:type="dxa"/>
            <w:tcBorders>
              <w:top w:val="nil"/>
              <w:left w:val="nil"/>
              <w:bottom w:val="single" w:color="auto" w:sz="4" w:space="0"/>
              <w:right w:val="single" w:color="auto" w:sz="4" w:space="0"/>
            </w:tcBorders>
            <w:shd w:val="clear" w:color="auto" w:fill="auto"/>
            <w:noWrap/>
            <w:vAlign w:val="center"/>
          </w:tcPr>
          <w:p w14:paraId="41A3C164">
            <w:pPr>
              <w:widowControl/>
              <w:spacing w:line="240" w:lineRule="auto"/>
              <w:ind w:firstLine="0" w:firstLineChars="0"/>
              <w:jc w:val="center"/>
              <w:rPr>
                <w:color w:val="auto"/>
                <w:kern w:val="0"/>
                <w:sz w:val="22"/>
                <w:szCs w:val="22"/>
              </w:rPr>
            </w:pPr>
            <w:r>
              <w:rPr>
                <w:color w:val="auto"/>
                <w:kern w:val="0"/>
                <w:sz w:val="22"/>
                <w:szCs w:val="22"/>
              </w:rPr>
              <w:t xml:space="preserve">36491233.44 </w:t>
            </w:r>
          </w:p>
        </w:tc>
      </w:tr>
      <w:tr w14:paraId="5F68D2A9">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37547084">
            <w:pPr>
              <w:widowControl/>
              <w:spacing w:line="240" w:lineRule="auto"/>
              <w:ind w:firstLine="0" w:firstLineChars="0"/>
              <w:jc w:val="center"/>
              <w:rPr>
                <w:color w:val="auto"/>
                <w:kern w:val="0"/>
                <w:sz w:val="22"/>
                <w:szCs w:val="22"/>
              </w:rPr>
            </w:pPr>
            <w:r>
              <w:rPr>
                <w:color w:val="auto"/>
                <w:kern w:val="0"/>
                <w:sz w:val="22"/>
                <w:szCs w:val="22"/>
              </w:rPr>
              <w:t>A5</w:t>
            </w:r>
          </w:p>
        </w:tc>
        <w:tc>
          <w:tcPr>
            <w:tcW w:w="1441" w:type="dxa"/>
            <w:tcBorders>
              <w:top w:val="nil"/>
              <w:left w:val="single" w:color="auto" w:sz="4" w:space="0"/>
              <w:bottom w:val="single" w:color="auto" w:sz="4" w:space="0"/>
              <w:right w:val="single" w:color="auto" w:sz="4" w:space="0"/>
            </w:tcBorders>
            <w:shd w:val="clear" w:color="auto" w:fill="auto"/>
            <w:vAlign w:val="center"/>
          </w:tcPr>
          <w:p w14:paraId="70206EB9">
            <w:pPr>
              <w:widowControl/>
              <w:spacing w:line="240" w:lineRule="auto"/>
              <w:ind w:firstLine="0" w:firstLineChars="0"/>
              <w:jc w:val="center"/>
              <w:rPr>
                <w:color w:val="auto"/>
                <w:kern w:val="0"/>
                <w:sz w:val="22"/>
                <w:szCs w:val="22"/>
              </w:rPr>
            </w:pPr>
            <w:r>
              <w:rPr>
                <w:color w:val="auto"/>
                <w:kern w:val="0"/>
                <w:sz w:val="22"/>
                <w:szCs w:val="22"/>
              </w:rPr>
              <w:t>2455135.15</w:t>
            </w:r>
          </w:p>
        </w:tc>
        <w:tc>
          <w:tcPr>
            <w:tcW w:w="1551" w:type="dxa"/>
            <w:tcBorders>
              <w:top w:val="nil"/>
              <w:left w:val="nil"/>
              <w:bottom w:val="single" w:color="auto" w:sz="4" w:space="0"/>
              <w:right w:val="single" w:color="auto" w:sz="4" w:space="0"/>
            </w:tcBorders>
            <w:shd w:val="clear" w:color="auto" w:fill="auto"/>
            <w:vAlign w:val="center"/>
          </w:tcPr>
          <w:p w14:paraId="0610EA87">
            <w:pPr>
              <w:widowControl/>
              <w:spacing w:line="240" w:lineRule="auto"/>
              <w:ind w:firstLine="0" w:firstLineChars="0"/>
              <w:jc w:val="center"/>
              <w:rPr>
                <w:color w:val="auto"/>
                <w:kern w:val="0"/>
                <w:sz w:val="22"/>
                <w:szCs w:val="22"/>
              </w:rPr>
            </w:pPr>
            <w:r>
              <w:rPr>
                <w:color w:val="auto"/>
                <w:kern w:val="0"/>
                <w:sz w:val="22"/>
                <w:szCs w:val="22"/>
              </w:rPr>
              <w:t>36491064.55</w:t>
            </w:r>
          </w:p>
        </w:tc>
        <w:tc>
          <w:tcPr>
            <w:tcW w:w="1551" w:type="dxa"/>
            <w:tcBorders>
              <w:top w:val="nil"/>
              <w:left w:val="nil"/>
              <w:bottom w:val="single" w:color="auto" w:sz="4" w:space="0"/>
              <w:right w:val="single" w:color="auto" w:sz="4" w:space="0"/>
            </w:tcBorders>
            <w:shd w:val="clear" w:color="auto" w:fill="auto"/>
            <w:noWrap/>
            <w:vAlign w:val="center"/>
          </w:tcPr>
          <w:p w14:paraId="26847145">
            <w:pPr>
              <w:widowControl/>
              <w:spacing w:line="240" w:lineRule="auto"/>
              <w:ind w:firstLine="0" w:firstLineChars="0"/>
              <w:jc w:val="center"/>
              <w:rPr>
                <w:color w:val="auto"/>
                <w:kern w:val="0"/>
                <w:sz w:val="22"/>
                <w:szCs w:val="22"/>
              </w:rPr>
            </w:pPr>
            <w:r>
              <w:rPr>
                <w:color w:val="auto"/>
                <w:kern w:val="0"/>
                <w:sz w:val="22"/>
                <w:szCs w:val="22"/>
              </w:rPr>
              <w:t xml:space="preserve">2455136.52 </w:t>
            </w:r>
          </w:p>
        </w:tc>
        <w:tc>
          <w:tcPr>
            <w:tcW w:w="1661" w:type="dxa"/>
            <w:tcBorders>
              <w:top w:val="nil"/>
              <w:left w:val="nil"/>
              <w:bottom w:val="single" w:color="auto" w:sz="4" w:space="0"/>
              <w:right w:val="single" w:color="auto" w:sz="4" w:space="0"/>
            </w:tcBorders>
            <w:shd w:val="clear" w:color="auto" w:fill="auto"/>
            <w:noWrap/>
            <w:vAlign w:val="center"/>
          </w:tcPr>
          <w:p w14:paraId="0693AA94">
            <w:pPr>
              <w:widowControl/>
              <w:spacing w:line="240" w:lineRule="auto"/>
              <w:ind w:firstLine="0" w:firstLineChars="0"/>
              <w:jc w:val="center"/>
              <w:rPr>
                <w:color w:val="auto"/>
                <w:kern w:val="0"/>
                <w:sz w:val="22"/>
                <w:szCs w:val="22"/>
              </w:rPr>
            </w:pPr>
            <w:r>
              <w:rPr>
                <w:color w:val="auto"/>
                <w:kern w:val="0"/>
                <w:sz w:val="22"/>
                <w:szCs w:val="22"/>
              </w:rPr>
              <w:t xml:space="preserve">36491179.42 </w:t>
            </w:r>
          </w:p>
        </w:tc>
      </w:tr>
      <w:tr w14:paraId="3FE12E5D">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34F2B156">
            <w:pPr>
              <w:widowControl/>
              <w:spacing w:line="240" w:lineRule="auto"/>
              <w:ind w:firstLine="0" w:firstLineChars="0"/>
              <w:jc w:val="center"/>
              <w:rPr>
                <w:color w:val="auto"/>
                <w:kern w:val="0"/>
                <w:sz w:val="22"/>
                <w:szCs w:val="22"/>
              </w:rPr>
            </w:pPr>
            <w:r>
              <w:rPr>
                <w:color w:val="auto"/>
                <w:kern w:val="0"/>
                <w:sz w:val="22"/>
                <w:szCs w:val="22"/>
              </w:rPr>
              <w:t>A6</w:t>
            </w:r>
          </w:p>
        </w:tc>
        <w:tc>
          <w:tcPr>
            <w:tcW w:w="1441" w:type="dxa"/>
            <w:tcBorders>
              <w:top w:val="nil"/>
              <w:left w:val="single" w:color="auto" w:sz="4" w:space="0"/>
              <w:bottom w:val="single" w:color="auto" w:sz="4" w:space="0"/>
              <w:right w:val="single" w:color="auto" w:sz="4" w:space="0"/>
            </w:tcBorders>
            <w:shd w:val="clear" w:color="auto" w:fill="auto"/>
            <w:vAlign w:val="center"/>
          </w:tcPr>
          <w:p w14:paraId="5F82EF02">
            <w:pPr>
              <w:widowControl/>
              <w:spacing w:line="240" w:lineRule="auto"/>
              <w:ind w:firstLine="0" w:firstLineChars="0"/>
              <w:jc w:val="center"/>
              <w:rPr>
                <w:color w:val="auto"/>
                <w:kern w:val="0"/>
                <w:sz w:val="22"/>
                <w:szCs w:val="22"/>
              </w:rPr>
            </w:pPr>
            <w:r>
              <w:rPr>
                <w:color w:val="auto"/>
                <w:kern w:val="0"/>
                <w:sz w:val="22"/>
                <w:szCs w:val="22"/>
              </w:rPr>
              <w:t>2454855.49</w:t>
            </w:r>
          </w:p>
        </w:tc>
        <w:tc>
          <w:tcPr>
            <w:tcW w:w="1551" w:type="dxa"/>
            <w:tcBorders>
              <w:top w:val="nil"/>
              <w:left w:val="nil"/>
              <w:bottom w:val="single" w:color="auto" w:sz="4" w:space="0"/>
              <w:right w:val="single" w:color="auto" w:sz="4" w:space="0"/>
            </w:tcBorders>
            <w:shd w:val="clear" w:color="auto" w:fill="auto"/>
            <w:vAlign w:val="center"/>
          </w:tcPr>
          <w:p w14:paraId="24235A3D">
            <w:pPr>
              <w:widowControl/>
              <w:spacing w:line="240" w:lineRule="auto"/>
              <w:ind w:firstLine="0" w:firstLineChars="0"/>
              <w:jc w:val="center"/>
              <w:rPr>
                <w:color w:val="auto"/>
                <w:kern w:val="0"/>
                <w:sz w:val="22"/>
                <w:szCs w:val="22"/>
              </w:rPr>
            </w:pPr>
            <w:r>
              <w:rPr>
                <w:color w:val="auto"/>
                <w:kern w:val="0"/>
                <w:sz w:val="22"/>
                <w:szCs w:val="22"/>
              </w:rPr>
              <w:t>36491112.87</w:t>
            </w:r>
          </w:p>
        </w:tc>
        <w:tc>
          <w:tcPr>
            <w:tcW w:w="1551" w:type="dxa"/>
            <w:tcBorders>
              <w:top w:val="nil"/>
              <w:left w:val="nil"/>
              <w:bottom w:val="single" w:color="auto" w:sz="4" w:space="0"/>
              <w:right w:val="single" w:color="auto" w:sz="4" w:space="0"/>
            </w:tcBorders>
            <w:shd w:val="clear" w:color="auto" w:fill="auto"/>
            <w:noWrap/>
            <w:vAlign w:val="center"/>
          </w:tcPr>
          <w:p w14:paraId="7D76762F">
            <w:pPr>
              <w:widowControl/>
              <w:spacing w:line="240" w:lineRule="auto"/>
              <w:ind w:firstLine="0" w:firstLineChars="0"/>
              <w:jc w:val="center"/>
              <w:rPr>
                <w:color w:val="auto"/>
                <w:kern w:val="0"/>
                <w:sz w:val="22"/>
                <w:szCs w:val="22"/>
              </w:rPr>
            </w:pPr>
            <w:r>
              <w:rPr>
                <w:color w:val="auto"/>
                <w:kern w:val="0"/>
                <w:sz w:val="22"/>
                <w:szCs w:val="22"/>
              </w:rPr>
              <w:t xml:space="preserve">2454856.86 </w:t>
            </w:r>
          </w:p>
        </w:tc>
        <w:tc>
          <w:tcPr>
            <w:tcW w:w="1661" w:type="dxa"/>
            <w:tcBorders>
              <w:top w:val="nil"/>
              <w:left w:val="nil"/>
              <w:bottom w:val="single" w:color="auto" w:sz="4" w:space="0"/>
              <w:right w:val="single" w:color="auto" w:sz="4" w:space="0"/>
            </w:tcBorders>
            <w:shd w:val="clear" w:color="auto" w:fill="auto"/>
            <w:noWrap/>
            <w:vAlign w:val="center"/>
          </w:tcPr>
          <w:p w14:paraId="0172FAB2">
            <w:pPr>
              <w:widowControl/>
              <w:spacing w:line="240" w:lineRule="auto"/>
              <w:ind w:firstLine="0" w:firstLineChars="0"/>
              <w:jc w:val="center"/>
              <w:rPr>
                <w:color w:val="auto"/>
                <w:kern w:val="0"/>
                <w:sz w:val="22"/>
                <w:szCs w:val="22"/>
              </w:rPr>
            </w:pPr>
            <w:r>
              <w:rPr>
                <w:color w:val="auto"/>
                <w:kern w:val="0"/>
                <w:sz w:val="22"/>
                <w:szCs w:val="22"/>
              </w:rPr>
              <w:t xml:space="preserve">36491227.74 </w:t>
            </w:r>
          </w:p>
        </w:tc>
      </w:tr>
      <w:tr w14:paraId="3DEE0C61">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2DECE534">
            <w:pPr>
              <w:widowControl/>
              <w:spacing w:line="240" w:lineRule="auto"/>
              <w:ind w:firstLine="0" w:firstLineChars="0"/>
              <w:jc w:val="center"/>
              <w:rPr>
                <w:color w:val="auto"/>
                <w:kern w:val="0"/>
                <w:sz w:val="22"/>
                <w:szCs w:val="22"/>
              </w:rPr>
            </w:pPr>
            <w:r>
              <w:rPr>
                <w:color w:val="auto"/>
                <w:kern w:val="0"/>
                <w:sz w:val="22"/>
                <w:szCs w:val="22"/>
              </w:rPr>
              <w:t>A7</w:t>
            </w:r>
          </w:p>
        </w:tc>
        <w:tc>
          <w:tcPr>
            <w:tcW w:w="1441" w:type="dxa"/>
            <w:tcBorders>
              <w:top w:val="nil"/>
              <w:left w:val="single" w:color="auto" w:sz="4" w:space="0"/>
              <w:bottom w:val="single" w:color="auto" w:sz="4" w:space="0"/>
              <w:right w:val="single" w:color="auto" w:sz="4" w:space="0"/>
            </w:tcBorders>
            <w:shd w:val="clear" w:color="auto" w:fill="auto"/>
            <w:vAlign w:val="center"/>
          </w:tcPr>
          <w:p w14:paraId="4AF4AC71">
            <w:pPr>
              <w:widowControl/>
              <w:spacing w:line="240" w:lineRule="auto"/>
              <w:ind w:firstLine="0" w:firstLineChars="0"/>
              <w:jc w:val="center"/>
              <w:rPr>
                <w:color w:val="auto"/>
                <w:kern w:val="0"/>
                <w:sz w:val="22"/>
                <w:szCs w:val="22"/>
              </w:rPr>
            </w:pPr>
            <w:r>
              <w:rPr>
                <w:color w:val="auto"/>
                <w:kern w:val="0"/>
                <w:sz w:val="22"/>
                <w:szCs w:val="22"/>
              </w:rPr>
              <w:t>2454557.84</w:t>
            </w:r>
          </w:p>
        </w:tc>
        <w:tc>
          <w:tcPr>
            <w:tcW w:w="1551" w:type="dxa"/>
            <w:tcBorders>
              <w:top w:val="nil"/>
              <w:left w:val="nil"/>
              <w:bottom w:val="single" w:color="auto" w:sz="4" w:space="0"/>
              <w:right w:val="single" w:color="auto" w:sz="4" w:space="0"/>
            </w:tcBorders>
            <w:shd w:val="clear" w:color="auto" w:fill="auto"/>
            <w:vAlign w:val="center"/>
          </w:tcPr>
          <w:p w14:paraId="2E691984">
            <w:pPr>
              <w:widowControl/>
              <w:spacing w:line="240" w:lineRule="auto"/>
              <w:ind w:firstLine="0" w:firstLineChars="0"/>
              <w:jc w:val="center"/>
              <w:rPr>
                <w:color w:val="auto"/>
                <w:kern w:val="0"/>
                <w:sz w:val="22"/>
                <w:szCs w:val="22"/>
              </w:rPr>
            </w:pPr>
            <w:r>
              <w:rPr>
                <w:color w:val="auto"/>
                <w:kern w:val="0"/>
                <w:sz w:val="22"/>
                <w:szCs w:val="22"/>
              </w:rPr>
              <w:t>36491258.23</w:t>
            </w:r>
          </w:p>
        </w:tc>
        <w:tc>
          <w:tcPr>
            <w:tcW w:w="1551" w:type="dxa"/>
            <w:tcBorders>
              <w:top w:val="nil"/>
              <w:left w:val="nil"/>
              <w:bottom w:val="single" w:color="auto" w:sz="4" w:space="0"/>
              <w:right w:val="single" w:color="auto" w:sz="4" w:space="0"/>
            </w:tcBorders>
            <w:shd w:val="clear" w:color="auto" w:fill="auto"/>
            <w:noWrap/>
            <w:vAlign w:val="center"/>
          </w:tcPr>
          <w:p w14:paraId="5104BA29">
            <w:pPr>
              <w:widowControl/>
              <w:spacing w:line="240" w:lineRule="auto"/>
              <w:ind w:firstLine="0" w:firstLineChars="0"/>
              <w:jc w:val="center"/>
              <w:rPr>
                <w:color w:val="auto"/>
                <w:kern w:val="0"/>
                <w:sz w:val="22"/>
                <w:szCs w:val="22"/>
              </w:rPr>
            </w:pPr>
            <w:r>
              <w:rPr>
                <w:color w:val="auto"/>
                <w:kern w:val="0"/>
                <w:sz w:val="22"/>
                <w:szCs w:val="22"/>
              </w:rPr>
              <w:t xml:space="preserve">2454559.21 </w:t>
            </w:r>
          </w:p>
        </w:tc>
        <w:tc>
          <w:tcPr>
            <w:tcW w:w="1661" w:type="dxa"/>
            <w:tcBorders>
              <w:top w:val="nil"/>
              <w:left w:val="nil"/>
              <w:bottom w:val="single" w:color="auto" w:sz="4" w:space="0"/>
              <w:right w:val="single" w:color="auto" w:sz="4" w:space="0"/>
            </w:tcBorders>
            <w:shd w:val="clear" w:color="auto" w:fill="auto"/>
            <w:noWrap/>
            <w:vAlign w:val="center"/>
          </w:tcPr>
          <w:p w14:paraId="61B7758A">
            <w:pPr>
              <w:widowControl/>
              <w:spacing w:line="240" w:lineRule="auto"/>
              <w:ind w:firstLine="0" w:firstLineChars="0"/>
              <w:jc w:val="center"/>
              <w:rPr>
                <w:color w:val="auto"/>
                <w:kern w:val="0"/>
                <w:sz w:val="22"/>
                <w:szCs w:val="22"/>
              </w:rPr>
            </w:pPr>
            <w:r>
              <w:rPr>
                <w:color w:val="auto"/>
                <w:kern w:val="0"/>
                <w:sz w:val="22"/>
                <w:szCs w:val="22"/>
              </w:rPr>
              <w:t xml:space="preserve">36491373.10 </w:t>
            </w:r>
          </w:p>
        </w:tc>
      </w:tr>
      <w:tr w14:paraId="5882CD29">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5EDED84E">
            <w:pPr>
              <w:widowControl/>
              <w:spacing w:line="240" w:lineRule="auto"/>
              <w:ind w:firstLine="0" w:firstLineChars="0"/>
              <w:jc w:val="center"/>
              <w:rPr>
                <w:color w:val="auto"/>
                <w:kern w:val="0"/>
                <w:sz w:val="22"/>
                <w:szCs w:val="22"/>
              </w:rPr>
            </w:pPr>
            <w:r>
              <w:rPr>
                <w:color w:val="auto"/>
                <w:kern w:val="0"/>
                <w:sz w:val="22"/>
                <w:szCs w:val="22"/>
              </w:rPr>
              <w:t>A8</w:t>
            </w:r>
          </w:p>
        </w:tc>
        <w:tc>
          <w:tcPr>
            <w:tcW w:w="1441" w:type="dxa"/>
            <w:tcBorders>
              <w:top w:val="nil"/>
              <w:left w:val="single" w:color="auto" w:sz="4" w:space="0"/>
              <w:bottom w:val="single" w:color="auto" w:sz="4" w:space="0"/>
              <w:right w:val="single" w:color="auto" w:sz="4" w:space="0"/>
            </w:tcBorders>
            <w:shd w:val="clear" w:color="auto" w:fill="auto"/>
            <w:vAlign w:val="center"/>
          </w:tcPr>
          <w:p w14:paraId="0FF9B927">
            <w:pPr>
              <w:widowControl/>
              <w:spacing w:line="240" w:lineRule="auto"/>
              <w:ind w:firstLine="0" w:firstLineChars="0"/>
              <w:jc w:val="center"/>
              <w:rPr>
                <w:color w:val="auto"/>
                <w:kern w:val="0"/>
                <w:sz w:val="22"/>
                <w:szCs w:val="22"/>
              </w:rPr>
            </w:pPr>
            <w:r>
              <w:rPr>
                <w:color w:val="auto"/>
                <w:kern w:val="0"/>
                <w:sz w:val="22"/>
                <w:szCs w:val="22"/>
              </w:rPr>
              <w:t>2454687.74</w:t>
            </w:r>
          </w:p>
        </w:tc>
        <w:tc>
          <w:tcPr>
            <w:tcW w:w="1551" w:type="dxa"/>
            <w:tcBorders>
              <w:top w:val="nil"/>
              <w:left w:val="nil"/>
              <w:bottom w:val="single" w:color="auto" w:sz="4" w:space="0"/>
              <w:right w:val="single" w:color="auto" w:sz="4" w:space="0"/>
            </w:tcBorders>
            <w:shd w:val="clear" w:color="auto" w:fill="auto"/>
            <w:vAlign w:val="center"/>
          </w:tcPr>
          <w:p w14:paraId="46FFDF0B">
            <w:pPr>
              <w:widowControl/>
              <w:spacing w:line="240" w:lineRule="auto"/>
              <w:ind w:firstLine="0" w:firstLineChars="0"/>
              <w:jc w:val="center"/>
              <w:rPr>
                <w:color w:val="auto"/>
                <w:kern w:val="0"/>
                <w:sz w:val="22"/>
                <w:szCs w:val="22"/>
              </w:rPr>
            </w:pPr>
            <w:r>
              <w:rPr>
                <w:color w:val="auto"/>
                <w:kern w:val="0"/>
                <w:sz w:val="22"/>
                <w:szCs w:val="22"/>
              </w:rPr>
              <w:t>36491412.27</w:t>
            </w:r>
          </w:p>
        </w:tc>
        <w:tc>
          <w:tcPr>
            <w:tcW w:w="1551" w:type="dxa"/>
            <w:tcBorders>
              <w:top w:val="nil"/>
              <w:left w:val="nil"/>
              <w:bottom w:val="single" w:color="auto" w:sz="4" w:space="0"/>
              <w:right w:val="single" w:color="auto" w:sz="4" w:space="0"/>
            </w:tcBorders>
            <w:shd w:val="clear" w:color="auto" w:fill="auto"/>
            <w:noWrap/>
            <w:vAlign w:val="center"/>
          </w:tcPr>
          <w:p w14:paraId="0BAA444D">
            <w:pPr>
              <w:widowControl/>
              <w:spacing w:line="240" w:lineRule="auto"/>
              <w:ind w:firstLine="0" w:firstLineChars="0"/>
              <w:jc w:val="center"/>
              <w:rPr>
                <w:color w:val="auto"/>
                <w:kern w:val="0"/>
                <w:sz w:val="22"/>
                <w:szCs w:val="22"/>
              </w:rPr>
            </w:pPr>
            <w:r>
              <w:rPr>
                <w:color w:val="auto"/>
                <w:kern w:val="0"/>
                <w:sz w:val="22"/>
                <w:szCs w:val="22"/>
              </w:rPr>
              <w:t xml:space="preserve">2454689.11 </w:t>
            </w:r>
          </w:p>
        </w:tc>
        <w:tc>
          <w:tcPr>
            <w:tcW w:w="1661" w:type="dxa"/>
            <w:tcBorders>
              <w:top w:val="nil"/>
              <w:left w:val="nil"/>
              <w:bottom w:val="single" w:color="auto" w:sz="4" w:space="0"/>
              <w:right w:val="single" w:color="auto" w:sz="4" w:space="0"/>
            </w:tcBorders>
            <w:shd w:val="clear" w:color="auto" w:fill="auto"/>
            <w:noWrap/>
            <w:vAlign w:val="center"/>
          </w:tcPr>
          <w:p w14:paraId="2156DA61">
            <w:pPr>
              <w:widowControl/>
              <w:spacing w:line="240" w:lineRule="auto"/>
              <w:ind w:firstLine="0" w:firstLineChars="0"/>
              <w:jc w:val="center"/>
              <w:rPr>
                <w:color w:val="auto"/>
                <w:kern w:val="0"/>
                <w:sz w:val="22"/>
                <w:szCs w:val="22"/>
              </w:rPr>
            </w:pPr>
            <w:r>
              <w:rPr>
                <w:color w:val="auto"/>
                <w:kern w:val="0"/>
                <w:sz w:val="22"/>
                <w:szCs w:val="22"/>
              </w:rPr>
              <w:t xml:space="preserve">36491527.14 </w:t>
            </w:r>
          </w:p>
        </w:tc>
      </w:tr>
      <w:tr w14:paraId="2A0F328D">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214B787A">
            <w:pPr>
              <w:widowControl/>
              <w:spacing w:line="240" w:lineRule="auto"/>
              <w:ind w:firstLine="0" w:firstLineChars="0"/>
              <w:jc w:val="center"/>
              <w:rPr>
                <w:color w:val="auto"/>
                <w:kern w:val="0"/>
                <w:sz w:val="22"/>
                <w:szCs w:val="22"/>
              </w:rPr>
            </w:pPr>
            <w:r>
              <w:rPr>
                <w:color w:val="auto"/>
                <w:kern w:val="0"/>
                <w:sz w:val="22"/>
                <w:szCs w:val="22"/>
              </w:rPr>
              <w:t>A9</w:t>
            </w:r>
          </w:p>
        </w:tc>
        <w:tc>
          <w:tcPr>
            <w:tcW w:w="1441" w:type="dxa"/>
            <w:tcBorders>
              <w:top w:val="nil"/>
              <w:left w:val="single" w:color="auto" w:sz="4" w:space="0"/>
              <w:bottom w:val="single" w:color="auto" w:sz="4" w:space="0"/>
              <w:right w:val="single" w:color="auto" w:sz="4" w:space="0"/>
            </w:tcBorders>
            <w:shd w:val="clear" w:color="auto" w:fill="auto"/>
            <w:vAlign w:val="center"/>
          </w:tcPr>
          <w:p w14:paraId="3B04823B">
            <w:pPr>
              <w:widowControl/>
              <w:spacing w:line="240" w:lineRule="auto"/>
              <w:ind w:firstLine="0" w:firstLineChars="0"/>
              <w:jc w:val="center"/>
              <w:rPr>
                <w:color w:val="auto"/>
                <w:kern w:val="0"/>
                <w:sz w:val="22"/>
                <w:szCs w:val="22"/>
              </w:rPr>
            </w:pPr>
            <w:r>
              <w:rPr>
                <w:color w:val="auto"/>
                <w:kern w:val="0"/>
                <w:sz w:val="22"/>
                <w:szCs w:val="22"/>
              </w:rPr>
              <w:t>2454562.68</w:t>
            </w:r>
          </w:p>
        </w:tc>
        <w:tc>
          <w:tcPr>
            <w:tcW w:w="1551" w:type="dxa"/>
            <w:tcBorders>
              <w:top w:val="nil"/>
              <w:left w:val="nil"/>
              <w:bottom w:val="single" w:color="auto" w:sz="4" w:space="0"/>
              <w:right w:val="single" w:color="auto" w:sz="4" w:space="0"/>
            </w:tcBorders>
            <w:shd w:val="clear" w:color="auto" w:fill="auto"/>
            <w:vAlign w:val="center"/>
          </w:tcPr>
          <w:p w14:paraId="165E96F3">
            <w:pPr>
              <w:widowControl/>
              <w:spacing w:line="240" w:lineRule="auto"/>
              <w:ind w:firstLine="0" w:firstLineChars="0"/>
              <w:jc w:val="center"/>
              <w:rPr>
                <w:color w:val="auto"/>
                <w:kern w:val="0"/>
                <w:sz w:val="22"/>
                <w:szCs w:val="22"/>
              </w:rPr>
            </w:pPr>
            <w:r>
              <w:rPr>
                <w:color w:val="auto"/>
                <w:kern w:val="0"/>
                <w:sz w:val="22"/>
                <w:szCs w:val="22"/>
              </w:rPr>
              <w:t>36491663.66</w:t>
            </w:r>
          </w:p>
        </w:tc>
        <w:tc>
          <w:tcPr>
            <w:tcW w:w="1551" w:type="dxa"/>
            <w:tcBorders>
              <w:top w:val="nil"/>
              <w:left w:val="nil"/>
              <w:bottom w:val="single" w:color="auto" w:sz="4" w:space="0"/>
              <w:right w:val="single" w:color="auto" w:sz="4" w:space="0"/>
            </w:tcBorders>
            <w:shd w:val="clear" w:color="auto" w:fill="auto"/>
            <w:noWrap/>
            <w:vAlign w:val="center"/>
          </w:tcPr>
          <w:p w14:paraId="0F4D988D">
            <w:pPr>
              <w:widowControl/>
              <w:spacing w:line="240" w:lineRule="auto"/>
              <w:ind w:firstLine="0" w:firstLineChars="0"/>
              <w:jc w:val="center"/>
              <w:rPr>
                <w:color w:val="auto"/>
                <w:kern w:val="0"/>
                <w:sz w:val="22"/>
                <w:szCs w:val="22"/>
              </w:rPr>
            </w:pPr>
            <w:r>
              <w:rPr>
                <w:color w:val="auto"/>
                <w:kern w:val="0"/>
                <w:sz w:val="22"/>
                <w:szCs w:val="22"/>
              </w:rPr>
              <w:t xml:space="preserve">2454564.05 </w:t>
            </w:r>
          </w:p>
        </w:tc>
        <w:tc>
          <w:tcPr>
            <w:tcW w:w="1661" w:type="dxa"/>
            <w:tcBorders>
              <w:top w:val="nil"/>
              <w:left w:val="nil"/>
              <w:bottom w:val="single" w:color="auto" w:sz="4" w:space="0"/>
              <w:right w:val="single" w:color="auto" w:sz="4" w:space="0"/>
            </w:tcBorders>
            <w:shd w:val="clear" w:color="auto" w:fill="auto"/>
            <w:noWrap/>
            <w:vAlign w:val="center"/>
          </w:tcPr>
          <w:p w14:paraId="095887E1">
            <w:pPr>
              <w:widowControl/>
              <w:spacing w:line="240" w:lineRule="auto"/>
              <w:ind w:firstLine="0" w:firstLineChars="0"/>
              <w:jc w:val="center"/>
              <w:rPr>
                <w:color w:val="auto"/>
                <w:kern w:val="0"/>
                <w:sz w:val="22"/>
                <w:szCs w:val="22"/>
              </w:rPr>
            </w:pPr>
            <w:r>
              <w:rPr>
                <w:color w:val="auto"/>
                <w:kern w:val="0"/>
                <w:sz w:val="22"/>
                <w:szCs w:val="22"/>
              </w:rPr>
              <w:t xml:space="preserve">36491778.53 </w:t>
            </w:r>
          </w:p>
        </w:tc>
      </w:tr>
      <w:tr w14:paraId="76DAFF1E">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6F298EF9">
            <w:pPr>
              <w:widowControl/>
              <w:spacing w:line="240" w:lineRule="auto"/>
              <w:ind w:firstLine="0" w:firstLineChars="0"/>
              <w:jc w:val="center"/>
              <w:rPr>
                <w:color w:val="auto"/>
                <w:kern w:val="0"/>
                <w:sz w:val="22"/>
                <w:szCs w:val="22"/>
              </w:rPr>
            </w:pPr>
            <w:r>
              <w:rPr>
                <w:color w:val="auto"/>
                <w:kern w:val="0"/>
                <w:sz w:val="22"/>
                <w:szCs w:val="22"/>
              </w:rPr>
              <w:t>A10</w:t>
            </w:r>
          </w:p>
        </w:tc>
        <w:tc>
          <w:tcPr>
            <w:tcW w:w="1441" w:type="dxa"/>
            <w:tcBorders>
              <w:top w:val="nil"/>
              <w:left w:val="single" w:color="auto" w:sz="4" w:space="0"/>
              <w:bottom w:val="single" w:color="auto" w:sz="4" w:space="0"/>
              <w:right w:val="single" w:color="auto" w:sz="4" w:space="0"/>
            </w:tcBorders>
            <w:shd w:val="clear" w:color="auto" w:fill="auto"/>
            <w:vAlign w:val="center"/>
          </w:tcPr>
          <w:p w14:paraId="3731BEEE">
            <w:pPr>
              <w:widowControl/>
              <w:spacing w:line="240" w:lineRule="auto"/>
              <w:ind w:firstLine="0" w:firstLineChars="0"/>
              <w:jc w:val="center"/>
              <w:rPr>
                <w:color w:val="auto"/>
                <w:kern w:val="0"/>
                <w:sz w:val="22"/>
                <w:szCs w:val="22"/>
              </w:rPr>
            </w:pPr>
            <w:r>
              <w:rPr>
                <w:color w:val="auto"/>
                <w:kern w:val="0"/>
                <w:sz w:val="22"/>
                <w:szCs w:val="22"/>
              </w:rPr>
              <w:t>2454578.15</w:t>
            </w:r>
          </w:p>
        </w:tc>
        <w:tc>
          <w:tcPr>
            <w:tcW w:w="1551" w:type="dxa"/>
            <w:tcBorders>
              <w:top w:val="nil"/>
              <w:left w:val="nil"/>
              <w:bottom w:val="single" w:color="auto" w:sz="4" w:space="0"/>
              <w:right w:val="single" w:color="auto" w:sz="4" w:space="0"/>
            </w:tcBorders>
            <w:shd w:val="clear" w:color="auto" w:fill="auto"/>
            <w:vAlign w:val="center"/>
          </w:tcPr>
          <w:p w14:paraId="3769ACEE">
            <w:pPr>
              <w:widowControl/>
              <w:spacing w:line="240" w:lineRule="auto"/>
              <w:ind w:firstLine="0" w:firstLineChars="0"/>
              <w:jc w:val="center"/>
              <w:rPr>
                <w:color w:val="auto"/>
                <w:kern w:val="0"/>
                <w:sz w:val="22"/>
                <w:szCs w:val="22"/>
              </w:rPr>
            </w:pPr>
            <w:r>
              <w:rPr>
                <w:color w:val="auto"/>
                <w:kern w:val="0"/>
                <w:sz w:val="22"/>
                <w:szCs w:val="22"/>
              </w:rPr>
              <w:t>36491797.19</w:t>
            </w:r>
          </w:p>
        </w:tc>
        <w:tc>
          <w:tcPr>
            <w:tcW w:w="1551" w:type="dxa"/>
            <w:tcBorders>
              <w:top w:val="nil"/>
              <w:left w:val="nil"/>
              <w:bottom w:val="single" w:color="auto" w:sz="4" w:space="0"/>
              <w:right w:val="single" w:color="auto" w:sz="4" w:space="0"/>
            </w:tcBorders>
            <w:shd w:val="clear" w:color="auto" w:fill="auto"/>
            <w:noWrap/>
            <w:vAlign w:val="center"/>
          </w:tcPr>
          <w:p w14:paraId="33BB17AD">
            <w:pPr>
              <w:widowControl/>
              <w:spacing w:line="240" w:lineRule="auto"/>
              <w:ind w:firstLine="0" w:firstLineChars="0"/>
              <w:jc w:val="center"/>
              <w:rPr>
                <w:color w:val="auto"/>
                <w:kern w:val="0"/>
                <w:sz w:val="22"/>
                <w:szCs w:val="22"/>
              </w:rPr>
            </w:pPr>
            <w:r>
              <w:rPr>
                <w:color w:val="auto"/>
                <w:kern w:val="0"/>
                <w:sz w:val="22"/>
                <w:szCs w:val="22"/>
              </w:rPr>
              <w:t xml:space="preserve">2454579.52 </w:t>
            </w:r>
          </w:p>
        </w:tc>
        <w:tc>
          <w:tcPr>
            <w:tcW w:w="1661" w:type="dxa"/>
            <w:tcBorders>
              <w:top w:val="nil"/>
              <w:left w:val="nil"/>
              <w:bottom w:val="single" w:color="auto" w:sz="4" w:space="0"/>
              <w:right w:val="single" w:color="auto" w:sz="4" w:space="0"/>
            </w:tcBorders>
            <w:shd w:val="clear" w:color="auto" w:fill="auto"/>
            <w:noWrap/>
            <w:vAlign w:val="center"/>
          </w:tcPr>
          <w:p w14:paraId="081898D3">
            <w:pPr>
              <w:widowControl/>
              <w:spacing w:line="240" w:lineRule="auto"/>
              <w:ind w:firstLine="0" w:firstLineChars="0"/>
              <w:jc w:val="center"/>
              <w:rPr>
                <w:color w:val="auto"/>
                <w:kern w:val="0"/>
                <w:sz w:val="22"/>
                <w:szCs w:val="22"/>
              </w:rPr>
            </w:pPr>
            <w:r>
              <w:rPr>
                <w:color w:val="auto"/>
                <w:kern w:val="0"/>
                <w:sz w:val="22"/>
                <w:szCs w:val="22"/>
              </w:rPr>
              <w:t xml:space="preserve">36491912.06 </w:t>
            </w:r>
          </w:p>
        </w:tc>
      </w:tr>
      <w:tr w14:paraId="70FBF970">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36004F2E">
            <w:pPr>
              <w:widowControl/>
              <w:spacing w:line="240" w:lineRule="auto"/>
              <w:ind w:firstLine="0" w:firstLineChars="0"/>
              <w:jc w:val="center"/>
              <w:rPr>
                <w:color w:val="auto"/>
                <w:kern w:val="0"/>
                <w:sz w:val="22"/>
                <w:szCs w:val="22"/>
              </w:rPr>
            </w:pPr>
            <w:r>
              <w:rPr>
                <w:color w:val="auto"/>
                <w:kern w:val="0"/>
                <w:sz w:val="22"/>
                <w:szCs w:val="22"/>
              </w:rPr>
              <w:t>A11</w:t>
            </w:r>
          </w:p>
        </w:tc>
        <w:tc>
          <w:tcPr>
            <w:tcW w:w="1441" w:type="dxa"/>
            <w:tcBorders>
              <w:top w:val="nil"/>
              <w:left w:val="single" w:color="auto" w:sz="4" w:space="0"/>
              <w:bottom w:val="single" w:color="auto" w:sz="4" w:space="0"/>
              <w:right w:val="single" w:color="auto" w:sz="4" w:space="0"/>
            </w:tcBorders>
            <w:shd w:val="clear" w:color="auto" w:fill="auto"/>
            <w:vAlign w:val="center"/>
          </w:tcPr>
          <w:p w14:paraId="3E047F0E">
            <w:pPr>
              <w:widowControl/>
              <w:spacing w:line="240" w:lineRule="auto"/>
              <w:ind w:firstLine="0" w:firstLineChars="0"/>
              <w:jc w:val="center"/>
              <w:rPr>
                <w:color w:val="auto"/>
                <w:kern w:val="0"/>
                <w:sz w:val="22"/>
                <w:szCs w:val="22"/>
              </w:rPr>
            </w:pPr>
            <w:r>
              <w:rPr>
                <w:color w:val="auto"/>
                <w:kern w:val="0"/>
                <w:sz w:val="22"/>
                <w:szCs w:val="22"/>
              </w:rPr>
              <w:t>2454637.93</w:t>
            </w:r>
          </w:p>
        </w:tc>
        <w:tc>
          <w:tcPr>
            <w:tcW w:w="1551" w:type="dxa"/>
            <w:tcBorders>
              <w:top w:val="nil"/>
              <w:left w:val="nil"/>
              <w:bottom w:val="single" w:color="auto" w:sz="4" w:space="0"/>
              <w:right w:val="single" w:color="auto" w:sz="4" w:space="0"/>
            </w:tcBorders>
            <w:shd w:val="clear" w:color="auto" w:fill="auto"/>
            <w:vAlign w:val="center"/>
          </w:tcPr>
          <w:p w14:paraId="1371222F">
            <w:pPr>
              <w:widowControl/>
              <w:spacing w:line="240" w:lineRule="auto"/>
              <w:ind w:firstLine="0" w:firstLineChars="0"/>
              <w:jc w:val="center"/>
              <w:rPr>
                <w:color w:val="auto"/>
                <w:kern w:val="0"/>
                <w:sz w:val="22"/>
                <w:szCs w:val="22"/>
              </w:rPr>
            </w:pPr>
            <w:r>
              <w:rPr>
                <w:color w:val="auto"/>
                <w:kern w:val="0"/>
                <w:sz w:val="22"/>
                <w:szCs w:val="22"/>
              </w:rPr>
              <w:t>36492024.69</w:t>
            </w:r>
          </w:p>
        </w:tc>
        <w:tc>
          <w:tcPr>
            <w:tcW w:w="1551" w:type="dxa"/>
            <w:tcBorders>
              <w:top w:val="nil"/>
              <w:left w:val="nil"/>
              <w:bottom w:val="single" w:color="auto" w:sz="4" w:space="0"/>
              <w:right w:val="single" w:color="auto" w:sz="4" w:space="0"/>
            </w:tcBorders>
            <w:shd w:val="clear" w:color="auto" w:fill="auto"/>
            <w:noWrap/>
            <w:vAlign w:val="center"/>
          </w:tcPr>
          <w:p w14:paraId="119B115B">
            <w:pPr>
              <w:widowControl/>
              <w:spacing w:line="240" w:lineRule="auto"/>
              <w:ind w:firstLine="0" w:firstLineChars="0"/>
              <w:jc w:val="center"/>
              <w:rPr>
                <w:color w:val="auto"/>
                <w:kern w:val="0"/>
                <w:sz w:val="22"/>
                <w:szCs w:val="22"/>
              </w:rPr>
            </w:pPr>
            <w:r>
              <w:rPr>
                <w:color w:val="auto"/>
                <w:kern w:val="0"/>
                <w:sz w:val="22"/>
                <w:szCs w:val="22"/>
              </w:rPr>
              <w:t xml:space="preserve">2454639.30 </w:t>
            </w:r>
          </w:p>
        </w:tc>
        <w:tc>
          <w:tcPr>
            <w:tcW w:w="1661" w:type="dxa"/>
            <w:tcBorders>
              <w:top w:val="nil"/>
              <w:left w:val="nil"/>
              <w:bottom w:val="single" w:color="auto" w:sz="4" w:space="0"/>
              <w:right w:val="single" w:color="auto" w:sz="4" w:space="0"/>
            </w:tcBorders>
            <w:shd w:val="clear" w:color="auto" w:fill="auto"/>
            <w:noWrap/>
            <w:vAlign w:val="center"/>
          </w:tcPr>
          <w:p w14:paraId="60572A11">
            <w:pPr>
              <w:widowControl/>
              <w:spacing w:line="240" w:lineRule="auto"/>
              <w:ind w:firstLine="0" w:firstLineChars="0"/>
              <w:jc w:val="center"/>
              <w:rPr>
                <w:color w:val="auto"/>
                <w:kern w:val="0"/>
                <w:sz w:val="22"/>
                <w:szCs w:val="22"/>
              </w:rPr>
            </w:pPr>
            <w:r>
              <w:rPr>
                <w:color w:val="auto"/>
                <w:kern w:val="0"/>
                <w:sz w:val="22"/>
                <w:szCs w:val="22"/>
              </w:rPr>
              <w:t xml:space="preserve">36492139.56 </w:t>
            </w:r>
          </w:p>
        </w:tc>
      </w:tr>
      <w:tr w14:paraId="2E9A98B4">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2B9C3F5D">
            <w:pPr>
              <w:widowControl/>
              <w:spacing w:line="240" w:lineRule="auto"/>
              <w:ind w:firstLine="0" w:firstLineChars="0"/>
              <w:jc w:val="center"/>
              <w:rPr>
                <w:color w:val="auto"/>
                <w:kern w:val="0"/>
                <w:sz w:val="22"/>
                <w:szCs w:val="22"/>
              </w:rPr>
            </w:pPr>
            <w:r>
              <w:rPr>
                <w:color w:val="auto"/>
                <w:kern w:val="0"/>
                <w:sz w:val="22"/>
                <w:szCs w:val="22"/>
              </w:rPr>
              <w:t>A13</w:t>
            </w:r>
          </w:p>
        </w:tc>
        <w:tc>
          <w:tcPr>
            <w:tcW w:w="1441" w:type="dxa"/>
            <w:tcBorders>
              <w:top w:val="nil"/>
              <w:left w:val="single" w:color="auto" w:sz="4" w:space="0"/>
              <w:bottom w:val="single" w:color="auto" w:sz="4" w:space="0"/>
              <w:right w:val="single" w:color="auto" w:sz="4" w:space="0"/>
            </w:tcBorders>
            <w:shd w:val="clear" w:color="auto" w:fill="auto"/>
            <w:vAlign w:val="center"/>
          </w:tcPr>
          <w:p w14:paraId="77D988AC">
            <w:pPr>
              <w:widowControl/>
              <w:spacing w:line="240" w:lineRule="auto"/>
              <w:ind w:firstLine="0" w:firstLineChars="0"/>
              <w:jc w:val="center"/>
              <w:rPr>
                <w:color w:val="auto"/>
                <w:kern w:val="0"/>
                <w:sz w:val="22"/>
                <w:szCs w:val="22"/>
              </w:rPr>
            </w:pPr>
            <w:r>
              <w:rPr>
                <w:color w:val="auto"/>
                <w:kern w:val="0"/>
                <w:sz w:val="22"/>
                <w:szCs w:val="22"/>
              </w:rPr>
              <w:t>2454765.60</w:t>
            </w:r>
          </w:p>
        </w:tc>
        <w:tc>
          <w:tcPr>
            <w:tcW w:w="1551" w:type="dxa"/>
            <w:tcBorders>
              <w:top w:val="nil"/>
              <w:left w:val="nil"/>
              <w:bottom w:val="single" w:color="auto" w:sz="4" w:space="0"/>
              <w:right w:val="single" w:color="auto" w:sz="4" w:space="0"/>
            </w:tcBorders>
            <w:shd w:val="clear" w:color="auto" w:fill="auto"/>
            <w:vAlign w:val="center"/>
          </w:tcPr>
          <w:p w14:paraId="6D315E7C">
            <w:pPr>
              <w:widowControl/>
              <w:spacing w:line="240" w:lineRule="auto"/>
              <w:ind w:firstLine="0" w:firstLineChars="0"/>
              <w:jc w:val="center"/>
              <w:rPr>
                <w:color w:val="auto"/>
                <w:kern w:val="0"/>
                <w:sz w:val="22"/>
                <w:szCs w:val="22"/>
              </w:rPr>
            </w:pPr>
            <w:r>
              <w:rPr>
                <w:color w:val="auto"/>
                <w:kern w:val="0"/>
                <w:sz w:val="22"/>
                <w:szCs w:val="22"/>
              </w:rPr>
              <w:t>36492311.73</w:t>
            </w:r>
          </w:p>
        </w:tc>
        <w:tc>
          <w:tcPr>
            <w:tcW w:w="1551" w:type="dxa"/>
            <w:tcBorders>
              <w:top w:val="nil"/>
              <w:left w:val="nil"/>
              <w:bottom w:val="single" w:color="auto" w:sz="4" w:space="0"/>
              <w:right w:val="single" w:color="auto" w:sz="4" w:space="0"/>
            </w:tcBorders>
            <w:shd w:val="clear" w:color="auto" w:fill="auto"/>
            <w:noWrap/>
            <w:vAlign w:val="center"/>
          </w:tcPr>
          <w:p w14:paraId="01DFC555">
            <w:pPr>
              <w:widowControl/>
              <w:spacing w:line="240" w:lineRule="auto"/>
              <w:ind w:firstLine="0" w:firstLineChars="0"/>
              <w:jc w:val="center"/>
              <w:rPr>
                <w:color w:val="auto"/>
                <w:kern w:val="0"/>
                <w:sz w:val="22"/>
                <w:szCs w:val="22"/>
              </w:rPr>
            </w:pPr>
            <w:r>
              <w:rPr>
                <w:color w:val="auto"/>
                <w:kern w:val="0"/>
                <w:sz w:val="22"/>
                <w:szCs w:val="22"/>
              </w:rPr>
              <w:t xml:space="preserve">2454766.97 </w:t>
            </w:r>
          </w:p>
        </w:tc>
        <w:tc>
          <w:tcPr>
            <w:tcW w:w="1661" w:type="dxa"/>
            <w:tcBorders>
              <w:top w:val="nil"/>
              <w:left w:val="nil"/>
              <w:bottom w:val="single" w:color="auto" w:sz="4" w:space="0"/>
              <w:right w:val="single" w:color="auto" w:sz="4" w:space="0"/>
            </w:tcBorders>
            <w:shd w:val="clear" w:color="auto" w:fill="auto"/>
            <w:noWrap/>
            <w:vAlign w:val="center"/>
          </w:tcPr>
          <w:p w14:paraId="013D9179">
            <w:pPr>
              <w:widowControl/>
              <w:spacing w:line="240" w:lineRule="auto"/>
              <w:ind w:firstLine="0" w:firstLineChars="0"/>
              <w:jc w:val="center"/>
              <w:rPr>
                <w:color w:val="auto"/>
                <w:kern w:val="0"/>
                <w:sz w:val="22"/>
                <w:szCs w:val="22"/>
              </w:rPr>
            </w:pPr>
            <w:r>
              <w:rPr>
                <w:color w:val="auto"/>
                <w:kern w:val="0"/>
                <w:sz w:val="22"/>
                <w:szCs w:val="22"/>
              </w:rPr>
              <w:t xml:space="preserve">36492426.60 </w:t>
            </w:r>
          </w:p>
        </w:tc>
      </w:tr>
      <w:tr w14:paraId="02356057">
        <w:tblPrEx>
          <w:tblCellMar>
            <w:top w:w="0" w:type="dxa"/>
            <w:left w:w="108" w:type="dxa"/>
            <w:bottom w:w="0" w:type="dxa"/>
            <w:right w:w="108" w:type="dxa"/>
          </w:tblCellMar>
        </w:tblPrEx>
        <w:trPr>
          <w:trHeight w:val="360" w:hRule="atLeast"/>
          <w:jc w:val="center"/>
        </w:trPr>
        <w:tc>
          <w:tcPr>
            <w:tcW w:w="7040"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13DAF837">
            <w:pPr>
              <w:widowControl/>
              <w:spacing w:line="240" w:lineRule="auto"/>
              <w:ind w:firstLine="0" w:firstLineChars="0"/>
              <w:jc w:val="left"/>
              <w:rPr>
                <w:color w:val="auto"/>
                <w:kern w:val="0"/>
                <w:sz w:val="22"/>
                <w:szCs w:val="22"/>
              </w:rPr>
            </w:pPr>
            <w:r>
              <w:rPr>
                <w:color w:val="auto"/>
                <w:kern w:val="0"/>
                <w:sz w:val="22"/>
                <w:szCs w:val="22"/>
              </w:rPr>
              <w:t>矿区面积：0.5978km</w:t>
            </w:r>
            <w:r>
              <w:rPr>
                <w:color w:val="auto"/>
                <w:kern w:val="0"/>
                <w:sz w:val="22"/>
                <w:szCs w:val="22"/>
                <w:vertAlign w:val="superscript"/>
              </w:rPr>
              <w:t>2</w:t>
            </w:r>
            <w:r>
              <w:rPr>
                <w:color w:val="auto"/>
                <w:kern w:val="0"/>
                <w:sz w:val="22"/>
                <w:szCs w:val="22"/>
              </w:rPr>
              <w:t>；开采深度：由+563.739m至+372.159m</w:t>
            </w:r>
          </w:p>
        </w:tc>
      </w:tr>
    </w:tbl>
    <w:p w14:paraId="74386A8E">
      <w:pPr>
        <w:spacing w:before="190" w:beforeLines="50"/>
        <w:ind w:firstLine="560"/>
        <w:rPr>
          <w:color w:val="auto"/>
        </w:rPr>
      </w:pPr>
      <w:r>
        <w:rPr>
          <w:color w:val="auto"/>
        </w:rPr>
        <w:t>采矿权各要素如下：</w:t>
      </w:r>
    </w:p>
    <w:p w14:paraId="5201EFA0">
      <w:pPr>
        <w:ind w:firstLine="560"/>
        <w:rPr>
          <w:color w:val="auto"/>
        </w:rPr>
      </w:pPr>
      <w:r>
        <w:rPr>
          <w:color w:val="auto"/>
        </w:rPr>
        <w:t>采矿证号：C4500002010117120080204；</w:t>
      </w:r>
    </w:p>
    <w:p w14:paraId="7D2B2956">
      <w:pPr>
        <w:ind w:firstLine="560"/>
        <w:rPr>
          <w:color w:val="auto"/>
        </w:rPr>
      </w:pPr>
      <w:r>
        <w:rPr>
          <w:color w:val="auto"/>
        </w:rPr>
        <w:t>采矿权人：华润水泥（上思）有限公司；</w:t>
      </w:r>
    </w:p>
    <w:p w14:paraId="292F5060">
      <w:pPr>
        <w:ind w:firstLine="560"/>
        <w:rPr>
          <w:color w:val="auto"/>
        </w:rPr>
      </w:pPr>
      <w:r>
        <w:rPr>
          <w:color w:val="auto"/>
        </w:rPr>
        <w:t>矿山名称：华润水泥（上思）有限公司龙大山矿区北矿段水泥用灰岩矿；</w:t>
      </w:r>
    </w:p>
    <w:p w14:paraId="53690151">
      <w:pPr>
        <w:ind w:firstLine="560"/>
        <w:rPr>
          <w:color w:val="auto"/>
        </w:rPr>
      </w:pPr>
      <w:r>
        <w:rPr>
          <w:color w:val="auto"/>
        </w:rPr>
        <w:t>经济类型：港澳台独资经营企业；</w:t>
      </w:r>
    </w:p>
    <w:p w14:paraId="3E372F83">
      <w:pPr>
        <w:ind w:firstLine="560"/>
        <w:rPr>
          <w:color w:val="auto"/>
        </w:rPr>
      </w:pPr>
      <w:r>
        <w:rPr>
          <w:color w:val="auto"/>
        </w:rPr>
        <w:t>开采矿种：水泥用石灰岩；</w:t>
      </w:r>
    </w:p>
    <w:p w14:paraId="696543BD">
      <w:pPr>
        <w:ind w:firstLine="560"/>
        <w:rPr>
          <w:color w:val="auto"/>
        </w:rPr>
      </w:pPr>
      <w:r>
        <w:rPr>
          <w:color w:val="auto"/>
        </w:rPr>
        <w:t>开采方式：露天开采；</w:t>
      </w:r>
    </w:p>
    <w:p w14:paraId="21168BB2">
      <w:pPr>
        <w:ind w:firstLine="560"/>
        <w:rPr>
          <w:color w:val="auto"/>
        </w:rPr>
      </w:pPr>
      <w:r>
        <w:rPr>
          <w:color w:val="auto"/>
        </w:rPr>
        <w:t>生产规模：204.63万t/a；</w:t>
      </w:r>
    </w:p>
    <w:p w14:paraId="21F5F709">
      <w:pPr>
        <w:ind w:firstLine="560"/>
        <w:rPr>
          <w:color w:val="auto"/>
        </w:rPr>
      </w:pPr>
      <w:r>
        <w:rPr>
          <w:color w:val="auto"/>
        </w:rPr>
        <w:t>矿区面积：0.5978km</w:t>
      </w:r>
      <w:r>
        <w:rPr>
          <w:color w:val="auto"/>
          <w:vertAlign w:val="superscript"/>
        </w:rPr>
        <w:t>2</w:t>
      </w:r>
      <w:r>
        <w:rPr>
          <w:color w:val="auto"/>
        </w:rPr>
        <w:t>；</w:t>
      </w:r>
    </w:p>
    <w:p w14:paraId="06581D87">
      <w:pPr>
        <w:ind w:firstLine="560"/>
        <w:contextualSpacing/>
        <w:rPr>
          <w:color w:val="auto"/>
        </w:rPr>
      </w:pPr>
      <w:r>
        <w:rPr>
          <w:color w:val="auto"/>
          <w:szCs w:val="28"/>
        </w:rPr>
        <w:t>开采标高：+563.739m～+372.159m</w:t>
      </w:r>
      <w:r>
        <w:rPr>
          <w:color w:val="auto"/>
        </w:rPr>
        <w:t>。</w:t>
      </w:r>
    </w:p>
    <w:p w14:paraId="5C6EEA7E">
      <w:pPr>
        <w:ind w:firstLine="560"/>
        <w:contextualSpacing/>
        <w:rPr>
          <w:color w:val="auto"/>
          <w:szCs w:val="28"/>
        </w:rPr>
      </w:pPr>
      <w:r>
        <w:rPr>
          <w:color w:val="auto"/>
        </w:rPr>
        <w:t>有效期限：叁拾年  2010年11年8月至2040年11年8月</w:t>
      </w:r>
      <w:r>
        <w:rPr>
          <w:color w:val="auto"/>
          <w:szCs w:val="28"/>
        </w:rPr>
        <w:t>。</w:t>
      </w:r>
    </w:p>
    <w:p w14:paraId="182C7EA0">
      <w:pPr>
        <w:ind w:firstLine="560"/>
        <w:contextualSpacing/>
        <w:rPr>
          <w:color w:val="auto"/>
          <w:szCs w:val="28"/>
        </w:rPr>
      </w:pPr>
      <w:r>
        <w:rPr>
          <w:color w:val="auto"/>
          <w:szCs w:val="28"/>
        </w:rPr>
        <w:t>（2）</w:t>
      </w:r>
      <w:r>
        <w:rPr>
          <w:color w:val="auto"/>
        </w:rPr>
        <w:t>华润水泥（上思）有限公司龙大山矿区南矿段水泥用灰岩矿</w:t>
      </w:r>
    </w:p>
    <w:p w14:paraId="62DC8323">
      <w:pPr>
        <w:ind w:firstLine="560"/>
        <w:contextualSpacing/>
        <w:rPr>
          <w:color w:val="auto"/>
          <w:szCs w:val="28"/>
        </w:rPr>
      </w:pPr>
      <w:r>
        <w:rPr>
          <w:color w:val="auto"/>
          <w:szCs w:val="28"/>
        </w:rPr>
        <w:t>广西上思县思阳镇龙大山矿区南矿段水泥用灰岩矿为原广西壮族自治区国土资源厅挂牌出让的矿权，华润水泥（上思）有限公司首次于2017年2月10日依法取得了原广西壮族自治区国土资源厅颁发的采矿许可证，矿区范围由11个拐点坐标圈定，矿区范围拐点坐标见表1-2：</w:t>
      </w:r>
    </w:p>
    <w:p w14:paraId="316D6F09">
      <w:pPr>
        <w:spacing w:line="240" w:lineRule="auto"/>
        <w:ind w:firstLine="0" w:firstLineChars="0"/>
        <w:contextualSpacing/>
        <w:jc w:val="center"/>
        <w:rPr>
          <w:b/>
          <w:bCs/>
          <w:color w:val="auto"/>
          <w:sz w:val="24"/>
          <w:szCs w:val="24"/>
        </w:rPr>
      </w:pPr>
      <w:r>
        <w:rPr>
          <w:b/>
          <w:bCs/>
          <w:color w:val="auto"/>
          <w:sz w:val="24"/>
          <w:szCs w:val="24"/>
        </w:rPr>
        <w:t>表1-2  龙大山矿区南矿段水泥用灰岩矿矿区范围拐点坐标表</w:t>
      </w:r>
    </w:p>
    <w:tbl>
      <w:tblPr>
        <w:tblStyle w:val="32"/>
        <w:tblW w:w="7040" w:type="dxa"/>
        <w:jc w:val="center"/>
        <w:tblLayout w:type="autofit"/>
        <w:tblCellMar>
          <w:top w:w="0" w:type="dxa"/>
          <w:left w:w="108" w:type="dxa"/>
          <w:bottom w:w="0" w:type="dxa"/>
          <w:right w:w="108" w:type="dxa"/>
        </w:tblCellMar>
      </w:tblPr>
      <w:tblGrid>
        <w:gridCol w:w="836"/>
        <w:gridCol w:w="1441"/>
        <w:gridCol w:w="1551"/>
        <w:gridCol w:w="1551"/>
        <w:gridCol w:w="1661"/>
      </w:tblGrid>
      <w:tr w14:paraId="419EA509">
        <w:tblPrEx>
          <w:tblCellMar>
            <w:top w:w="0" w:type="dxa"/>
            <w:left w:w="108" w:type="dxa"/>
            <w:bottom w:w="0" w:type="dxa"/>
            <w:right w:w="108" w:type="dxa"/>
          </w:tblCellMar>
        </w:tblPrEx>
        <w:trPr>
          <w:trHeight w:val="300" w:hRule="atLeast"/>
          <w:jc w:val="center"/>
        </w:trPr>
        <w:tc>
          <w:tcPr>
            <w:tcW w:w="83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449365B">
            <w:pPr>
              <w:widowControl/>
              <w:spacing w:line="240" w:lineRule="auto"/>
              <w:ind w:firstLine="0" w:firstLineChars="0"/>
              <w:jc w:val="center"/>
              <w:rPr>
                <w:color w:val="auto"/>
                <w:kern w:val="0"/>
                <w:sz w:val="22"/>
                <w:szCs w:val="22"/>
              </w:rPr>
            </w:pPr>
            <w:r>
              <w:rPr>
                <w:color w:val="auto"/>
                <w:kern w:val="0"/>
                <w:sz w:val="22"/>
                <w:szCs w:val="22"/>
              </w:rPr>
              <w:t>拐点</w:t>
            </w:r>
            <w:r>
              <w:rPr>
                <w:color w:val="auto"/>
                <w:kern w:val="0"/>
                <w:sz w:val="22"/>
                <w:szCs w:val="22"/>
              </w:rPr>
              <w:br w:type="textWrapping"/>
            </w:r>
            <w:r>
              <w:rPr>
                <w:color w:val="auto"/>
                <w:kern w:val="0"/>
                <w:sz w:val="22"/>
                <w:szCs w:val="22"/>
              </w:rPr>
              <w:t>编号</w:t>
            </w:r>
          </w:p>
        </w:tc>
        <w:tc>
          <w:tcPr>
            <w:tcW w:w="2992" w:type="dxa"/>
            <w:gridSpan w:val="2"/>
            <w:tcBorders>
              <w:top w:val="single" w:color="auto" w:sz="4" w:space="0"/>
              <w:left w:val="nil"/>
              <w:bottom w:val="single" w:color="auto" w:sz="4" w:space="0"/>
              <w:right w:val="single" w:color="auto" w:sz="4" w:space="0"/>
            </w:tcBorders>
            <w:shd w:val="clear" w:color="auto" w:fill="auto"/>
            <w:noWrap/>
            <w:vAlign w:val="center"/>
          </w:tcPr>
          <w:p w14:paraId="40931043">
            <w:pPr>
              <w:widowControl/>
              <w:spacing w:line="240" w:lineRule="auto"/>
              <w:ind w:firstLine="0" w:firstLineChars="0"/>
              <w:jc w:val="center"/>
              <w:rPr>
                <w:color w:val="auto"/>
                <w:kern w:val="0"/>
                <w:sz w:val="22"/>
                <w:szCs w:val="22"/>
              </w:rPr>
            </w:pPr>
            <w:r>
              <w:rPr>
                <w:color w:val="auto"/>
                <w:kern w:val="0"/>
                <w:sz w:val="22"/>
                <w:szCs w:val="22"/>
              </w:rPr>
              <w:t>1980西安坐标系</w:t>
            </w:r>
          </w:p>
        </w:tc>
        <w:tc>
          <w:tcPr>
            <w:tcW w:w="3212" w:type="dxa"/>
            <w:gridSpan w:val="2"/>
            <w:tcBorders>
              <w:top w:val="single" w:color="auto" w:sz="4" w:space="0"/>
              <w:left w:val="nil"/>
              <w:bottom w:val="single" w:color="auto" w:sz="4" w:space="0"/>
              <w:right w:val="single" w:color="auto" w:sz="4" w:space="0"/>
            </w:tcBorders>
            <w:shd w:val="clear" w:color="auto" w:fill="auto"/>
            <w:noWrap/>
            <w:vAlign w:val="center"/>
          </w:tcPr>
          <w:p w14:paraId="7E0EA1A7">
            <w:pPr>
              <w:widowControl/>
              <w:spacing w:line="240" w:lineRule="auto"/>
              <w:ind w:firstLine="0" w:firstLineChars="0"/>
              <w:jc w:val="center"/>
              <w:rPr>
                <w:color w:val="auto"/>
                <w:kern w:val="0"/>
                <w:sz w:val="22"/>
                <w:szCs w:val="22"/>
              </w:rPr>
            </w:pPr>
            <w:r>
              <w:rPr>
                <w:color w:val="auto"/>
                <w:kern w:val="0"/>
                <w:sz w:val="22"/>
                <w:szCs w:val="22"/>
              </w:rPr>
              <w:t>2000国家大地坐标系</w:t>
            </w:r>
          </w:p>
        </w:tc>
      </w:tr>
      <w:tr w14:paraId="22F0F0C7">
        <w:tblPrEx>
          <w:tblCellMar>
            <w:top w:w="0" w:type="dxa"/>
            <w:left w:w="108" w:type="dxa"/>
            <w:bottom w:w="0" w:type="dxa"/>
            <w:right w:w="108" w:type="dxa"/>
          </w:tblCellMar>
        </w:tblPrEx>
        <w:trPr>
          <w:trHeight w:val="300" w:hRule="atLeast"/>
          <w:jc w:val="center"/>
        </w:trPr>
        <w:tc>
          <w:tcPr>
            <w:tcW w:w="836" w:type="dxa"/>
            <w:vMerge w:val="continue"/>
            <w:tcBorders>
              <w:top w:val="single" w:color="auto" w:sz="4" w:space="0"/>
              <w:left w:val="single" w:color="auto" w:sz="4" w:space="0"/>
              <w:bottom w:val="single" w:color="auto" w:sz="4" w:space="0"/>
              <w:right w:val="single" w:color="auto" w:sz="4" w:space="0"/>
            </w:tcBorders>
            <w:vAlign w:val="center"/>
          </w:tcPr>
          <w:p w14:paraId="0EC0E499">
            <w:pPr>
              <w:widowControl/>
              <w:spacing w:line="240" w:lineRule="auto"/>
              <w:ind w:firstLine="0" w:firstLineChars="0"/>
              <w:jc w:val="left"/>
              <w:rPr>
                <w:color w:val="auto"/>
                <w:kern w:val="0"/>
                <w:sz w:val="22"/>
                <w:szCs w:val="22"/>
              </w:rPr>
            </w:pPr>
          </w:p>
        </w:tc>
        <w:tc>
          <w:tcPr>
            <w:tcW w:w="1441" w:type="dxa"/>
            <w:tcBorders>
              <w:top w:val="nil"/>
              <w:left w:val="nil"/>
              <w:bottom w:val="nil"/>
              <w:right w:val="single" w:color="auto" w:sz="4" w:space="0"/>
            </w:tcBorders>
            <w:shd w:val="clear" w:color="auto" w:fill="auto"/>
            <w:noWrap/>
            <w:vAlign w:val="center"/>
          </w:tcPr>
          <w:p w14:paraId="6FE5AE4C">
            <w:pPr>
              <w:widowControl/>
              <w:spacing w:line="240" w:lineRule="auto"/>
              <w:ind w:firstLine="0" w:firstLineChars="0"/>
              <w:jc w:val="center"/>
              <w:rPr>
                <w:color w:val="auto"/>
                <w:kern w:val="0"/>
                <w:sz w:val="22"/>
                <w:szCs w:val="22"/>
              </w:rPr>
            </w:pPr>
            <w:r>
              <w:rPr>
                <w:color w:val="auto"/>
                <w:kern w:val="0"/>
                <w:sz w:val="22"/>
                <w:szCs w:val="22"/>
              </w:rPr>
              <w:t>X</w:t>
            </w:r>
          </w:p>
        </w:tc>
        <w:tc>
          <w:tcPr>
            <w:tcW w:w="1551" w:type="dxa"/>
            <w:tcBorders>
              <w:top w:val="nil"/>
              <w:left w:val="nil"/>
              <w:bottom w:val="nil"/>
              <w:right w:val="single" w:color="auto" w:sz="4" w:space="0"/>
            </w:tcBorders>
            <w:shd w:val="clear" w:color="auto" w:fill="auto"/>
            <w:noWrap/>
            <w:vAlign w:val="center"/>
          </w:tcPr>
          <w:p w14:paraId="1C523B94">
            <w:pPr>
              <w:widowControl/>
              <w:spacing w:line="240" w:lineRule="auto"/>
              <w:ind w:firstLine="0" w:firstLineChars="0"/>
              <w:jc w:val="center"/>
              <w:rPr>
                <w:color w:val="auto"/>
                <w:kern w:val="0"/>
                <w:sz w:val="22"/>
                <w:szCs w:val="22"/>
              </w:rPr>
            </w:pPr>
            <w:r>
              <w:rPr>
                <w:color w:val="auto"/>
                <w:kern w:val="0"/>
                <w:sz w:val="22"/>
                <w:szCs w:val="22"/>
              </w:rPr>
              <w:t>Y</w:t>
            </w:r>
          </w:p>
        </w:tc>
        <w:tc>
          <w:tcPr>
            <w:tcW w:w="1551" w:type="dxa"/>
            <w:tcBorders>
              <w:top w:val="nil"/>
              <w:left w:val="nil"/>
              <w:bottom w:val="single" w:color="auto" w:sz="4" w:space="0"/>
              <w:right w:val="single" w:color="auto" w:sz="4" w:space="0"/>
            </w:tcBorders>
            <w:shd w:val="clear" w:color="auto" w:fill="auto"/>
            <w:noWrap/>
            <w:vAlign w:val="center"/>
          </w:tcPr>
          <w:p w14:paraId="7464BA7A">
            <w:pPr>
              <w:widowControl/>
              <w:spacing w:line="240" w:lineRule="auto"/>
              <w:ind w:firstLine="0" w:firstLineChars="0"/>
              <w:jc w:val="center"/>
              <w:rPr>
                <w:color w:val="auto"/>
                <w:kern w:val="0"/>
                <w:sz w:val="22"/>
                <w:szCs w:val="22"/>
              </w:rPr>
            </w:pPr>
            <w:r>
              <w:rPr>
                <w:color w:val="auto"/>
                <w:kern w:val="0"/>
                <w:sz w:val="22"/>
                <w:szCs w:val="22"/>
              </w:rPr>
              <w:t>X</w:t>
            </w:r>
          </w:p>
        </w:tc>
        <w:tc>
          <w:tcPr>
            <w:tcW w:w="1661" w:type="dxa"/>
            <w:tcBorders>
              <w:top w:val="nil"/>
              <w:left w:val="nil"/>
              <w:bottom w:val="single" w:color="auto" w:sz="4" w:space="0"/>
              <w:right w:val="single" w:color="auto" w:sz="4" w:space="0"/>
            </w:tcBorders>
            <w:shd w:val="clear" w:color="auto" w:fill="auto"/>
            <w:noWrap/>
            <w:vAlign w:val="center"/>
          </w:tcPr>
          <w:p w14:paraId="1B8B954B">
            <w:pPr>
              <w:widowControl/>
              <w:spacing w:line="240" w:lineRule="auto"/>
              <w:ind w:firstLine="0" w:firstLineChars="0"/>
              <w:jc w:val="center"/>
              <w:rPr>
                <w:color w:val="auto"/>
                <w:kern w:val="0"/>
                <w:sz w:val="22"/>
                <w:szCs w:val="22"/>
              </w:rPr>
            </w:pPr>
            <w:r>
              <w:rPr>
                <w:color w:val="auto"/>
                <w:kern w:val="0"/>
                <w:sz w:val="22"/>
                <w:szCs w:val="22"/>
              </w:rPr>
              <w:t>Y</w:t>
            </w:r>
          </w:p>
        </w:tc>
      </w:tr>
      <w:tr w14:paraId="46782BE3">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274E84E8">
            <w:pPr>
              <w:widowControl/>
              <w:spacing w:line="240" w:lineRule="auto"/>
              <w:ind w:firstLine="0" w:firstLineChars="0"/>
              <w:jc w:val="center"/>
              <w:rPr>
                <w:color w:val="auto"/>
                <w:kern w:val="0"/>
                <w:sz w:val="22"/>
                <w:szCs w:val="22"/>
              </w:rPr>
            </w:pPr>
            <w:r>
              <w:rPr>
                <w:color w:val="auto"/>
                <w:kern w:val="0"/>
                <w:sz w:val="22"/>
                <w:szCs w:val="22"/>
              </w:rPr>
              <w:t>1</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674FD6D1">
            <w:pPr>
              <w:widowControl/>
              <w:spacing w:line="240" w:lineRule="auto"/>
              <w:ind w:firstLine="0" w:firstLineChars="0"/>
              <w:jc w:val="center"/>
              <w:rPr>
                <w:color w:val="auto"/>
                <w:kern w:val="0"/>
                <w:sz w:val="22"/>
                <w:szCs w:val="22"/>
              </w:rPr>
            </w:pPr>
            <w:r>
              <w:rPr>
                <w:color w:val="auto"/>
                <w:kern w:val="0"/>
                <w:sz w:val="22"/>
                <w:szCs w:val="22"/>
              </w:rPr>
              <w:t>2454557.84</w:t>
            </w:r>
          </w:p>
        </w:tc>
        <w:tc>
          <w:tcPr>
            <w:tcW w:w="1551" w:type="dxa"/>
            <w:tcBorders>
              <w:top w:val="single" w:color="auto" w:sz="4" w:space="0"/>
              <w:left w:val="nil"/>
              <w:bottom w:val="single" w:color="auto" w:sz="4" w:space="0"/>
              <w:right w:val="single" w:color="auto" w:sz="4" w:space="0"/>
            </w:tcBorders>
            <w:shd w:val="clear" w:color="auto" w:fill="auto"/>
            <w:vAlign w:val="center"/>
          </w:tcPr>
          <w:p w14:paraId="5200BBDE">
            <w:pPr>
              <w:widowControl/>
              <w:spacing w:line="240" w:lineRule="auto"/>
              <w:ind w:firstLine="0" w:firstLineChars="0"/>
              <w:jc w:val="center"/>
              <w:rPr>
                <w:color w:val="auto"/>
                <w:kern w:val="0"/>
                <w:sz w:val="22"/>
                <w:szCs w:val="22"/>
              </w:rPr>
            </w:pPr>
            <w:r>
              <w:rPr>
                <w:color w:val="auto"/>
                <w:kern w:val="0"/>
                <w:sz w:val="22"/>
                <w:szCs w:val="22"/>
              </w:rPr>
              <w:t>36491258.23</w:t>
            </w:r>
          </w:p>
        </w:tc>
        <w:tc>
          <w:tcPr>
            <w:tcW w:w="1551" w:type="dxa"/>
            <w:tcBorders>
              <w:top w:val="nil"/>
              <w:left w:val="nil"/>
              <w:bottom w:val="single" w:color="auto" w:sz="4" w:space="0"/>
              <w:right w:val="single" w:color="auto" w:sz="4" w:space="0"/>
            </w:tcBorders>
            <w:shd w:val="clear" w:color="auto" w:fill="auto"/>
            <w:noWrap/>
            <w:vAlign w:val="center"/>
          </w:tcPr>
          <w:p w14:paraId="3189C0C1">
            <w:pPr>
              <w:widowControl/>
              <w:spacing w:line="240" w:lineRule="auto"/>
              <w:ind w:firstLine="0" w:firstLineChars="0"/>
              <w:jc w:val="center"/>
              <w:rPr>
                <w:color w:val="auto"/>
                <w:kern w:val="0"/>
                <w:sz w:val="22"/>
                <w:szCs w:val="22"/>
              </w:rPr>
            </w:pPr>
            <w:r>
              <w:rPr>
                <w:color w:val="auto"/>
                <w:kern w:val="0"/>
                <w:sz w:val="22"/>
                <w:szCs w:val="22"/>
              </w:rPr>
              <w:t>2454559.21</w:t>
            </w:r>
          </w:p>
        </w:tc>
        <w:tc>
          <w:tcPr>
            <w:tcW w:w="1661" w:type="dxa"/>
            <w:tcBorders>
              <w:top w:val="nil"/>
              <w:left w:val="nil"/>
              <w:bottom w:val="single" w:color="auto" w:sz="4" w:space="0"/>
              <w:right w:val="single" w:color="auto" w:sz="4" w:space="0"/>
            </w:tcBorders>
            <w:shd w:val="clear" w:color="auto" w:fill="auto"/>
            <w:noWrap/>
            <w:vAlign w:val="center"/>
          </w:tcPr>
          <w:p w14:paraId="79E18D44">
            <w:pPr>
              <w:widowControl/>
              <w:spacing w:line="240" w:lineRule="auto"/>
              <w:ind w:firstLine="0" w:firstLineChars="0"/>
              <w:jc w:val="center"/>
              <w:rPr>
                <w:color w:val="auto"/>
                <w:kern w:val="0"/>
                <w:sz w:val="22"/>
                <w:szCs w:val="22"/>
              </w:rPr>
            </w:pPr>
            <w:r>
              <w:rPr>
                <w:color w:val="auto"/>
                <w:kern w:val="0"/>
                <w:sz w:val="22"/>
                <w:szCs w:val="22"/>
              </w:rPr>
              <w:t>36491373.10</w:t>
            </w:r>
          </w:p>
        </w:tc>
      </w:tr>
      <w:tr w14:paraId="6B168C14">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6F79770D">
            <w:pPr>
              <w:widowControl/>
              <w:spacing w:line="240" w:lineRule="auto"/>
              <w:ind w:firstLine="0" w:firstLineChars="0"/>
              <w:jc w:val="center"/>
              <w:rPr>
                <w:color w:val="auto"/>
                <w:kern w:val="0"/>
                <w:sz w:val="22"/>
                <w:szCs w:val="22"/>
              </w:rPr>
            </w:pPr>
            <w:r>
              <w:rPr>
                <w:color w:val="auto"/>
                <w:kern w:val="0"/>
                <w:sz w:val="22"/>
                <w:szCs w:val="22"/>
              </w:rPr>
              <w:t>2</w:t>
            </w:r>
          </w:p>
        </w:tc>
        <w:tc>
          <w:tcPr>
            <w:tcW w:w="1441" w:type="dxa"/>
            <w:tcBorders>
              <w:top w:val="nil"/>
              <w:left w:val="single" w:color="auto" w:sz="4" w:space="0"/>
              <w:bottom w:val="single" w:color="auto" w:sz="4" w:space="0"/>
              <w:right w:val="single" w:color="auto" w:sz="4" w:space="0"/>
            </w:tcBorders>
            <w:shd w:val="clear" w:color="auto" w:fill="auto"/>
            <w:vAlign w:val="center"/>
          </w:tcPr>
          <w:p w14:paraId="7DB0B5F8">
            <w:pPr>
              <w:widowControl/>
              <w:spacing w:line="240" w:lineRule="auto"/>
              <w:ind w:firstLine="0" w:firstLineChars="0"/>
              <w:jc w:val="center"/>
              <w:rPr>
                <w:color w:val="auto"/>
                <w:kern w:val="0"/>
                <w:sz w:val="22"/>
                <w:szCs w:val="22"/>
              </w:rPr>
            </w:pPr>
            <w:r>
              <w:rPr>
                <w:color w:val="auto"/>
                <w:kern w:val="0"/>
                <w:sz w:val="22"/>
                <w:szCs w:val="22"/>
              </w:rPr>
              <w:t>2454687.74</w:t>
            </w:r>
          </w:p>
        </w:tc>
        <w:tc>
          <w:tcPr>
            <w:tcW w:w="1551" w:type="dxa"/>
            <w:tcBorders>
              <w:top w:val="nil"/>
              <w:left w:val="nil"/>
              <w:bottom w:val="single" w:color="auto" w:sz="4" w:space="0"/>
              <w:right w:val="single" w:color="auto" w:sz="4" w:space="0"/>
            </w:tcBorders>
            <w:shd w:val="clear" w:color="auto" w:fill="auto"/>
            <w:vAlign w:val="center"/>
          </w:tcPr>
          <w:p w14:paraId="4C8909C8">
            <w:pPr>
              <w:widowControl/>
              <w:spacing w:line="240" w:lineRule="auto"/>
              <w:ind w:firstLine="0" w:firstLineChars="0"/>
              <w:jc w:val="center"/>
              <w:rPr>
                <w:color w:val="auto"/>
                <w:kern w:val="0"/>
                <w:sz w:val="22"/>
                <w:szCs w:val="22"/>
              </w:rPr>
            </w:pPr>
            <w:r>
              <w:rPr>
                <w:color w:val="auto"/>
                <w:kern w:val="0"/>
                <w:sz w:val="22"/>
                <w:szCs w:val="22"/>
              </w:rPr>
              <w:t>36491412.27</w:t>
            </w:r>
          </w:p>
        </w:tc>
        <w:tc>
          <w:tcPr>
            <w:tcW w:w="1551" w:type="dxa"/>
            <w:tcBorders>
              <w:top w:val="nil"/>
              <w:left w:val="nil"/>
              <w:bottom w:val="single" w:color="auto" w:sz="4" w:space="0"/>
              <w:right w:val="single" w:color="auto" w:sz="4" w:space="0"/>
            </w:tcBorders>
            <w:shd w:val="clear" w:color="auto" w:fill="auto"/>
            <w:noWrap/>
            <w:vAlign w:val="center"/>
          </w:tcPr>
          <w:p w14:paraId="05D141B3">
            <w:pPr>
              <w:widowControl/>
              <w:spacing w:line="240" w:lineRule="auto"/>
              <w:ind w:firstLine="0" w:firstLineChars="0"/>
              <w:jc w:val="center"/>
              <w:rPr>
                <w:color w:val="auto"/>
                <w:kern w:val="0"/>
                <w:sz w:val="22"/>
                <w:szCs w:val="22"/>
              </w:rPr>
            </w:pPr>
            <w:r>
              <w:rPr>
                <w:color w:val="auto"/>
                <w:kern w:val="0"/>
                <w:sz w:val="22"/>
                <w:szCs w:val="22"/>
              </w:rPr>
              <w:t>2454689.11</w:t>
            </w:r>
          </w:p>
        </w:tc>
        <w:tc>
          <w:tcPr>
            <w:tcW w:w="1661" w:type="dxa"/>
            <w:tcBorders>
              <w:top w:val="nil"/>
              <w:left w:val="nil"/>
              <w:bottom w:val="single" w:color="auto" w:sz="4" w:space="0"/>
              <w:right w:val="single" w:color="auto" w:sz="4" w:space="0"/>
            </w:tcBorders>
            <w:shd w:val="clear" w:color="auto" w:fill="auto"/>
            <w:noWrap/>
            <w:vAlign w:val="center"/>
          </w:tcPr>
          <w:p w14:paraId="0267FDB4">
            <w:pPr>
              <w:widowControl/>
              <w:spacing w:line="240" w:lineRule="auto"/>
              <w:ind w:firstLine="0" w:firstLineChars="0"/>
              <w:jc w:val="center"/>
              <w:rPr>
                <w:color w:val="auto"/>
                <w:kern w:val="0"/>
                <w:sz w:val="22"/>
                <w:szCs w:val="22"/>
              </w:rPr>
            </w:pPr>
            <w:r>
              <w:rPr>
                <w:color w:val="auto"/>
                <w:kern w:val="0"/>
                <w:sz w:val="22"/>
                <w:szCs w:val="22"/>
              </w:rPr>
              <w:t>36491527.14</w:t>
            </w:r>
          </w:p>
        </w:tc>
      </w:tr>
      <w:tr w14:paraId="74960D39">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25689C86">
            <w:pPr>
              <w:widowControl/>
              <w:spacing w:line="240" w:lineRule="auto"/>
              <w:ind w:firstLine="0" w:firstLineChars="0"/>
              <w:jc w:val="center"/>
              <w:rPr>
                <w:color w:val="auto"/>
                <w:kern w:val="0"/>
                <w:sz w:val="22"/>
                <w:szCs w:val="22"/>
              </w:rPr>
            </w:pPr>
            <w:r>
              <w:rPr>
                <w:color w:val="auto"/>
                <w:kern w:val="0"/>
                <w:sz w:val="22"/>
                <w:szCs w:val="22"/>
              </w:rPr>
              <w:t>3</w:t>
            </w:r>
          </w:p>
        </w:tc>
        <w:tc>
          <w:tcPr>
            <w:tcW w:w="1441" w:type="dxa"/>
            <w:tcBorders>
              <w:top w:val="nil"/>
              <w:left w:val="single" w:color="auto" w:sz="4" w:space="0"/>
              <w:bottom w:val="single" w:color="auto" w:sz="4" w:space="0"/>
              <w:right w:val="single" w:color="auto" w:sz="4" w:space="0"/>
            </w:tcBorders>
            <w:shd w:val="clear" w:color="auto" w:fill="auto"/>
            <w:vAlign w:val="center"/>
          </w:tcPr>
          <w:p w14:paraId="60DC0C6A">
            <w:pPr>
              <w:widowControl/>
              <w:spacing w:line="240" w:lineRule="auto"/>
              <w:ind w:firstLine="0" w:firstLineChars="0"/>
              <w:jc w:val="center"/>
              <w:rPr>
                <w:color w:val="auto"/>
                <w:kern w:val="0"/>
                <w:sz w:val="22"/>
                <w:szCs w:val="22"/>
              </w:rPr>
            </w:pPr>
            <w:r>
              <w:rPr>
                <w:color w:val="auto"/>
                <w:kern w:val="0"/>
                <w:sz w:val="22"/>
                <w:szCs w:val="22"/>
              </w:rPr>
              <w:t>2454562.68</w:t>
            </w:r>
          </w:p>
        </w:tc>
        <w:tc>
          <w:tcPr>
            <w:tcW w:w="1551" w:type="dxa"/>
            <w:tcBorders>
              <w:top w:val="nil"/>
              <w:left w:val="nil"/>
              <w:bottom w:val="single" w:color="auto" w:sz="4" w:space="0"/>
              <w:right w:val="single" w:color="auto" w:sz="4" w:space="0"/>
            </w:tcBorders>
            <w:shd w:val="clear" w:color="auto" w:fill="auto"/>
            <w:vAlign w:val="center"/>
          </w:tcPr>
          <w:p w14:paraId="723D1912">
            <w:pPr>
              <w:widowControl/>
              <w:spacing w:line="240" w:lineRule="auto"/>
              <w:ind w:firstLine="0" w:firstLineChars="0"/>
              <w:jc w:val="center"/>
              <w:rPr>
                <w:color w:val="auto"/>
                <w:kern w:val="0"/>
                <w:sz w:val="22"/>
                <w:szCs w:val="22"/>
              </w:rPr>
            </w:pPr>
            <w:r>
              <w:rPr>
                <w:color w:val="auto"/>
                <w:kern w:val="0"/>
                <w:sz w:val="22"/>
                <w:szCs w:val="22"/>
              </w:rPr>
              <w:t>36491663.66</w:t>
            </w:r>
          </w:p>
        </w:tc>
        <w:tc>
          <w:tcPr>
            <w:tcW w:w="1551" w:type="dxa"/>
            <w:tcBorders>
              <w:top w:val="nil"/>
              <w:left w:val="nil"/>
              <w:bottom w:val="single" w:color="auto" w:sz="4" w:space="0"/>
              <w:right w:val="single" w:color="auto" w:sz="4" w:space="0"/>
            </w:tcBorders>
            <w:shd w:val="clear" w:color="auto" w:fill="auto"/>
            <w:noWrap/>
            <w:vAlign w:val="center"/>
          </w:tcPr>
          <w:p w14:paraId="17B08638">
            <w:pPr>
              <w:widowControl/>
              <w:spacing w:line="240" w:lineRule="auto"/>
              <w:ind w:firstLine="0" w:firstLineChars="0"/>
              <w:jc w:val="center"/>
              <w:rPr>
                <w:color w:val="auto"/>
                <w:kern w:val="0"/>
                <w:sz w:val="22"/>
                <w:szCs w:val="22"/>
              </w:rPr>
            </w:pPr>
            <w:r>
              <w:rPr>
                <w:color w:val="auto"/>
                <w:kern w:val="0"/>
                <w:sz w:val="22"/>
                <w:szCs w:val="22"/>
              </w:rPr>
              <w:t>2454564.05</w:t>
            </w:r>
          </w:p>
        </w:tc>
        <w:tc>
          <w:tcPr>
            <w:tcW w:w="1661" w:type="dxa"/>
            <w:tcBorders>
              <w:top w:val="nil"/>
              <w:left w:val="nil"/>
              <w:bottom w:val="single" w:color="auto" w:sz="4" w:space="0"/>
              <w:right w:val="single" w:color="auto" w:sz="4" w:space="0"/>
            </w:tcBorders>
            <w:shd w:val="clear" w:color="auto" w:fill="auto"/>
            <w:noWrap/>
            <w:vAlign w:val="center"/>
          </w:tcPr>
          <w:p w14:paraId="11F9F510">
            <w:pPr>
              <w:widowControl/>
              <w:spacing w:line="240" w:lineRule="auto"/>
              <w:ind w:firstLine="0" w:firstLineChars="0"/>
              <w:jc w:val="center"/>
              <w:rPr>
                <w:color w:val="auto"/>
                <w:kern w:val="0"/>
                <w:sz w:val="22"/>
                <w:szCs w:val="22"/>
              </w:rPr>
            </w:pPr>
            <w:r>
              <w:rPr>
                <w:color w:val="auto"/>
                <w:kern w:val="0"/>
                <w:sz w:val="22"/>
                <w:szCs w:val="22"/>
              </w:rPr>
              <w:t>36491778.53</w:t>
            </w:r>
          </w:p>
        </w:tc>
      </w:tr>
      <w:tr w14:paraId="0F9A9C74">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5B1A9F6F">
            <w:pPr>
              <w:widowControl/>
              <w:spacing w:line="240" w:lineRule="auto"/>
              <w:ind w:firstLine="0" w:firstLineChars="0"/>
              <w:jc w:val="center"/>
              <w:rPr>
                <w:color w:val="auto"/>
                <w:kern w:val="0"/>
                <w:sz w:val="22"/>
                <w:szCs w:val="22"/>
              </w:rPr>
            </w:pPr>
            <w:r>
              <w:rPr>
                <w:color w:val="auto"/>
                <w:kern w:val="0"/>
                <w:sz w:val="22"/>
                <w:szCs w:val="22"/>
              </w:rPr>
              <w:t>4</w:t>
            </w:r>
          </w:p>
        </w:tc>
        <w:tc>
          <w:tcPr>
            <w:tcW w:w="1441" w:type="dxa"/>
            <w:tcBorders>
              <w:top w:val="nil"/>
              <w:left w:val="single" w:color="auto" w:sz="4" w:space="0"/>
              <w:bottom w:val="single" w:color="auto" w:sz="4" w:space="0"/>
              <w:right w:val="single" w:color="auto" w:sz="4" w:space="0"/>
            </w:tcBorders>
            <w:shd w:val="clear" w:color="auto" w:fill="auto"/>
            <w:vAlign w:val="center"/>
          </w:tcPr>
          <w:p w14:paraId="1C7C861B">
            <w:pPr>
              <w:widowControl/>
              <w:spacing w:line="240" w:lineRule="auto"/>
              <w:ind w:firstLine="0" w:firstLineChars="0"/>
              <w:jc w:val="center"/>
              <w:rPr>
                <w:color w:val="auto"/>
                <w:kern w:val="0"/>
                <w:sz w:val="22"/>
                <w:szCs w:val="22"/>
              </w:rPr>
            </w:pPr>
            <w:r>
              <w:rPr>
                <w:color w:val="auto"/>
                <w:kern w:val="0"/>
                <w:sz w:val="22"/>
                <w:szCs w:val="22"/>
              </w:rPr>
              <w:t>2454578.15</w:t>
            </w:r>
          </w:p>
        </w:tc>
        <w:tc>
          <w:tcPr>
            <w:tcW w:w="1551" w:type="dxa"/>
            <w:tcBorders>
              <w:top w:val="nil"/>
              <w:left w:val="nil"/>
              <w:bottom w:val="single" w:color="auto" w:sz="4" w:space="0"/>
              <w:right w:val="single" w:color="auto" w:sz="4" w:space="0"/>
            </w:tcBorders>
            <w:shd w:val="clear" w:color="auto" w:fill="auto"/>
            <w:vAlign w:val="center"/>
          </w:tcPr>
          <w:p w14:paraId="0461DE70">
            <w:pPr>
              <w:widowControl/>
              <w:spacing w:line="240" w:lineRule="auto"/>
              <w:ind w:firstLine="0" w:firstLineChars="0"/>
              <w:jc w:val="center"/>
              <w:rPr>
                <w:color w:val="auto"/>
                <w:kern w:val="0"/>
                <w:sz w:val="22"/>
                <w:szCs w:val="22"/>
              </w:rPr>
            </w:pPr>
            <w:r>
              <w:rPr>
                <w:color w:val="auto"/>
                <w:kern w:val="0"/>
                <w:sz w:val="22"/>
                <w:szCs w:val="22"/>
              </w:rPr>
              <w:t>36491797.19</w:t>
            </w:r>
          </w:p>
        </w:tc>
        <w:tc>
          <w:tcPr>
            <w:tcW w:w="1551" w:type="dxa"/>
            <w:tcBorders>
              <w:top w:val="nil"/>
              <w:left w:val="nil"/>
              <w:bottom w:val="single" w:color="auto" w:sz="4" w:space="0"/>
              <w:right w:val="single" w:color="auto" w:sz="4" w:space="0"/>
            </w:tcBorders>
            <w:shd w:val="clear" w:color="auto" w:fill="auto"/>
            <w:noWrap/>
            <w:vAlign w:val="center"/>
          </w:tcPr>
          <w:p w14:paraId="296CB0A9">
            <w:pPr>
              <w:widowControl/>
              <w:spacing w:line="240" w:lineRule="auto"/>
              <w:ind w:firstLine="0" w:firstLineChars="0"/>
              <w:jc w:val="center"/>
              <w:rPr>
                <w:color w:val="auto"/>
                <w:kern w:val="0"/>
                <w:sz w:val="22"/>
                <w:szCs w:val="22"/>
              </w:rPr>
            </w:pPr>
            <w:r>
              <w:rPr>
                <w:color w:val="auto"/>
                <w:kern w:val="0"/>
                <w:sz w:val="22"/>
                <w:szCs w:val="22"/>
              </w:rPr>
              <w:t>2454579.52</w:t>
            </w:r>
          </w:p>
        </w:tc>
        <w:tc>
          <w:tcPr>
            <w:tcW w:w="1661" w:type="dxa"/>
            <w:tcBorders>
              <w:top w:val="nil"/>
              <w:left w:val="nil"/>
              <w:bottom w:val="single" w:color="auto" w:sz="4" w:space="0"/>
              <w:right w:val="single" w:color="auto" w:sz="4" w:space="0"/>
            </w:tcBorders>
            <w:shd w:val="clear" w:color="auto" w:fill="auto"/>
            <w:noWrap/>
            <w:vAlign w:val="center"/>
          </w:tcPr>
          <w:p w14:paraId="2CBBE5E1">
            <w:pPr>
              <w:widowControl/>
              <w:spacing w:line="240" w:lineRule="auto"/>
              <w:ind w:firstLine="0" w:firstLineChars="0"/>
              <w:jc w:val="center"/>
              <w:rPr>
                <w:color w:val="auto"/>
                <w:kern w:val="0"/>
                <w:sz w:val="22"/>
                <w:szCs w:val="22"/>
              </w:rPr>
            </w:pPr>
            <w:r>
              <w:rPr>
                <w:color w:val="auto"/>
                <w:kern w:val="0"/>
                <w:sz w:val="22"/>
                <w:szCs w:val="22"/>
              </w:rPr>
              <w:t>36491912.06</w:t>
            </w:r>
          </w:p>
        </w:tc>
      </w:tr>
      <w:tr w14:paraId="4AC9D430">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3299B01B">
            <w:pPr>
              <w:widowControl/>
              <w:spacing w:line="240" w:lineRule="auto"/>
              <w:ind w:firstLine="0" w:firstLineChars="0"/>
              <w:jc w:val="center"/>
              <w:rPr>
                <w:color w:val="auto"/>
                <w:kern w:val="0"/>
                <w:sz w:val="22"/>
                <w:szCs w:val="22"/>
              </w:rPr>
            </w:pPr>
            <w:r>
              <w:rPr>
                <w:color w:val="auto"/>
                <w:kern w:val="0"/>
                <w:sz w:val="22"/>
                <w:szCs w:val="22"/>
              </w:rPr>
              <w:t>5</w:t>
            </w:r>
          </w:p>
        </w:tc>
        <w:tc>
          <w:tcPr>
            <w:tcW w:w="1441" w:type="dxa"/>
            <w:tcBorders>
              <w:top w:val="nil"/>
              <w:left w:val="single" w:color="auto" w:sz="4" w:space="0"/>
              <w:bottom w:val="single" w:color="auto" w:sz="4" w:space="0"/>
              <w:right w:val="single" w:color="auto" w:sz="4" w:space="0"/>
            </w:tcBorders>
            <w:shd w:val="clear" w:color="auto" w:fill="auto"/>
            <w:vAlign w:val="center"/>
          </w:tcPr>
          <w:p w14:paraId="7B849112">
            <w:pPr>
              <w:widowControl/>
              <w:spacing w:line="240" w:lineRule="auto"/>
              <w:ind w:firstLine="0" w:firstLineChars="0"/>
              <w:jc w:val="center"/>
              <w:rPr>
                <w:color w:val="auto"/>
                <w:kern w:val="0"/>
                <w:sz w:val="22"/>
                <w:szCs w:val="22"/>
              </w:rPr>
            </w:pPr>
            <w:r>
              <w:rPr>
                <w:color w:val="auto"/>
                <w:kern w:val="0"/>
                <w:sz w:val="22"/>
                <w:szCs w:val="22"/>
              </w:rPr>
              <w:t>2454637.93</w:t>
            </w:r>
          </w:p>
        </w:tc>
        <w:tc>
          <w:tcPr>
            <w:tcW w:w="1551" w:type="dxa"/>
            <w:tcBorders>
              <w:top w:val="nil"/>
              <w:left w:val="nil"/>
              <w:bottom w:val="single" w:color="auto" w:sz="4" w:space="0"/>
              <w:right w:val="single" w:color="auto" w:sz="4" w:space="0"/>
            </w:tcBorders>
            <w:shd w:val="clear" w:color="auto" w:fill="auto"/>
            <w:vAlign w:val="center"/>
          </w:tcPr>
          <w:p w14:paraId="6F88B708">
            <w:pPr>
              <w:widowControl/>
              <w:spacing w:line="240" w:lineRule="auto"/>
              <w:ind w:firstLine="0" w:firstLineChars="0"/>
              <w:jc w:val="center"/>
              <w:rPr>
                <w:color w:val="auto"/>
                <w:kern w:val="0"/>
                <w:sz w:val="22"/>
                <w:szCs w:val="22"/>
              </w:rPr>
            </w:pPr>
            <w:r>
              <w:rPr>
                <w:color w:val="auto"/>
                <w:kern w:val="0"/>
                <w:sz w:val="22"/>
                <w:szCs w:val="22"/>
              </w:rPr>
              <w:t>36492024.69</w:t>
            </w:r>
          </w:p>
        </w:tc>
        <w:tc>
          <w:tcPr>
            <w:tcW w:w="1551" w:type="dxa"/>
            <w:tcBorders>
              <w:top w:val="nil"/>
              <w:left w:val="nil"/>
              <w:bottom w:val="single" w:color="auto" w:sz="4" w:space="0"/>
              <w:right w:val="single" w:color="auto" w:sz="4" w:space="0"/>
            </w:tcBorders>
            <w:shd w:val="clear" w:color="auto" w:fill="auto"/>
            <w:noWrap/>
            <w:vAlign w:val="center"/>
          </w:tcPr>
          <w:p w14:paraId="7D0AFD43">
            <w:pPr>
              <w:widowControl/>
              <w:spacing w:line="240" w:lineRule="auto"/>
              <w:ind w:firstLine="0" w:firstLineChars="0"/>
              <w:jc w:val="center"/>
              <w:rPr>
                <w:color w:val="auto"/>
                <w:kern w:val="0"/>
                <w:sz w:val="22"/>
                <w:szCs w:val="22"/>
              </w:rPr>
            </w:pPr>
            <w:r>
              <w:rPr>
                <w:color w:val="auto"/>
                <w:kern w:val="0"/>
                <w:sz w:val="22"/>
                <w:szCs w:val="22"/>
              </w:rPr>
              <w:t>2454639.30</w:t>
            </w:r>
          </w:p>
        </w:tc>
        <w:tc>
          <w:tcPr>
            <w:tcW w:w="1661" w:type="dxa"/>
            <w:tcBorders>
              <w:top w:val="nil"/>
              <w:left w:val="nil"/>
              <w:bottom w:val="single" w:color="auto" w:sz="4" w:space="0"/>
              <w:right w:val="single" w:color="auto" w:sz="4" w:space="0"/>
            </w:tcBorders>
            <w:shd w:val="clear" w:color="auto" w:fill="auto"/>
            <w:noWrap/>
            <w:vAlign w:val="center"/>
          </w:tcPr>
          <w:p w14:paraId="19D096E1">
            <w:pPr>
              <w:widowControl/>
              <w:spacing w:line="240" w:lineRule="auto"/>
              <w:ind w:firstLine="0" w:firstLineChars="0"/>
              <w:jc w:val="center"/>
              <w:rPr>
                <w:color w:val="auto"/>
                <w:kern w:val="0"/>
                <w:sz w:val="22"/>
                <w:szCs w:val="22"/>
              </w:rPr>
            </w:pPr>
            <w:r>
              <w:rPr>
                <w:color w:val="auto"/>
                <w:kern w:val="0"/>
                <w:sz w:val="22"/>
                <w:szCs w:val="22"/>
              </w:rPr>
              <w:t>36492139.56</w:t>
            </w:r>
          </w:p>
        </w:tc>
      </w:tr>
      <w:tr w14:paraId="0E08368D">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56F09527">
            <w:pPr>
              <w:widowControl/>
              <w:spacing w:line="240" w:lineRule="auto"/>
              <w:ind w:firstLine="0" w:firstLineChars="0"/>
              <w:jc w:val="center"/>
              <w:rPr>
                <w:color w:val="auto"/>
                <w:kern w:val="0"/>
                <w:sz w:val="22"/>
                <w:szCs w:val="22"/>
              </w:rPr>
            </w:pPr>
            <w:r>
              <w:rPr>
                <w:color w:val="auto"/>
                <w:kern w:val="0"/>
                <w:sz w:val="22"/>
                <w:szCs w:val="22"/>
              </w:rPr>
              <w:t>6</w:t>
            </w:r>
          </w:p>
        </w:tc>
        <w:tc>
          <w:tcPr>
            <w:tcW w:w="1441" w:type="dxa"/>
            <w:tcBorders>
              <w:top w:val="nil"/>
              <w:left w:val="single" w:color="auto" w:sz="4" w:space="0"/>
              <w:bottom w:val="single" w:color="auto" w:sz="4" w:space="0"/>
              <w:right w:val="single" w:color="auto" w:sz="4" w:space="0"/>
            </w:tcBorders>
            <w:shd w:val="clear" w:color="auto" w:fill="auto"/>
            <w:vAlign w:val="center"/>
          </w:tcPr>
          <w:p w14:paraId="5650C0DF">
            <w:pPr>
              <w:widowControl/>
              <w:spacing w:line="240" w:lineRule="auto"/>
              <w:ind w:firstLine="0" w:firstLineChars="0"/>
              <w:jc w:val="center"/>
              <w:rPr>
                <w:color w:val="auto"/>
                <w:kern w:val="0"/>
                <w:sz w:val="22"/>
                <w:szCs w:val="22"/>
              </w:rPr>
            </w:pPr>
            <w:r>
              <w:rPr>
                <w:color w:val="auto"/>
                <w:kern w:val="0"/>
                <w:sz w:val="22"/>
                <w:szCs w:val="22"/>
              </w:rPr>
              <w:t>2454710.75</w:t>
            </w:r>
          </w:p>
        </w:tc>
        <w:tc>
          <w:tcPr>
            <w:tcW w:w="1551" w:type="dxa"/>
            <w:tcBorders>
              <w:top w:val="nil"/>
              <w:left w:val="nil"/>
              <w:bottom w:val="single" w:color="auto" w:sz="4" w:space="0"/>
              <w:right w:val="single" w:color="auto" w:sz="4" w:space="0"/>
            </w:tcBorders>
            <w:shd w:val="clear" w:color="auto" w:fill="auto"/>
            <w:vAlign w:val="center"/>
          </w:tcPr>
          <w:p w14:paraId="3430743C">
            <w:pPr>
              <w:widowControl/>
              <w:spacing w:line="240" w:lineRule="auto"/>
              <w:ind w:firstLine="0" w:firstLineChars="0"/>
              <w:jc w:val="center"/>
              <w:rPr>
                <w:color w:val="auto"/>
                <w:kern w:val="0"/>
                <w:sz w:val="22"/>
                <w:szCs w:val="22"/>
              </w:rPr>
            </w:pPr>
            <w:r>
              <w:rPr>
                <w:color w:val="auto"/>
                <w:kern w:val="0"/>
                <w:sz w:val="22"/>
                <w:szCs w:val="22"/>
              </w:rPr>
              <w:t>36492188.48</w:t>
            </w:r>
          </w:p>
        </w:tc>
        <w:tc>
          <w:tcPr>
            <w:tcW w:w="1551" w:type="dxa"/>
            <w:tcBorders>
              <w:top w:val="nil"/>
              <w:left w:val="nil"/>
              <w:bottom w:val="single" w:color="auto" w:sz="4" w:space="0"/>
              <w:right w:val="single" w:color="auto" w:sz="4" w:space="0"/>
            </w:tcBorders>
            <w:shd w:val="clear" w:color="auto" w:fill="auto"/>
            <w:noWrap/>
            <w:vAlign w:val="center"/>
          </w:tcPr>
          <w:p w14:paraId="18204B24">
            <w:pPr>
              <w:widowControl/>
              <w:spacing w:line="240" w:lineRule="auto"/>
              <w:ind w:firstLine="0" w:firstLineChars="0"/>
              <w:jc w:val="center"/>
              <w:rPr>
                <w:color w:val="auto"/>
                <w:kern w:val="0"/>
                <w:sz w:val="22"/>
                <w:szCs w:val="22"/>
              </w:rPr>
            </w:pPr>
            <w:r>
              <w:rPr>
                <w:color w:val="auto"/>
                <w:kern w:val="0"/>
                <w:sz w:val="22"/>
                <w:szCs w:val="22"/>
              </w:rPr>
              <w:t>2454712.12</w:t>
            </w:r>
          </w:p>
        </w:tc>
        <w:tc>
          <w:tcPr>
            <w:tcW w:w="1661" w:type="dxa"/>
            <w:tcBorders>
              <w:top w:val="nil"/>
              <w:left w:val="nil"/>
              <w:bottom w:val="single" w:color="auto" w:sz="4" w:space="0"/>
              <w:right w:val="single" w:color="auto" w:sz="4" w:space="0"/>
            </w:tcBorders>
            <w:shd w:val="clear" w:color="auto" w:fill="auto"/>
            <w:noWrap/>
            <w:vAlign w:val="center"/>
          </w:tcPr>
          <w:p w14:paraId="19BFFDCC">
            <w:pPr>
              <w:widowControl/>
              <w:spacing w:line="240" w:lineRule="auto"/>
              <w:ind w:firstLine="0" w:firstLineChars="0"/>
              <w:jc w:val="center"/>
              <w:rPr>
                <w:color w:val="auto"/>
                <w:kern w:val="0"/>
                <w:sz w:val="22"/>
                <w:szCs w:val="22"/>
              </w:rPr>
            </w:pPr>
            <w:r>
              <w:rPr>
                <w:color w:val="auto"/>
                <w:kern w:val="0"/>
                <w:sz w:val="22"/>
                <w:szCs w:val="22"/>
              </w:rPr>
              <w:t>36492303.35</w:t>
            </w:r>
          </w:p>
        </w:tc>
      </w:tr>
      <w:tr w14:paraId="00043BE7">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0D513DDC">
            <w:pPr>
              <w:widowControl/>
              <w:spacing w:line="240" w:lineRule="auto"/>
              <w:ind w:firstLine="0" w:firstLineChars="0"/>
              <w:jc w:val="center"/>
              <w:rPr>
                <w:color w:val="auto"/>
                <w:kern w:val="0"/>
                <w:sz w:val="22"/>
                <w:szCs w:val="22"/>
              </w:rPr>
            </w:pPr>
            <w:r>
              <w:rPr>
                <w:color w:val="auto"/>
                <w:kern w:val="0"/>
                <w:sz w:val="22"/>
                <w:szCs w:val="22"/>
              </w:rPr>
              <w:t>7</w:t>
            </w:r>
          </w:p>
        </w:tc>
        <w:tc>
          <w:tcPr>
            <w:tcW w:w="1441" w:type="dxa"/>
            <w:tcBorders>
              <w:top w:val="nil"/>
              <w:left w:val="single" w:color="auto" w:sz="4" w:space="0"/>
              <w:bottom w:val="single" w:color="auto" w:sz="4" w:space="0"/>
              <w:right w:val="single" w:color="auto" w:sz="4" w:space="0"/>
            </w:tcBorders>
            <w:shd w:val="clear" w:color="auto" w:fill="auto"/>
            <w:vAlign w:val="center"/>
          </w:tcPr>
          <w:p w14:paraId="027D36D1">
            <w:pPr>
              <w:widowControl/>
              <w:spacing w:line="240" w:lineRule="auto"/>
              <w:ind w:firstLine="0" w:firstLineChars="0"/>
              <w:jc w:val="center"/>
              <w:rPr>
                <w:color w:val="auto"/>
                <w:kern w:val="0"/>
                <w:sz w:val="22"/>
                <w:szCs w:val="22"/>
              </w:rPr>
            </w:pPr>
            <w:r>
              <w:rPr>
                <w:color w:val="auto"/>
                <w:kern w:val="0"/>
                <w:sz w:val="22"/>
                <w:szCs w:val="22"/>
              </w:rPr>
              <w:t>2454254.31</w:t>
            </w:r>
          </w:p>
        </w:tc>
        <w:tc>
          <w:tcPr>
            <w:tcW w:w="1551" w:type="dxa"/>
            <w:tcBorders>
              <w:top w:val="nil"/>
              <w:left w:val="nil"/>
              <w:bottom w:val="single" w:color="auto" w:sz="4" w:space="0"/>
              <w:right w:val="single" w:color="auto" w:sz="4" w:space="0"/>
            </w:tcBorders>
            <w:shd w:val="clear" w:color="auto" w:fill="auto"/>
            <w:vAlign w:val="center"/>
          </w:tcPr>
          <w:p w14:paraId="34B41E15">
            <w:pPr>
              <w:widowControl/>
              <w:spacing w:line="240" w:lineRule="auto"/>
              <w:ind w:firstLine="0" w:firstLineChars="0"/>
              <w:jc w:val="center"/>
              <w:rPr>
                <w:color w:val="auto"/>
                <w:kern w:val="0"/>
                <w:sz w:val="22"/>
                <w:szCs w:val="22"/>
              </w:rPr>
            </w:pPr>
            <w:r>
              <w:rPr>
                <w:color w:val="auto"/>
                <w:kern w:val="0"/>
                <w:sz w:val="22"/>
                <w:szCs w:val="22"/>
              </w:rPr>
              <w:t>36492398.74</w:t>
            </w:r>
          </w:p>
        </w:tc>
        <w:tc>
          <w:tcPr>
            <w:tcW w:w="1551" w:type="dxa"/>
            <w:tcBorders>
              <w:top w:val="nil"/>
              <w:left w:val="nil"/>
              <w:bottom w:val="single" w:color="auto" w:sz="4" w:space="0"/>
              <w:right w:val="single" w:color="auto" w:sz="4" w:space="0"/>
            </w:tcBorders>
            <w:shd w:val="clear" w:color="auto" w:fill="auto"/>
            <w:noWrap/>
            <w:vAlign w:val="center"/>
          </w:tcPr>
          <w:p w14:paraId="12F4BD24">
            <w:pPr>
              <w:widowControl/>
              <w:spacing w:line="240" w:lineRule="auto"/>
              <w:ind w:firstLine="0" w:firstLineChars="0"/>
              <w:jc w:val="center"/>
              <w:rPr>
                <w:color w:val="auto"/>
                <w:kern w:val="0"/>
                <w:sz w:val="22"/>
                <w:szCs w:val="22"/>
              </w:rPr>
            </w:pPr>
            <w:r>
              <w:rPr>
                <w:color w:val="auto"/>
                <w:kern w:val="0"/>
                <w:sz w:val="22"/>
                <w:szCs w:val="22"/>
              </w:rPr>
              <w:t>2454255.68</w:t>
            </w:r>
          </w:p>
        </w:tc>
        <w:tc>
          <w:tcPr>
            <w:tcW w:w="1661" w:type="dxa"/>
            <w:tcBorders>
              <w:top w:val="nil"/>
              <w:left w:val="nil"/>
              <w:bottom w:val="single" w:color="auto" w:sz="4" w:space="0"/>
              <w:right w:val="single" w:color="auto" w:sz="4" w:space="0"/>
            </w:tcBorders>
            <w:shd w:val="clear" w:color="auto" w:fill="auto"/>
            <w:noWrap/>
            <w:vAlign w:val="center"/>
          </w:tcPr>
          <w:p w14:paraId="4DB364BB">
            <w:pPr>
              <w:widowControl/>
              <w:spacing w:line="240" w:lineRule="auto"/>
              <w:ind w:firstLine="0" w:firstLineChars="0"/>
              <w:jc w:val="center"/>
              <w:rPr>
                <w:color w:val="auto"/>
                <w:kern w:val="0"/>
                <w:sz w:val="22"/>
                <w:szCs w:val="22"/>
              </w:rPr>
            </w:pPr>
            <w:r>
              <w:rPr>
                <w:color w:val="auto"/>
                <w:kern w:val="0"/>
                <w:sz w:val="22"/>
                <w:szCs w:val="22"/>
              </w:rPr>
              <w:t>36492513.61</w:t>
            </w:r>
          </w:p>
        </w:tc>
      </w:tr>
      <w:tr w14:paraId="5D406F7E">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7B1A3DF5">
            <w:pPr>
              <w:widowControl/>
              <w:spacing w:line="240" w:lineRule="auto"/>
              <w:ind w:firstLine="0" w:firstLineChars="0"/>
              <w:jc w:val="center"/>
              <w:rPr>
                <w:color w:val="auto"/>
                <w:kern w:val="0"/>
                <w:sz w:val="22"/>
                <w:szCs w:val="22"/>
              </w:rPr>
            </w:pPr>
            <w:r>
              <w:rPr>
                <w:color w:val="auto"/>
                <w:kern w:val="0"/>
                <w:sz w:val="22"/>
                <w:szCs w:val="22"/>
              </w:rPr>
              <w:t>8</w:t>
            </w:r>
          </w:p>
        </w:tc>
        <w:tc>
          <w:tcPr>
            <w:tcW w:w="1441" w:type="dxa"/>
            <w:tcBorders>
              <w:top w:val="nil"/>
              <w:left w:val="single" w:color="auto" w:sz="4" w:space="0"/>
              <w:bottom w:val="single" w:color="auto" w:sz="4" w:space="0"/>
              <w:right w:val="single" w:color="auto" w:sz="4" w:space="0"/>
            </w:tcBorders>
            <w:shd w:val="clear" w:color="auto" w:fill="auto"/>
            <w:vAlign w:val="center"/>
          </w:tcPr>
          <w:p w14:paraId="71A2A8AF">
            <w:pPr>
              <w:widowControl/>
              <w:spacing w:line="240" w:lineRule="auto"/>
              <w:ind w:firstLine="0" w:firstLineChars="0"/>
              <w:jc w:val="center"/>
              <w:rPr>
                <w:color w:val="auto"/>
                <w:kern w:val="0"/>
                <w:sz w:val="22"/>
                <w:szCs w:val="22"/>
              </w:rPr>
            </w:pPr>
            <w:r>
              <w:rPr>
                <w:color w:val="auto"/>
                <w:kern w:val="0"/>
                <w:sz w:val="22"/>
                <w:szCs w:val="22"/>
              </w:rPr>
              <w:t>2454217.60</w:t>
            </w:r>
          </w:p>
        </w:tc>
        <w:tc>
          <w:tcPr>
            <w:tcW w:w="1551" w:type="dxa"/>
            <w:tcBorders>
              <w:top w:val="nil"/>
              <w:left w:val="nil"/>
              <w:bottom w:val="single" w:color="auto" w:sz="4" w:space="0"/>
              <w:right w:val="single" w:color="auto" w:sz="4" w:space="0"/>
            </w:tcBorders>
            <w:shd w:val="clear" w:color="auto" w:fill="auto"/>
            <w:vAlign w:val="center"/>
          </w:tcPr>
          <w:p w14:paraId="754BBE00">
            <w:pPr>
              <w:widowControl/>
              <w:spacing w:line="240" w:lineRule="auto"/>
              <w:ind w:firstLine="0" w:firstLineChars="0"/>
              <w:jc w:val="center"/>
              <w:rPr>
                <w:color w:val="auto"/>
                <w:kern w:val="0"/>
                <w:sz w:val="22"/>
                <w:szCs w:val="22"/>
              </w:rPr>
            </w:pPr>
            <w:r>
              <w:rPr>
                <w:color w:val="auto"/>
                <w:kern w:val="0"/>
                <w:sz w:val="22"/>
                <w:szCs w:val="22"/>
              </w:rPr>
              <w:t>36492292.89</w:t>
            </w:r>
          </w:p>
        </w:tc>
        <w:tc>
          <w:tcPr>
            <w:tcW w:w="1551" w:type="dxa"/>
            <w:tcBorders>
              <w:top w:val="nil"/>
              <w:left w:val="nil"/>
              <w:bottom w:val="single" w:color="auto" w:sz="4" w:space="0"/>
              <w:right w:val="single" w:color="auto" w:sz="4" w:space="0"/>
            </w:tcBorders>
            <w:shd w:val="clear" w:color="auto" w:fill="auto"/>
            <w:noWrap/>
            <w:vAlign w:val="center"/>
          </w:tcPr>
          <w:p w14:paraId="1ED07123">
            <w:pPr>
              <w:widowControl/>
              <w:spacing w:line="240" w:lineRule="auto"/>
              <w:ind w:firstLine="0" w:firstLineChars="0"/>
              <w:jc w:val="center"/>
              <w:rPr>
                <w:color w:val="auto"/>
                <w:kern w:val="0"/>
                <w:sz w:val="22"/>
                <w:szCs w:val="22"/>
              </w:rPr>
            </w:pPr>
            <w:r>
              <w:rPr>
                <w:color w:val="auto"/>
                <w:kern w:val="0"/>
                <w:sz w:val="22"/>
                <w:szCs w:val="22"/>
              </w:rPr>
              <w:t>2454218.97</w:t>
            </w:r>
          </w:p>
        </w:tc>
        <w:tc>
          <w:tcPr>
            <w:tcW w:w="1661" w:type="dxa"/>
            <w:tcBorders>
              <w:top w:val="nil"/>
              <w:left w:val="nil"/>
              <w:bottom w:val="single" w:color="auto" w:sz="4" w:space="0"/>
              <w:right w:val="single" w:color="auto" w:sz="4" w:space="0"/>
            </w:tcBorders>
            <w:shd w:val="clear" w:color="auto" w:fill="auto"/>
            <w:noWrap/>
            <w:vAlign w:val="center"/>
          </w:tcPr>
          <w:p w14:paraId="0331216D">
            <w:pPr>
              <w:widowControl/>
              <w:spacing w:line="240" w:lineRule="auto"/>
              <w:ind w:firstLine="0" w:firstLineChars="0"/>
              <w:jc w:val="center"/>
              <w:rPr>
                <w:color w:val="auto"/>
                <w:kern w:val="0"/>
                <w:sz w:val="22"/>
                <w:szCs w:val="22"/>
              </w:rPr>
            </w:pPr>
            <w:r>
              <w:rPr>
                <w:color w:val="auto"/>
                <w:kern w:val="0"/>
                <w:sz w:val="22"/>
                <w:szCs w:val="22"/>
              </w:rPr>
              <w:t>36492407.76</w:t>
            </w:r>
          </w:p>
        </w:tc>
      </w:tr>
      <w:tr w14:paraId="17C12133">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08A12FDC">
            <w:pPr>
              <w:widowControl/>
              <w:spacing w:line="240" w:lineRule="auto"/>
              <w:ind w:firstLine="0" w:firstLineChars="0"/>
              <w:jc w:val="center"/>
              <w:rPr>
                <w:color w:val="auto"/>
                <w:kern w:val="0"/>
                <w:sz w:val="22"/>
                <w:szCs w:val="22"/>
              </w:rPr>
            </w:pPr>
            <w:r>
              <w:rPr>
                <w:color w:val="auto"/>
                <w:kern w:val="0"/>
                <w:sz w:val="22"/>
                <w:szCs w:val="22"/>
              </w:rPr>
              <w:t>9</w:t>
            </w:r>
          </w:p>
        </w:tc>
        <w:tc>
          <w:tcPr>
            <w:tcW w:w="1441" w:type="dxa"/>
            <w:tcBorders>
              <w:top w:val="nil"/>
              <w:left w:val="single" w:color="auto" w:sz="4" w:space="0"/>
              <w:bottom w:val="single" w:color="auto" w:sz="4" w:space="0"/>
              <w:right w:val="single" w:color="auto" w:sz="4" w:space="0"/>
            </w:tcBorders>
            <w:shd w:val="clear" w:color="auto" w:fill="auto"/>
            <w:vAlign w:val="center"/>
          </w:tcPr>
          <w:p w14:paraId="5AC5767B">
            <w:pPr>
              <w:widowControl/>
              <w:spacing w:line="240" w:lineRule="auto"/>
              <w:ind w:firstLine="0" w:firstLineChars="0"/>
              <w:jc w:val="center"/>
              <w:rPr>
                <w:color w:val="auto"/>
                <w:kern w:val="0"/>
                <w:sz w:val="22"/>
                <w:szCs w:val="22"/>
              </w:rPr>
            </w:pPr>
            <w:r>
              <w:rPr>
                <w:color w:val="auto"/>
                <w:kern w:val="0"/>
                <w:sz w:val="22"/>
                <w:szCs w:val="22"/>
              </w:rPr>
              <w:t>2454141.15</w:t>
            </w:r>
          </w:p>
        </w:tc>
        <w:tc>
          <w:tcPr>
            <w:tcW w:w="1551" w:type="dxa"/>
            <w:tcBorders>
              <w:top w:val="nil"/>
              <w:left w:val="nil"/>
              <w:bottom w:val="single" w:color="auto" w:sz="4" w:space="0"/>
              <w:right w:val="single" w:color="auto" w:sz="4" w:space="0"/>
            </w:tcBorders>
            <w:shd w:val="clear" w:color="auto" w:fill="auto"/>
            <w:vAlign w:val="center"/>
          </w:tcPr>
          <w:p w14:paraId="2D9C8AFC">
            <w:pPr>
              <w:widowControl/>
              <w:spacing w:line="240" w:lineRule="auto"/>
              <w:ind w:firstLine="0" w:firstLineChars="0"/>
              <w:jc w:val="center"/>
              <w:rPr>
                <w:color w:val="auto"/>
                <w:kern w:val="0"/>
                <w:sz w:val="22"/>
                <w:szCs w:val="22"/>
              </w:rPr>
            </w:pPr>
            <w:r>
              <w:rPr>
                <w:color w:val="auto"/>
                <w:kern w:val="0"/>
                <w:sz w:val="22"/>
                <w:szCs w:val="22"/>
              </w:rPr>
              <w:t>36491895.40</w:t>
            </w:r>
          </w:p>
        </w:tc>
        <w:tc>
          <w:tcPr>
            <w:tcW w:w="1551" w:type="dxa"/>
            <w:tcBorders>
              <w:top w:val="nil"/>
              <w:left w:val="nil"/>
              <w:bottom w:val="single" w:color="auto" w:sz="4" w:space="0"/>
              <w:right w:val="single" w:color="auto" w:sz="4" w:space="0"/>
            </w:tcBorders>
            <w:shd w:val="clear" w:color="auto" w:fill="auto"/>
            <w:noWrap/>
            <w:vAlign w:val="center"/>
          </w:tcPr>
          <w:p w14:paraId="2A955790">
            <w:pPr>
              <w:widowControl/>
              <w:spacing w:line="240" w:lineRule="auto"/>
              <w:ind w:firstLine="0" w:firstLineChars="0"/>
              <w:jc w:val="center"/>
              <w:rPr>
                <w:color w:val="auto"/>
                <w:kern w:val="0"/>
                <w:sz w:val="22"/>
                <w:szCs w:val="22"/>
              </w:rPr>
            </w:pPr>
            <w:r>
              <w:rPr>
                <w:color w:val="auto"/>
                <w:kern w:val="0"/>
                <w:sz w:val="22"/>
                <w:szCs w:val="22"/>
              </w:rPr>
              <w:t>2454142.52</w:t>
            </w:r>
          </w:p>
        </w:tc>
        <w:tc>
          <w:tcPr>
            <w:tcW w:w="1661" w:type="dxa"/>
            <w:tcBorders>
              <w:top w:val="nil"/>
              <w:left w:val="nil"/>
              <w:bottom w:val="single" w:color="auto" w:sz="4" w:space="0"/>
              <w:right w:val="single" w:color="auto" w:sz="4" w:space="0"/>
            </w:tcBorders>
            <w:shd w:val="clear" w:color="auto" w:fill="auto"/>
            <w:noWrap/>
            <w:vAlign w:val="center"/>
          </w:tcPr>
          <w:p w14:paraId="29AE3A61">
            <w:pPr>
              <w:widowControl/>
              <w:spacing w:line="240" w:lineRule="auto"/>
              <w:ind w:firstLine="0" w:firstLineChars="0"/>
              <w:jc w:val="center"/>
              <w:rPr>
                <w:color w:val="auto"/>
                <w:kern w:val="0"/>
                <w:sz w:val="22"/>
                <w:szCs w:val="22"/>
              </w:rPr>
            </w:pPr>
            <w:r>
              <w:rPr>
                <w:color w:val="auto"/>
                <w:kern w:val="0"/>
                <w:sz w:val="22"/>
                <w:szCs w:val="22"/>
              </w:rPr>
              <w:t>36492010.27</w:t>
            </w:r>
          </w:p>
        </w:tc>
      </w:tr>
      <w:tr w14:paraId="390C2B44">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6E1431A3">
            <w:pPr>
              <w:widowControl/>
              <w:spacing w:line="240" w:lineRule="auto"/>
              <w:ind w:firstLine="0" w:firstLineChars="0"/>
              <w:jc w:val="center"/>
              <w:rPr>
                <w:color w:val="auto"/>
                <w:kern w:val="0"/>
                <w:sz w:val="22"/>
                <w:szCs w:val="22"/>
              </w:rPr>
            </w:pPr>
            <w:r>
              <w:rPr>
                <w:color w:val="auto"/>
                <w:kern w:val="0"/>
                <w:sz w:val="22"/>
                <w:szCs w:val="22"/>
              </w:rPr>
              <w:t>10</w:t>
            </w:r>
          </w:p>
        </w:tc>
        <w:tc>
          <w:tcPr>
            <w:tcW w:w="1441" w:type="dxa"/>
            <w:tcBorders>
              <w:top w:val="nil"/>
              <w:left w:val="single" w:color="auto" w:sz="4" w:space="0"/>
              <w:bottom w:val="single" w:color="auto" w:sz="4" w:space="0"/>
              <w:right w:val="single" w:color="auto" w:sz="4" w:space="0"/>
            </w:tcBorders>
            <w:shd w:val="clear" w:color="auto" w:fill="auto"/>
            <w:vAlign w:val="center"/>
          </w:tcPr>
          <w:p w14:paraId="5A2CE3C5">
            <w:pPr>
              <w:widowControl/>
              <w:spacing w:line="240" w:lineRule="auto"/>
              <w:ind w:firstLine="0" w:firstLineChars="0"/>
              <w:jc w:val="center"/>
              <w:rPr>
                <w:color w:val="auto"/>
                <w:kern w:val="0"/>
                <w:sz w:val="22"/>
                <w:szCs w:val="22"/>
              </w:rPr>
            </w:pPr>
            <w:r>
              <w:rPr>
                <w:color w:val="auto"/>
                <w:kern w:val="0"/>
                <w:sz w:val="22"/>
                <w:szCs w:val="22"/>
              </w:rPr>
              <w:t>2454165.56</w:t>
            </w:r>
          </w:p>
        </w:tc>
        <w:tc>
          <w:tcPr>
            <w:tcW w:w="1551" w:type="dxa"/>
            <w:tcBorders>
              <w:top w:val="nil"/>
              <w:left w:val="nil"/>
              <w:bottom w:val="single" w:color="auto" w:sz="4" w:space="0"/>
              <w:right w:val="single" w:color="auto" w:sz="4" w:space="0"/>
            </w:tcBorders>
            <w:shd w:val="clear" w:color="auto" w:fill="auto"/>
            <w:vAlign w:val="center"/>
          </w:tcPr>
          <w:p w14:paraId="20786E8D">
            <w:pPr>
              <w:widowControl/>
              <w:spacing w:line="240" w:lineRule="auto"/>
              <w:ind w:firstLine="0" w:firstLineChars="0"/>
              <w:jc w:val="center"/>
              <w:rPr>
                <w:color w:val="auto"/>
                <w:kern w:val="0"/>
                <w:sz w:val="22"/>
                <w:szCs w:val="22"/>
              </w:rPr>
            </w:pPr>
            <w:r>
              <w:rPr>
                <w:color w:val="auto"/>
                <w:kern w:val="0"/>
                <w:sz w:val="22"/>
                <w:szCs w:val="22"/>
              </w:rPr>
              <w:t>36491463.29</w:t>
            </w:r>
          </w:p>
        </w:tc>
        <w:tc>
          <w:tcPr>
            <w:tcW w:w="1551" w:type="dxa"/>
            <w:tcBorders>
              <w:top w:val="nil"/>
              <w:left w:val="nil"/>
              <w:bottom w:val="single" w:color="auto" w:sz="4" w:space="0"/>
              <w:right w:val="single" w:color="auto" w:sz="4" w:space="0"/>
            </w:tcBorders>
            <w:shd w:val="clear" w:color="auto" w:fill="auto"/>
            <w:noWrap/>
            <w:vAlign w:val="center"/>
          </w:tcPr>
          <w:p w14:paraId="3C3BBB98">
            <w:pPr>
              <w:widowControl/>
              <w:spacing w:line="240" w:lineRule="auto"/>
              <w:ind w:firstLine="0" w:firstLineChars="0"/>
              <w:jc w:val="center"/>
              <w:rPr>
                <w:color w:val="auto"/>
                <w:kern w:val="0"/>
                <w:sz w:val="22"/>
                <w:szCs w:val="22"/>
              </w:rPr>
            </w:pPr>
            <w:r>
              <w:rPr>
                <w:color w:val="auto"/>
                <w:kern w:val="0"/>
                <w:sz w:val="22"/>
                <w:szCs w:val="22"/>
              </w:rPr>
              <w:t>2454166.93</w:t>
            </w:r>
          </w:p>
        </w:tc>
        <w:tc>
          <w:tcPr>
            <w:tcW w:w="1661" w:type="dxa"/>
            <w:tcBorders>
              <w:top w:val="nil"/>
              <w:left w:val="nil"/>
              <w:bottom w:val="single" w:color="auto" w:sz="4" w:space="0"/>
              <w:right w:val="single" w:color="auto" w:sz="4" w:space="0"/>
            </w:tcBorders>
            <w:shd w:val="clear" w:color="auto" w:fill="auto"/>
            <w:noWrap/>
            <w:vAlign w:val="center"/>
          </w:tcPr>
          <w:p w14:paraId="233C7860">
            <w:pPr>
              <w:widowControl/>
              <w:spacing w:line="240" w:lineRule="auto"/>
              <w:ind w:firstLine="0" w:firstLineChars="0"/>
              <w:jc w:val="center"/>
              <w:rPr>
                <w:color w:val="auto"/>
                <w:kern w:val="0"/>
                <w:sz w:val="22"/>
                <w:szCs w:val="22"/>
              </w:rPr>
            </w:pPr>
            <w:r>
              <w:rPr>
                <w:color w:val="auto"/>
                <w:kern w:val="0"/>
                <w:sz w:val="22"/>
                <w:szCs w:val="22"/>
              </w:rPr>
              <w:t>36491578.16</w:t>
            </w:r>
          </w:p>
        </w:tc>
      </w:tr>
      <w:tr w14:paraId="315CFD30">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50A9F5F7">
            <w:pPr>
              <w:widowControl/>
              <w:spacing w:line="240" w:lineRule="auto"/>
              <w:ind w:firstLine="0" w:firstLineChars="0"/>
              <w:jc w:val="center"/>
              <w:rPr>
                <w:color w:val="auto"/>
                <w:kern w:val="0"/>
                <w:sz w:val="22"/>
                <w:szCs w:val="22"/>
              </w:rPr>
            </w:pPr>
            <w:r>
              <w:rPr>
                <w:color w:val="auto"/>
                <w:kern w:val="0"/>
                <w:sz w:val="22"/>
                <w:szCs w:val="22"/>
              </w:rPr>
              <w:t>11</w:t>
            </w:r>
          </w:p>
        </w:tc>
        <w:tc>
          <w:tcPr>
            <w:tcW w:w="1441" w:type="dxa"/>
            <w:tcBorders>
              <w:top w:val="nil"/>
              <w:left w:val="single" w:color="auto" w:sz="4" w:space="0"/>
              <w:bottom w:val="single" w:color="auto" w:sz="4" w:space="0"/>
              <w:right w:val="single" w:color="auto" w:sz="4" w:space="0"/>
            </w:tcBorders>
            <w:shd w:val="clear" w:color="auto" w:fill="auto"/>
            <w:vAlign w:val="center"/>
          </w:tcPr>
          <w:p w14:paraId="595C185E">
            <w:pPr>
              <w:widowControl/>
              <w:spacing w:line="240" w:lineRule="auto"/>
              <w:ind w:firstLine="0" w:firstLineChars="0"/>
              <w:jc w:val="center"/>
              <w:rPr>
                <w:color w:val="auto"/>
                <w:kern w:val="0"/>
                <w:sz w:val="22"/>
                <w:szCs w:val="22"/>
              </w:rPr>
            </w:pPr>
            <w:r>
              <w:rPr>
                <w:color w:val="auto"/>
                <w:kern w:val="0"/>
                <w:sz w:val="22"/>
                <w:szCs w:val="22"/>
              </w:rPr>
              <w:t>2454142.37</w:t>
            </w:r>
          </w:p>
        </w:tc>
        <w:tc>
          <w:tcPr>
            <w:tcW w:w="1551" w:type="dxa"/>
            <w:tcBorders>
              <w:top w:val="nil"/>
              <w:left w:val="nil"/>
              <w:bottom w:val="single" w:color="auto" w:sz="4" w:space="0"/>
              <w:right w:val="single" w:color="auto" w:sz="4" w:space="0"/>
            </w:tcBorders>
            <w:shd w:val="clear" w:color="auto" w:fill="auto"/>
            <w:vAlign w:val="center"/>
          </w:tcPr>
          <w:p w14:paraId="6E24AA1D">
            <w:pPr>
              <w:widowControl/>
              <w:spacing w:line="240" w:lineRule="auto"/>
              <w:ind w:firstLine="0" w:firstLineChars="0"/>
              <w:jc w:val="center"/>
              <w:rPr>
                <w:color w:val="auto"/>
                <w:kern w:val="0"/>
                <w:sz w:val="22"/>
                <w:szCs w:val="22"/>
              </w:rPr>
            </w:pPr>
            <w:r>
              <w:rPr>
                <w:color w:val="auto"/>
                <w:kern w:val="0"/>
                <w:sz w:val="22"/>
                <w:szCs w:val="22"/>
              </w:rPr>
              <w:t>36491395.52</w:t>
            </w:r>
          </w:p>
        </w:tc>
        <w:tc>
          <w:tcPr>
            <w:tcW w:w="1551" w:type="dxa"/>
            <w:tcBorders>
              <w:top w:val="nil"/>
              <w:left w:val="nil"/>
              <w:bottom w:val="single" w:color="auto" w:sz="4" w:space="0"/>
              <w:right w:val="single" w:color="auto" w:sz="4" w:space="0"/>
            </w:tcBorders>
            <w:shd w:val="clear" w:color="auto" w:fill="auto"/>
            <w:noWrap/>
            <w:vAlign w:val="center"/>
          </w:tcPr>
          <w:p w14:paraId="6BA2D8DB">
            <w:pPr>
              <w:widowControl/>
              <w:spacing w:line="240" w:lineRule="auto"/>
              <w:ind w:firstLine="0" w:firstLineChars="0"/>
              <w:jc w:val="center"/>
              <w:rPr>
                <w:color w:val="auto"/>
                <w:kern w:val="0"/>
                <w:sz w:val="22"/>
                <w:szCs w:val="22"/>
              </w:rPr>
            </w:pPr>
            <w:r>
              <w:rPr>
                <w:color w:val="auto"/>
                <w:kern w:val="0"/>
                <w:sz w:val="22"/>
                <w:szCs w:val="22"/>
              </w:rPr>
              <w:t>2454143.74</w:t>
            </w:r>
          </w:p>
        </w:tc>
        <w:tc>
          <w:tcPr>
            <w:tcW w:w="1661" w:type="dxa"/>
            <w:tcBorders>
              <w:top w:val="nil"/>
              <w:left w:val="nil"/>
              <w:bottom w:val="single" w:color="auto" w:sz="4" w:space="0"/>
              <w:right w:val="single" w:color="auto" w:sz="4" w:space="0"/>
            </w:tcBorders>
            <w:shd w:val="clear" w:color="auto" w:fill="auto"/>
            <w:noWrap/>
            <w:vAlign w:val="center"/>
          </w:tcPr>
          <w:p w14:paraId="1465A082">
            <w:pPr>
              <w:widowControl/>
              <w:spacing w:line="240" w:lineRule="auto"/>
              <w:ind w:firstLine="0" w:firstLineChars="0"/>
              <w:jc w:val="center"/>
              <w:rPr>
                <w:color w:val="auto"/>
                <w:kern w:val="0"/>
                <w:sz w:val="22"/>
                <w:szCs w:val="22"/>
              </w:rPr>
            </w:pPr>
            <w:r>
              <w:rPr>
                <w:color w:val="auto"/>
                <w:kern w:val="0"/>
                <w:sz w:val="22"/>
                <w:szCs w:val="22"/>
              </w:rPr>
              <w:t>36491510.39</w:t>
            </w:r>
          </w:p>
        </w:tc>
      </w:tr>
      <w:tr w14:paraId="104AF2BD">
        <w:tblPrEx>
          <w:tblCellMar>
            <w:top w:w="0" w:type="dxa"/>
            <w:left w:w="108" w:type="dxa"/>
            <w:bottom w:w="0" w:type="dxa"/>
            <w:right w:w="108" w:type="dxa"/>
          </w:tblCellMar>
        </w:tblPrEx>
        <w:trPr>
          <w:trHeight w:val="360" w:hRule="atLeast"/>
          <w:jc w:val="center"/>
        </w:trPr>
        <w:tc>
          <w:tcPr>
            <w:tcW w:w="7040"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2486A65C">
            <w:pPr>
              <w:widowControl/>
              <w:spacing w:line="240" w:lineRule="auto"/>
              <w:ind w:firstLine="0" w:firstLineChars="0"/>
              <w:jc w:val="left"/>
              <w:rPr>
                <w:color w:val="auto"/>
                <w:kern w:val="0"/>
                <w:sz w:val="22"/>
                <w:szCs w:val="22"/>
              </w:rPr>
            </w:pPr>
            <w:r>
              <w:rPr>
                <w:color w:val="auto"/>
                <w:kern w:val="0"/>
                <w:sz w:val="22"/>
                <w:szCs w:val="22"/>
              </w:rPr>
              <w:t>矿区面积：0.4585km</w:t>
            </w:r>
            <w:r>
              <w:rPr>
                <w:color w:val="auto"/>
                <w:kern w:val="0"/>
                <w:sz w:val="22"/>
                <w:szCs w:val="22"/>
                <w:vertAlign w:val="superscript"/>
              </w:rPr>
              <w:t>2</w:t>
            </w:r>
            <w:r>
              <w:rPr>
                <w:color w:val="auto"/>
                <w:kern w:val="0"/>
                <w:sz w:val="22"/>
                <w:szCs w:val="22"/>
              </w:rPr>
              <w:t>；开采深度：由+504.7m至+386m</w:t>
            </w:r>
          </w:p>
        </w:tc>
      </w:tr>
    </w:tbl>
    <w:p w14:paraId="73616A27">
      <w:pPr>
        <w:spacing w:before="190" w:beforeLines="50"/>
        <w:ind w:firstLine="560"/>
        <w:rPr>
          <w:color w:val="auto"/>
        </w:rPr>
      </w:pPr>
      <w:r>
        <w:rPr>
          <w:color w:val="auto"/>
        </w:rPr>
        <w:t>采矿权各要素如下：</w:t>
      </w:r>
    </w:p>
    <w:p w14:paraId="6129A2EE">
      <w:pPr>
        <w:ind w:firstLine="560"/>
        <w:rPr>
          <w:color w:val="auto"/>
        </w:rPr>
      </w:pPr>
      <w:r>
        <w:rPr>
          <w:color w:val="auto"/>
        </w:rPr>
        <w:t>采矿权人：华润水泥（上思）有限公司；</w:t>
      </w:r>
    </w:p>
    <w:p w14:paraId="6029C018">
      <w:pPr>
        <w:ind w:firstLine="560"/>
        <w:rPr>
          <w:color w:val="auto"/>
        </w:rPr>
      </w:pPr>
      <w:r>
        <w:rPr>
          <w:color w:val="auto"/>
        </w:rPr>
        <w:t>矿山名称：</w:t>
      </w:r>
      <w:r>
        <w:rPr>
          <w:color w:val="auto"/>
          <w:szCs w:val="28"/>
        </w:rPr>
        <w:t>广西上思县思阳镇龙大山矿区南矿段水泥用灰岩矿</w:t>
      </w:r>
      <w:r>
        <w:rPr>
          <w:color w:val="auto"/>
        </w:rPr>
        <w:t>；</w:t>
      </w:r>
    </w:p>
    <w:p w14:paraId="35FEFE6F">
      <w:pPr>
        <w:ind w:firstLine="560"/>
        <w:rPr>
          <w:color w:val="auto"/>
        </w:rPr>
      </w:pPr>
      <w:r>
        <w:rPr>
          <w:color w:val="auto"/>
        </w:rPr>
        <w:t>经济类型：港澳台独资经营企业；</w:t>
      </w:r>
    </w:p>
    <w:p w14:paraId="157955FE">
      <w:pPr>
        <w:ind w:firstLine="560"/>
        <w:rPr>
          <w:color w:val="auto"/>
        </w:rPr>
      </w:pPr>
      <w:r>
        <w:rPr>
          <w:color w:val="auto"/>
        </w:rPr>
        <w:t>开采矿种：水泥用灰岩矿；</w:t>
      </w:r>
    </w:p>
    <w:p w14:paraId="16F0098F">
      <w:pPr>
        <w:ind w:firstLine="560"/>
        <w:rPr>
          <w:color w:val="auto"/>
        </w:rPr>
      </w:pPr>
      <w:r>
        <w:rPr>
          <w:color w:val="auto"/>
        </w:rPr>
        <w:t>开采方式：露天开采；</w:t>
      </w:r>
    </w:p>
    <w:p w14:paraId="479BC2A3">
      <w:pPr>
        <w:ind w:firstLine="560"/>
        <w:rPr>
          <w:color w:val="auto"/>
        </w:rPr>
      </w:pPr>
      <w:r>
        <w:rPr>
          <w:color w:val="auto"/>
        </w:rPr>
        <w:t>生产规模：260万t/a；</w:t>
      </w:r>
    </w:p>
    <w:p w14:paraId="7CAEF7A8">
      <w:pPr>
        <w:ind w:firstLine="560"/>
        <w:rPr>
          <w:color w:val="auto"/>
        </w:rPr>
      </w:pPr>
      <w:r>
        <w:rPr>
          <w:color w:val="auto"/>
        </w:rPr>
        <w:t>矿区面积：0.4585km</w:t>
      </w:r>
      <w:r>
        <w:rPr>
          <w:color w:val="auto"/>
          <w:vertAlign w:val="superscript"/>
        </w:rPr>
        <w:t>2</w:t>
      </w:r>
      <w:r>
        <w:rPr>
          <w:color w:val="auto"/>
        </w:rPr>
        <w:t>；</w:t>
      </w:r>
    </w:p>
    <w:p w14:paraId="2E50A586">
      <w:pPr>
        <w:ind w:firstLine="560"/>
        <w:rPr>
          <w:color w:val="auto"/>
        </w:rPr>
      </w:pPr>
      <w:r>
        <w:rPr>
          <w:color w:val="auto"/>
          <w:szCs w:val="28"/>
        </w:rPr>
        <w:t>开采标高：+504.7m～+386m</w:t>
      </w:r>
      <w:r>
        <w:rPr>
          <w:color w:val="auto"/>
        </w:rPr>
        <w:t>。</w:t>
      </w:r>
    </w:p>
    <w:p w14:paraId="22C3BCFA">
      <w:pPr>
        <w:ind w:firstLine="560"/>
        <w:contextualSpacing/>
        <w:rPr>
          <w:color w:val="auto"/>
          <w:szCs w:val="28"/>
        </w:rPr>
      </w:pPr>
      <w:r>
        <w:rPr>
          <w:color w:val="auto"/>
        </w:rPr>
        <w:t>有效期限：贰拾捌零玖月  2017年2年10月至2045年11年10月</w:t>
      </w:r>
      <w:r>
        <w:rPr>
          <w:color w:val="auto"/>
          <w:szCs w:val="28"/>
        </w:rPr>
        <w:t>。</w:t>
      </w:r>
    </w:p>
    <w:p w14:paraId="68B9ABCE">
      <w:pPr>
        <w:ind w:firstLine="560"/>
        <w:rPr>
          <w:color w:val="auto"/>
          <w:szCs w:val="28"/>
        </w:rPr>
      </w:pPr>
      <w:r>
        <w:rPr>
          <w:rFonts w:eastAsia="宋体"/>
          <w:color w:val="auto"/>
          <w:szCs w:val="28"/>
        </w:rPr>
        <w:t>（3）</w:t>
      </w:r>
      <w:r>
        <w:rPr>
          <w:color w:val="auto"/>
          <w:szCs w:val="28"/>
        </w:rPr>
        <w:t>华润水泥（上思）有限公司讲鱼山石灰岩矿</w:t>
      </w:r>
    </w:p>
    <w:p w14:paraId="09F46575">
      <w:pPr>
        <w:ind w:firstLine="560"/>
        <w:rPr>
          <w:color w:val="auto"/>
          <w:szCs w:val="28"/>
        </w:rPr>
      </w:pPr>
      <w:r>
        <w:rPr>
          <w:color w:val="auto"/>
          <w:szCs w:val="28"/>
        </w:rPr>
        <w:t>华润水泥（上思）有限公司于2020年12月22日首次取得华润水泥（上思）有限公司讲鱼山石灰岩矿采矿权，采矿许可证颁发机关为防城港市自然资源局，矿区范围由10个拐点坐标圈定，矿区范围拐点坐标见表1-3。</w:t>
      </w:r>
    </w:p>
    <w:p w14:paraId="21F5BA78">
      <w:pPr>
        <w:spacing w:line="240" w:lineRule="auto"/>
        <w:ind w:firstLine="0" w:firstLineChars="0"/>
        <w:jc w:val="center"/>
        <w:rPr>
          <w:b/>
          <w:bCs/>
          <w:color w:val="auto"/>
          <w:szCs w:val="28"/>
        </w:rPr>
      </w:pPr>
      <w:r>
        <w:rPr>
          <w:b/>
          <w:bCs/>
          <w:color w:val="auto"/>
          <w:sz w:val="24"/>
          <w:szCs w:val="24"/>
        </w:rPr>
        <w:t>表1-3  讲鱼山矿区范围拐点坐标表</w:t>
      </w:r>
    </w:p>
    <w:tbl>
      <w:tblPr>
        <w:tblStyle w:val="32"/>
        <w:tblW w:w="7040" w:type="dxa"/>
        <w:jc w:val="center"/>
        <w:tblLayout w:type="autofit"/>
        <w:tblCellMar>
          <w:top w:w="0" w:type="dxa"/>
          <w:left w:w="108" w:type="dxa"/>
          <w:bottom w:w="0" w:type="dxa"/>
          <w:right w:w="108" w:type="dxa"/>
        </w:tblCellMar>
      </w:tblPr>
      <w:tblGrid>
        <w:gridCol w:w="836"/>
        <w:gridCol w:w="1441"/>
        <w:gridCol w:w="1551"/>
        <w:gridCol w:w="1551"/>
        <w:gridCol w:w="1661"/>
      </w:tblGrid>
      <w:tr w14:paraId="1B1EF7A5">
        <w:tblPrEx>
          <w:tblCellMar>
            <w:top w:w="0" w:type="dxa"/>
            <w:left w:w="108" w:type="dxa"/>
            <w:bottom w:w="0" w:type="dxa"/>
            <w:right w:w="108" w:type="dxa"/>
          </w:tblCellMar>
        </w:tblPrEx>
        <w:trPr>
          <w:trHeight w:val="300" w:hRule="atLeast"/>
          <w:jc w:val="center"/>
        </w:trPr>
        <w:tc>
          <w:tcPr>
            <w:tcW w:w="83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C59AC3C">
            <w:pPr>
              <w:widowControl/>
              <w:spacing w:line="240" w:lineRule="auto"/>
              <w:ind w:firstLine="0" w:firstLineChars="0"/>
              <w:jc w:val="center"/>
              <w:rPr>
                <w:color w:val="auto"/>
                <w:kern w:val="0"/>
                <w:sz w:val="22"/>
                <w:szCs w:val="22"/>
              </w:rPr>
            </w:pPr>
            <w:r>
              <w:rPr>
                <w:color w:val="auto"/>
                <w:kern w:val="0"/>
                <w:sz w:val="22"/>
                <w:szCs w:val="22"/>
              </w:rPr>
              <w:t>拐点</w:t>
            </w:r>
            <w:r>
              <w:rPr>
                <w:color w:val="auto"/>
                <w:kern w:val="0"/>
                <w:sz w:val="22"/>
                <w:szCs w:val="22"/>
              </w:rPr>
              <w:br w:type="textWrapping"/>
            </w:r>
            <w:r>
              <w:rPr>
                <w:color w:val="auto"/>
                <w:kern w:val="0"/>
                <w:sz w:val="22"/>
                <w:szCs w:val="22"/>
              </w:rPr>
              <w:t>编号</w:t>
            </w:r>
          </w:p>
        </w:tc>
        <w:tc>
          <w:tcPr>
            <w:tcW w:w="2992" w:type="dxa"/>
            <w:gridSpan w:val="2"/>
            <w:tcBorders>
              <w:top w:val="single" w:color="auto" w:sz="4" w:space="0"/>
              <w:left w:val="nil"/>
              <w:bottom w:val="single" w:color="auto" w:sz="4" w:space="0"/>
              <w:right w:val="single" w:color="auto" w:sz="4" w:space="0"/>
            </w:tcBorders>
            <w:shd w:val="clear" w:color="auto" w:fill="auto"/>
            <w:noWrap/>
            <w:vAlign w:val="center"/>
          </w:tcPr>
          <w:p w14:paraId="2F473A9F">
            <w:pPr>
              <w:widowControl/>
              <w:spacing w:line="240" w:lineRule="auto"/>
              <w:ind w:firstLine="0" w:firstLineChars="0"/>
              <w:jc w:val="center"/>
              <w:rPr>
                <w:color w:val="auto"/>
                <w:kern w:val="0"/>
                <w:sz w:val="22"/>
                <w:szCs w:val="22"/>
              </w:rPr>
            </w:pPr>
            <w:r>
              <w:rPr>
                <w:color w:val="auto"/>
                <w:kern w:val="0"/>
                <w:sz w:val="22"/>
                <w:szCs w:val="22"/>
              </w:rPr>
              <w:t>1980西安坐标系</w:t>
            </w:r>
          </w:p>
        </w:tc>
        <w:tc>
          <w:tcPr>
            <w:tcW w:w="3212" w:type="dxa"/>
            <w:gridSpan w:val="2"/>
            <w:tcBorders>
              <w:top w:val="single" w:color="auto" w:sz="4" w:space="0"/>
              <w:left w:val="nil"/>
              <w:bottom w:val="single" w:color="auto" w:sz="4" w:space="0"/>
              <w:right w:val="single" w:color="auto" w:sz="4" w:space="0"/>
            </w:tcBorders>
            <w:shd w:val="clear" w:color="auto" w:fill="auto"/>
            <w:noWrap/>
            <w:vAlign w:val="center"/>
          </w:tcPr>
          <w:p w14:paraId="40E536CC">
            <w:pPr>
              <w:widowControl/>
              <w:spacing w:line="240" w:lineRule="auto"/>
              <w:ind w:firstLine="0" w:firstLineChars="0"/>
              <w:jc w:val="center"/>
              <w:rPr>
                <w:color w:val="auto"/>
                <w:kern w:val="0"/>
                <w:sz w:val="22"/>
                <w:szCs w:val="22"/>
              </w:rPr>
            </w:pPr>
            <w:r>
              <w:rPr>
                <w:color w:val="auto"/>
                <w:kern w:val="0"/>
                <w:sz w:val="22"/>
                <w:szCs w:val="22"/>
              </w:rPr>
              <w:t>2000国家大地坐标系</w:t>
            </w:r>
          </w:p>
        </w:tc>
      </w:tr>
      <w:tr w14:paraId="3F0075CD">
        <w:tblPrEx>
          <w:tblCellMar>
            <w:top w:w="0" w:type="dxa"/>
            <w:left w:w="108" w:type="dxa"/>
            <w:bottom w:w="0" w:type="dxa"/>
            <w:right w:w="108" w:type="dxa"/>
          </w:tblCellMar>
        </w:tblPrEx>
        <w:trPr>
          <w:trHeight w:val="300" w:hRule="atLeast"/>
          <w:jc w:val="center"/>
        </w:trPr>
        <w:tc>
          <w:tcPr>
            <w:tcW w:w="836" w:type="dxa"/>
            <w:vMerge w:val="continue"/>
            <w:tcBorders>
              <w:top w:val="single" w:color="auto" w:sz="4" w:space="0"/>
              <w:left w:val="single" w:color="auto" w:sz="4" w:space="0"/>
              <w:bottom w:val="single" w:color="auto" w:sz="4" w:space="0"/>
              <w:right w:val="single" w:color="auto" w:sz="4" w:space="0"/>
            </w:tcBorders>
            <w:vAlign w:val="center"/>
          </w:tcPr>
          <w:p w14:paraId="79D74317">
            <w:pPr>
              <w:widowControl/>
              <w:spacing w:line="240" w:lineRule="auto"/>
              <w:ind w:firstLine="0" w:firstLineChars="0"/>
              <w:jc w:val="left"/>
              <w:rPr>
                <w:color w:val="auto"/>
                <w:kern w:val="0"/>
                <w:sz w:val="22"/>
                <w:szCs w:val="22"/>
              </w:rPr>
            </w:pPr>
          </w:p>
        </w:tc>
        <w:tc>
          <w:tcPr>
            <w:tcW w:w="1441" w:type="dxa"/>
            <w:tcBorders>
              <w:top w:val="nil"/>
              <w:left w:val="nil"/>
              <w:bottom w:val="nil"/>
              <w:right w:val="single" w:color="auto" w:sz="4" w:space="0"/>
            </w:tcBorders>
            <w:shd w:val="clear" w:color="auto" w:fill="auto"/>
            <w:noWrap/>
            <w:vAlign w:val="center"/>
          </w:tcPr>
          <w:p w14:paraId="28684D1D">
            <w:pPr>
              <w:widowControl/>
              <w:spacing w:line="240" w:lineRule="auto"/>
              <w:ind w:firstLine="0" w:firstLineChars="0"/>
              <w:jc w:val="center"/>
              <w:rPr>
                <w:color w:val="auto"/>
                <w:kern w:val="0"/>
                <w:sz w:val="22"/>
                <w:szCs w:val="22"/>
              </w:rPr>
            </w:pPr>
            <w:r>
              <w:rPr>
                <w:color w:val="auto"/>
                <w:kern w:val="0"/>
                <w:sz w:val="22"/>
                <w:szCs w:val="22"/>
              </w:rPr>
              <w:t>X</w:t>
            </w:r>
          </w:p>
        </w:tc>
        <w:tc>
          <w:tcPr>
            <w:tcW w:w="1551" w:type="dxa"/>
            <w:tcBorders>
              <w:top w:val="nil"/>
              <w:left w:val="nil"/>
              <w:bottom w:val="nil"/>
              <w:right w:val="single" w:color="auto" w:sz="4" w:space="0"/>
            </w:tcBorders>
            <w:shd w:val="clear" w:color="auto" w:fill="auto"/>
            <w:noWrap/>
            <w:vAlign w:val="center"/>
          </w:tcPr>
          <w:p w14:paraId="32D2DC1C">
            <w:pPr>
              <w:widowControl/>
              <w:spacing w:line="240" w:lineRule="auto"/>
              <w:ind w:firstLine="0" w:firstLineChars="0"/>
              <w:jc w:val="center"/>
              <w:rPr>
                <w:color w:val="auto"/>
                <w:kern w:val="0"/>
                <w:sz w:val="22"/>
                <w:szCs w:val="22"/>
              </w:rPr>
            </w:pPr>
            <w:r>
              <w:rPr>
                <w:color w:val="auto"/>
                <w:kern w:val="0"/>
                <w:sz w:val="22"/>
                <w:szCs w:val="22"/>
              </w:rPr>
              <w:t>Y</w:t>
            </w:r>
          </w:p>
        </w:tc>
        <w:tc>
          <w:tcPr>
            <w:tcW w:w="1551" w:type="dxa"/>
            <w:tcBorders>
              <w:top w:val="nil"/>
              <w:left w:val="nil"/>
              <w:bottom w:val="single" w:color="auto" w:sz="4" w:space="0"/>
              <w:right w:val="single" w:color="auto" w:sz="4" w:space="0"/>
            </w:tcBorders>
            <w:shd w:val="clear" w:color="auto" w:fill="auto"/>
            <w:noWrap/>
            <w:vAlign w:val="center"/>
          </w:tcPr>
          <w:p w14:paraId="202D3ABF">
            <w:pPr>
              <w:widowControl/>
              <w:spacing w:line="240" w:lineRule="auto"/>
              <w:ind w:firstLine="0" w:firstLineChars="0"/>
              <w:jc w:val="center"/>
              <w:rPr>
                <w:color w:val="auto"/>
                <w:kern w:val="0"/>
                <w:sz w:val="22"/>
                <w:szCs w:val="22"/>
              </w:rPr>
            </w:pPr>
            <w:r>
              <w:rPr>
                <w:color w:val="auto"/>
                <w:kern w:val="0"/>
                <w:sz w:val="22"/>
                <w:szCs w:val="22"/>
              </w:rPr>
              <w:t>X</w:t>
            </w:r>
          </w:p>
        </w:tc>
        <w:tc>
          <w:tcPr>
            <w:tcW w:w="1661" w:type="dxa"/>
            <w:tcBorders>
              <w:top w:val="nil"/>
              <w:left w:val="nil"/>
              <w:bottom w:val="single" w:color="auto" w:sz="4" w:space="0"/>
              <w:right w:val="single" w:color="auto" w:sz="4" w:space="0"/>
            </w:tcBorders>
            <w:shd w:val="clear" w:color="auto" w:fill="auto"/>
            <w:noWrap/>
            <w:vAlign w:val="center"/>
          </w:tcPr>
          <w:p w14:paraId="483C8661">
            <w:pPr>
              <w:widowControl/>
              <w:spacing w:line="240" w:lineRule="auto"/>
              <w:ind w:firstLine="0" w:firstLineChars="0"/>
              <w:jc w:val="center"/>
              <w:rPr>
                <w:color w:val="auto"/>
                <w:kern w:val="0"/>
                <w:sz w:val="22"/>
                <w:szCs w:val="22"/>
              </w:rPr>
            </w:pPr>
            <w:r>
              <w:rPr>
                <w:color w:val="auto"/>
                <w:kern w:val="0"/>
                <w:sz w:val="22"/>
                <w:szCs w:val="22"/>
              </w:rPr>
              <w:t>Y</w:t>
            </w:r>
          </w:p>
        </w:tc>
      </w:tr>
      <w:tr w14:paraId="51834575">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3300ABEC">
            <w:pPr>
              <w:widowControl/>
              <w:spacing w:line="240" w:lineRule="auto"/>
              <w:ind w:firstLine="0" w:firstLineChars="0"/>
              <w:jc w:val="center"/>
              <w:rPr>
                <w:color w:val="auto"/>
                <w:kern w:val="0"/>
                <w:sz w:val="22"/>
                <w:szCs w:val="22"/>
              </w:rPr>
            </w:pPr>
            <w:r>
              <w:rPr>
                <w:color w:val="auto"/>
                <w:kern w:val="0"/>
                <w:sz w:val="22"/>
                <w:szCs w:val="22"/>
              </w:rPr>
              <w:t>1</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7A8D63B2">
            <w:pPr>
              <w:widowControl/>
              <w:spacing w:line="240" w:lineRule="auto"/>
              <w:ind w:firstLine="0" w:firstLineChars="0"/>
              <w:jc w:val="center"/>
              <w:rPr>
                <w:color w:val="auto"/>
                <w:kern w:val="0"/>
                <w:sz w:val="22"/>
                <w:szCs w:val="22"/>
              </w:rPr>
            </w:pPr>
            <w:r>
              <w:rPr>
                <w:color w:val="auto"/>
                <w:kern w:val="0"/>
                <w:sz w:val="22"/>
                <w:szCs w:val="22"/>
              </w:rPr>
              <w:t>2454903.67</w:t>
            </w:r>
          </w:p>
        </w:tc>
        <w:tc>
          <w:tcPr>
            <w:tcW w:w="1551" w:type="dxa"/>
            <w:tcBorders>
              <w:top w:val="single" w:color="auto" w:sz="4" w:space="0"/>
              <w:left w:val="nil"/>
              <w:bottom w:val="single" w:color="auto" w:sz="4" w:space="0"/>
              <w:right w:val="single" w:color="auto" w:sz="4" w:space="0"/>
            </w:tcBorders>
            <w:shd w:val="clear" w:color="auto" w:fill="auto"/>
            <w:vAlign w:val="center"/>
          </w:tcPr>
          <w:p w14:paraId="70AF8B03">
            <w:pPr>
              <w:widowControl/>
              <w:spacing w:line="240" w:lineRule="auto"/>
              <w:ind w:firstLine="0" w:firstLineChars="0"/>
              <w:jc w:val="center"/>
              <w:rPr>
                <w:color w:val="auto"/>
                <w:kern w:val="0"/>
                <w:sz w:val="22"/>
                <w:szCs w:val="22"/>
              </w:rPr>
            </w:pPr>
            <w:r>
              <w:rPr>
                <w:color w:val="auto"/>
                <w:kern w:val="0"/>
                <w:sz w:val="22"/>
                <w:szCs w:val="22"/>
              </w:rPr>
              <w:t>36490946.47</w:t>
            </w:r>
          </w:p>
        </w:tc>
        <w:tc>
          <w:tcPr>
            <w:tcW w:w="1551" w:type="dxa"/>
            <w:tcBorders>
              <w:top w:val="nil"/>
              <w:left w:val="nil"/>
              <w:bottom w:val="single" w:color="auto" w:sz="4" w:space="0"/>
              <w:right w:val="single" w:color="auto" w:sz="4" w:space="0"/>
            </w:tcBorders>
            <w:shd w:val="clear" w:color="auto" w:fill="auto"/>
            <w:noWrap/>
            <w:vAlign w:val="center"/>
          </w:tcPr>
          <w:p w14:paraId="3F705951">
            <w:pPr>
              <w:widowControl/>
              <w:spacing w:line="240" w:lineRule="auto"/>
              <w:ind w:firstLine="0" w:firstLineChars="0"/>
              <w:jc w:val="center"/>
              <w:rPr>
                <w:color w:val="auto"/>
                <w:kern w:val="0"/>
                <w:sz w:val="22"/>
                <w:szCs w:val="22"/>
              </w:rPr>
            </w:pPr>
            <w:r>
              <w:rPr>
                <w:color w:val="auto"/>
                <w:kern w:val="0"/>
                <w:sz w:val="22"/>
                <w:szCs w:val="22"/>
              </w:rPr>
              <w:t>2454905.02</w:t>
            </w:r>
          </w:p>
        </w:tc>
        <w:tc>
          <w:tcPr>
            <w:tcW w:w="1661" w:type="dxa"/>
            <w:tcBorders>
              <w:top w:val="nil"/>
              <w:left w:val="nil"/>
              <w:bottom w:val="single" w:color="auto" w:sz="4" w:space="0"/>
              <w:right w:val="single" w:color="auto" w:sz="4" w:space="0"/>
            </w:tcBorders>
            <w:shd w:val="clear" w:color="auto" w:fill="auto"/>
            <w:noWrap/>
            <w:vAlign w:val="center"/>
          </w:tcPr>
          <w:p w14:paraId="21418484">
            <w:pPr>
              <w:widowControl/>
              <w:spacing w:line="240" w:lineRule="auto"/>
              <w:ind w:firstLine="0" w:firstLineChars="0"/>
              <w:jc w:val="center"/>
              <w:rPr>
                <w:color w:val="auto"/>
                <w:kern w:val="0"/>
                <w:sz w:val="22"/>
                <w:szCs w:val="22"/>
              </w:rPr>
            </w:pPr>
            <w:r>
              <w:rPr>
                <w:color w:val="auto"/>
                <w:kern w:val="0"/>
                <w:sz w:val="22"/>
                <w:szCs w:val="22"/>
              </w:rPr>
              <w:t>36491061.33</w:t>
            </w:r>
          </w:p>
        </w:tc>
      </w:tr>
      <w:tr w14:paraId="4B07F348">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1B152242">
            <w:pPr>
              <w:widowControl/>
              <w:spacing w:line="240" w:lineRule="auto"/>
              <w:ind w:firstLine="0" w:firstLineChars="0"/>
              <w:jc w:val="center"/>
              <w:rPr>
                <w:color w:val="auto"/>
                <w:kern w:val="0"/>
                <w:sz w:val="22"/>
                <w:szCs w:val="22"/>
              </w:rPr>
            </w:pPr>
            <w:r>
              <w:rPr>
                <w:color w:val="auto"/>
                <w:kern w:val="0"/>
                <w:sz w:val="22"/>
                <w:szCs w:val="22"/>
              </w:rPr>
              <w:t>2</w:t>
            </w:r>
          </w:p>
        </w:tc>
        <w:tc>
          <w:tcPr>
            <w:tcW w:w="1441" w:type="dxa"/>
            <w:tcBorders>
              <w:top w:val="nil"/>
              <w:left w:val="single" w:color="auto" w:sz="4" w:space="0"/>
              <w:bottom w:val="single" w:color="auto" w:sz="4" w:space="0"/>
              <w:right w:val="single" w:color="auto" w:sz="4" w:space="0"/>
            </w:tcBorders>
            <w:shd w:val="clear" w:color="auto" w:fill="auto"/>
            <w:vAlign w:val="center"/>
          </w:tcPr>
          <w:p w14:paraId="480FABC3">
            <w:pPr>
              <w:widowControl/>
              <w:spacing w:line="240" w:lineRule="auto"/>
              <w:ind w:firstLine="0" w:firstLineChars="0"/>
              <w:jc w:val="center"/>
              <w:rPr>
                <w:color w:val="auto"/>
                <w:kern w:val="0"/>
                <w:sz w:val="22"/>
                <w:szCs w:val="22"/>
              </w:rPr>
            </w:pPr>
            <w:r>
              <w:rPr>
                <w:color w:val="auto"/>
                <w:kern w:val="0"/>
                <w:sz w:val="22"/>
                <w:szCs w:val="22"/>
              </w:rPr>
              <w:t>2454994.67</w:t>
            </w:r>
          </w:p>
        </w:tc>
        <w:tc>
          <w:tcPr>
            <w:tcW w:w="1551" w:type="dxa"/>
            <w:tcBorders>
              <w:top w:val="nil"/>
              <w:left w:val="nil"/>
              <w:bottom w:val="single" w:color="auto" w:sz="4" w:space="0"/>
              <w:right w:val="single" w:color="auto" w:sz="4" w:space="0"/>
            </w:tcBorders>
            <w:shd w:val="clear" w:color="auto" w:fill="auto"/>
            <w:vAlign w:val="center"/>
          </w:tcPr>
          <w:p w14:paraId="7A8F8F3D">
            <w:pPr>
              <w:widowControl/>
              <w:spacing w:line="240" w:lineRule="auto"/>
              <w:ind w:firstLine="0" w:firstLineChars="0"/>
              <w:jc w:val="center"/>
              <w:rPr>
                <w:color w:val="auto"/>
                <w:kern w:val="0"/>
                <w:sz w:val="22"/>
                <w:szCs w:val="22"/>
              </w:rPr>
            </w:pPr>
            <w:r>
              <w:rPr>
                <w:color w:val="auto"/>
                <w:kern w:val="0"/>
                <w:sz w:val="22"/>
                <w:szCs w:val="22"/>
              </w:rPr>
              <w:t>36491088.77</w:t>
            </w:r>
          </w:p>
        </w:tc>
        <w:tc>
          <w:tcPr>
            <w:tcW w:w="1551" w:type="dxa"/>
            <w:tcBorders>
              <w:top w:val="nil"/>
              <w:left w:val="nil"/>
              <w:bottom w:val="single" w:color="auto" w:sz="4" w:space="0"/>
              <w:right w:val="single" w:color="auto" w:sz="4" w:space="0"/>
            </w:tcBorders>
            <w:shd w:val="clear" w:color="auto" w:fill="auto"/>
            <w:noWrap/>
            <w:vAlign w:val="center"/>
          </w:tcPr>
          <w:p w14:paraId="6389B5B7">
            <w:pPr>
              <w:widowControl/>
              <w:spacing w:line="240" w:lineRule="auto"/>
              <w:ind w:firstLine="0" w:firstLineChars="0"/>
              <w:jc w:val="center"/>
              <w:rPr>
                <w:color w:val="auto"/>
                <w:kern w:val="0"/>
                <w:sz w:val="22"/>
                <w:szCs w:val="22"/>
              </w:rPr>
            </w:pPr>
            <w:r>
              <w:rPr>
                <w:color w:val="auto"/>
                <w:kern w:val="0"/>
                <w:sz w:val="22"/>
                <w:szCs w:val="22"/>
              </w:rPr>
              <w:t>2454996.02</w:t>
            </w:r>
          </w:p>
        </w:tc>
        <w:tc>
          <w:tcPr>
            <w:tcW w:w="1661" w:type="dxa"/>
            <w:tcBorders>
              <w:top w:val="nil"/>
              <w:left w:val="nil"/>
              <w:bottom w:val="single" w:color="auto" w:sz="4" w:space="0"/>
              <w:right w:val="single" w:color="auto" w:sz="4" w:space="0"/>
            </w:tcBorders>
            <w:shd w:val="clear" w:color="auto" w:fill="auto"/>
            <w:noWrap/>
            <w:vAlign w:val="center"/>
          </w:tcPr>
          <w:p w14:paraId="1FB5C345">
            <w:pPr>
              <w:widowControl/>
              <w:spacing w:line="240" w:lineRule="auto"/>
              <w:ind w:firstLine="0" w:firstLineChars="0"/>
              <w:jc w:val="center"/>
              <w:rPr>
                <w:color w:val="auto"/>
                <w:kern w:val="0"/>
                <w:sz w:val="22"/>
                <w:szCs w:val="22"/>
              </w:rPr>
            </w:pPr>
            <w:r>
              <w:rPr>
                <w:color w:val="auto"/>
                <w:kern w:val="0"/>
                <w:sz w:val="22"/>
                <w:szCs w:val="22"/>
              </w:rPr>
              <w:t>36491203.62</w:t>
            </w:r>
          </w:p>
        </w:tc>
      </w:tr>
      <w:tr w14:paraId="7411B1DB">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7B8F3784">
            <w:pPr>
              <w:widowControl/>
              <w:spacing w:line="240" w:lineRule="auto"/>
              <w:ind w:firstLine="0" w:firstLineChars="0"/>
              <w:jc w:val="center"/>
              <w:rPr>
                <w:color w:val="auto"/>
                <w:kern w:val="0"/>
                <w:sz w:val="22"/>
                <w:szCs w:val="22"/>
              </w:rPr>
            </w:pPr>
            <w:r>
              <w:rPr>
                <w:color w:val="auto"/>
                <w:kern w:val="0"/>
                <w:sz w:val="22"/>
                <w:szCs w:val="22"/>
              </w:rPr>
              <w:t>3</w:t>
            </w:r>
          </w:p>
        </w:tc>
        <w:tc>
          <w:tcPr>
            <w:tcW w:w="1441" w:type="dxa"/>
            <w:tcBorders>
              <w:top w:val="nil"/>
              <w:left w:val="single" w:color="auto" w:sz="4" w:space="0"/>
              <w:bottom w:val="single" w:color="auto" w:sz="4" w:space="0"/>
              <w:right w:val="single" w:color="auto" w:sz="4" w:space="0"/>
            </w:tcBorders>
            <w:shd w:val="clear" w:color="auto" w:fill="auto"/>
            <w:vAlign w:val="center"/>
          </w:tcPr>
          <w:p w14:paraId="1A009724">
            <w:pPr>
              <w:widowControl/>
              <w:spacing w:line="240" w:lineRule="auto"/>
              <w:ind w:firstLine="0" w:firstLineChars="0"/>
              <w:jc w:val="center"/>
              <w:rPr>
                <w:color w:val="auto"/>
                <w:kern w:val="0"/>
                <w:sz w:val="22"/>
                <w:szCs w:val="22"/>
              </w:rPr>
            </w:pPr>
            <w:r>
              <w:rPr>
                <w:color w:val="auto"/>
                <w:kern w:val="0"/>
                <w:sz w:val="22"/>
                <w:szCs w:val="22"/>
              </w:rPr>
              <w:t>2454855.46</w:t>
            </w:r>
          </w:p>
        </w:tc>
        <w:tc>
          <w:tcPr>
            <w:tcW w:w="1551" w:type="dxa"/>
            <w:tcBorders>
              <w:top w:val="nil"/>
              <w:left w:val="nil"/>
              <w:bottom w:val="single" w:color="auto" w:sz="4" w:space="0"/>
              <w:right w:val="single" w:color="auto" w:sz="4" w:space="0"/>
            </w:tcBorders>
            <w:shd w:val="clear" w:color="auto" w:fill="auto"/>
            <w:vAlign w:val="center"/>
          </w:tcPr>
          <w:p w14:paraId="3E613BC1">
            <w:pPr>
              <w:widowControl/>
              <w:spacing w:line="240" w:lineRule="auto"/>
              <w:ind w:firstLine="0" w:firstLineChars="0"/>
              <w:jc w:val="center"/>
              <w:rPr>
                <w:color w:val="auto"/>
                <w:kern w:val="0"/>
                <w:sz w:val="22"/>
                <w:szCs w:val="22"/>
              </w:rPr>
            </w:pPr>
            <w:r>
              <w:rPr>
                <w:color w:val="auto"/>
                <w:kern w:val="0"/>
                <w:sz w:val="22"/>
                <w:szCs w:val="22"/>
              </w:rPr>
              <w:t>36491112.82</w:t>
            </w:r>
          </w:p>
        </w:tc>
        <w:tc>
          <w:tcPr>
            <w:tcW w:w="1551" w:type="dxa"/>
            <w:tcBorders>
              <w:top w:val="nil"/>
              <w:left w:val="nil"/>
              <w:bottom w:val="single" w:color="auto" w:sz="4" w:space="0"/>
              <w:right w:val="single" w:color="auto" w:sz="4" w:space="0"/>
            </w:tcBorders>
            <w:shd w:val="clear" w:color="auto" w:fill="auto"/>
            <w:noWrap/>
            <w:vAlign w:val="center"/>
          </w:tcPr>
          <w:p w14:paraId="6C9B772A">
            <w:pPr>
              <w:widowControl/>
              <w:spacing w:line="240" w:lineRule="auto"/>
              <w:ind w:firstLine="0" w:firstLineChars="0"/>
              <w:jc w:val="center"/>
              <w:rPr>
                <w:color w:val="auto"/>
                <w:kern w:val="0"/>
                <w:sz w:val="22"/>
                <w:szCs w:val="22"/>
              </w:rPr>
            </w:pPr>
            <w:r>
              <w:rPr>
                <w:color w:val="auto"/>
                <w:kern w:val="0"/>
                <w:sz w:val="22"/>
                <w:szCs w:val="22"/>
              </w:rPr>
              <w:t>2454856.81</w:t>
            </w:r>
          </w:p>
        </w:tc>
        <w:tc>
          <w:tcPr>
            <w:tcW w:w="1661" w:type="dxa"/>
            <w:tcBorders>
              <w:top w:val="nil"/>
              <w:left w:val="nil"/>
              <w:bottom w:val="single" w:color="auto" w:sz="4" w:space="0"/>
              <w:right w:val="single" w:color="auto" w:sz="4" w:space="0"/>
            </w:tcBorders>
            <w:shd w:val="clear" w:color="auto" w:fill="auto"/>
            <w:noWrap/>
            <w:vAlign w:val="center"/>
          </w:tcPr>
          <w:p w14:paraId="4FA56EFF">
            <w:pPr>
              <w:widowControl/>
              <w:spacing w:line="240" w:lineRule="auto"/>
              <w:ind w:firstLine="0" w:firstLineChars="0"/>
              <w:jc w:val="center"/>
              <w:rPr>
                <w:color w:val="auto"/>
                <w:kern w:val="0"/>
                <w:sz w:val="22"/>
                <w:szCs w:val="22"/>
              </w:rPr>
            </w:pPr>
            <w:r>
              <w:rPr>
                <w:color w:val="auto"/>
                <w:kern w:val="0"/>
                <w:sz w:val="22"/>
                <w:szCs w:val="22"/>
              </w:rPr>
              <w:t>36491227.67</w:t>
            </w:r>
          </w:p>
        </w:tc>
      </w:tr>
      <w:tr w14:paraId="73AD4F06">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4396B96B">
            <w:pPr>
              <w:widowControl/>
              <w:spacing w:line="240" w:lineRule="auto"/>
              <w:ind w:firstLine="0" w:firstLineChars="0"/>
              <w:jc w:val="center"/>
              <w:rPr>
                <w:color w:val="auto"/>
                <w:kern w:val="0"/>
                <w:sz w:val="22"/>
                <w:szCs w:val="22"/>
              </w:rPr>
            </w:pPr>
            <w:r>
              <w:rPr>
                <w:color w:val="auto"/>
                <w:kern w:val="0"/>
                <w:sz w:val="22"/>
                <w:szCs w:val="22"/>
              </w:rPr>
              <w:t>4</w:t>
            </w:r>
          </w:p>
        </w:tc>
        <w:tc>
          <w:tcPr>
            <w:tcW w:w="1441" w:type="dxa"/>
            <w:tcBorders>
              <w:top w:val="nil"/>
              <w:left w:val="single" w:color="auto" w:sz="4" w:space="0"/>
              <w:bottom w:val="single" w:color="auto" w:sz="4" w:space="0"/>
              <w:right w:val="single" w:color="auto" w:sz="4" w:space="0"/>
            </w:tcBorders>
            <w:shd w:val="clear" w:color="auto" w:fill="auto"/>
            <w:vAlign w:val="center"/>
          </w:tcPr>
          <w:p w14:paraId="42636F27">
            <w:pPr>
              <w:widowControl/>
              <w:spacing w:line="240" w:lineRule="auto"/>
              <w:ind w:firstLine="0" w:firstLineChars="0"/>
              <w:jc w:val="center"/>
              <w:rPr>
                <w:color w:val="auto"/>
                <w:kern w:val="0"/>
                <w:sz w:val="22"/>
                <w:szCs w:val="22"/>
              </w:rPr>
            </w:pPr>
            <w:r>
              <w:rPr>
                <w:color w:val="auto"/>
                <w:kern w:val="0"/>
                <w:sz w:val="22"/>
                <w:szCs w:val="22"/>
              </w:rPr>
              <w:t>2454557.82</w:t>
            </w:r>
          </w:p>
        </w:tc>
        <w:tc>
          <w:tcPr>
            <w:tcW w:w="1551" w:type="dxa"/>
            <w:tcBorders>
              <w:top w:val="nil"/>
              <w:left w:val="nil"/>
              <w:bottom w:val="single" w:color="auto" w:sz="4" w:space="0"/>
              <w:right w:val="single" w:color="auto" w:sz="4" w:space="0"/>
            </w:tcBorders>
            <w:shd w:val="clear" w:color="auto" w:fill="auto"/>
            <w:vAlign w:val="center"/>
          </w:tcPr>
          <w:p w14:paraId="01ADE63C">
            <w:pPr>
              <w:widowControl/>
              <w:spacing w:line="240" w:lineRule="auto"/>
              <w:ind w:firstLine="0" w:firstLineChars="0"/>
              <w:jc w:val="center"/>
              <w:rPr>
                <w:color w:val="auto"/>
                <w:kern w:val="0"/>
                <w:sz w:val="22"/>
                <w:szCs w:val="22"/>
              </w:rPr>
            </w:pPr>
            <w:r>
              <w:rPr>
                <w:color w:val="auto"/>
                <w:kern w:val="0"/>
                <w:sz w:val="22"/>
                <w:szCs w:val="22"/>
              </w:rPr>
              <w:t>36491258.18</w:t>
            </w:r>
          </w:p>
        </w:tc>
        <w:tc>
          <w:tcPr>
            <w:tcW w:w="1551" w:type="dxa"/>
            <w:tcBorders>
              <w:top w:val="nil"/>
              <w:left w:val="nil"/>
              <w:bottom w:val="single" w:color="auto" w:sz="4" w:space="0"/>
              <w:right w:val="single" w:color="auto" w:sz="4" w:space="0"/>
            </w:tcBorders>
            <w:shd w:val="clear" w:color="auto" w:fill="auto"/>
            <w:noWrap/>
            <w:vAlign w:val="center"/>
          </w:tcPr>
          <w:p w14:paraId="1474655E">
            <w:pPr>
              <w:widowControl/>
              <w:spacing w:line="240" w:lineRule="auto"/>
              <w:ind w:firstLine="0" w:firstLineChars="0"/>
              <w:jc w:val="center"/>
              <w:rPr>
                <w:color w:val="auto"/>
                <w:kern w:val="0"/>
                <w:sz w:val="22"/>
                <w:szCs w:val="22"/>
              </w:rPr>
            </w:pPr>
            <w:r>
              <w:rPr>
                <w:color w:val="auto"/>
                <w:kern w:val="0"/>
                <w:sz w:val="22"/>
                <w:szCs w:val="22"/>
              </w:rPr>
              <w:t>2454559.17</w:t>
            </w:r>
          </w:p>
        </w:tc>
        <w:tc>
          <w:tcPr>
            <w:tcW w:w="1661" w:type="dxa"/>
            <w:tcBorders>
              <w:top w:val="nil"/>
              <w:left w:val="nil"/>
              <w:bottom w:val="single" w:color="auto" w:sz="4" w:space="0"/>
              <w:right w:val="single" w:color="auto" w:sz="4" w:space="0"/>
            </w:tcBorders>
            <w:shd w:val="clear" w:color="auto" w:fill="auto"/>
            <w:noWrap/>
            <w:vAlign w:val="center"/>
          </w:tcPr>
          <w:p w14:paraId="53900A31">
            <w:pPr>
              <w:widowControl/>
              <w:spacing w:line="240" w:lineRule="auto"/>
              <w:ind w:firstLine="0" w:firstLineChars="0"/>
              <w:jc w:val="center"/>
              <w:rPr>
                <w:color w:val="auto"/>
                <w:kern w:val="0"/>
                <w:sz w:val="22"/>
                <w:szCs w:val="22"/>
              </w:rPr>
            </w:pPr>
            <w:r>
              <w:rPr>
                <w:color w:val="auto"/>
                <w:kern w:val="0"/>
                <w:sz w:val="22"/>
                <w:szCs w:val="22"/>
              </w:rPr>
              <w:t>36491373.03</w:t>
            </w:r>
          </w:p>
        </w:tc>
      </w:tr>
      <w:tr w14:paraId="6233D2A4">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61592314">
            <w:pPr>
              <w:widowControl/>
              <w:spacing w:line="240" w:lineRule="auto"/>
              <w:ind w:firstLine="0" w:firstLineChars="0"/>
              <w:jc w:val="center"/>
              <w:rPr>
                <w:color w:val="auto"/>
                <w:kern w:val="0"/>
                <w:sz w:val="22"/>
                <w:szCs w:val="22"/>
              </w:rPr>
            </w:pPr>
            <w:r>
              <w:rPr>
                <w:color w:val="auto"/>
                <w:kern w:val="0"/>
                <w:sz w:val="22"/>
                <w:szCs w:val="22"/>
              </w:rPr>
              <w:t>5</w:t>
            </w:r>
          </w:p>
        </w:tc>
        <w:tc>
          <w:tcPr>
            <w:tcW w:w="1441" w:type="dxa"/>
            <w:tcBorders>
              <w:top w:val="nil"/>
              <w:left w:val="single" w:color="auto" w:sz="4" w:space="0"/>
              <w:bottom w:val="single" w:color="auto" w:sz="4" w:space="0"/>
              <w:right w:val="single" w:color="auto" w:sz="4" w:space="0"/>
            </w:tcBorders>
            <w:shd w:val="clear" w:color="auto" w:fill="auto"/>
            <w:vAlign w:val="center"/>
          </w:tcPr>
          <w:p w14:paraId="23F9CC1B">
            <w:pPr>
              <w:widowControl/>
              <w:spacing w:line="240" w:lineRule="auto"/>
              <w:ind w:firstLine="0" w:firstLineChars="0"/>
              <w:jc w:val="center"/>
              <w:rPr>
                <w:color w:val="auto"/>
                <w:kern w:val="0"/>
                <w:sz w:val="22"/>
                <w:szCs w:val="22"/>
              </w:rPr>
            </w:pPr>
            <w:r>
              <w:rPr>
                <w:color w:val="auto"/>
                <w:kern w:val="0"/>
                <w:sz w:val="22"/>
                <w:szCs w:val="22"/>
              </w:rPr>
              <w:t>2454217.82</w:t>
            </w:r>
          </w:p>
        </w:tc>
        <w:tc>
          <w:tcPr>
            <w:tcW w:w="1551" w:type="dxa"/>
            <w:tcBorders>
              <w:top w:val="nil"/>
              <w:left w:val="nil"/>
              <w:bottom w:val="single" w:color="auto" w:sz="4" w:space="0"/>
              <w:right w:val="single" w:color="auto" w:sz="4" w:space="0"/>
            </w:tcBorders>
            <w:shd w:val="clear" w:color="auto" w:fill="auto"/>
            <w:vAlign w:val="center"/>
          </w:tcPr>
          <w:p w14:paraId="448F57CD">
            <w:pPr>
              <w:widowControl/>
              <w:spacing w:line="240" w:lineRule="auto"/>
              <w:ind w:firstLine="0" w:firstLineChars="0"/>
              <w:jc w:val="center"/>
              <w:rPr>
                <w:color w:val="auto"/>
                <w:kern w:val="0"/>
                <w:sz w:val="22"/>
                <w:szCs w:val="22"/>
              </w:rPr>
            </w:pPr>
            <w:r>
              <w:rPr>
                <w:color w:val="auto"/>
                <w:kern w:val="0"/>
                <w:sz w:val="22"/>
                <w:szCs w:val="22"/>
              </w:rPr>
              <w:t>36491370.53</w:t>
            </w:r>
          </w:p>
        </w:tc>
        <w:tc>
          <w:tcPr>
            <w:tcW w:w="1551" w:type="dxa"/>
            <w:tcBorders>
              <w:top w:val="nil"/>
              <w:left w:val="nil"/>
              <w:bottom w:val="single" w:color="auto" w:sz="4" w:space="0"/>
              <w:right w:val="single" w:color="auto" w:sz="4" w:space="0"/>
            </w:tcBorders>
            <w:shd w:val="clear" w:color="auto" w:fill="auto"/>
            <w:noWrap/>
            <w:vAlign w:val="center"/>
          </w:tcPr>
          <w:p w14:paraId="44E83277">
            <w:pPr>
              <w:widowControl/>
              <w:spacing w:line="240" w:lineRule="auto"/>
              <w:ind w:firstLine="0" w:firstLineChars="0"/>
              <w:jc w:val="center"/>
              <w:rPr>
                <w:color w:val="auto"/>
                <w:kern w:val="0"/>
                <w:sz w:val="22"/>
                <w:szCs w:val="22"/>
              </w:rPr>
            </w:pPr>
            <w:r>
              <w:rPr>
                <w:color w:val="auto"/>
                <w:kern w:val="0"/>
                <w:sz w:val="22"/>
                <w:szCs w:val="22"/>
              </w:rPr>
              <w:t>2454219.18</w:t>
            </w:r>
          </w:p>
        </w:tc>
        <w:tc>
          <w:tcPr>
            <w:tcW w:w="1661" w:type="dxa"/>
            <w:tcBorders>
              <w:top w:val="nil"/>
              <w:left w:val="nil"/>
              <w:bottom w:val="single" w:color="auto" w:sz="4" w:space="0"/>
              <w:right w:val="single" w:color="auto" w:sz="4" w:space="0"/>
            </w:tcBorders>
            <w:shd w:val="clear" w:color="auto" w:fill="auto"/>
            <w:noWrap/>
            <w:vAlign w:val="center"/>
          </w:tcPr>
          <w:p w14:paraId="3C0E8BB6">
            <w:pPr>
              <w:widowControl/>
              <w:spacing w:line="240" w:lineRule="auto"/>
              <w:ind w:firstLine="0" w:firstLineChars="0"/>
              <w:jc w:val="center"/>
              <w:rPr>
                <w:color w:val="auto"/>
                <w:kern w:val="0"/>
                <w:sz w:val="22"/>
                <w:szCs w:val="22"/>
              </w:rPr>
            </w:pPr>
            <w:r>
              <w:rPr>
                <w:color w:val="auto"/>
                <w:kern w:val="0"/>
                <w:sz w:val="22"/>
                <w:szCs w:val="22"/>
              </w:rPr>
              <w:t>36491485.39</w:t>
            </w:r>
          </w:p>
        </w:tc>
      </w:tr>
      <w:tr w14:paraId="6060B22C">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10DC5445">
            <w:pPr>
              <w:widowControl/>
              <w:spacing w:line="240" w:lineRule="auto"/>
              <w:ind w:firstLine="0" w:firstLineChars="0"/>
              <w:jc w:val="center"/>
              <w:rPr>
                <w:color w:val="auto"/>
                <w:kern w:val="0"/>
                <w:sz w:val="22"/>
                <w:szCs w:val="22"/>
              </w:rPr>
            </w:pPr>
            <w:r>
              <w:rPr>
                <w:color w:val="auto"/>
                <w:kern w:val="0"/>
                <w:sz w:val="22"/>
                <w:szCs w:val="22"/>
              </w:rPr>
              <w:t>6</w:t>
            </w:r>
          </w:p>
        </w:tc>
        <w:tc>
          <w:tcPr>
            <w:tcW w:w="1441" w:type="dxa"/>
            <w:tcBorders>
              <w:top w:val="nil"/>
              <w:left w:val="single" w:color="auto" w:sz="4" w:space="0"/>
              <w:bottom w:val="single" w:color="auto" w:sz="4" w:space="0"/>
              <w:right w:val="single" w:color="auto" w:sz="4" w:space="0"/>
            </w:tcBorders>
            <w:shd w:val="clear" w:color="auto" w:fill="auto"/>
            <w:vAlign w:val="center"/>
          </w:tcPr>
          <w:p w14:paraId="053DE26B">
            <w:pPr>
              <w:widowControl/>
              <w:spacing w:line="240" w:lineRule="auto"/>
              <w:ind w:firstLine="0" w:firstLineChars="0"/>
              <w:jc w:val="center"/>
              <w:rPr>
                <w:color w:val="auto"/>
                <w:kern w:val="0"/>
                <w:sz w:val="22"/>
                <w:szCs w:val="22"/>
              </w:rPr>
            </w:pPr>
            <w:r>
              <w:rPr>
                <w:color w:val="auto"/>
                <w:kern w:val="0"/>
                <w:sz w:val="22"/>
                <w:szCs w:val="22"/>
              </w:rPr>
              <w:t>2454089.66</w:t>
            </w:r>
          </w:p>
        </w:tc>
        <w:tc>
          <w:tcPr>
            <w:tcW w:w="1551" w:type="dxa"/>
            <w:tcBorders>
              <w:top w:val="nil"/>
              <w:left w:val="nil"/>
              <w:bottom w:val="single" w:color="auto" w:sz="4" w:space="0"/>
              <w:right w:val="single" w:color="auto" w:sz="4" w:space="0"/>
            </w:tcBorders>
            <w:shd w:val="clear" w:color="auto" w:fill="auto"/>
            <w:vAlign w:val="center"/>
          </w:tcPr>
          <w:p w14:paraId="1B8C692F">
            <w:pPr>
              <w:widowControl/>
              <w:spacing w:line="240" w:lineRule="auto"/>
              <w:ind w:firstLine="0" w:firstLineChars="0"/>
              <w:jc w:val="center"/>
              <w:rPr>
                <w:color w:val="auto"/>
                <w:kern w:val="0"/>
                <w:sz w:val="22"/>
                <w:szCs w:val="22"/>
              </w:rPr>
            </w:pPr>
            <w:r>
              <w:rPr>
                <w:color w:val="auto"/>
                <w:kern w:val="0"/>
                <w:sz w:val="22"/>
                <w:szCs w:val="22"/>
              </w:rPr>
              <w:t>36491220.27</w:t>
            </w:r>
          </w:p>
        </w:tc>
        <w:tc>
          <w:tcPr>
            <w:tcW w:w="1551" w:type="dxa"/>
            <w:tcBorders>
              <w:top w:val="nil"/>
              <w:left w:val="nil"/>
              <w:bottom w:val="single" w:color="auto" w:sz="4" w:space="0"/>
              <w:right w:val="single" w:color="auto" w:sz="4" w:space="0"/>
            </w:tcBorders>
            <w:shd w:val="clear" w:color="auto" w:fill="auto"/>
            <w:noWrap/>
            <w:vAlign w:val="center"/>
          </w:tcPr>
          <w:p w14:paraId="1B26EBC8">
            <w:pPr>
              <w:widowControl/>
              <w:spacing w:line="240" w:lineRule="auto"/>
              <w:ind w:firstLine="0" w:firstLineChars="0"/>
              <w:jc w:val="center"/>
              <w:rPr>
                <w:color w:val="auto"/>
                <w:kern w:val="0"/>
                <w:sz w:val="22"/>
                <w:szCs w:val="22"/>
              </w:rPr>
            </w:pPr>
            <w:r>
              <w:rPr>
                <w:color w:val="auto"/>
                <w:kern w:val="0"/>
                <w:sz w:val="22"/>
                <w:szCs w:val="22"/>
              </w:rPr>
              <w:t>2454091.01</w:t>
            </w:r>
          </w:p>
        </w:tc>
        <w:tc>
          <w:tcPr>
            <w:tcW w:w="1661" w:type="dxa"/>
            <w:tcBorders>
              <w:top w:val="nil"/>
              <w:left w:val="nil"/>
              <w:bottom w:val="single" w:color="auto" w:sz="4" w:space="0"/>
              <w:right w:val="single" w:color="auto" w:sz="4" w:space="0"/>
            </w:tcBorders>
            <w:shd w:val="clear" w:color="auto" w:fill="auto"/>
            <w:noWrap/>
            <w:vAlign w:val="center"/>
          </w:tcPr>
          <w:p w14:paraId="1F6AC7F9">
            <w:pPr>
              <w:widowControl/>
              <w:spacing w:line="240" w:lineRule="auto"/>
              <w:ind w:firstLine="0" w:firstLineChars="0"/>
              <w:jc w:val="center"/>
              <w:rPr>
                <w:color w:val="auto"/>
                <w:kern w:val="0"/>
                <w:sz w:val="22"/>
                <w:szCs w:val="22"/>
              </w:rPr>
            </w:pPr>
            <w:r>
              <w:rPr>
                <w:color w:val="auto"/>
                <w:kern w:val="0"/>
                <w:sz w:val="22"/>
                <w:szCs w:val="22"/>
              </w:rPr>
              <w:t>36491335.13</w:t>
            </w:r>
          </w:p>
        </w:tc>
      </w:tr>
      <w:tr w14:paraId="0C02C9AC">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082ABDBB">
            <w:pPr>
              <w:widowControl/>
              <w:spacing w:line="240" w:lineRule="auto"/>
              <w:ind w:firstLine="0" w:firstLineChars="0"/>
              <w:jc w:val="center"/>
              <w:rPr>
                <w:color w:val="auto"/>
                <w:kern w:val="0"/>
                <w:sz w:val="22"/>
                <w:szCs w:val="22"/>
              </w:rPr>
            </w:pPr>
            <w:r>
              <w:rPr>
                <w:color w:val="auto"/>
                <w:kern w:val="0"/>
                <w:sz w:val="22"/>
                <w:szCs w:val="22"/>
              </w:rPr>
              <w:t>7</w:t>
            </w:r>
          </w:p>
        </w:tc>
        <w:tc>
          <w:tcPr>
            <w:tcW w:w="1441" w:type="dxa"/>
            <w:tcBorders>
              <w:top w:val="nil"/>
              <w:left w:val="single" w:color="auto" w:sz="4" w:space="0"/>
              <w:bottom w:val="single" w:color="auto" w:sz="4" w:space="0"/>
              <w:right w:val="single" w:color="auto" w:sz="4" w:space="0"/>
            </w:tcBorders>
            <w:shd w:val="clear" w:color="auto" w:fill="auto"/>
            <w:vAlign w:val="center"/>
          </w:tcPr>
          <w:p w14:paraId="4F82948A">
            <w:pPr>
              <w:widowControl/>
              <w:spacing w:line="240" w:lineRule="auto"/>
              <w:ind w:firstLine="0" w:firstLineChars="0"/>
              <w:jc w:val="center"/>
              <w:rPr>
                <w:color w:val="auto"/>
                <w:kern w:val="0"/>
                <w:sz w:val="22"/>
                <w:szCs w:val="22"/>
              </w:rPr>
            </w:pPr>
            <w:r>
              <w:rPr>
                <w:color w:val="auto"/>
                <w:kern w:val="0"/>
                <w:sz w:val="22"/>
                <w:szCs w:val="22"/>
              </w:rPr>
              <w:t>2454018.32</w:t>
            </w:r>
          </w:p>
        </w:tc>
        <w:tc>
          <w:tcPr>
            <w:tcW w:w="1551" w:type="dxa"/>
            <w:tcBorders>
              <w:top w:val="nil"/>
              <w:left w:val="nil"/>
              <w:bottom w:val="single" w:color="auto" w:sz="4" w:space="0"/>
              <w:right w:val="single" w:color="auto" w:sz="4" w:space="0"/>
            </w:tcBorders>
            <w:shd w:val="clear" w:color="auto" w:fill="auto"/>
            <w:vAlign w:val="center"/>
          </w:tcPr>
          <w:p w14:paraId="360D868D">
            <w:pPr>
              <w:widowControl/>
              <w:spacing w:line="240" w:lineRule="auto"/>
              <w:ind w:firstLine="0" w:firstLineChars="0"/>
              <w:jc w:val="center"/>
              <w:rPr>
                <w:color w:val="auto"/>
                <w:kern w:val="0"/>
                <w:sz w:val="22"/>
                <w:szCs w:val="22"/>
              </w:rPr>
            </w:pPr>
            <w:r>
              <w:rPr>
                <w:color w:val="auto"/>
                <w:kern w:val="0"/>
                <w:sz w:val="22"/>
                <w:szCs w:val="22"/>
              </w:rPr>
              <w:t>36491090.17</w:t>
            </w:r>
          </w:p>
        </w:tc>
        <w:tc>
          <w:tcPr>
            <w:tcW w:w="1551" w:type="dxa"/>
            <w:tcBorders>
              <w:top w:val="nil"/>
              <w:left w:val="nil"/>
              <w:bottom w:val="single" w:color="auto" w:sz="4" w:space="0"/>
              <w:right w:val="single" w:color="auto" w:sz="4" w:space="0"/>
            </w:tcBorders>
            <w:shd w:val="clear" w:color="auto" w:fill="auto"/>
            <w:noWrap/>
            <w:vAlign w:val="center"/>
          </w:tcPr>
          <w:p w14:paraId="0E26ECE2">
            <w:pPr>
              <w:widowControl/>
              <w:spacing w:line="240" w:lineRule="auto"/>
              <w:ind w:firstLine="0" w:firstLineChars="0"/>
              <w:jc w:val="center"/>
              <w:rPr>
                <w:color w:val="auto"/>
                <w:kern w:val="0"/>
                <w:sz w:val="22"/>
                <w:szCs w:val="22"/>
              </w:rPr>
            </w:pPr>
            <w:r>
              <w:rPr>
                <w:color w:val="auto"/>
                <w:kern w:val="0"/>
                <w:sz w:val="22"/>
                <w:szCs w:val="22"/>
              </w:rPr>
              <w:t>2454019.67</w:t>
            </w:r>
          </w:p>
        </w:tc>
        <w:tc>
          <w:tcPr>
            <w:tcW w:w="1661" w:type="dxa"/>
            <w:tcBorders>
              <w:top w:val="nil"/>
              <w:left w:val="nil"/>
              <w:bottom w:val="single" w:color="auto" w:sz="4" w:space="0"/>
              <w:right w:val="single" w:color="auto" w:sz="4" w:space="0"/>
            </w:tcBorders>
            <w:shd w:val="clear" w:color="auto" w:fill="auto"/>
            <w:noWrap/>
            <w:vAlign w:val="center"/>
          </w:tcPr>
          <w:p w14:paraId="11FCC58D">
            <w:pPr>
              <w:widowControl/>
              <w:spacing w:line="240" w:lineRule="auto"/>
              <w:ind w:firstLine="0" w:firstLineChars="0"/>
              <w:jc w:val="center"/>
              <w:rPr>
                <w:color w:val="auto"/>
                <w:kern w:val="0"/>
                <w:sz w:val="22"/>
                <w:szCs w:val="22"/>
              </w:rPr>
            </w:pPr>
            <w:r>
              <w:rPr>
                <w:color w:val="auto"/>
                <w:kern w:val="0"/>
                <w:sz w:val="22"/>
                <w:szCs w:val="22"/>
              </w:rPr>
              <w:t>36491205.02</w:t>
            </w:r>
          </w:p>
        </w:tc>
      </w:tr>
      <w:tr w14:paraId="6CE91061">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771FBEDC">
            <w:pPr>
              <w:widowControl/>
              <w:spacing w:line="240" w:lineRule="auto"/>
              <w:ind w:firstLine="0" w:firstLineChars="0"/>
              <w:jc w:val="center"/>
              <w:rPr>
                <w:color w:val="auto"/>
                <w:kern w:val="0"/>
                <w:sz w:val="22"/>
                <w:szCs w:val="22"/>
              </w:rPr>
            </w:pPr>
            <w:r>
              <w:rPr>
                <w:color w:val="auto"/>
                <w:kern w:val="0"/>
                <w:sz w:val="22"/>
                <w:szCs w:val="22"/>
              </w:rPr>
              <w:t>8</w:t>
            </w:r>
          </w:p>
        </w:tc>
        <w:tc>
          <w:tcPr>
            <w:tcW w:w="1441" w:type="dxa"/>
            <w:tcBorders>
              <w:top w:val="nil"/>
              <w:left w:val="single" w:color="auto" w:sz="4" w:space="0"/>
              <w:bottom w:val="single" w:color="auto" w:sz="4" w:space="0"/>
              <w:right w:val="single" w:color="auto" w:sz="4" w:space="0"/>
            </w:tcBorders>
            <w:shd w:val="clear" w:color="auto" w:fill="auto"/>
            <w:vAlign w:val="center"/>
          </w:tcPr>
          <w:p w14:paraId="68043251">
            <w:pPr>
              <w:widowControl/>
              <w:spacing w:line="240" w:lineRule="auto"/>
              <w:ind w:firstLine="0" w:firstLineChars="0"/>
              <w:jc w:val="center"/>
              <w:rPr>
                <w:color w:val="auto"/>
                <w:kern w:val="0"/>
                <w:sz w:val="22"/>
                <w:szCs w:val="22"/>
              </w:rPr>
            </w:pPr>
            <w:r>
              <w:rPr>
                <w:color w:val="auto"/>
                <w:kern w:val="0"/>
                <w:sz w:val="22"/>
                <w:szCs w:val="22"/>
              </w:rPr>
              <w:t>2454022.51</w:t>
            </w:r>
          </w:p>
        </w:tc>
        <w:tc>
          <w:tcPr>
            <w:tcW w:w="1551" w:type="dxa"/>
            <w:tcBorders>
              <w:top w:val="nil"/>
              <w:left w:val="nil"/>
              <w:bottom w:val="single" w:color="auto" w:sz="4" w:space="0"/>
              <w:right w:val="single" w:color="auto" w:sz="4" w:space="0"/>
            </w:tcBorders>
            <w:shd w:val="clear" w:color="auto" w:fill="auto"/>
            <w:vAlign w:val="center"/>
          </w:tcPr>
          <w:p w14:paraId="3746303C">
            <w:pPr>
              <w:widowControl/>
              <w:spacing w:line="240" w:lineRule="auto"/>
              <w:ind w:firstLine="0" w:firstLineChars="0"/>
              <w:jc w:val="center"/>
              <w:rPr>
                <w:color w:val="auto"/>
                <w:kern w:val="0"/>
                <w:sz w:val="22"/>
                <w:szCs w:val="22"/>
              </w:rPr>
            </w:pPr>
            <w:r>
              <w:rPr>
                <w:color w:val="auto"/>
                <w:kern w:val="0"/>
                <w:sz w:val="22"/>
                <w:szCs w:val="22"/>
              </w:rPr>
              <w:t>36491000.98</w:t>
            </w:r>
          </w:p>
        </w:tc>
        <w:tc>
          <w:tcPr>
            <w:tcW w:w="1551" w:type="dxa"/>
            <w:tcBorders>
              <w:top w:val="nil"/>
              <w:left w:val="nil"/>
              <w:bottom w:val="single" w:color="auto" w:sz="4" w:space="0"/>
              <w:right w:val="single" w:color="auto" w:sz="4" w:space="0"/>
            </w:tcBorders>
            <w:shd w:val="clear" w:color="auto" w:fill="auto"/>
            <w:noWrap/>
            <w:vAlign w:val="center"/>
          </w:tcPr>
          <w:p w14:paraId="7B1450F7">
            <w:pPr>
              <w:widowControl/>
              <w:spacing w:line="240" w:lineRule="auto"/>
              <w:ind w:firstLine="0" w:firstLineChars="0"/>
              <w:jc w:val="center"/>
              <w:rPr>
                <w:color w:val="auto"/>
                <w:kern w:val="0"/>
                <w:sz w:val="22"/>
                <w:szCs w:val="22"/>
              </w:rPr>
            </w:pPr>
            <w:r>
              <w:rPr>
                <w:color w:val="auto"/>
                <w:kern w:val="0"/>
                <w:sz w:val="22"/>
                <w:szCs w:val="22"/>
              </w:rPr>
              <w:t>2454023.86</w:t>
            </w:r>
          </w:p>
        </w:tc>
        <w:tc>
          <w:tcPr>
            <w:tcW w:w="1661" w:type="dxa"/>
            <w:tcBorders>
              <w:top w:val="nil"/>
              <w:left w:val="nil"/>
              <w:bottom w:val="single" w:color="auto" w:sz="4" w:space="0"/>
              <w:right w:val="single" w:color="auto" w:sz="4" w:space="0"/>
            </w:tcBorders>
            <w:shd w:val="clear" w:color="auto" w:fill="auto"/>
            <w:noWrap/>
            <w:vAlign w:val="center"/>
          </w:tcPr>
          <w:p w14:paraId="63CC32A2">
            <w:pPr>
              <w:widowControl/>
              <w:spacing w:line="240" w:lineRule="auto"/>
              <w:ind w:firstLine="0" w:firstLineChars="0"/>
              <w:jc w:val="center"/>
              <w:rPr>
                <w:color w:val="auto"/>
                <w:kern w:val="0"/>
                <w:sz w:val="22"/>
                <w:szCs w:val="22"/>
              </w:rPr>
            </w:pPr>
            <w:r>
              <w:rPr>
                <w:color w:val="auto"/>
                <w:kern w:val="0"/>
                <w:sz w:val="22"/>
                <w:szCs w:val="22"/>
              </w:rPr>
              <w:t>36491115.84</w:t>
            </w:r>
          </w:p>
        </w:tc>
      </w:tr>
      <w:tr w14:paraId="5F5B3FB5">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60064852">
            <w:pPr>
              <w:widowControl/>
              <w:spacing w:line="240" w:lineRule="auto"/>
              <w:ind w:firstLine="0" w:firstLineChars="0"/>
              <w:jc w:val="center"/>
              <w:rPr>
                <w:color w:val="auto"/>
                <w:kern w:val="0"/>
                <w:sz w:val="22"/>
                <w:szCs w:val="22"/>
              </w:rPr>
            </w:pPr>
            <w:r>
              <w:rPr>
                <w:color w:val="auto"/>
                <w:kern w:val="0"/>
                <w:sz w:val="22"/>
                <w:szCs w:val="22"/>
              </w:rPr>
              <w:t>9</w:t>
            </w:r>
          </w:p>
        </w:tc>
        <w:tc>
          <w:tcPr>
            <w:tcW w:w="1441" w:type="dxa"/>
            <w:tcBorders>
              <w:top w:val="nil"/>
              <w:left w:val="single" w:color="auto" w:sz="4" w:space="0"/>
              <w:bottom w:val="single" w:color="auto" w:sz="4" w:space="0"/>
              <w:right w:val="single" w:color="auto" w:sz="4" w:space="0"/>
            </w:tcBorders>
            <w:shd w:val="clear" w:color="auto" w:fill="auto"/>
            <w:vAlign w:val="center"/>
          </w:tcPr>
          <w:p w14:paraId="2E68E69E">
            <w:pPr>
              <w:widowControl/>
              <w:spacing w:line="240" w:lineRule="auto"/>
              <w:ind w:firstLine="0" w:firstLineChars="0"/>
              <w:jc w:val="center"/>
              <w:rPr>
                <w:color w:val="auto"/>
                <w:kern w:val="0"/>
                <w:sz w:val="22"/>
                <w:szCs w:val="22"/>
              </w:rPr>
            </w:pPr>
            <w:r>
              <w:rPr>
                <w:color w:val="auto"/>
                <w:kern w:val="0"/>
                <w:sz w:val="22"/>
                <w:szCs w:val="22"/>
              </w:rPr>
              <w:t>2454102.25</w:t>
            </w:r>
          </w:p>
        </w:tc>
        <w:tc>
          <w:tcPr>
            <w:tcW w:w="1551" w:type="dxa"/>
            <w:tcBorders>
              <w:top w:val="nil"/>
              <w:left w:val="nil"/>
              <w:bottom w:val="single" w:color="auto" w:sz="4" w:space="0"/>
              <w:right w:val="single" w:color="auto" w:sz="4" w:space="0"/>
            </w:tcBorders>
            <w:shd w:val="clear" w:color="auto" w:fill="auto"/>
            <w:vAlign w:val="center"/>
          </w:tcPr>
          <w:p w14:paraId="7DE7817C">
            <w:pPr>
              <w:widowControl/>
              <w:spacing w:line="240" w:lineRule="auto"/>
              <w:ind w:firstLine="0" w:firstLineChars="0"/>
              <w:jc w:val="center"/>
              <w:rPr>
                <w:color w:val="auto"/>
                <w:kern w:val="0"/>
                <w:sz w:val="22"/>
                <w:szCs w:val="22"/>
              </w:rPr>
            </w:pPr>
            <w:r>
              <w:rPr>
                <w:color w:val="auto"/>
                <w:kern w:val="0"/>
                <w:sz w:val="22"/>
                <w:szCs w:val="22"/>
              </w:rPr>
              <w:t>36490889.76</w:t>
            </w:r>
          </w:p>
        </w:tc>
        <w:tc>
          <w:tcPr>
            <w:tcW w:w="1551" w:type="dxa"/>
            <w:tcBorders>
              <w:top w:val="nil"/>
              <w:left w:val="nil"/>
              <w:bottom w:val="single" w:color="auto" w:sz="4" w:space="0"/>
              <w:right w:val="single" w:color="auto" w:sz="4" w:space="0"/>
            </w:tcBorders>
            <w:shd w:val="clear" w:color="auto" w:fill="auto"/>
            <w:noWrap/>
            <w:vAlign w:val="center"/>
          </w:tcPr>
          <w:p w14:paraId="7452BBCA">
            <w:pPr>
              <w:widowControl/>
              <w:spacing w:line="240" w:lineRule="auto"/>
              <w:ind w:firstLine="0" w:firstLineChars="0"/>
              <w:jc w:val="center"/>
              <w:rPr>
                <w:color w:val="auto"/>
                <w:kern w:val="0"/>
                <w:sz w:val="22"/>
                <w:szCs w:val="22"/>
              </w:rPr>
            </w:pPr>
            <w:r>
              <w:rPr>
                <w:color w:val="auto"/>
                <w:kern w:val="0"/>
                <w:sz w:val="22"/>
                <w:szCs w:val="22"/>
              </w:rPr>
              <w:t>2454103.61</w:t>
            </w:r>
          </w:p>
        </w:tc>
        <w:tc>
          <w:tcPr>
            <w:tcW w:w="1661" w:type="dxa"/>
            <w:tcBorders>
              <w:top w:val="nil"/>
              <w:left w:val="nil"/>
              <w:bottom w:val="single" w:color="auto" w:sz="4" w:space="0"/>
              <w:right w:val="single" w:color="auto" w:sz="4" w:space="0"/>
            </w:tcBorders>
            <w:shd w:val="clear" w:color="auto" w:fill="auto"/>
            <w:noWrap/>
            <w:vAlign w:val="center"/>
          </w:tcPr>
          <w:p w14:paraId="363425B0">
            <w:pPr>
              <w:widowControl/>
              <w:spacing w:line="240" w:lineRule="auto"/>
              <w:ind w:firstLine="0" w:firstLineChars="0"/>
              <w:jc w:val="center"/>
              <w:rPr>
                <w:color w:val="auto"/>
                <w:kern w:val="0"/>
                <w:sz w:val="22"/>
                <w:szCs w:val="22"/>
              </w:rPr>
            </w:pPr>
            <w:r>
              <w:rPr>
                <w:color w:val="auto"/>
                <w:kern w:val="0"/>
                <w:sz w:val="22"/>
                <w:szCs w:val="22"/>
              </w:rPr>
              <w:t>36491004.62</w:t>
            </w:r>
          </w:p>
        </w:tc>
      </w:tr>
      <w:tr w14:paraId="30C07D0A">
        <w:tblPrEx>
          <w:tblCellMar>
            <w:top w:w="0" w:type="dxa"/>
            <w:left w:w="108" w:type="dxa"/>
            <w:bottom w:w="0" w:type="dxa"/>
            <w:right w:w="108" w:type="dxa"/>
          </w:tblCellMar>
        </w:tblPrEx>
        <w:trPr>
          <w:trHeight w:val="300" w:hRule="atLeast"/>
          <w:jc w:val="center"/>
        </w:trPr>
        <w:tc>
          <w:tcPr>
            <w:tcW w:w="836" w:type="dxa"/>
            <w:tcBorders>
              <w:top w:val="nil"/>
              <w:left w:val="single" w:color="auto" w:sz="4" w:space="0"/>
              <w:bottom w:val="single" w:color="auto" w:sz="4" w:space="0"/>
              <w:right w:val="nil"/>
            </w:tcBorders>
            <w:shd w:val="clear" w:color="auto" w:fill="auto"/>
            <w:noWrap/>
            <w:vAlign w:val="center"/>
          </w:tcPr>
          <w:p w14:paraId="255F197C">
            <w:pPr>
              <w:widowControl/>
              <w:spacing w:line="240" w:lineRule="auto"/>
              <w:ind w:firstLine="0" w:firstLineChars="0"/>
              <w:jc w:val="center"/>
              <w:rPr>
                <w:color w:val="auto"/>
                <w:kern w:val="0"/>
                <w:sz w:val="22"/>
                <w:szCs w:val="22"/>
              </w:rPr>
            </w:pPr>
            <w:r>
              <w:rPr>
                <w:color w:val="auto"/>
                <w:kern w:val="0"/>
                <w:sz w:val="22"/>
                <w:szCs w:val="22"/>
              </w:rPr>
              <w:t>10</w:t>
            </w:r>
          </w:p>
        </w:tc>
        <w:tc>
          <w:tcPr>
            <w:tcW w:w="1441" w:type="dxa"/>
            <w:tcBorders>
              <w:top w:val="nil"/>
              <w:left w:val="single" w:color="auto" w:sz="4" w:space="0"/>
              <w:bottom w:val="single" w:color="auto" w:sz="4" w:space="0"/>
              <w:right w:val="single" w:color="auto" w:sz="4" w:space="0"/>
            </w:tcBorders>
            <w:shd w:val="clear" w:color="auto" w:fill="auto"/>
            <w:vAlign w:val="center"/>
          </w:tcPr>
          <w:p w14:paraId="4447411D">
            <w:pPr>
              <w:widowControl/>
              <w:spacing w:line="240" w:lineRule="auto"/>
              <w:ind w:firstLine="0" w:firstLineChars="0"/>
              <w:jc w:val="center"/>
              <w:rPr>
                <w:color w:val="auto"/>
                <w:kern w:val="0"/>
                <w:sz w:val="22"/>
                <w:szCs w:val="22"/>
              </w:rPr>
            </w:pPr>
            <w:r>
              <w:rPr>
                <w:color w:val="auto"/>
                <w:kern w:val="0"/>
                <w:sz w:val="22"/>
                <w:szCs w:val="22"/>
              </w:rPr>
              <w:t>2454202.27</w:t>
            </w:r>
          </w:p>
        </w:tc>
        <w:tc>
          <w:tcPr>
            <w:tcW w:w="1551" w:type="dxa"/>
            <w:tcBorders>
              <w:top w:val="nil"/>
              <w:left w:val="nil"/>
              <w:bottom w:val="single" w:color="auto" w:sz="4" w:space="0"/>
              <w:right w:val="single" w:color="auto" w:sz="4" w:space="0"/>
            </w:tcBorders>
            <w:shd w:val="clear" w:color="auto" w:fill="auto"/>
            <w:vAlign w:val="center"/>
          </w:tcPr>
          <w:p w14:paraId="6A8FEB4E">
            <w:pPr>
              <w:widowControl/>
              <w:spacing w:line="240" w:lineRule="auto"/>
              <w:ind w:firstLine="0" w:firstLineChars="0"/>
              <w:jc w:val="center"/>
              <w:rPr>
                <w:color w:val="auto"/>
                <w:kern w:val="0"/>
                <w:sz w:val="22"/>
                <w:szCs w:val="22"/>
              </w:rPr>
            </w:pPr>
            <w:r>
              <w:rPr>
                <w:color w:val="auto"/>
                <w:kern w:val="0"/>
                <w:sz w:val="22"/>
                <w:szCs w:val="22"/>
              </w:rPr>
              <w:t>36490810.14</w:t>
            </w:r>
          </w:p>
        </w:tc>
        <w:tc>
          <w:tcPr>
            <w:tcW w:w="1551" w:type="dxa"/>
            <w:tcBorders>
              <w:top w:val="nil"/>
              <w:left w:val="nil"/>
              <w:bottom w:val="single" w:color="auto" w:sz="4" w:space="0"/>
              <w:right w:val="single" w:color="auto" w:sz="4" w:space="0"/>
            </w:tcBorders>
            <w:shd w:val="clear" w:color="auto" w:fill="auto"/>
            <w:noWrap/>
            <w:vAlign w:val="center"/>
          </w:tcPr>
          <w:p w14:paraId="3FCC87E9">
            <w:pPr>
              <w:widowControl/>
              <w:spacing w:line="240" w:lineRule="auto"/>
              <w:ind w:firstLine="0" w:firstLineChars="0"/>
              <w:jc w:val="center"/>
              <w:rPr>
                <w:color w:val="auto"/>
                <w:kern w:val="0"/>
                <w:sz w:val="22"/>
                <w:szCs w:val="22"/>
              </w:rPr>
            </w:pPr>
            <w:r>
              <w:rPr>
                <w:color w:val="auto"/>
                <w:kern w:val="0"/>
                <w:sz w:val="22"/>
                <w:szCs w:val="22"/>
              </w:rPr>
              <w:t>2454203.62</w:t>
            </w:r>
          </w:p>
        </w:tc>
        <w:tc>
          <w:tcPr>
            <w:tcW w:w="1661" w:type="dxa"/>
            <w:tcBorders>
              <w:top w:val="nil"/>
              <w:left w:val="nil"/>
              <w:bottom w:val="single" w:color="auto" w:sz="4" w:space="0"/>
              <w:right w:val="single" w:color="auto" w:sz="4" w:space="0"/>
            </w:tcBorders>
            <w:shd w:val="clear" w:color="auto" w:fill="auto"/>
            <w:noWrap/>
            <w:vAlign w:val="center"/>
          </w:tcPr>
          <w:p w14:paraId="7059704F">
            <w:pPr>
              <w:widowControl/>
              <w:spacing w:line="240" w:lineRule="auto"/>
              <w:ind w:firstLine="0" w:firstLineChars="0"/>
              <w:jc w:val="center"/>
              <w:rPr>
                <w:color w:val="auto"/>
                <w:kern w:val="0"/>
                <w:sz w:val="22"/>
                <w:szCs w:val="22"/>
              </w:rPr>
            </w:pPr>
            <w:r>
              <w:rPr>
                <w:color w:val="auto"/>
                <w:kern w:val="0"/>
                <w:sz w:val="22"/>
                <w:szCs w:val="22"/>
              </w:rPr>
              <w:t>36490924.99</w:t>
            </w:r>
          </w:p>
        </w:tc>
      </w:tr>
      <w:tr w14:paraId="0903B5FB">
        <w:tblPrEx>
          <w:tblCellMar>
            <w:top w:w="0" w:type="dxa"/>
            <w:left w:w="108" w:type="dxa"/>
            <w:bottom w:w="0" w:type="dxa"/>
            <w:right w:w="108" w:type="dxa"/>
          </w:tblCellMar>
        </w:tblPrEx>
        <w:trPr>
          <w:trHeight w:val="360" w:hRule="atLeast"/>
          <w:jc w:val="center"/>
        </w:trPr>
        <w:tc>
          <w:tcPr>
            <w:tcW w:w="7040"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75FFFA84">
            <w:pPr>
              <w:widowControl/>
              <w:spacing w:line="240" w:lineRule="auto"/>
              <w:ind w:firstLine="0" w:firstLineChars="0"/>
              <w:jc w:val="left"/>
              <w:rPr>
                <w:color w:val="auto"/>
                <w:kern w:val="0"/>
                <w:sz w:val="22"/>
                <w:szCs w:val="22"/>
              </w:rPr>
            </w:pPr>
            <w:r>
              <w:rPr>
                <w:color w:val="auto"/>
                <w:kern w:val="0"/>
                <w:sz w:val="22"/>
                <w:szCs w:val="22"/>
              </w:rPr>
              <w:t>矿区面积：0.33km</w:t>
            </w:r>
            <w:r>
              <w:rPr>
                <w:color w:val="auto"/>
                <w:kern w:val="0"/>
                <w:sz w:val="22"/>
                <w:szCs w:val="22"/>
                <w:vertAlign w:val="superscript"/>
              </w:rPr>
              <w:t>2</w:t>
            </w:r>
            <w:r>
              <w:rPr>
                <w:color w:val="auto"/>
                <w:kern w:val="0"/>
                <w:sz w:val="22"/>
                <w:szCs w:val="22"/>
              </w:rPr>
              <w:t>；开采深度：由+563.22m至+360m</w:t>
            </w:r>
          </w:p>
        </w:tc>
      </w:tr>
    </w:tbl>
    <w:p w14:paraId="4A06DC19">
      <w:pPr>
        <w:rPr>
          <w:color w:val="auto"/>
          <w:sz w:val="10"/>
          <w:szCs w:val="10"/>
        </w:rPr>
      </w:pPr>
    </w:p>
    <w:p w14:paraId="44BF06D0">
      <w:pPr>
        <w:ind w:firstLine="560"/>
        <w:rPr>
          <w:color w:val="auto"/>
          <w:szCs w:val="28"/>
        </w:rPr>
      </w:pPr>
      <w:r>
        <w:rPr>
          <w:color w:val="auto"/>
          <w:szCs w:val="28"/>
        </w:rPr>
        <w:t>采矿权各要素如下：</w:t>
      </w:r>
    </w:p>
    <w:p w14:paraId="160B4316">
      <w:pPr>
        <w:ind w:firstLine="560"/>
        <w:rPr>
          <w:color w:val="auto"/>
          <w:szCs w:val="28"/>
        </w:rPr>
      </w:pPr>
      <w:r>
        <w:rPr>
          <w:color w:val="auto"/>
          <w:szCs w:val="28"/>
        </w:rPr>
        <w:t>采矿证号：C4506012020127100151172；</w:t>
      </w:r>
    </w:p>
    <w:p w14:paraId="0259131A">
      <w:pPr>
        <w:ind w:firstLine="560"/>
        <w:rPr>
          <w:color w:val="auto"/>
          <w:szCs w:val="28"/>
        </w:rPr>
      </w:pPr>
      <w:r>
        <w:rPr>
          <w:color w:val="auto"/>
          <w:szCs w:val="28"/>
        </w:rPr>
        <w:t>采矿权人：华润水泥（上思）有限公司；</w:t>
      </w:r>
    </w:p>
    <w:p w14:paraId="16E3FBC2">
      <w:pPr>
        <w:ind w:firstLine="560"/>
        <w:rPr>
          <w:color w:val="auto"/>
          <w:szCs w:val="28"/>
        </w:rPr>
      </w:pPr>
      <w:r>
        <w:rPr>
          <w:color w:val="auto"/>
          <w:szCs w:val="28"/>
        </w:rPr>
        <w:t>矿山名称：华润水泥（上思）有限公司讲鱼山石灰岩矿；</w:t>
      </w:r>
    </w:p>
    <w:p w14:paraId="6006B905">
      <w:pPr>
        <w:ind w:firstLine="560"/>
        <w:rPr>
          <w:color w:val="auto"/>
          <w:szCs w:val="28"/>
        </w:rPr>
      </w:pPr>
      <w:r>
        <w:rPr>
          <w:color w:val="auto"/>
          <w:szCs w:val="28"/>
        </w:rPr>
        <w:t>经济类型：港澳台独资经营企业；</w:t>
      </w:r>
    </w:p>
    <w:p w14:paraId="310A05D1">
      <w:pPr>
        <w:ind w:firstLine="560"/>
        <w:rPr>
          <w:color w:val="auto"/>
          <w:szCs w:val="28"/>
        </w:rPr>
      </w:pPr>
      <w:r>
        <w:rPr>
          <w:color w:val="auto"/>
          <w:szCs w:val="28"/>
        </w:rPr>
        <w:t>开采矿种：建筑石料用灰岩；</w:t>
      </w:r>
    </w:p>
    <w:p w14:paraId="45C5FB79">
      <w:pPr>
        <w:ind w:firstLine="560"/>
        <w:rPr>
          <w:color w:val="auto"/>
          <w:szCs w:val="28"/>
        </w:rPr>
      </w:pPr>
      <w:r>
        <w:rPr>
          <w:color w:val="auto"/>
          <w:szCs w:val="28"/>
        </w:rPr>
        <w:t>开采方式：露天开采；</w:t>
      </w:r>
    </w:p>
    <w:p w14:paraId="4302E102">
      <w:pPr>
        <w:ind w:firstLine="560"/>
        <w:rPr>
          <w:color w:val="auto"/>
          <w:szCs w:val="28"/>
        </w:rPr>
      </w:pPr>
      <w:r>
        <w:rPr>
          <w:color w:val="auto"/>
          <w:szCs w:val="28"/>
        </w:rPr>
        <w:t>生产规模：500.00万t/a；</w:t>
      </w:r>
    </w:p>
    <w:p w14:paraId="5131DFBE">
      <w:pPr>
        <w:ind w:firstLine="560"/>
        <w:rPr>
          <w:color w:val="auto"/>
          <w:szCs w:val="28"/>
        </w:rPr>
      </w:pPr>
      <w:r>
        <w:rPr>
          <w:color w:val="auto"/>
          <w:szCs w:val="28"/>
        </w:rPr>
        <w:t>矿区面积：0.33km</w:t>
      </w:r>
      <w:r>
        <w:rPr>
          <w:color w:val="auto"/>
          <w:szCs w:val="28"/>
          <w:vertAlign w:val="superscript"/>
        </w:rPr>
        <w:t>2</w:t>
      </w:r>
      <w:r>
        <w:rPr>
          <w:color w:val="auto"/>
          <w:szCs w:val="28"/>
        </w:rPr>
        <w:t>；</w:t>
      </w:r>
    </w:p>
    <w:p w14:paraId="40CEE4A5">
      <w:pPr>
        <w:ind w:firstLine="560"/>
        <w:rPr>
          <w:color w:val="auto"/>
          <w:szCs w:val="28"/>
        </w:rPr>
      </w:pPr>
      <w:r>
        <w:rPr>
          <w:color w:val="auto"/>
          <w:szCs w:val="28"/>
        </w:rPr>
        <w:t>开采标高：+536.22m～+360m；</w:t>
      </w:r>
    </w:p>
    <w:p w14:paraId="74A093BA">
      <w:pPr>
        <w:ind w:firstLine="560"/>
        <w:rPr>
          <w:color w:val="auto"/>
          <w:szCs w:val="28"/>
        </w:rPr>
      </w:pPr>
      <w:r>
        <w:rPr>
          <w:color w:val="auto"/>
          <w:szCs w:val="28"/>
        </w:rPr>
        <w:t>有效期限：壹拾叁年2020年12月22日至2033年12月22日。</w:t>
      </w:r>
    </w:p>
    <w:p w14:paraId="163354A6">
      <w:pPr>
        <w:ind w:firstLine="560"/>
        <w:rPr>
          <w:color w:val="auto"/>
          <w:szCs w:val="28"/>
        </w:rPr>
      </w:pPr>
      <w:r>
        <w:rPr>
          <w:color w:val="auto"/>
          <w:szCs w:val="28"/>
        </w:rPr>
        <w:t>本次拟将三个矿权整合为一个，原三个矿区面积之和为1.3863km</w:t>
      </w:r>
      <w:r>
        <w:rPr>
          <w:color w:val="auto"/>
          <w:szCs w:val="28"/>
          <w:vertAlign w:val="superscript"/>
        </w:rPr>
        <w:t>2</w:t>
      </w:r>
      <w:r>
        <w:rPr>
          <w:color w:val="auto"/>
          <w:szCs w:val="28"/>
        </w:rPr>
        <w:t>，本次划定整合区采矿权范围是在原三个采矿权范围的基础上，结合地形地貌特征、矿体赋存特征等，对局部边界线进行优化，整合后矿区面积为1.3519km</w:t>
      </w:r>
      <w:r>
        <w:rPr>
          <w:color w:val="auto"/>
          <w:szCs w:val="28"/>
          <w:vertAlign w:val="superscript"/>
        </w:rPr>
        <w:t>2</w:t>
      </w:r>
      <w:r>
        <w:rPr>
          <w:color w:val="auto"/>
          <w:szCs w:val="28"/>
        </w:rPr>
        <w:t>，整合区范围由25个拐点圈定，开采标高由</w:t>
      </w:r>
      <w:bookmarkStart w:id="33" w:name="_Hlk176642548"/>
      <w:r>
        <w:rPr>
          <w:color w:val="auto"/>
        </w:rPr>
        <w:t>+506.80m至+372.00m标高</w:t>
      </w:r>
      <w:bookmarkEnd w:id="33"/>
      <w:r>
        <w:rPr>
          <w:color w:val="auto"/>
        </w:rPr>
        <w:t>，矿区范围2000国家坐标：X：2454019.67～2455289.95，Y：36490924.99～36492513.61，</w:t>
      </w:r>
      <w:r>
        <w:rPr>
          <w:color w:val="auto"/>
          <w:szCs w:val="28"/>
        </w:rPr>
        <w:t>其拐点坐标等详见表1-4。</w:t>
      </w:r>
    </w:p>
    <w:p w14:paraId="3743DBEC">
      <w:pPr>
        <w:spacing w:line="240" w:lineRule="auto"/>
        <w:ind w:firstLine="0" w:firstLineChars="0"/>
        <w:jc w:val="center"/>
        <w:rPr>
          <w:b/>
          <w:color w:val="auto"/>
          <w:kern w:val="0"/>
          <w:sz w:val="24"/>
          <w:szCs w:val="24"/>
        </w:rPr>
      </w:pPr>
      <w:r>
        <w:rPr>
          <w:b/>
          <w:color w:val="auto"/>
          <w:kern w:val="0"/>
          <w:sz w:val="24"/>
          <w:szCs w:val="24"/>
        </w:rPr>
        <w:t>表1-4 龙大山矿区水泥用灰岩矿整合区范围拐点坐标表</w:t>
      </w:r>
    </w:p>
    <w:tbl>
      <w:tblPr>
        <w:tblStyle w:val="32"/>
        <w:tblW w:w="0" w:type="auto"/>
        <w:jc w:val="center"/>
        <w:tblLayout w:type="autofit"/>
        <w:tblCellMar>
          <w:top w:w="0" w:type="dxa"/>
          <w:left w:w="108" w:type="dxa"/>
          <w:bottom w:w="0" w:type="dxa"/>
          <w:right w:w="108" w:type="dxa"/>
        </w:tblCellMar>
      </w:tblPr>
      <w:tblGrid>
        <w:gridCol w:w="656"/>
        <w:gridCol w:w="1261"/>
        <w:gridCol w:w="1371"/>
        <w:gridCol w:w="656"/>
        <w:gridCol w:w="1261"/>
        <w:gridCol w:w="1371"/>
      </w:tblGrid>
      <w:tr w14:paraId="77EA5FC0">
        <w:tblPrEx>
          <w:tblCellMar>
            <w:top w:w="0" w:type="dxa"/>
            <w:left w:w="108" w:type="dxa"/>
            <w:bottom w:w="0" w:type="dxa"/>
            <w:right w:w="108" w:type="dxa"/>
          </w:tblCellMar>
        </w:tblPrEx>
        <w:trPr>
          <w:trHeight w:val="300" w:hRule="atLeast"/>
          <w:jc w:val="center"/>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A33073">
            <w:pPr>
              <w:widowControl/>
              <w:spacing w:line="240" w:lineRule="auto"/>
              <w:ind w:firstLine="0" w:firstLineChars="0"/>
              <w:jc w:val="center"/>
              <w:rPr>
                <w:color w:val="auto"/>
                <w:kern w:val="0"/>
                <w:sz w:val="22"/>
                <w:szCs w:val="22"/>
              </w:rPr>
            </w:pPr>
            <w:r>
              <w:rPr>
                <w:color w:val="auto"/>
                <w:kern w:val="0"/>
                <w:sz w:val="22"/>
                <w:szCs w:val="22"/>
              </w:rPr>
              <w:t>拐点</w:t>
            </w:r>
            <w:r>
              <w:rPr>
                <w:color w:val="auto"/>
                <w:kern w:val="0"/>
                <w:sz w:val="22"/>
                <w:szCs w:val="22"/>
              </w:rPr>
              <w:br w:type="textWrapping"/>
            </w:r>
            <w:r>
              <w:rPr>
                <w:color w:val="auto"/>
                <w:kern w:val="0"/>
                <w:sz w:val="22"/>
                <w:szCs w:val="22"/>
              </w:rPr>
              <w:t>编号</w:t>
            </w:r>
          </w:p>
        </w:tc>
        <w:tc>
          <w:tcPr>
            <w:tcW w:w="0" w:type="auto"/>
            <w:gridSpan w:val="2"/>
            <w:tcBorders>
              <w:top w:val="single" w:color="auto" w:sz="4" w:space="0"/>
              <w:left w:val="nil"/>
              <w:bottom w:val="single" w:color="auto" w:sz="4" w:space="0"/>
              <w:right w:val="single" w:color="auto" w:sz="4" w:space="0"/>
            </w:tcBorders>
            <w:shd w:val="clear" w:color="auto" w:fill="auto"/>
            <w:noWrap/>
            <w:vAlign w:val="center"/>
          </w:tcPr>
          <w:p w14:paraId="0378B3B6">
            <w:pPr>
              <w:widowControl/>
              <w:spacing w:line="240" w:lineRule="auto"/>
              <w:ind w:firstLine="0" w:firstLineChars="0"/>
              <w:jc w:val="center"/>
              <w:rPr>
                <w:color w:val="auto"/>
                <w:kern w:val="0"/>
                <w:sz w:val="22"/>
                <w:szCs w:val="22"/>
              </w:rPr>
            </w:pPr>
            <w:r>
              <w:rPr>
                <w:color w:val="auto"/>
                <w:kern w:val="0"/>
                <w:sz w:val="22"/>
                <w:szCs w:val="22"/>
              </w:rPr>
              <w:t>2000国家大地坐标系</w:t>
            </w:r>
          </w:p>
        </w:tc>
        <w:tc>
          <w:tcPr>
            <w:tcW w:w="0" w:type="auto"/>
            <w:vMerge w:val="restart"/>
            <w:tcBorders>
              <w:top w:val="single" w:color="auto" w:sz="4" w:space="0"/>
              <w:left w:val="nil"/>
              <w:right w:val="single" w:color="auto" w:sz="4" w:space="0"/>
            </w:tcBorders>
            <w:shd w:val="clear" w:color="auto" w:fill="auto"/>
            <w:noWrap/>
            <w:vAlign w:val="center"/>
          </w:tcPr>
          <w:p w14:paraId="1045DB9B">
            <w:pPr>
              <w:widowControl/>
              <w:spacing w:line="240" w:lineRule="auto"/>
              <w:ind w:firstLine="0" w:firstLineChars="0"/>
              <w:jc w:val="center"/>
              <w:rPr>
                <w:color w:val="auto"/>
                <w:kern w:val="0"/>
                <w:sz w:val="22"/>
                <w:szCs w:val="22"/>
              </w:rPr>
            </w:pPr>
            <w:r>
              <w:rPr>
                <w:color w:val="auto"/>
                <w:kern w:val="0"/>
                <w:sz w:val="22"/>
                <w:szCs w:val="22"/>
              </w:rPr>
              <w:t>拐点</w:t>
            </w:r>
          </w:p>
          <w:p w14:paraId="46B86AF6">
            <w:pPr>
              <w:widowControl/>
              <w:spacing w:line="240" w:lineRule="auto"/>
              <w:ind w:firstLine="0" w:firstLineChars="0"/>
              <w:jc w:val="center"/>
              <w:rPr>
                <w:color w:val="auto"/>
                <w:kern w:val="0"/>
                <w:sz w:val="22"/>
                <w:szCs w:val="22"/>
              </w:rPr>
            </w:pPr>
            <w:r>
              <w:rPr>
                <w:color w:val="auto"/>
                <w:kern w:val="0"/>
                <w:sz w:val="22"/>
                <w:szCs w:val="22"/>
              </w:rPr>
              <w:t>编号</w:t>
            </w:r>
          </w:p>
        </w:tc>
        <w:tc>
          <w:tcPr>
            <w:tcW w:w="0" w:type="auto"/>
            <w:gridSpan w:val="2"/>
            <w:tcBorders>
              <w:top w:val="single" w:color="auto" w:sz="4" w:space="0"/>
              <w:left w:val="nil"/>
              <w:bottom w:val="single" w:color="auto" w:sz="4" w:space="0"/>
              <w:right w:val="single" w:color="auto" w:sz="4" w:space="0"/>
            </w:tcBorders>
            <w:shd w:val="clear" w:color="auto" w:fill="auto"/>
            <w:noWrap/>
            <w:vAlign w:val="center"/>
          </w:tcPr>
          <w:p w14:paraId="1712ACFC">
            <w:pPr>
              <w:widowControl/>
              <w:spacing w:line="240" w:lineRule="auto"/>
              <w:ind w:firstLine="0" w:firstLineChars="0"/>
              <w:jc w:val="center"/>
              <w:rPr>
                <w:color w:val="auto"/>
                <w:kern w:val="0"/>
                <w:sz w:val="22"/>
                <w:szCs w:val="22"/>
              </w:rPr>
            </w:pPr>
            <w:r>
              <w:rPr>
                <w:color w:val="auto"/>
                <w:kern w:val="0"/>
                <w:sz w:val="22"/>
                <w:szCs w:val="22"/>
              </w:rPr>
              <w:t>2000国家大地坐标系</w:t>
            </w:r>
          </w:p>
        </w:tc>
      </w:tr>
      <w:tr w14:paraId="3877DA7A">
        <w:tblPrEx>
          <w:tblCellMar>
            <w:top w:w="0" w:type="dxa"/>
            <w:left w:w="108" w:type="dxa"/>
            <w:bottom w:w="0" w:type="dxa"/>
            <w:right w:w="108" w:type="dxa"/>
          </w:tblCellMar>
        </w:tblPrEx>
        <w:trPr>
          <w:trHeight w:val="300"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B1A9FE9">
            <w:pPr>
              <w:widowControl/>
              <w:spacing w:line="240" w:lineRule="auto"/>
              <w:ind w:firstLine="0" w:firstLineChars="0"/>
              <w:jc w:val="left"/>
              <w:rPr>
                <w:color w:val="auto"/>
                <w:kern w:val="0"/>
                <w:sz w:val="22"/>
                <w:szCs w:val="22"/>
              </w:rPr>
            </w:pPr>
          </w:p>
        </w:tc>
        <w:tc>
          <w:tcPr>
            <w:tcW w:w="0" w:type="auto"/>
            <w:tcBorders>
              <w:top w:val="nil"/>
              <w:left w:val="nil"/>
              <w:bottom w:val="nil"/>
              <w:right w:val="single" w:color="auto" w:sz="4" w:space="0"/>
            </w:tcBorders>
            <w:shd w:val="clear" w:color="auto" w:fill="auto"/>
            <w:noWrap/>
            <w:vAlign w:val="center"/>
          </w:tcPr>
          <w:p w14:paraId="7436298B">
            <w:pPr>
              <w:widowControl/>
              <w:spacing w:line="240" w:lineRule="auto"/>
              <w:ind w:firstLine="0" w:firstLineChars="0"/>
              <w:jc w:val="center"/>
              <w:rPr>
                <w:color w:val="auto"/>
                <w:kern w:val="0"/>
                <w:sz w:val="22"/>
                <w:szCs w:val="22"/>
              </w:rPr>
            </w:pPr>
            <w:r>
              <w:rPr>
                <w:color w:val="auto"/>
                <w:kern w:val="0"/>
                <w:sz w:val="22"/>
                <w:szCs w:val="22"/>
              </w:rPr>
              <w:t>X</w:t>
            </w:r>
          </w:p>
        </w:tc>
        <w:tc>
          <w:tcPr>
            <w:tcW w:w="0" w:type="auto"/>
            <w:tcBorders>
              <w:top w:val="nil"/>
              <w:left w:val="nil"/>
              <w:bottom w:val="nil"/>
              <w:right w:val="single" w:color="auto" w:sz="4" w:space="0"/>
            </w:tcBorders>
            <w:shd w:val="clear" w:color="auto" w:fill="auto"/>
            <w:noWrap/>
            <w:vAlign w:val="center"/>
          </w:tcPr>
          <w:p w14:paraId="2B11A7EE">
            <w:pPr>
              <w:widowControl/>
              <w:spacing w:line="240" w:lineRule="auto"/>
              <w:ind w:firstLine="0" w:firstLineChars="0"/>
              <w:jc w:val="center"/>
              <w:rPr>
                <w:color w:val="auto"/>
                <w:kern w:val="0"/>
                <w:sz w:val="22"/>
                <w:szCs w:val="22"/>
              </w:rPr>
            </w:pPr>
            <w:r>
              <w:rPr>
                <w:color w:val="auto"/>
                <w:kern w:val="0"/>
                <w:sz w:val="22"/>
                <w:szCs w:val="22"/>
              </w:rPr>
              <w:t>Y</w:t>
            </w:r>
          </w:p>
        </w:tc>
        <w:tc>
          <w:tcPr>
            <w:tcW w:w="0" w:type="auto"/>
            <w:vMerge w:val="continue"/>
            <w:tcBorders>
              <w:left w:val="nil"/>
              <w:bottom w:val="single" w:color="auto" w:sz="4" w:space="0"/>
              <w:right w:val="single" w:color="auto" w:sz="4" w:space="0"/>
            </w:tcBorders>
            <w:shd w:val="clear" w:color="auto" w:fill="auto"/>
            <w:noWrap/>
            <w:vAlign w:val="center"/>
          </w:tcPr>
          <w:p w14:paraId="05EA16AB">
            <w:pPr>
              <w:widowControl/>
              <w:spacing w:line="240" w:lineRule="auto"/>
              <w:ind w:firstLine="0" w:firstLineChars="0"/>
              <w:jc w:val="center"/>
              <w:rPr>
                <w:color w:val="auto"/>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24A2CB38">
            <w:pPr>
              <w:widowControl/>
              <w:spacing w:line="240" w:lineRule="auto"/>
              <w:ind w:firstLine="0" w:firstLineChars="0"/>
              <w:jc w:val="center"/>
              <w:rPr>
                <w:color w:val="auto"/>
                <w:kern w:val="0"/>
                <w:sz w:val="22"/>
                <w:szCs w:val="22"/>
              </w:rPr>
            </w:pPr>
            <w:r>
              <w:rPr>
                <w:color w:val="auto"/>
                <w:kern w:val="0"/>
                <w:sz w:val="22"/>
                <w:szCs w:val="22"/>
              </w:rPr>
              <w:t>X</w:t>
            </w:r>
          </w:p>
        </w:tc>
        <w:tc>
          <w:tcPr>
            <w:tcW w:w="0" w:type="auto"/>
            <w:tcBorders>
              <w:top w:val="nil"/>
              <w:left w:val="nil"/>
              <w:bottom w:val="single" w:color="auto" w:sz="4" w:space="0"/>
              <w:right w:val="single" w:color="auto" w:sz="4" w:space="0"/>
            </w:tcBorders>
            <w:shd w:val="clear" w:color="auto" w:fill="auto"/>
            <w:noWrap/>
            <w:vAlign w:val="center"/>
          </w:tcPr>
          <w:p w14:paraId="694C1C88">
            <w:pPr>
              <w:widowControl/>
              <w:spacing w:line="240" w:lineRule="auto"/>
              <w:ind w:firstLine="0" w:firstLineChars="0"/>
              <w:jc w:val="center"/>
              <w:rPr>
                <w:color w:val="auto"/>
                <w:kern w:val="0"/>
                <w:sz w:val="22"/>
                <w:szCs w:val="22"/>
              </w:rPr>
            </w:pPr>
            <w:r>
              <w:rPr>
                <w:color w:val="auto"/>
                <w:kern w:val="0"/>
                <w:sz w:val="22"/>
                <w:szCs w:val="22"/>
              </w:rPr>
              <w:t>Y</w:t>
            </w:r>
          </w:p>
        </w:tc>
      </w:tr>
      <w:tr w14:paraId="7221B67C">
        <w:tblPrEx>
          <w:tblCellMar>
            <w:top w:w="0" w:type="dxa"/>
            <w:left w:w="108" w:type="dxa"/>
            <w:bottom w:w="0" w:type="dxa"/>
            <w:right w:w="108" w:type="dxa"/>
          </w:tblCellMar>
        </w:tblPrEx>
        <w:trPr>
          <w:trHeight w:val="300" w:hRule="atLeast"/>
          <w:jc w:val="center"/>
        </w:trPr>
        <w:tc>
          <w:tcPr>
            <w:tcW w:w="0" w:type="auto"/>
            <w:tcBorders>
              <w:top w:val="nil"/>
              <w:left w:val="single" w:color="auto" w:sz="4" w:space="0"/>
              <w:bottom w:val="single" w:color="auto" w:sz="4" w:space="0"/>
              <w:right w:val="nil"/>
            </w:tcBorders>
            <w:shd w:val="clear" w:color="auto" w:fill="auto"/>
            <w:noWrap/>
            <w:vAlign w:val="center"/>
          </w:tcPr>
          <w:p w14:paraId="0C5F8419">
            <w:pPr>
              <w:widowControl/>
              <w:spacing w:line="240" w:lineRule="auto"/>
              <w:ind w:firstLine="0" w:firstLineChars="0"/>
              <w:jc w:val="center"/>
              <w:rPr>
                <w:color w:val="auto"/>
                <w:kern w:val="0"/>
                <w:sz w:val="22"/>
                <w:szCs w:val="22"/>
              </w:rPr>
            </w:pPr>
            <w:r>
              <w:rPr>
                <w:color w:val="auto"/>
                <w:kern w:val="0"/>
                <w:sz w:val="22"/>
                <w:szCs w:val="22"/>
              </w:rPr>
              <w:t>1</w:t>
            </w:r>
          </w:p>
        </w:tc>
        <w:tc>
          <w:tcPr>
            <w:tcW w:w="1261" w:type="dxa"/>
            <w:tcBorders>
              <w:top w:val="single" w:color="auto" w:sz="4" w:space="0"/>
              <w:left w:val="single" w:color="auto" w:sz="4" w:space="0"/>
              <w:bottom w:val="single" w:color="auto" w:sz="4" w:space="0"/>
              <w:right w:val="single" w:color="auto" w:sz="4" w:space="0"/>
            </w:tcBorders>
            <w:shd w:val="clear" w:color="auto" w:fill="auto"/>
            <w:vAlign w:val="center"/>
          </w:tcPr>
          <w:p w14:paraId="307AF8D3">
            <w:pPr>
              <w:widowControl/>
              <w:spacing w:line="240" w:lineRule="auto"/>
              <w:ind w:firstLine="0" w:firstLineChars="0"/>
              <w:jc w:val="center"/>
              <w:rPr>
                <w:color w:val="auto"/>
                <w:kern w:val="0"/>
                <w:sz w:val="22"/>
                <w:szCs w:val="22"/>
              </w:rPr>
            </w:pPr>
            <w:r>
              <w:rPr>
                <w:color w:val="auto"/>
                <w:kern w:val="0"/>
                <w:sz w:val="22"/>
                <w:szCs w:val="22"/>
              </w:rPr>
              <w:t>2455136.52</w:t>
            </w:r>
          </w:p>
        </w:tc>
        <w:tc>
          <w:tcPr>
            <w:tcW w:w="1371" w:type="dxa"/>
            <w:tcBorders>
              <w:top w:val="single" w:color="auto" w:sz="4" w:space="0"/>
              <w:left w:val="nil"/>
              <w:bottom w:val="single" w:color="auto" w:sz="4" w:space="0"/>
              <w:right w:val="single" w:color="auto" w:sz="4" w:space="0"/>
            </w:tcBorders>
            <w:shd w:val="clear" w:color="auto" w:fill="auto"/>
            <w:vAlign w:val="center"/>
          </w:tcPr>
          <w:p w14:paraId="748584FF">
            <w:pPr>
              <w:widowControl/>
              <w:spacing w:line="240" w:lineRule="auto"/>
              <w:ind w:firstLine="0" w:firstLineChars="0"/>
              <w:jc w:val="center"/>
              <w:rPr>
                <w:color w:val="auto"/>
                <w:kern w:val="0"/>
                <w:sz w:val="22"/>
                <w:szCs w:val="22"/>
              </w:rPr>
            </w:pPr>
            <w:r>
              <w:rPr>
                <w:color w:val="auto"/>
                <w:kern w:val="0"/>
                <w:sz w:val="22"/>
                <w:szCs w:val="22"/>
              </w:rPr>
              <w:t>36491179.42</w:t>
            </w:r>
          </w:p>
        </w:tc>
        <w:tc>
          <w:tcPr>
            <w:tcW w:w="0" w:type="auto"/>
            <w:tcBorders>
              <w:top w:val="nil"/>
              <w:left w:val="nil"/>
              <w:bottom w:val="single" w:color="auto" w:sz="4" w:space="0"/>
              <w:right w:val="single" w:color="auto" w:sz="4" w:space="0"/>
            </w:tcBorders>
            <w:shd w:val="clear" w:color="auto" w:fill="auto"/>
            <w:noWrap/>
            <w:vAlign w:val="center"/>
          </w:tcPr>
          <w:p w14:paraId="4C0278C4">
            <w:pPr>
              <w:widowControl/>
              <w:spacing w:line="240" w:lineRule="auto"/>
              <w:ind w:firstLine="0" w:firstLineChars="0"/>
              <w:jc w:val="center"/>
              <w:rPr>
                <w:color w:val="auto"/>
                <w:kern w:val="0"/>
                <w:sz w:val="22"/>
                <w:szCs w:val="22"/>
              </w:rPr>
            </w:pPr>
            <w:r>
              <w:rPr>
                <w:color w:val="auto"/>
                <w:kern w:val="0"/>
                <w:sz w:val="22"/>
                <w:szCs w:val="22"/>
              </w:rPr>
              <w:t>14</w:t>
            </w:r>
          </w:p>
        </w:tc>
        <w:tc>
          <w:tcPr>
            <w:tcW w:w="1261" w:type="dxa"/>
            <w:tcBorders>
              <w:top w:val="nil"/>
              <w:left w:val="nil"/>
              <w:bottom w:val="single" w:color="auto" w:sz="4" w:space="0"/>
              <w:right w:val="single" w:color="auto" w:sz="4" w:space="0"/>
            </w:tcBorders>
            <w:shd w:val="clear" w:color="auto" w:fill="auto"/>
            <w:noWrap/>
            <w:vAlign w:val="center"/>
          </w:tcPr>
          <w:p w14:paraId="43F32B07">
            <w:pPr>
              <w:widowControl/>
              <w:spacing w:line="240" w:lineRule="auto"/>
              <w:ind w:firstLine="0" w:firstLineChars="0"/>
              <w:jc w:val="center"/>
              <w:rPr>
                <w:color w:val="auto"/>
                <w:kern w:val="0"/>
                <w:sz w:val="22"/>
                <w:szCs w:val="22"/>
              </w:rPr>
            </w:pPr>
            <w:r>
              <w:rPr>
                <w:color w:val="auto"/>
                <w:kern w:val="0"/>
                <w:sz w:val="22"/>
                <w:szCs w:val="22"/>
              </w:rPr>
              <w:t>2454091.01</w:t>
            </w:r>
          </w:p>
        </w:tc>
        <w:tc>
          <w:tcPr>
            <w:tcW w:w="1371" w:type="dxa"/>
            <w:tcBorders>
              <w:top w:val="nil"/>
              <w:left w:val="nil"/>
              <w:bottom w:val="single" w:color="auto" w:sz="4" w:space="0"/>
              <w:right w:val="single" w:color="auto" w:sz="4" w:space="0"/>
            </w:tcBorders>
            <w:shd w:val="clear" w:color="auto" w:fill="auto"/>
            <w:noWrap/>
            <w:vAlign w:val="center"/>
          </w:tcPr>
          <w:p w14:paraId="4E250D34">
            <w:pPr>
              <w:widowControl/>
              <w:spacing w:line="240" w:lineRule="auto"/>
              <w:ind w:firstLine="0" w:firstLineChars="0"/>
              <w:jc w:val="center"/>
              <w:rPr>
                <w:color w:val="auto"/>
                <w:kern w:val="0"/>
                <w:sz w:val="22"/>
                <w:szCs w:val="22"/>
              </w:rPr>
            </w:pPr>
            <w:r>
              <w:rPr>
                <w:color w:val="auto"/>
                <w:kern w:val="0"/>
                <w:sz w:val="22"/>
                <w:szCs w:val="22"/>
              </w:rPr>
              <w:t>36491335.13</w:t>
            </w:r>
          </w:p>
        </w:tc>
      </w:tr>
      <w:tr w14:paraId="1CD0A13A">
        <w:tblPrEx>
          <w:tblCellMar>
            <w:top w:w="0" w:type="dxa"/>
            <w:left w:w="108" w:type="dxa"/>
            <w:bottom w:w="0" w:type="dxa"/>
            <w:right w:w="108" w:type="dxa"/>
          </w:tblCellMar>
        </w:tblPrEx>
        <w:trPr>
          <w:trHeight w:val="300" w:hRule="atLeast"/>
          <w:jc w:val="center"/>
        </w:trPr>
        <w:tc>
          <w:tcPr>
            <w:tcW w:w="0" w:type="auto"/>
            <w:tcBorders>
              <w:top w:val="nil"/>
              <w:left w:val="single" w:color="auto" w:sz="4" w:space="0"/>
              <w:bottom w:val="single" w:color="auto" w:sz="4" w:space="0"/>
              <w:right w:val="nil"/>
            </w:tcBorders>
            <w:shd w:val="clear" w:color="auto" w:fill="auto"/>
            <w:noWrap/>
            <w:vAlign w:val="center"/>
          </w:tcPr>
          <w:p w14:paraId="71AD0539">
            <w:pPr>
              <w:widowControl/>
              <w:spacing w:line="240" w:lineRule="auto"/>
              <w:ind w:firstLine="0" w:firstLineChars="0"/>
              <w:jc w:val="center"/>
              <w:rPr>
                <w:color w:val="auto"/>
                <w:kern w:val="0"/>
                <w:sz w:val="22"/>
                <w:szCs w:val="22"/>
              </w:rPr>
            </w:pPr>
            <w:r>
              <w:rPr>
                <w:color w:val="auto"/>
                <w:kern w:val="0"/>
                <w:sz w:val="22"/>
                <w:szCs w:val="22"/>
              </w:rPr>
              <w:t>2</w:t>
            </w:r>
          </w:p>
        </w:tc>
        <w:tc>
          <w:tcPr>
            <w:tcW w:w="1261" w:type="dxa"/>
            <w:tcBorders>
              <w:top w:val="nil"/>
              <w:left w:val="single" w:color="auto" w:sz="4" w:space="0"/>
              <w:bottom w:val="single" w:color="auto" w:sz="4" w:space="0"/>
              <w:right w:val="single" w:color="auto" w:sz="4" w:space="0"/>
            </w:tcBorders>
            <w:shd w:val="clear" w:color="auto" w:fill="auto"/>
            <w:vAlign w:val="center"/>
          </w:tcPr>
          <w:p w14:paraId="697C568C">
            <w:pPr>
              <w:widowControl/>
              <w:spacing w:line="240" w:lineRule="auto"/>
              <w:ind w:firstLine="0" w:firstLineChars="0"/>
              <w:jc w:val="center"/>
              <w:rPr>
                <w:color w:val="auto"/>
                <w:kern w:val="0"/>
                <w:sz w:val="22"/>
                <w:szCs w:val="22"/>
              </w:rPr>
            </w:pPr>
            <w:r>
              <w:rPr>
                <w:color w:val="auto"/>
                <w:kern w:val="0"/>
                <w:sz w:val="22"/>
                <w:szCs w:val="22"/>
              </w:rPr>
              <w:t>2455156.58</w:t>
            </w:r>
          </w:p>
        </w:tc>
        <w:tc>
          <w:tcPr>
            <w:tcW w:w="1371" w:type="dxa"/>
            <w:tcBorders>
              <w:top w:val="nil"/>
              <w:left w:val="nil"/>
              <w:bottom w:val="single" w:color="auto" w:sz="4" w:space="0"/>
              <w:right w:val="single" w:color="auto" w:sz="4" w:space="0"/>
            </w:tcBorders>
            <w:shd w:val="clear" w:color="auto" w:fill="auto"/>
            <w:vAlign w:val="center"/>
          </w:tcPr>
          <w:p w14:paraId="4AB5F041">
            <w:pPr>
              <w:widowControl/>
              <w:spacing w:line="240" w:lineRule="auto"/>
              <w:ind w:firstLine="0" w:firstLineChars="0"/>
              <w:jc w:val="center"/>
              <w:rPr>
                <w:color w:val="auto"/>
                <w:kern w:val="0"/>
                <w:sz w:val="22"/>
                <w:szCs w:val="22"/>
              </w:rPr>
            </w:pPr>
            <w:r>
              <w:rPr>
                <w:color w:val="auto"/>
                <w:kern w:val="0"/>
                <w:sz w:val="22"/>
                <w:szCs w:val="22"/>
              </w:rPr>
              <w:t>36491233.44</w:t>
            </w:r>
          </w:p>
        </w:tc>
        <w:tc>
          <w:tcPr>
            <w:tcW w:w="0" w:type="auto"/>
            <w:tcBorders>
              <w:top w:val="nil"/>
              <w:left w:val="nil"/>
              <w:bottom w:val="single" w:color="auto" w:sz="4" w:space="0"/>
              <w:right w:val="single" w:color="auto" w:sz="4" w:space="0"/>
            </w:tcBorders>
            <w:shd w:val="clear" w:color="auto" w:fill="auto"/>
            <w:noWrap/>
            <w:vAlign w:val="center"/>
          </w:tcPr>
          <w:p w14:paraId="56A0E01E">
            <w:pPr>
              <w:widowControl/>
              <w:spacing w:line="240" w:lineRule="auto"/>
              <w:ind w:firstLine="0" w:firstLineChars="0"/>
              <w:jc w:val="center"/>
              <w:rPr>
                <w:color w:val="auto"/>
                <w:kern w:val="0"/>
                <w:sz w:val="22"/>
                <w:szCs w:val="22"/>
              </w:rPr>
            </w:pPr>
            <w:r>
              <w:rPr>
                <w:color w:val="auto"/>
                <w:kern w:val="0"/>
                <w:sz w:val="22"/>
                <w:szCs w:val="22"/>
              </w:rPr>
              <w:t>15</w:t>
            </w:r>
          </w:p>
        </w:tc>
        <w:tc>
          <w:tcPr>
            <w:tcW w:w="1261" w:type="dxa"/>
            <w:tcBorders>
              <w:top w:val="nil"/>
              <w:left w:val="nil"/>
              <w:bottom w:val="single" w:color="auto" w:sz="4" w:space="0"/>
              <w:right w:val="single" w:color="auto" w:sz="4" w:space="0"/>
            </w:tcBorders>
            <w:shd w:val="clear" w:color="auto" w:fill="auto"/>
            <w:noWrap/>
            <w:vAlign w:val="center"/>
          </w:tcPr>
          <w:p w14:paraId="50CFE657">
            <w:pPr>
              <w:widowControl/>
              <w:spacing w:line="240" w:lineRule="auto"/>
              <w:ind w:firstLine="0" w:firstLineChars="0"/>
              <w:jc w:val="center"/>
              <w:rPr>
                <w:color w:val="auto"/>
                <w:kern w:val="0"/>
                <w:sz w:val="22"/>
                <w:szCs w:val="22"/>
              </w:rPr>
            </w:pPr>
            <w:r>
              <w:rPr>
                <w:color w:val="auto"/>
                <w:kern w:val="0"/>
                <w:sz w:val="22"/>
                <w:szCs w:val="22"/>
              </w:rPr>
              <w:t>2454019.67</w:t>
            </w:r>
          </w:p>
        </w:tc>
        <w:tc>
          <w:tcPr>
            <w:tcW w:w="1371" w:type="dxa"/>
            <w:tcBorders>
              <w:top w:val="nil"/>
              <w:left w:val="nil"/>
              <w:bottom w:val="single" w:color="auto" w:sz="4" w:space="0"/>
              <w:right w:val="single" w:color="auto" w:sz="4" w:space="0"/>
            </w:tcBorders>
            <w:shd w:val="clear" w:color="auto" w:fill="auto"/>
            <w:noWrap/>
            <w:vAlign w:val="center"/>
          </w:tcPr>
          <w:p w14:paraId="1542674F">
            <w:pPr>
              <w:widowControl/>
              <w:spacing w:line="240" w:lineRule="auto"/>
              <w:ind w:firstLine="0" w:firstLineChars="0"/>
              <w:jc w:val="center"/>
              <w:rPr>
                <w:color w:val="auto"/>
                <w:kern w:val="0"/>
                <w:sz w:val="22"/>
                <w:szCs w:val="22"/>
              </w:rPr>
            </w:pPr>
            <w:r>
              <w:rPr>
                <w:color w:val="auto"/>
                <w:kern w:val="0"/>
                <w:sz w:val="22"/>
                <w:szCs w:val="22"/>
              </w:rPr>
              <w:t>36491205.02</w:t>
            </w:r>
          </w:p>
        </w:tc>
      </w:tr>
      <w:tr w14:paraId="07E5E8C5">
        <w:tblPrEx>
          <w:tblCellMar>
            <w:top w:w="0" w:type="dxa"/>
            <w:left w:w="108" w:type="dxa"/>
            <w:bottom w:w="0" w:type="dxa"/>
            <w:right w:w="108" w:type="dxa"/>
          </w:tblCellMar>
        </w:tblPrEx>
        <w:trPr>
          <w:trHeight w:val="300" w:hRule="atLeast"/>
          <w:jc w:val="center"/>
        </w:trPr>
        <w:tc>
          <w:tcPr>
            <w:tcW w:w="0" w:type="auto"/>
            <w:tcBorders>
              <w:top w:val="nil"/>
              <w:left w:val="single" w:color="auto" w:sz="4" w:space="0"/>
              <w:bottom w:val="single" w:color="auto" w:sz="4" w:space="0"/>
              <w:right w:val="nil"/>
            </w:tcBorders>
            <w:shd w:val="clear" w:color="auto" w:fill="auto"/>
            <w:noWrap/>
            <w:vAlign w:val="center"/>
          </w:tcPr>
          <w:p w14:paraId="42550C7B">
            <w:pPr>
              <w:widowControl/>
              <w:spacing w:line="240" w:lineRule="auto"/>
              <w:ind w:firstLine="0" w:firstLineChars="0"/>
              <w:jc w:val="center"/>
              <w:rPr>
                <w:color w:val="auto"/>
                <w:kern w:val="0"/>
                <w:sz w:val="22"/>
                <w:szCs w:val="22"/>
              </w:rPr>
            </w:pPr>
            <w:r>
              <w:rPr>
                <w:color w:val="auto"/>
                <w:kern w:val="0"/>
                <w:sz w:val="22"/>
                <w:szCs w:val="22"/>
              </w:rPr>
              <w:t>3</w:t>
            </w:r>
          </w:p>
        </w:tc>
        <w:tc>
          <w:tcPr>
            <w:tcW w:w="1261" w:type="dxa"/>
            <w:tcBorders>
              <w:top w:val="nil"/>
              <w:left w:val="single" w:color="auto" w:sz="4" w:space="0"/>
              <w:bottom w:val="single" w:color="auto" w:sz="4" w:space="0"/>
              <w:right w:val="single" w:color="auto" w:sz="4" w:space="0"/>
            </w:tcBorders>
            <w:shd w:val="clear" w:color="auto" w:fill="auto"/>
            <w:vAlign w:val="center"/>
          </w:tcPr>
          <w:p w14:paraId="2CCA74C2">
            <w:pPr>
              <w:widowControl/>
              <w:spacing w:line="240" w:lineRule="auto"/>
              <w:ind w:firstLine="0" w:firstLineChars="0"/>
              <w:jc w:val="center"/>
              <w:rPr>
                <w:color w:val="auto"/>
                <w:kern w:val="0"/>
                <w:sz w:val="22"/>
                <w:szCs w:val="22"/>
              </w:rPr>
            </w:pPr>
            <w:r>
              <w:rPr>
                <w:color w:val="auto"/>
                <w:kern w:val="0"/>
                <w:sz w:val="22"/>
                <w:szCs w:val="22"/>
              </w:rPr>
              <w:t>2455289.95</w:t>
            </w:r>
          </w:p>
        </w:tc>
        <w:tc>
          <w:tcPr>
            <w:tcW w:w="1371" w:type="dxa"/>
            <w:tcBorders>
              <w:top w:val="nil"/>
              <w:left w:val="nil"/>
              <w:bottom w:val="single" w:color="auto" w:sz="4" w:space="0"/>
              <w:right w:val="single" w:color="auto" w:sz="4" w:space="0"/>
            </w:tcBorders>
            <w:shd w:val="clear" w:color="auto" w:fill="auto"/>
            <w:vAlign w:val="center"/>
          </w:tcPr>
          <w:p w14:paraId="62B2E734">
            <w:pPr>
              <w:widowControl/>
              <w:spacing w:line="240" w:lineRule="auto"/>
              <w:ind w:firstLine="0" w:firstLineChars="0"/>
              <w:jc w:val="center"/>
              <w:rPr>
                <w:color w:val="auto"/>
                <w:kern w:val="0"/>
                <w:sz w:val="22"/>
                <w:szCs w:val="22"/>
              </w:rPr>
            </w:pPr>
            <w:r>
              <w:rPr>
                <w:color w:val="auto"/>
                <w:kern w:val="0"/>
                <w:sz w:val="22"/>
                <w:szCs w:val="22"/>
              </w:rPr>
              <w:t>36491610.23</w:t>
            </w:r>
          </w:p>
        </w:tc>
        <w:tc>
          <w:tcPr>
            <w:tcW w:w="0" w:type="auto"/>
            <w:tcBorders>
              <w:top w:val="nil"/>
              <w:left w:val="nil"/>
              <w:bottom w:val="single" w:color="auto" w:sz="4" w:space="0"/>
              <w:right w:val="single" w:color="auto" w:sz="4" w:space="0"/>
            </w:tcBorders>
            <w:shd w:val="clear" w:color="auto" w:fill="auto"/>
            <w:noWrap/>
            <w:vAlign w:val="center"/>
          </w:tcPr>
          <w:p w14:paraId="24C4CF0E">
            <w:pPr>
              <w:widowControl/>
              <w:spacing w:line="240" w:lineRule="auto"/>
              <w:ind w:firstLine="0" w:firstLineChars="0"/>
              <w:jc w:val="center"/>
              <w:rPr>
                <w:color w:val="auto"/>
                <w:kern w:val="0"/>
                <w:sz w:val="22"/>
                <w:szCs w:val="22"/>
              </w:rPr>
            </w:pPr>
            <w:r>
              <w:rPr>
                <w:color w:val="auto"/>
                <w:kern w:val="0"/>
                <w:sz w:val="22"/>
                <w:szCs w:val="22"/>
              </w:rPr>
              <w:t>16</w:t>
            </w:r>
          </w:p>
        </w:tc>
        <w:tc>
          <w:tcPr>
            <w:tcW w:w="1261" w:type="dxa"/>
            <w:tcBorders>
              <w:top w:val="nil"/>
              <w:left w:val="nil"/>
              <w:bottom w:val="single" w:color="auto" w:sz="4" w:space="0"/>
              <w:right w:val="single" w:color="auto" w:sz="4" w:space="0"/>
            </w:tcBorders>
            <w:shd w:val="clear" w:color="auto" w:fill="auto"/>
            <w:noWrap/>
            <w:vAlign w:val="center"/>
          </w:tcPr>
          <w:p w14:paraId="4604C75E">
            <w:pPr>
              <w:widowControl/>
              <w:spacing w:line="240" w:lineRule="auto"/>
              <w:ind w:firstLine="0" w:firstLineChars="0"/>
              <w:jc w:val="center"/>
              <w:rPr>
                <w:color w:val="auto"/>
                <w:kern w:val="0"/>
                <w:sz w:val="22"/>
                <w:szCs w:val="22"/>
              </w:rPr>
            </w:pPr>
            <w:r>
              <w:rPr>
                <w:color w:val="auto"/>
                <w:kern w:val="0"/>
                <w:sz w:val="22"/>
                <w:szCs w:val="22"/>
              </w:rPr>
              <w:t>2454023.86</w:t>
            </w:r>
          </w:p>
        </w:tc>
        <w:tc>
          <w:tcPr>
            <w:tcW w:w="1371" w:type="dxa"/>
            <w:tcBorders>
              <w:top w:val="nil"/>
              <w:left w:val="nil"/>
              <w:bottom w:val="single" w:color="auto" w:sz="4" w:space="0"/>
              <w:right w:val="single" w:color="auto" w:sz="4" w:space="0"/>
            </w:tcBorders>
            <w:shd w:val="clear" w:color="auto" w:fill="auto"/>
            <w:noWrap/>
            <w:vAlign w:val="center"/>
          </w:tcPr>
          <w:p w14:paraId="270633E1">
            <w:pPr>
              <w:widowControl/>
              <w:spacing w:line="240" w:lineRule="auto"/>
              <w:ind w:firstLine="0" w:firstLineChars="0"/>
              <w:jc w:val="center"/>
              <w:rPr>
                <w:color w:val="auto"/>
                <w:kern w:val="0"/>
                <w:sz w:val="22"/>
                <w:szCs w:val="22"/>
              </w:rPr>
            </w:pPr>
            <w:r>
              <w:rPr>
                <w:color w:val="auto"/>
                <w:kern w:val="0"/>
                <w:sz w:val="22"/>
                <w:szCs w:val="22"/>
              </w:rPr>
              <w:t>36491115.84</w:t>
            </w:r>
          </w:p>
        </w:tc>
      </w:tr>
      <w:tr w14:paraId="11C1F21F">
        <w:tblPrEx>
          <w:tblCellMar>
            <w:top w:w="0" w:type="dxa"/>
            <w:left w:w="108" w:type="dxa"/>
            <w:bottom w:w="0" w:type="dxa"/>
            <w:right w:w="108" w:type="dxa"/>
          </w:tblCellMar>
        </w:tblPrEx>
        <w:trPr>
          <w:trHeight w:val="300" w:hRule="atLeast"/>
          <w:jc w:val="center"/>
        </w:trPr>
        <w:tc>
          <w:tcPr>
            <w:tcW w:w="0" w:type="auto"/>
            <w:tcBorders>
              <w:top w:val="nil"/>
              <w:left w:val="single" w:color="auto" w:sz="4" w:space="0"/>
              <w:bottom w:val="single" w:color="auto" w:sz="4" w:space="0"/>
              <w:right w:val="nil"/>
            </w:tcBorders>
            <w:shd w:val="clear" w:color="auto" w:fill="auto"/>
            <w:noWrap/>
            <w:vAlign w:val="center"/>
          </w:tcPr>
          <w:p w14:paraId="1B01F2F2">
            <w:pPr>
              <w:widowControl/>
              <w:spacing w:line="240" w:lineRule="auto"/>
              <w:ind w:firstLine="0" w:firstLineChars="0"/>
              <w:jc w:val="center"/>
              <w:rPr>
                <w:color w:val="auto"/>
                <w:kern w:val="0"/>
                <w:sz w:val="22"/>
                <w:szCs w:val="22"/>
              </w:rPr>
            </w:pPr>
            <w:r>
              <w:rPr>
                <w:color w:val="auto"/>
                <w:kern w:val="0"/>
                <w:sz w:val="22"/>
                <w:szCs w:val="22"/>
              </w:rPr>
              <w:t>4</w:t>
            </w:r>
          </w:p>
        </w:tc>
        <w:tc>
          <w:tcPr>
            <w:tcW w:w="1261" w:type="dxa"/>
            <w:tcBorders>
              <w:top w:val="nil"/>
              <w:left w:val="single" w:color="auto" w:sz="4" w:space="0"/>
              <w:bottom w:val="single" w:color="auto" w:sz="4" w:space="0"/>
              <w:right w:val="single" w:color="auto" w:sz="4" w:space="0"/>
            </w:tcBorders>
            <w:shd w:val="clear" w:color="auto" w:fill="auto"/>
            <w:vAlign w:val="center"/>
          </w:tcPr>
          <w:p w14:paraId="7FAA2A78">
            <w:pPr>
              <w:widowControl/>
              <w:spacing w:line="240" w:lineRule="auto"/>
              <w:ind w:firstLine="0" w:firstLineChars="0"/>
              <w:jc w:val="center"/>
              <w:rPr>
                <w:color w:val="auto"/>
                <w:kern w:val="0"/>
                <w:sz w:val="22"/>
                <w:szCs w:val="22"/>
              </w:rPr>
            </w:pPr>
            <w:r>
              <w:rPr>
                <w:color w:val="auto"/>
                <w:kern w:val="0"/>
                <w:sz w:val="22"/>
                <w:szCs w:val="22"/>
              </w:rPr>
              <w:t>2455070.27</w:t>
            </w:r>
          </w:p>
        </w:tc>
        <w:tc>
          <w:tcPr>
            <w:tcW w:w="1371" w:type="dxa"/>
            <w:tcBorders>
              <w:top w:val="nil"/>
              <w:left w:val="nil"/>
              <w:bottom w:val="single" w:color="auto" w:sz="4" w:space="0"/>
              <w:right w:val="single" w:color="auto" w:sz="4" w:space="0"/>
            </w:tcBorders>
            <w:shd w:val="clear" w:color="auto" w:fill="auto"/>
            <w:vAlign w:val="center"/>
          </w:tcPr>
          <w:p w14:paraId="6B4E220A">
            <w:pPr>
              <w:widowControl/>
              <w:spacing w:line="240" w:lineRule="auto"/>
              <w:ind w:firstLine="0" w:firstLineChars="0"/>
              <w:jc w:val="center"/>
              <w:rPr>
                <w:color w:val="auto"/>
                <w:kern w:val="0"/>
                <w:sz w:val="22"/>
                <w:szCs w:val="22"/>
              </w:rPr>
            </w:pPr>
            <w:r>
              <w:rPr>
                <w:color w:val="auto"/>
                <w:kern w:val="0"/>
                <w:sz w:val="22"/>
                <w:szCs w:val="22"/>
              </w:rPr>
              <w:t>36491941.56</w:t>
            </w:r>
          </w:p>
        </w:tc>
        <w:tc>
          <w:tcPr>
            <w:tcW w:w="0" w:type="auto"/>
            <w:tcBorders>
              <w:top w:val="nil"/>
              <w:left w:val="nil"/>
              <w:bottom w:val="single" w:color="auto" w:sz="4" w:space="0"/>
              <w:right w:val="single" w:color="auto" w:sz="4" w:space="0"/>
            </w:tcBorders>
            <w:shd w:val="clear" w:color="auto" w:fill="auto"/>
            <w:noWrap/>
            <w:vAlign w:val="center"/>
          </w:tcPr>
          <w:p w14:paraId="640D5D4B">
            <w:pPr>
              <w:widowControl/>
              <w:spacing w:line="240" w:lineRule="auto"/>
              <w:ind w:firstLine="0" w:firstLineChars="0"/>
              <w:jc w:val="center"/>
              <w:rPr>
                <w:color w:val="auto"/>
                <w:kern w:val="0"/>
                <w:sz w:val="22"/>
                <w:szCs w:val="22"/>
              </w:rPr>
            </w:pPr>
            <w:r>
              <w:rPr>
                <w:color w:val="auto"/>
                <w:kern w:val="0"/>
                <w:sz w:val="22"/>
                <w:szCs w:val="22"/>
              </w:rPr>
              <w:t>17</w:t>
            </w:r>
          </w:p>
        </w:tc>
        <w:tc>
          <w:tcPr>
            <w:tcW w:w="1261" w:type="dxa"/>
            <w:tcBorders>
              <w:top w:val="nil"/>
              <w:left w:val="nil"/>
              <w:bottom w:val="single" w:color="auto" w:sz="4" w:space="0"/>
              <w:right w:val="single" w:color="auto" w:sz="4" w:space="0"/>
            </w:tcBorders>
            <w:shd w:val="clear" w:color="auto" w:fill="auto"/>
            <w:noWrap/>
            <w:vAlign w:val="center"/>
          </w:tcPr>
          <w:p w14:paraId="02F21948">
            <w:pPr>
              <w:widowControl/>
              <w:spacing w:line="240" w:lineRule="auto"/>
              <w:ind w:firstLine="0" w:firstLineChars="0"/>
              <w:jc w:val="center"/>
              <w:rPr>
                <w:color w:val="auto"/>
                <w:kern w:val="0"/>
                <w:sz w:val="22"/>
                <w:szCs w:val="22"/>
              </w:rPr>
            </w:pPr>
            <w:r>
              <w:rPr>
                <w:color w:val="auto"/>
                <w:kern w:val="0"/>
                <w:sz w:val="22"/>
                <w:szCs w:val="22"/>
              </w:rPr>
              <w:t>2454103.61</w:t>
            </w:r>
          </w:p>
        </w:tc>
        <w:tc>
          <w:tcPr>
            <w:tcW w:w="1371" w:type="dxa"/>
            <w:tcBorders>
              <w:top w:val="nil"/>
              <w:left w:val="nil"/>
              <w:bottom w:val="single" w:color="auto" w:sz="4" w:space="0"/>
              <w:right w:val="single" w:color="auto" w:sz="4" w:space="0"/>
            </w:tcBorders>
            <w:shd w:val="clear" w:color="auto" w:fill="auto"/>
            <w:noWrap/>
            <w:vAlign w:val="center"/>
          </w:tcPr>
          <w:p w14:paraId="2FAFC852">
            <w:pPr>
              <w:widowControl/>
              <w:spacing w:line="240" w:lineRule="auto"/>
              <w:ind w:firstLine="0" w:firstLineChars="0"/>
              <w:jc w:val="center"/>
              <w:rPr>
                <w:color w:val="auto"/>
                <w:kern w:val="0"/>
                <w:sz w:val="22"/>
                <w:szCs w:val="22"/>
              </w:rPr>
            </w:pPr>
            <w:r>
              <w:rPr>
                <w:color w:val="auto"/>
                <w:kern w:val="0"/>
                <w:sz w:val="22"/>
                <w:szCs w:val="22"/>
              </w:rPr>
              <w:t>36491004.62</w:t>
            </w:r>
          </w:p>
        </w:tc>
      </w:tr>
      <w:tr w14:paraId="3B041B07">
        <w:tblPrEx>
          <w:tblCellMar>
            <w:top w:w="0" w:type="dxa"/>
            <w:left w:w="108" w:type="dxa"/>
            <w:bottom w:w="0" w:type="dxa"/>
            <w:right w:w="108" w:type="dxa"/>
          </w:tblCellMar>
        </w:tblPrEx>
        <w:trPr>
          <w:trHeight w:val="300" w:hRule="atLeast"/>
          <w:jc w:val="center"/>
        </w:trPr>
        <w:tc>
          <w:tcPr>
            <w:tcW w:w="0" w:type="auto"/>
            <w:tcBorders>
              <w:top w:val="nil"/>
              <w:left w:val="single" w:color="auto" w:sz="4" w:space="0"/>
              <w:bottom w:val="single" w:color="auto" w:sz="4" w:space="0"/>
              <w:right w:val="nil"/>
            </w:tcBorders>
            <w:shd w:val="clear" w:color="auto" w:fill="auto"/>
            <w:noWrap/>
            <w:vAlign w:val="center"/>
          </w:tcPr>
          <w:p w14:paraId="1EBD09E0">
            <w:pPr>
              <w:widowControl/>
              <w:spacing w:line="240" w:lineRule="auto"/>
              <w:ind w:firstLine="0" w:firstLineChars="0"/>
              <w:jc w:val="center"/>
              <w:rPr>
                <w:color w:val="auto"/>
                <w:kern w:val="0"/>
                <w:sz w:val="22"/>
                <w:szCs w:val="22"/>
              </w:rPr>
            </w:pPr>
            <w:r>
              <w:rPr>
                <w:color w:val="auto"/>
                <w:kern w:val="0"/>
                <w:sz w:val="22"/>
                <w:szCs w:val="22"/>
              </w:rPr>
              <w:t>5</w:t>
            </w:r>
          </w:p>
        </w:tc>
        <w:tc>
          <w:tcPr>
            <w:tcW w:w="1261" w:type="dxa"/>
            <w:tcBorders>
              <w:top w:val="nil"/>
              <w:left w:val="single" w:color="auto" w:sz="4" w:space="0"/>
              <w:bottom w:val="single" w:color="auto" w:sz="4" w:space="0"/>
              <w:right w:val="single" w:color="auto" w:sz="4" w:space="0"/>
            </w:tcBorders>
            <w:shd w:val="clear" w:color="auto" w:fill="auto"/>
            <w:vAlign w:val="center"/>
          </w:tcPr>
          <w:p w14:paraId="345B1421">
            <w:pPr>
              <w:widowControl/>
              <w:spacing w:line="240" w:lineRule="auto"/>
              <w:ind w:firstLine="0" w:firstLineChars="0"/>
              <w:jc w:val="center"/>
              <w:rPr>
                <w:color w:val="auto"/>
                <w:kern w:val="0"/>
                <w:sz w:val="22"/>
                <w:szCs w:val="22"/>
              </w:rPr>
            </w:pPr>
            <w:r>
              <w:rPr>
                <w:color w:val="auto"/>
                <w:kern w:val="0"/>
                <w:sz w:val="22"/>
                <w:szCs w:val="22"/>
              </w:rPr>
              <w:t>2455106.11</w:t>
            </w:r>
          </w:p>
        </w:tc>
        <w:tc>
          <w:tcPr>
            <w:tcW w:w="1371" w:type="dxa"/>
            <w:tcBorders>
              <w:top w:val="nil"/>
              <w:left w:val="nil"/>
              <w:bottom w:val="single" w:color="auto" w:sz="4" w:space="0"/>
              <w:right w:val="single" w:color="auto" w:sz="4" w:space="0"/>
            </w:tcBorders>
            <w:shd w:val="clear" w:color="auto" w:fill="auto"/>
            <w:vAlign w:val="center"/>
          </w:tcPr>
          <w:p w14:paraId="49B60ECE">
            <w:pPr>
              <w:widowControl/>
              <w:spacing w:line="240" w:lineRule="auto"/>
              <w:ind w:firstLine="0" w:firstLineChars="0"/>
              <w:jc w:val="center"/>
              <w:rPr>
                <w:color w:val="auto"/>
                <w:kern w:val="0"/>
                <w:sz w:val="22"/>
                <w:szCs w:val="22"/>
              </w:rPr>
            </w:pPr>
            <w:r>
              <w:rPr>
                <w:color w:val="auto"/>
                <w:kern w:val="0"/>
                <w:sz w:val="22"/>
                <w:szCs w:val="22"/>
              </w:rPr>
              <w:t>36492279.58</w:t>
            </w:r>
          </w:p>
        </w:tc>
        <w:tc>
          <w:tcPr>
            <w:tcW w:w="0" w:type="auto"/>
            <w:tcBorders>
              <w:top w:val="nil"/>
              <w:left w:val="nil"/>
              <w:bottom w:val="single" w:color="auto" w:sz="4" w:space="0"/>
              <w:right w:val="single" w:color="auto" w:sz="4" w:space="0"/>
            </w:tcBorders>
            <w:shd w:val="clear" w:color="auto" w:fill="auto"/>
            <w:noWrap/>
            <w:vAlign w:val="center"/>
          </w:tcPr>
          <w:p w14:paraId="74A89DA9">
            <w:pPr>
              <w:widowControl/>
              <w:spacing w:line="240" w:lineRule="auto"/>
              <w:ind w:firstLine="0" w:firstLineChars="0"/>
              <w:jc w:val="center"/>
              <w:rPr>
                <w:color w:val="auto"/>
                <w:kern w:val="0"/>
                <w:sz w:val="22"/>
                <w:szCs w:val="22"/>
              </w:rPr>
            </w:pPr>
            <w:r>
              <w:rPr>
                <w:color w:val="auto"/>
                <w:kern w:val="0"/>
                <w:sz w:val="22"/>
                <w:szCs w:val="22"/>
              </w:rPr>
              <w:t>18</w:t>
            </w:r>
          </w:p>
        </w:tc>
        <w:tc>
          <w:tcPr>
            <w:tcW w:w="1261" w:type="dxa"/>
            <w:tcBorders>
              <w:top w:val="nil"/>
              <w:left w:val="nil"/>
              <w:bottom w:val="single" w:color="auto" w:sz="4" w:space="0"/>
              <w:right w:val="single" w:color="auto" w:sz="4" w:space="0"/>
            </w:tcBorders>
            <w:shd w:val="clear" w:color="auto" w:fill="auto"/>
            <w:noWrap/>
            <w:vAlign w:val="center"/>
          </w:tcPr>
          <w:p w14:paraId="4A94231F">
            <w:pPr>
              <w:widowControl/>
              <w:spacing w:line="240" w:lineRule="auto"/>
              <w:ind w:firstLine="0" w:firstLineChars="0"/>
              <w:jc w:val="center"/>
              <w:rPr>
                <w:color w:val="auto"/>
                <w:kern w:val="0"/>
                <w:sz w:val="22"/>
                <w:szCs w:val="22"/>
              </w:rPr>
            </w:pPr>
            <w:r>
              <w:rPr>
                <w:color w:val="auto"/>
                <w:kern w:val="0"/>
                <w:sz w:val="22"/>
                <w:szCs w:val="22"/>
              </w:rPr>
              <w:t>2454203.62</w:t>
            </w:r>
          </w:p>
        </w:tc>
        <w:tc>
          <w:tcPr>
            <w:tcW w:w="1371" w:type="dxa"/>
            <w:tcBorders>
              <w:top w:val="nil"/>
              <w:left w:val="nil"/>
              <w:bottom w:val="single" w:color="auto" w:sz="4" w:space="0"/>
              <w:right w:val="single" w:color="auto" w:sz="4" w:space="0"/>
            </w:tcBorders>
            <w:shd w:val="clear" w:color="auto" w:fill="auto"/>
            <w:noWrap/>
            <w:vAlign w:val="center"/>
          </w:tcPr>
          <w:p w14:paraId="25EF6083">
            <w:pPr>
              <w:widowControl/>
              <w:spacing w:line="240" w:lineRule="auto"/>
              <w:ind w:firstLine="0" w:firstLineChars="0"/>
              <w:jc w:val="center"/>
              <w:rPr>
                <w:color w:val="auto"/>
                <w:kern w:val="0"/>
                <w:sz w:val="22"/>
                <w:szCs w:val="22"/>
              </w:rPr>
            </w:pPr>
            <w:r>
              <w:rPr>
                <w:color w:val="auto"/>
                <w:kern w:val="0"/>
                <w:sz w:val="22"/>
                <w:szCs w:val="22"/>
              </w:rPr>
              <w:t>36490924.99</w:t>
            </w:r>
          </w:p>
        </w:tc>
      </w:tr>
      <w:tr w14:paraId="5A4BEC7F">
        <w:tblPrEx>
          <w:tblCellMar>
            <w:top w:w="0" w:type="dxa"/>
            <w:left w:w="108" w:type="dxa"/>
            <w:bottom w:w="0" w:type="dxa"/>
            <w:right w:w="108" w:type="dxa"/>
          </w:tblCellMar>
        </w:tblPrEx>
        <w:trPr>
          <w:trHeight w:val="300" w:hRule="atLeast"/>
          <w:jc w:val="center"/>
        </w:trPr>
        <w:tc>
          <w:tcPr>
            <w:tcW w:w="0" w:type="auto"/>
            <w:tcBorders>
              <w:top w:val="nil"/>
              <w:left w:val="single" w:color="auto" w:sz="4" w:space="0"/>
              <w:bottom w:val="single" w:color="auto" w:sz="4" w:space="0"/>
              <w:right w:val="nil"/>
            </w:tcBorders>
            <w:shd w:val="clear" w:color="auto" w:fill="auto"/>
            <w:noWrap/>
            <w:vAlign w:val="center"/>
          </w:tcPr>
          <w:p w14:paraId="49BD657E">
            <w:pPr>
              <w:widowControl/>
              <w:spacing w:line="240" w:lineRule="auto"/>
              <w:ind w:firstLine="0" w:firstLineChars="0"/>
              <w:jc w:val="center"/>
              <w:rPr>
                <w:color w:val="auto"/>
                <w:kern w:val="0"/>
                <w:sz w:val="22"/>
                <w:szCs w:val="22"/>
              </w:rPr>
            </w:pPr>
            <w:r>
              <w:rPr>
                <w:color w:val="auto"/>
                <w:kern w:val="0"/>
                <w:sz w:val="22"/>
                <w:szCs w:val="22"/>
              </w:rPr>
              <w:t>6</w:t>
            </w:r>
          </w:p>
        </w:tc>
        <w:tc>
          <w:tcPr>
            <w:tcW w:w="1261" w:type="dxa"/>
            <w:tcBorders>
              <w:top w:val="nil"/>
              <w:left w:val="single" w:color="auto" w:sz="4" w:space="0"/>
              <w:bottom w:val="single" w:color="auto" w:sz="4" w:space="0"/>
              <w:right w:val="single" w:color="auto" w:sz="4" w:space="0"/>
            </w:tcBorders>
            <w:shd w:val="clear" w:color="auto" w:fill="auto"/>
            <w:vAlign w:val="center"/>
          </w:tcPr>
          <w:p w14:paraId="02C21AEF">
            <w:pPr>
              <w:widowControl/>
              <w:spacing w:line="240" w:lineRule="auto"/>
              <w:ind w:firstLine="0" w:firstLineChars="0"/>
              <w:jc w:val="center"/>
              <w:rPr>
                <w:color w:val="auto"/>
                <w:kern w:val="0"/>
                <w:sz w:val="22"/>
                <w:szCs w:val="22"/>
              </w:rPr>
            </w:pPr>
            <w:r>
              <w:rPr>
                <w:color w:val="auto"/>
                <w:kern w:val="0"/>
                <w:sz w:val="22"/>
                <w:szCs w:val="22"/>
              </w:rPr>
              <w:t>2454766.97</w:t>
            </w:r>
          </w:p>
        </w:tc>
        <w:tc>
          <w:tcPr>
            <w:tcW w:w="1371" w:type="dxa"/>
            <w:tcBorders>
              <w:top w:val="nil"/>
              <w:left w:val="nil"/>
              <w:bottom w:val="single" w:color="auto" w:sz="4" w:space="0"/>
              <w:right w:val="single" w:color="auto" w:sz="4" w:space="0"/>
            </w:tcBorders>
            <w:shd w:val="clear" w:color="auto" w:fill="auto"/>
            <w:vAlign w:val="center"/>
          </w:tcPr>
          <w:p w14:paraId="56636490">
            <w:pPr>
              <w:widowControl/>
              <w:spacing w:line="240" w:lineRule="auto"/>
              <w:ind w:firstLine="0" w:firstLineChars="0"/>
              <w:jc w:val="center"/>
              <w:rPr>
                <w:color w:val="auto"/>
                <w:kern w:val="0"/>
                <w:sz w:val="22"/>
                <w:szCs w:val="22"/>
              </w:rPr>
            </w:pPr>
            <w:r>
              <w:rPr>
                <w:color w:val="auto"/>
                <w:kern w:val="0"/>
                <w:sz w:val="22"/>
                <w:szCs w:val="22"/>
              </w:rPr>
              <w:t>36492426.60</w:t>
            </w:r>
          </w:p>
        </w:tc>
        <w:tc>
          <w:tcPr>
            <w:tcW w:w="0" w:type="auto"/>
            <w:tcBorders>
              <w:top w:val="nil"/>
              <w:left w:val="nil"/>
              <w:bottom w:val="single" w:color="auto" w:sz="4" w:space="0"/>
              <w:right w:val="single" w:color="auto" w:sz="4" w:space="0"/>
            </w:tcBorders>
            <w:shd w:val="clear" w:color="auto" w:fill="auto"/>
            <w:noWrap/>
            <w:vAlign w:val="center"/>
          </w:tcPr>
          <w:p w14:paraId="01374B74">
            <w:pPr>
              <w:widowControl/>
              <w:spacing w:line="240" w:lineRule="auto"/>
              <w:ind w:firstLine="0" w:firstLineChars="0"/>
              <w:jc w:val="center"/>
              <w:rPr>
                <w:color w:val="auto"/>
                <w:kern w:val="0"/>
                <w:sz w:val="22"/>
                <w:szCs w:val="22"/>
              </w:rPr>
            </w:pPr>
            <w:r>
              <w:rPr>
                <w:color w:val="auto"/>
                <w:kern w:val="0"/>
                <w:sz w:val="22"/>
                <w:szCs w:val="22"/>
              </w:rPr>
              <w:t>19</w:t>
            </w:r>
          </w:p>
        </w:tc>
        <w:tc>
          <w:tcPr>
            <w:tcW w:w="1261" w:type="dxa"/>
            <w:tcBorders>
              <w:top w:val="nil"/>
              <w:left w:val="nil"/>
              <w:bottom w:val="single" w:color="auto" w:sz="4" w:space="0"/>
              <w:right w:val="single" w:color="auto" w:sz="4" w:space="0"/>
            </w:tcBorders>
            <w:shd w:val="clear" w:color="auto" w:fill="auto"/>
            <w:noWrap/>
            <w:vAlign w:val="center"/>
          </w:tcPr>
          <w:p w14:paraId="7A0EBC8F">
            <w:pPr>
              <w:widowControl/>
              <w:spacing w:line="240" w:lineRule="auto"/>
              <w:ind w:firstLine="0" w:firstLineChars="0"/>
              <w:jc w:val="center"/>
              <w:rPr>
                <w:color w:val="auto"/>
                <w:kern w:val="0"/>
                <w:sz w:val="22"/>
                <w:szCs w:val="22"/>
              </w:rPr>
            </w:pPr>
            <w:r>
              <w:rPr>
                <w:color w:val="auto"/>
                <w:kern w:val="0"/>
                <w:sz w:val="22"/>
                <w:szCs w:val="22"/>
              </w:rPr>
              <w:t>2454396.52</w:t>
            </w:r>
          </w:p>
        </w:tc>
        <w:tc>
          <w:tcPr>
            <w:tcW w:w="1371" w:type="dxa"/>
            <w:tcBorders>
              <w:top w:val="nil"/>
              <w:left w:val="nil"/>
              <w:bottom w:val="single" w:color="auto" w:sz="4" w:space="0"/>
              <w:right w:val="single" w:color="auto" w:sz="4" w:space="0"/>
            </w:tcBorders>
            <w:shd w:val="clear" w:color="auto" w:fill="auto"/>
            <w:noWrap/>
            <w:vAlign w:val="center"/>
          </w:tcPr>
          <w:p w14:paraId="195AC822">
            <w:pPr>
              <w:widowControl/>
              <w:spacing w:line="240" w:lineRule="auto"/>
              <w:ind w:firstLine="0" w:firstLineChars="0"/>
              <w:jc w:val="center"/>
              <w:rPr>
                <w:color w:val="auto"/>
                <w:kern w:val="0"/>
                <w:sz w:val="22"/>
                <w:szCs w:val="22"/>
              </w:rPr>
            </w:pPr>
            <w:r>
              <w:rPr>
                <w:color w:val="auto"/>
                <w:kern w:val="0"/>
                <w:sz w:val="22"/>
                <w:szCs w:val="22"/>
              </w:rPr>
              <w:t>36491053.64</w:t>
            </w:r>
          </w:p>
        </w:tc>
      </w:tr>
      <w:tr w14:paraId="0F192340">
        <w:tblPrEx>
          <w:tblCellMar>
            <w:top w:w="0" w:type="dxa"/>
            <w:left w:w="108" w:type="dxa"/>
            <w:bottom w:w="0" w:type="dxa"/>
            <w:right w:w="108" w:type="dxa"/>
          </w:tblCellMar>
        </w:tblPrEx>
        <w:trPr>
          <w:trHeight w:val="300" w:hRule="atLeast"/>
          <w:jc w:val="center"/>
        </w:trPr>
        <w:tc>
          <w:tcPr>
            <w:tcW w:w="0" w:type="auto"/>
            <w:tcBorders>
              <w:top w:val="nil"/>
              <w:left w:val="single" w:color="auto" w:sz="4" w:space="0"/>
              <w:bottom w:val="single" w:color="auto" w:sz="4" w:space="0"/>
              <w:right w:val="nil"/>
            </w:tcBorders>
            <w:shd w:val="clear" w:color="auto" w:fill="auto"/>
            <w:noWrap/>
            <w:vAlign w:val="center"/>
          </w:tcPr>
          <w:p w14:paraId="56BFFF79">
            <w:pPr>
              <w:widowControl/>
              <w:spacing w:line="240" w:lineRule="auto"/>
              <w:ind w:firstLine="0" w:firstLineChars="0"/>
              <w:jc w:val="center"/>
              <w:rPr>
                <w:color w:val="auto"/>
                <w:kern w:val="0"/>
                <w:sz w:val="22"/>
                <w:szCs w:val="22"/>
              </w:rPr>
            </w:pPr>
            <w:r>
              <w:rPr>
                <w:color w:val="auto"/>
                <w:kern w:val="0"/>
                <w:sz w:val="22"/>
                <w:szCs w:val="22"/>
              </w:rPr>
              <w:t>7</w:t>
            </w:r>
          </w:p>
        </w:tc>
        <w:tc>
          <w:tcPr>
            <w:tcW w:w="1261" w:type="dxa"/>
            <w:tcBorders>
              <w:top w:val="nil"/>
              <w:left w:val="single" w:color="auto" w:sz="4" w:space="0"/>
              <w:bottom w:val="single" w:color="auto" w:sz="4" w:space="0"/>
              <w:right w:val="single" w:color="auto" w:sz="4" w:space="0"/>
            </w:tcBorders>
            <w:shd w:val="clear" w:color="auto" w:fill="auto"/>
            <w:vAlign w:val="center"/>
          </w:tcPr>
          <w:p w14:paraId="12B9E745">
            <w:pPr>
              <w:widowControl/>
              <w:spacing w:line="240" w:lineRule="auto"/>
              <w:ind w:firstLine="0" w:firstLineChars="0"/>
              <w:jc w:val="center"/>
              <w:rPr>
                <w:color w:val="auto"/>
                <w:kern w:val="0"/>
                <w:sz w:val="22"/>
                <w:szCs w:val="22"/>
              </w:rPr>
            </w:pPr>
            <w:r>
              <w:rPr>
                <w:color w:val="auto"/>
                <w:kern w:val="0"/>
                <w:sz w:val="22"/>
                <w:szCs w:val="22"/>
              </w:rPr>
              <w:t>2454712.12</w:t>
            </w:r>
          </w:p>
        </w:tc>
        <w:tc>
          <w:tcPr>
            <w:tcW w:w="1371" w:type="dxa"/>
            <w:tcBorders>
              <w:top w:val="nil"/>
              <w:left w:val="nil"/>
              <w:bottom w:val="single" w:color="auto" w:sz="4" w:space="0"/>
              <w:right w:val="single" w:color="auto" w:sz="4" w:space="0"/>
            </w:tcBorders>
            <w:shd w:val="clear" w:color="auto" w:fill="auto"/>
            <w:vAlign w:val="center"/>
          </w:tcPr>
          <w:p w14:paraId="44DB1A84">
            <w:pPr>
              <w:widowControl/>
              <w:spacing w:line="240" w:lineRule="auto"/>
              <w:ind w:firstLine="0" w:firstLineChars="0"/>
              <w:jc w:val="center"/>
              <w:rPr>
                <w:color w:val="auto"/>
                <w:kern w:val="0"/>
                <w:sz w:val="22"/>
                <w:szCs w:val="22"/>
              </w:rPr>
            </w:pPr>
            <w:r>
              <w:rPr>
                <w:color w:val="auto"/>
                <w:kern w:val="0"/>
                <w:sz w:val="22"/>
                <w:szCs w:val="22"/>
              </w:rPr>
              <w:t>36492303.35</w:t>
            </w:r>
          </w:p>
        </w:tc>
        <w:tc>
          <w:tcPr>
            <w:tcW w:w="0" w:type="auto"/>
            <w:tcBorders>
              <w:top w:val="nil"/>
              <w:left w:val="nil"/>
              <w:bottom w:val="single" w:color="auto" w:sz="4" w:space="0"/>
              <w:right w:val="single" w:color="auto" w:sz="4" w:space="0"/>
            </w:tcBorders>
            <w:shd w:val="clear" w:color="auto" w:fill="auto"/>
            <w:noWrap/>
            <w:vAlign w:val="center"/>
          </w:tcPr>
          <w:p w14:paraId="7BD4BC88">
            <w:pPr>
              <w:widowControl/>
              <w:spacing w:line="240" w:lineRule="auto"/>
              <w:ind w:firstLine="0" w:firstLineChars="0"/>
              <w:jc w:val="center"/>
              <w:rPr>
                <w:color w:val="auto"/>
                <w:kern w:val="0"/>
                <w:sz w:val="22"/>
                <w:szCs w:val="22"/>
              </w:rPr>
            </w:pPr>
            <w:r>
              <w:rPr>
                <w:color w:val="auto"/>
                <w:kern w:val="0"/>
                <w:sz w:val="22"/>
                <w:szCs w:val="22"/>
              </w:rPr>
              <w:t>20</w:t>
            </w:r>
          </w:p>
        </w:tc>
        <w:tc>
          <w:tcPr>
            <w:tcW w:w="1261" w:type="dxa"/>
            <w:tcBorders>
              <w:top w:val="nil"/>
              <w:left w:val="nil"/>
              <w:bottom w:val="single" w:color="auto" w:sz="4" w:space="0"/>
              <w:right w:val="single" w:color="auto" w:sz="4" w:space="0"/>
            </w:tcBorders>
            <w:shd w:val="clear" w:color="auto" w:fill="auto"/>
            <w:noWrap/>
            <w:vAlign w:val="center"/>
          </w:tcPr>
          <w:p w14:paraId="0D01FB17">
            <w:pPr>
              <w:widowControl/>
              <w:spacing w:line="240" w:lineRule="auto"/>
              <w:ind w:firstLine="0" w:firstLineChars="0"/>
              <w:jc w:val="center"/>
              <w:rPr>
                <w:color w:val="auto"/>
                <w:kern w:val="0"/>
                <w:sz w:val="22"/>
                <w:szCs w:val="22"/>
              </w:rPr>
            </w:pPr>
            <w:r>
              <w:rPr>
                <w:color w:val="auto"/>
                <w:kern w:val="0"/>
                <w:sz w:val="22"/>
                <w:szCs w:val="22"/>
              </w:rPr>
              <w:t>2454436.61</w:t>
            </w:r>
          </w:p>
        </w:tc>
        <w:tc>
          <w:tcPr>
            <w:tcW w:w="1371" w:type="dxa"/>
            <w:tcBorders>
              <w:top w:val="nil"/>
              <w:left w:val="nil"/>
              <w:bottom w:val="single" w:color="auto" w:sz="4" w:space="0"/>
              <w:right w:val="single" w:color="auto" w:sz="4" w:space="0"/>
            </w:tcBorders>
            <w:shd w:val="clear" w:color="auto" w:fill="auto"/>
            <w:noWrap/>
            <w:vAlign w:val="center"/>
          </w:tcPr>
          <w:p w14:paraId="34C29C24">
            <w:pPr>
              <w:widowControl/>
              <w:spacing w:line="240" w:lineRule="auto"/>
              <w:ind w:firstLine="0" w:firstLineChars="0"/>
              <w:jc w:val="center"/>
              <w:rPr>
                <w:color w:val="auto"/>
                <w:kern w:val="0"/>
                <w:sz w:val="22"/>
                <w:szCs w:val="22"/>
              </w:rPr>
            </w:pPr>
            <w:r>
              <w:rPr>
                <w:color w:val="auto"/>
                <w:kern w:val="0"/>
                <w:sz w:val="22"/>
                <w:szCs w:val="22"/>
              </w:rPr>
              <w:t>36491122.40</w:t>
            </w:r>
          </w:p>
        </w:tc>
      </w:tr>
      <w:tr w14:paraId="7305C527">
        <w:tblPrEx>
          <w:tblCellMar>
            <w:top w:w="0" w:type="dxa"/>
            <w:left w:w="108" w:type="dxa"/>
            <w:bottom w:w="0" w:type="dxa"/>
            <w:right w:w="108" w:type="dxa"/>
          </w:tblCellMar>
        </w:tblPrEx>
        <w:trPr>
          <w:trHeight w:val="300" w:hRule="atLeast"/>
          <w:jc w:val="center"/>
        </w:trPr>
        <w:tc>
          <w:tcPr>
            <w:tcW w:w="0" w:type="auto"/>
            <w:tcBorders>
              <w:top w:val="nil"/>
              <w:left w:val="single" w:color="auto" w:sz="4" w:space="0"/>
              <w:bottom w:val="single" w:color="auto" w:sz="4" w:space="0"/>
              <w:right w:val="nil"/>
            </w:tcBorders>
            <w:shd w:val="clear" w:color="auto" w:fill="auto"/>
            <w:noWrap/>
            <w:vAlign w:val="center"/>
          </w:tcPr>
          <w:p w14:paraId="20E42F0E">
            <w:pPr>
              <w:widowControl/>
              <w:spacing w:line="240" w:lineRule="auto"/>
              <w:ind w:firstLine="0" w:firstLineChars="0"/>
              <w:jc w:val="center"/>
              <w:rPr>
                <w:color w:val="auto"/>
                <w:kern w:val="0"/>
                <w:sz w:val="22"/>
                <w:szCs w:val="22"/>
              </w:rPr>
            </w:pPr>
            <w:r>
              <w:rPr>
                <w:color w:val="auto"/>
                <w:kern w:val="0"/>
                <w:sz w:val="22"/>
                <w:szCs w:val="22"/>
              </w:rPr>
              <w:t>8</w:t>
            </w:r>
          </w:p>
        </w:tc>
        <w:tc>
          <w:tcPr>
            <w:tcW w:w="1261" w:type="dxa"/>
            <w:tcBorders>
              <w:top w:val="nil"/>
              <w:left w:val="single" w:color="auto" w:sz="4" w:space="0"/>
              <w:bottom w:val="single" w:color="auto" w:sz="4" w:space="0"/>
              <w:right w:val="single" w:color="auto" w:sz="4" w:space="0"/>
            </w:tcBorders>
            <w:shd w:val="clear" w:color="auto" w:fill="auto"/>
            <w:vAlign w:val="center"/>
          </w:tcPr>
          <w:p w14:paraId="7DC4D94A">
            <w:pPr>
              <w:widowControl/>
              <w:spacing w:line="240" w:lineRule="auto"/>
              <w:ind w:firstLine="0" w:firstLineChars="0"/>
              <w:jc w:val="center"/>
              <w:rPr>
                <w:color w:val="auto"/>
                <w:kern w:val="0"/>
                <w:sz w:val="22"/>
                <w:szCs w:val="22"/>
              </w:rPr>
            </w:pPr>
            <w:r>
              <w:rPr>
                <w:color w:val="auto"/>
                <w:kern w:val="0"/>
                <w:sz w:val="22"/>
                <w:szCs w:val="22"/>
              </w:rPr>
              <w:t>2454255.68</w:t>
            </w:r>
          </w:p>
        </w:tc>
        <w:tc>
          <w:tcPr>
            <w:tcW w:w="1371" w:type="dxa"/>
            <w:tcBorders>
              <w:top w:val="nil"/>
              <w:left w:val="nil"/>
              <w:bottom w:val="single" w:color="auto" w:sz="4" w:space="0"/>
              <w:right w:val="single" w:color="auto" w:sz="4" w:space="0"/>
            </w:tcBorders>
            <w:shd w:val="clear" w:color="auto" w:fill="auto"/>
            <w:vAlign w:val="center"/>
          </w:tcPr>
          <w:p w14:paraId="40B0471E">
            <w:pPr>
              <w:widowControl/>
              <w:spacing w:line="240" w:lineRule="auto"/>
              <w:ind w:firstLine="0" w:firstLineChars="0"/>
              <w:jc w:val="center"/>
              <w:rPr>
                <w:color w:val="auto"/>
                <w:kern w:val="0"/>
                <w:sz w:val="22"/>
                <w:szCs w:val="22"/>
              </w:rPr>
            </w:pPr>
            <w:r>
              <w:rPr>
                <w:color w:val="auto"/>
                <w:kern w:val="0"/>
                <w:sz w:val="22"/>
                <w:szCs w:val="22"/>
              </w:rPr>
              <w:t>36492513.61</w:t>
            </w:r>
          </w:p>
        </w:tc>
        <w:tc>
          <w:tcPr>
            <w:tcW w:w="0" w:type="auto"/>
            <w:tcBorders>
              <w:top w:val="nil"/>
              <w:left w:val="nil"/>
              <w:bottom w:val="single" w:color="auto" w:sz="4" w:space="0"/>
              <w:right w:val="single" w:color="auto" w:sz="4" w:space="0"/>
            </w:tcBorders>
            <w:shd w:val="clear" w:color="auto" w:fill="auto"/>
            <w:noWrap/>
            <w:vAlign w:val="center"/>
          </w:tcPr>
          <w:p w14:paraId="0A4759F5">
            <w:pPr>
              <w:widowControl/>
              <w:spacing w:line="240" w:lineRule="auto"/>
              <w:ind w:firstLine="0" w:firstLineChars="0"/>
              <w:jc w:val="center"/>
              <w:rPr>
                <w:color w:val="auto"/>
                <w:kern w:val="0"/>
                <w:sz w:val="22"/>
                <w:szCs w:val="22"/>
              </w:rPr>
            </w:pPr>
            <w:r>
              <w:rPr>
                <w:color w:val="auto"/>
                <w:kern w:val="0"/>
                <w:sz w:val="22"/>
                <w:szCs w:val="22"/>
              </w:rPr>
              <w:t>21</w:t>
            </w:r>
          </w:p>
        </w:tc>
        <w:tc>
          <w:tcPr>
            <w:tcW w:w="1261" w:type="dxa"/>
            <w:tcBorders>
              <w:top w:val="nil"/>
              <w:left w:val="nil"/>
              <w:bottom w:val="single" w:color="auto" w:sz="4" w:space="0"/>
              <w:right w:val="single" w:color="auto" w:sz="4" w:space="0"/>
            </w:tcBorders>
            <w:shd w:val="clear" w:color="auto" w:fill="auto"/>
            <w:noWrap/>
            <w:vAlign w:val="center"/>
          </w:tcPr>
          <w:p w14:paraId="1F792574">
            <w:pPr>
              <w:widowControl/>
              <w:spacing w:line="240" w:lineRule="auto"/>
              <w:ind w:firstLine="0" w:firstLineChars="0"/>
              <w:jc w:val="center"/>
              <w:rPr>
                <w:color w:val="auto"/>
                <w:kern w:val="0"/>
                <w:sz w:val="22"/>
                <w:szCs w:val="22"/>
              </w:rPr>
            </w:pPr>
            <w:r>
              <w:rPr>
                <w:color w:val="auto"/>
                <w:kern w:val="0"/>
                <w:sz w:val="22"/>
                <w:szCs w:val="22"/>
              </w:rPr>
              <w:t>2454512.57</w:t>
            </w:r>
          </w:p>
        </w:tc>
        <w:tc>
          <w:tcPr>
            <w:tcW w:w="1371" w:type="dxa"/>
            <w:tcBorders>
              <w:top w:val="nil"/>
              <w:left w:val="nil"/>
              <w:bottom w:val="single" w:color="auto" w:sz="4" w:space="0"/>
              <w:right w:val="single" w:color="auto" w:sz="4" w:space="0"/>
            </w:tcBorders>
            <w:shd w:val="clear" w:color="auto" w:fill="auto"/>
            <w:noWrap/>
            <w:vAlign w:val="center"/>
          </w:tcPr>
          <w:p w14:paraId="432A9FEF">
            <w:pPr>
              <w:widowControl/>
              <w:spacing w:line="240" w:lineRule="auto"/>
              <w:ind w:firstLine="0" w:firstLineChars="0"/>
              <w:jc w:val="center"/>
              <w:rPr>
                <w:color w:val="auto"/>
                <w:kern w:val="0"/>
                <w:sz w:val="22"/>
                <w:szCs w:val="22"/>
              </w:rPr>
            </w:pPr>
            <w:r>
              <w:rPr>
                <w:color w:val="auto"/>
                <w:kern w:val="0"/>
                <w:sz w:val="22"/>
                <w:szCs w:val="22"/>
              </w:rPr>
              <w:t>36491193.42</w:t>
            </w:r>
          </w:p>
        </w:tc>
      </w:tr>
      <w:tr w14:paraId="1C5DC932">
        <w:tblPrEx>
          <w:tblCellMar>
            <w:top w:w="0" w:type="dxa"/>
            <w:left w:w="108" w:type="dxa"/>
            <w:bottom w:w="0" w:type="dxa"/>
            <w:right w:w="108" w:type="dxa"/>
          </w:tblCellMar>
        </w:tblPrEx>
        <w:trPr>
          <w:trHeight w:val="300" w:hRule="atLeast"/>
          <w:jc w:val="center"/>
        </w:trPr>
        <w:tc>
          <w:tcPr>
            <w:tcW w:w="0" w:type="auto"/>
            <w:tcBorders>
              <w:top w:val="nil"/>
              <w:left w:val="single" w:color="auto" w:sz="4" w:space="0"/>
              <w:bottom w:val="single" w:color="auto" w:sz="4" w:space="0"/>
              <w:right w:val="nil"/>
            </w:tcBorders>
            <w:shd w:val="clear" w:color="auto" w:fill="auto"/>
            <w:noWrap/>
            <w:vAlign w:val="center"/>
          </w:tcPr>
          <w:p w14:paraId="72EB0A7C">
            <w:pPr>
              <w:widowControl/>
              <w:spacing w:line="240" w:lineRule="auto"/>
              <w:ind w:firstLine="0" w:firstLineChars="0"/>
              <w:jc w:val="center"/>
              <w:rPr>
                <w:color w:val="auto"/>
                <w:kern w:val="0"/>
                <w:sz w:val="22"/>
                <w:szCs w:val="22"/>
              </w:rPr>
            </w:pPr>
            <w:r>
              <w:rPr>
                <w:color w:val="auto"/>
                <w:kern w:val="0"/>
                <w:sz w:val="22"/>
                <w:szCs w:val="22"/>
              </w:rPr>
              <w:t>9</w:t>
            </w:r>
          </w:p>
        </w:tc>
        <w:tc>
          <w:tcPr>
            <w:tcW w:w="1261" w:type="dxa"/>
            <w:tcBorders>
              <w:top w:val="nil"/>
              <w:left w:val="single" w:color="auto" w:sz="4" w:space="0"/>
              <w:bottom w:val="single" w:color="auto" w:sz="4" w:space="0"/>
              <w:right w:val="single" w:color="auto" w:sz="4" w:space="0"/>
            </w:tcBorders>
            <w:shd w:val="clear" w:color="auto" w:fill="auto"/>
            <w:vAlign w:val="center"/>
          </w:tcPr>
          <w:p w14:paraId="0D8D245D">
            <w:pPr>
              <w:widowControl/>
              <w:spacing w:line="240" w:lineRule="auto"/>
              <w:ind w:firstLine="0" w:firstLineChars="0"/>
              <w:jc w:val="center"/>
              <w:rPr>
                <w:color w:val="auto"/>
                <w:kern w:val="0"/>
                <w:sz w:val="22"/>
                <w:szCs w:val="22"/>
              </w:rPr>
            </w:pPr>
            <w:r>
              <w:rPr>
                <w:color w:val="auto"/>
                <w:kern w:val="0"/>
                <w:sz w:val="22"/>
                <w:szCs w:val="22"/>
              </w:rPr>
              <w:t>2454218.97</w:t>
            </w:r>
          </w:p>
        </w:tc>
        <w:tc>
          <w:tcPr>
            <w:tcW w:w="1371" w:type="dxa"/>
            <w:tcBorders>
              <w:top w:val="nil"/>
              <w:left w:val="nil"/>
              <w:bottom w:val="single" w:color="auto" w:sz="4" w:space="0"/>
              <w:right w:val="single" w:color="auto" w:sz="4" w:space="0"/>
            </w:tcBorders>
            <w:shd w:val="clear" w:color="auto" w:fill="auto"/>
            <w:vAlign w:val="center"/>
          </w:tcPr>
          <w:p w14:paraId="2EAE2124">
            <w:pPr>
              <w:widowControl/>
              <w:spacing w:line="240" w:lineRule="auto"/>
              <w:ind w:firstLine="0" w:firstLineChars="0"/>
              <w:jc w:val="center"/>
              <w:rPr>
                <w:color w:val="auto"/>
                <w:kern w:val="0"/>
                <w:sz w:val="22"/>
                <w:szCs w:val="22"/>
              </w:rPr>
            </w:pPr>
            <w:r>
              <w:rPr>
                <w:color w:val="auto"/>
                <w:kern w:val="0"/>
                <w:sz w:val="22"/>
                <w:szCs w:val="22"/>
              </w:rPr>
              <w:t>36492407.76</w:t>
            </w:r>
          </w:p>
        </w:tc>
        <w:tc>
          <w:tcPr>
            <w:tcW w:w="0" w:type="auto"/>
            <w:tcBorders>
              <w:top w:val="nil"/>
              <w:left w:val="nil"/>
              <w:bottom w:val="single" w:color="auto" w:sz="4" w:space="0"/>
              <w:right w:val="single" w:color="auto" w:sz="4" w:space="0"/>
            </w:tcBorders>
            <w:shd w:val="clear" w:color="auto" w:fill="auto"/>
            <w:noWrap/>
            <w:vAlign w:val="center"/>
          </w:tcPr>
          <w:p w14:paraId="0E33F12E">
            <w:pPr>
              <w:widowControl/>
              <w:spacing w:line="240" w:lineRule="auto"/>
              <w:ind w:firstLine="0" w:firstLineChars="0"/>
              <w:jc w:val="center"/>
              <w:rPr>
                <w:color w:val="auto"/>
                <w:kern w:val="0"/>
                <w:sz w:val="22"/>
                <w:szCs w:val="22"/>
              </w:rPr>
            </w:pPr>
            <w:r>
              <w:rPr>
                <w:color w:val="auto"/>
                <w:kern w:val="0"/>
                <w:sz w:val="22"/>
                <w:szCs w:val="22"/>
              </w:rPr>
              <w:t>22</w:t>
            </w:r>
          </w:p>
        </w:tc>
        <w:tc>
          <w:tcPr>
            <w:tcW w:w="1261" w:type="dxa"/>
            <w:tcBorders>
              <w:top w:val="nil"/>
              <w:left w:val="nil"/>
              <w:bottom w:val="single" w:color="auto" w:sz="4" w:space="0"/>
              <w:right w:val="single" w:color="auto" w:sz="4" w:space="0"/>
            </w:tcBorders>
            <w:shd w:val="clear" w:color="auto" w:fill="auto"/>
            <w:noWrap/>
            <w:vAlign w:val="center"/>
          </w:tcPr>
          <w:p w14:paraId="301F1BAB">
            <w:pPr>
              <w:widowControl/>
              <w:spacing w:line="240" w:lineRule="auto"/>
              <w:ind w:firstLine="0" w:firstLineChars="0"/>
              <w:jc w:val="center"/>
              <w:rPr>
                <w:color w:val="auto"/>
                <w:kern w:val="0"/>
                <w:sz w:val="22"/>
                <w:szCs w:val="22"/>
              </w:rPr>
            </w:pPr>
            <w:r>
              <w:rPr>
                <w:color w:val="auto"/>
                <w:kern w:val="0"/>
                <w:sz w:val="22"/>
                <w:szCs w:val="22"/>
              </w:rPr>
              <w:t>2454567.05</w:t>
            </w:r>
          </w:p>
        </w:tc>
        <w:tc>
          <w:tcPr>
            <w:tcW w:w="1371" w:type="dxa"/>
            <w:tcBorders>
              <w:top w:val="nil"/>
              <w:left w:val="nil"/>
              <w:bottom w:val="single" w:color="auto" w:sz="4" w:space="0"/>
              <w:right w:val="single" w:color="auto" w:sz="4" w:space="0"/>
            </w:tcBorders>
            <w:shd w:val="clear" w:color="auto" w:fill="auto"/>
            <w:noWrap/>
            <w:vAlign w:val="center"/>
          </w:tcPr>
          <w:p w14:paraId="1D39788D">
            <w:pPr>
              <w:widowControl/>
              <w:spacing w:line="240" w:lineRule="auto"/>
              <w:ind w:firstLine="0" w:firstLineChars="0"/>
              <w:jc w:val="center"/>
              <w:rPr>
                <w:color w:val="auto"/>
                <w:kern w:val="0"/>
                <w:sz w:val="22"/>
                <w:szCs w:val="22"/>
              </w:rPr>
            </w:pPr>
            <w:r>
              <w:rPr>
                <w:color w:val="auto"/>
                <w:kern w:val="0"/>
                <w:sz w:val="22"/>
                <w:szCs w:val="22"/>
              </w:rPr>
              <w:t>36491132.60</w:t>
            </w:r>
          </w:p>
        </w:tc>
      </w:tr>
      <w:tr w14:paraId="319BC688">
        <w:tblPrEx>
          <w:tblCellMar>
            <w:top w:w="0" w:type="dxa"/>
            <w:left w:w="108" w:type="dxa"/>
            <w:bottom w:w="0" w:type="dxa"/>
            <w:right w:w="108" w:type="dxa"/>
          </w:tblCellMar>
        </w:tblPrEx>
        <w:trPr>
          <w:trHeight w:val="300" w:hRule="atLeast"/>
          <w:jc w:val="center"/>
        </w:trPr>
        <w:tc>
          <w:tcPr>
            <w:tcW w:w="0" w:type="auto"/>
            <w:tcBorders>
              <w:top w:val="nil"/>
              <w:left w:val="single" w:color="auto" w:sz="4" w:space="0"/>
              <w:bottom w:val="single" w:color="auto" w:sz="4" w:space="0"/>
              <w:right w:val="nil"/>
            </w:tcBorders>
            <w:shd w:val="clear" w:color="auto" w:fill="auto"/>
            <w:noWrap/>
            <w:vAlign w:val="center"/>
          </w:tcPr>
          <w:p w14:paraId="043FE76B">
            <w:pPr>
              <w:widowControl/>
              <w:spacing w:line="240" w:lineRule="auto"/>
              <w:ind w:firstLine="0" w:firstLineChars="0"/>
              <w:jc w:val="center"/>
              <w:rPr>
                <w:color w:val="auto"/>
                <w:kern w:val="0"/>
                <w:sz w:val="22"/>
                <w:szCs w:val="22"/>
              </w:rPr>
            </w:pPr>
            <w:r>
              <w:rPr>
                <w:color w:val="auto"/>
                <w:kern w:val="0"/>
                <w:sz w:val="22"/>
                <w:szCs w:val="22"/>
              </w:rPr>
              <w:t>10</w:t>
            </w:r>
          </w:p>
        </w:tc>
        <w:tc>
          <w:tcPr>
            <w:tcW w:w="1261" w:type="dxa"/>
            <w:tcBorders>
              <w:top w:val="nil"/>
              <w:left w:val="single" w:color="auto" w:sz="4" w:space="0"/>
              <w:bottom w:val="single" w:color="auto" w:sz="4" w:space="0"/>
              <w:right w:val="single" w:color="auto" w:sz="4" w:space="0"/>
            </w:tcBorders>
            <w:shd w:val="clear" w:color="auto" w:fill="auto"/>
            <w:vAlign w:val="center"/>
          </w:tcPr>
          <w:p w14:paraId="5259FCC4">
            <w:pPr>
              <w:widowControl/>
              <w:spacing w:line="240" w:lineRule="auto"/>
              <w:ind w:firstLine="0" w:firstLineChars="0"/>
              <w:jc w:val="center"/>
              <w:rPr>
                <w:color w:val="auto"/>
                <w:kern w:val="0"/>
                <w:sz w:val="22"/>
                <w:szCs w:val="22"/>
              </w:rPr>
            </w:pPr>
            <w:r>
              <w:rPr>
                <w:color w:val="auto"/>
                <w:kern w:val="0"/>
                <w:sz w:val="22"/>
                <w:szCs w:val="22"/>
              </w:rPr>
              <w:t>2454142.52</w:t>
            </w:r>
          </w:p>
        </w:tc>
        <w:tc>
          <w:tcPr>
            <w:tcW w:w="1371" w:type="dxa"/>
            <w:tcBorders>
              <w:top w:val="nil"/>
              <w:left w:val="nil"/>
              <w:bottom w:val="single" w:color="auto" w:sz="4" w:space="0"/>
              <w:right w:val="single" w:color="auto" w:sz="4" w:space="0"/>
            </w:tcBorders>
            <w:shd w:val="clear" w:color="auto" w:fill="auto"/>
            <w:vAlign w:val="center"/>
          </w:tcPr>
          <w:p w14:paraId="55E161C7">
            <w:pPr>
              <w:widowControl/>
              <w:spacing w:line="240" w:lineRule="auto"/>
              <w:ind w:firstLine="0" w:firstLineChars="0"/>
              <w:jc w:val="center"/>
              <w:rPr>
                <w:color w:val="auto"/>
                <w:kern w:val="0"/>
                <w:sz w:val="22"/>
                <w:szCs w:val="22"/>
              </w:rPr>
            </w:pPr>
            <w:r>
              <w:rPr>
                <w:color w:val="auto"/>
                <w:kern w:val="0"/>
                <w:sz w:val="22"/>
                <w:szCs w:val="22"/>
              </w:rPr>
              <w:t>36492010.27</w:t>
            </w:r>
          </w:p>
        </w:tc>
        <w:tc>
          <w:tcPr>
            <w:tcW w:w="0" w:type="auto"/>
            <w:tcBorders>
              <w:top w:val="nil"/>
              <w:left w:val="nil"/>
              <w:bottom w:val="single" w:color="auto" w:sz="4" w:space="0"/>
              <w:right w:val="single" w:color="auto" w:sz="4" w:space="0"/>
            </w:tcBorders>
            <w:shd w:val="clear" w:color="auto" w:fill="auto"/>
            <w:noWrap/>
            <w:vAlign w:val="center"/>
          </w:tcPr>
          <w:p w14:paraId="1A972A6F">
            <w:pPr>
              <w:widowControl/>
              <w:spacing w:line="240" w:lineRule="auto"/>
              <w:ind w:firstLine="0" w:firstLineChars="0"/>
              <w:jc w:val="center"/>
              <w:rPr>
                <w:color w:val="auto"/>
                <w:kern w:val="0"/>
                <w:sz w:val="22"/>
                <w:szCs w:val="22"/>
              </w:rPr>
            </w:pPr>
            <w:r>
              <w:rPr>
                <w:color w:val="auto"/>
                <w:kern w:val="0"/>
                <w:sz w:val="22"/>
                <w:szCs w:val="22"/>
              </w:rPr>
              <w:t>23</w:t>
            </w:r>
          </w:p>
        </w:tc>
        <w:tc>
          <w:tcPr>
            <w:tcW w:w="1261" w:type="dxa"/>
            <w:tcBorders>
              <w:top w:val="nil"/>
              <w:left w:val="nil"/>
              <w:bottom w:val="single" w:color="auto" w:sz="4" w:space="0"/>
              <w:right w:val="single" w:color="auto" w:sz="4" w:space="0"/>
            </w:tcBorders>
            <w:shd w:val="clear" w:color="auto" w:fill="auto"/>
            <w:noWrap/>
            <w:vAlign w:val="center"/>
          </w:tcPr>
          <w:p w14:paraId="59918FE3">
            <w:pPr>
              <w:widowControl/>
              <w:spacing w:line="240" w:lineRule="auto"/>
              <w:ind w:firstLine="0" w:firstLineChars="0"/>
              <w:jc w:val="center"/>
              <w:rPr>
                <w:color w:val="auto"/>
                <w:kern w:val="0"/>
                <w:sz w:val="22"/>
                <w:szCs w:val="22"/>
              </w:rPr>
            </w:pPr>
            <w:r>
              <w:rPr>
                <w:color w:val="auto"/>
                <w:kern w:val="0"/>
                <w:sz w:val="22"/>
                <w:szCs w:val="22"/>
              </w:rPr>
              <w:t>2454621.94</w:t>
            </w:r>
          </w:p>
        </w:tc>
        <w:tc>
          <w:tcPr>
            <w:tcW w:w="1371" w:type="dxa"/>
            <w:tcBorders>
              <w:top w:val="nil"/>
              <w:left w:val="nil"/>
              <w:bottom w:val="single" w:color="auto" w:sz="4" w:space="0"/>
              <w:right w:val="single" w:color="auto" w:sz="4" w:space="0"/>
            </w:tcBorders>
            <w:shd w:val="clear" w:color="auto" w:fill="auto"/>
            <w:noWrap/>
            <w:vAlign w:val="center"/>
          </w:tcPr>
          <w:p w14:paraId="4F424338">
            <w:pPr>
              <w:widowControl/>
              <w:spacing w:line="240" w:lineRule="auto"/>
              <w:ind w:firstLine="0" w:firstLineChars="0"/>
              <w:jc w:val="center"/>
              <w:rPr>
                <w:color w:val="auto"/>
                <w:kern w:val="0"/>
                <w:sz w:val="22"/>
                <w:szCs w:val="22"/>
              </w:rPr>
            </w:pPr>
            <w:r>
              <w:rPr>
                <w:color w:val="auto"/>
                <w:kern w:val="0"/>
                <w:sz w:val="22"/>
                <w:szCs w:val="22"/>
              </w:rPr>
              <w:t>36491006.30</w:t>
            </w:r>
          </w:p>
        </w:tc>
      </w:tr>
      <w:tr w14:paraId="3D4EB4F2">
        <w:tblPrEx>
          <w:tblCellMar>
            <w:top w:w="0" w:type="dxa"/>
            <w:left w:w="108" w:type="dxa"/>
            <w:bottom w:w="0" w:type="dxa"/>
            <w:right w:w="108" w:type="dxa"/>
          </w:tblCellMar>
        </w:tblPrEx>
        <w:trPr>
          <w:trHeight w:val="300" w:hRule="atLeast"/>
          <w:jc w:val="center"/>
        </w:trPr>
        <w:tc>
          <w:tcPr>
            <w:tcW w:w="0" w:type="auto"/>
            <w:tcBorders>
              <w:top w:val="nil"/>
              <w:left w:val="single" w:color="auto" w:sz="4" w:space="0"/>
              <w:bottom w:val="single" w:color="auto" w:sz="4" w:space="0"/>
              <w:right w:val="nil"/>
            </w:tcBorders>
            <w:shd w:val="clear" w:color="auto" w:fill="auto"/>
            <w:noWrap/>
            <w:vAlign w:val="center"/>
          </w:tcPr>
          <w:p w14:paraId="7FC07F09">
            <w:pPr>
              <w:widowControl/>
              <w:spacing w:line="240" w:lineRule="auto"/>
              <w:ind w:firstLine="0" w:firstLineChars="0"/>
              <w:jc w:val="center"/>
              <w:rPr>
                <w:color w:val="auto"/>
                <w:kern w:val="0"/>
                <w:sz w:val="22"/>
                <w:szCs w:val="22"/>
              </w:rPr>
            </w:pPr>
            <w:r>
              <w:rPr>
                <w:color w:val="auto"/>
                <w:kern w:val="0"/>
                <w:sz w:val="22"/>
                <w:szCs w:val="22"/>
              </w:rPr>
              <w:t>11</w:t>
            </w:r>
          </w:p>
        </w:tc>
        <w:tc>
          <w:tcPr>
            <w:tcW w:w="1261" w:type="dxa"/>
            <w:tcBorders>
              <w:top w:val="nil"/>
              <w:left w:val="single" w:color="auto" w:sz="4" w:space="0"/>
              <w:bottom w:val="single" w:color="auto" w:sz="4" w:space="0"/>
              <w:right w:val="single" w:color="auto" w:sz="4" w:space="0"/>
            </w:tcBorders>
            <w:shd w:val="clear" w:color="auto" w:fill="auto"/>
            <w:vAlign w:val="center"/>
          </w:tcPr>
          <w:p w14:paraId="330AD3ED">
            <w:pPr>
              <w:widowControl/>
              <w:spacing w:line="240" w:lineRule="auto"/>
              <w:ind w:firstLine="0" w:firstLineChars="0"/>
              <w:jc w:val="center"/>
              <w:rPr>
                <w:color w:val="auto"/>
                <w:kern w:val="0"/>
                <w:sz w:val="22"/>
                <w:szCs w:val="22"/>
              </w:rPr>
            </w:pPr>
            <w:r>
              <w:rPr>
                <w:color w:val="auto"/>
                <w:kern w:val="0"/>
                <w:sz w:val="22"/>
                <w:szCs w:val="22"/>
              </w:rPr>
              <w:t>2454162.02</w:t>
            </w:r>
          </w:p>
        </w:tc>
        <w:tc>
          <w:tcPr>
            <w:tcW w:w="1371" w:type="dxa"/>
            <w:tcBorders>
              <w:top w:val="nil"/>
              <w:left w:val="nil"/>
              <w:bottom w:val="single" w:color="auto" w:sz="4" w:space="0"/>
              <w:right w:val="single" w:color="auto" w:sz="4" w:space="0"/>
            </w:tcBorders>
            <w:shd w:val="clear" w:color="auto" w:fill="auto"/>
            <w:vAlign w:val="center"/>
          </w:tcPr>
          <w:p w14:paraId="72023D75">
            <w:pPr>
              <w:widowControl/>
              <w:spacing w:line="240" w:lineRule="auto"/>
              <w:ind w:firstLine="0" w:firstLineChars="0"/>
              <w:jc w:val="center"/>
              <w:rPr>
                <w:color w:val="auto"/>
                <w:kern w:val="0"/>
                <w:sz w:val="22"/>
                <w:szCs w:val="22"/>
              </w:rPr>
            </w:pPr>
            <w:r>
              <w:rPr>
                <w:color w:val="auto"/>
                <w:kern w:val="0"/>
                <w:sz w:val="22"/>
                <w:szCs w:val="22"/>
              </w:rPr>
              <w:t>36491665.14</w:t>
            </w:r>
          </w:p>
        </w:tc>
        <w:tc>
          <w:tcPr>
            <w:tcW w:w="0" w:type="auto"/>
            <w:tcBorders>
              <w:top w:val="nil"/>
              <w:left w:val="nil"/>
              <w:bottom w:val="single" w:color="auto" w:sz="4" w:space="0"/>
              <w:right w:val="single" w:color="auto" w:sz="4" w:space="0"/>
            </w:tcBorders>
            <w:shd w:val="clear" w:color="auto" w:fill="auto"/>
            <w:noWrap/>
            <w:vAlign w:val="center"/>
          </w:tcPr>
          <w:p w14:paraId="20B63379">
            <w:pPr>
              <w:widowControl/>
              <w:spacing w:line="240" w:lineRule="auto"/>
              <w:ind w:firstLine="0" w:firstLineChars="0"/>
              <w:jc w:val="center"/>
              <w:rPr>
                <w:color w:val="auto"/>
                <w:kern w:val="0"/>
                <w:sz w:val="22"/>
                <w:szCs w:val="22"/>
              </w:rPr>
            </w:pPr>
            <w:r>
              <w:rPr>
                <w:color w:val="auto"/>
                <w:kern w:val="0"/>
                <w:sz w:val="22"/>
                <w:szCs w:val="22"/>
              </w:rPr>
              <w:t>24</w:t>
            </w:r>
          </w:p>
        </w:tc>
        <w:tc>
          <w:tcPr>
            <w:tcW w:w="1261" w:type="dxa"/>
            <w:tcBorders>
              <w:top w:val="nil"/>
              <w:left w:val="nil"/>
              <w:bottom w:val="single" w:color="auto" w:sz="4" w:space="0"/>
              <w:right w:val="single" w:color="auto" w:sz="4" w:space="0"/>
            </w:tcBorders>
            <w:shd w:val="clear" w:color="auto" w:fill="auto"/>
            <w:noWrap/>
            <w:vAlign w:val="center"/>
          </w:tcPr>
          <w:p w14:paraId="6095654D">
            <w:pPr>
              <w:widowControl/>
              <w:spacing w:line="240" w:lineRule="auto"/>
              <w:ind w:firstLine="0" w:firstLineChars="0"/>
              <w:jc w:val="center"/>
              <w:rPr>
                <w:color w:val="auto"/>
                <w:kern w:val="0"/>
                <w:sz w:val="22"/>
                <w:szCs w:val="22"/>
              </w:rPr>
            </w:pPr>
            <w:r>
              <w:rPr>
                <w:color w:val="auto"/>
                <w:kern w:val="0"/>
                <w:sz w:val="22"/>
                <w:szCs w:val="22"/>
              </w:rPr>
              <w:t>2454905.02</w:t>
            </w:r>
          </w:p>
        </w:tc>
        <w:tc>
          <w:tcPr>
            <w:tcW w:w="1371" w:type="dxa"/>
            <w:tcBorders>
              <w:top w:val="nil"/>
              <w:left w:val="nil"/>
              <w:bottom w:val="single" w:color="auto" w:sz="4" w:space="0"/>
              <w:right w:val="single" w:color="auto" w:sz="4" w:space="0"/>
            </w:tcBorders>
            <w:shd w:val="clear" w:color="auto" w:fill="auto"/>
            <w:noWrap/>
            <w:vAlign w:val="center"/>
          </w:tcPr>
          <w:p w14:paraId="39720A01">
            <w:pPr>
              <w:widowControl/>
              <w:spacing w:line="240" w:lineRule="auto"/>
              <w:ind w:firstLine="0" w:firstLineChars="0"/>
              <w:jc w:val="center"/>
              <w:rPr>
                <w:color w:val="auto"/>
                <w:kern w:val="0"/>
                <w:sz w:val="22"/>
                <w:szCs w:val="22"/>
              </w:rPr>
            </w:pPr>
            <w:r>
              <w:rPr>
                <w:color w:val="auto"/>
                <w:kern w:val="0"/>
                <w:sz w:val="22"/>
                <w:szCs w:val="22"/>
              </w:rPr>
              <w:t>36491061.33</w:t>
            </w:r>
          </w:p>
        </w:tc>
      </w:tr>
      <w:tr w14:paraId="75F65C9F">
        <w:tblPrEx>
          <w:tblCellMar>
            <w:top w:w="0" w:type="dxa"/>
            <w:left w:w="108" w:type="dxa"/>
            <w:bottom w:w="0" w:type="dxa"/>
            <w:right w:w="108" w:type="dxa"/>
          </w:tblCellMar>
        </w:tblPrEx>
        <w:trPr>
          <w:trHeight w:val="300" w:hRule="atLeast"/>
          <w:jc w:val="center"/>
        </w:trPr>
        <w:tc>
          <w:tcPr>
            <w:tcW w:w="0" w:type="auto"/>
            <w:tcBorders>
              <w:top w:val="nil"/>
              <w:left w:val="single" w:color="auto" w:sz="4" w:space="0"/>
              <w:bottom w:val="single" w:color="auto" w:sz="4" w:space="0"/>
              <w:right w:val="nil"/>
            </w:tcBorders>
            <w:shd w:val="clear" w:color="auto" w:fill="auto"/>
            <w:noWrap/>
            <w:vAlign w:val="center"/>
          </w:tcPr>
          <w:p w14:paraId="0C257995">
            <w:pPr>
              <w:widowControl/>
              <w:spacing w:line="240" w:lineRule="auto"/>
              <w:ind w:firstLine="0" w:firstLineChars="0"/>
              <w:jc w:val="center"/>
              <w:rPr>
                <w:color w:val="auto"/>
                <w:kern w:val="0"/>
                <w:sz w:val="22"/>
                <w:szCs w:val="22"/>
              </w:rPr>
            </w:pPr>
            <w:r>
              <w:rPr>
                <w:color w:val="auto"/>
                <w:kern w:val="0"/>
                <w:sz w:val="22"/>
                <w:szCs w:val="22"/>
              </w:rPr>
              <w:t>12</w:t>
            </w:r>
          </w:p>
        </w:tc>
        <w:tc>
          <w:tcPr>
            <w:tcW w:w="1261" w:type="dxa"/>
            <w:tcBorders>
              <w:top w:val="nil"/>
              <w:left w:val="single" w:color="auto" w:sz="4" w:space="0"/>
              <w:bottom w:val="single" w:color="auto" w:sz="4" w:space="0"/>
              <w:right w:val="single" w:color="auto" w:sz="4" w:space="0"/>
            </w:tcBorders>
            <w:shd w:val="clear" w:color="auto" w:fill="auto"/>
            <w:vAlign w:val="center"/>
          </w:tcPr>
          <w:p w14:paraId="4FA50814">
            <w:pPr>
              <w:widowControl/>
              <w:spacing w:line="240" w:lineRule="auto"/>
              <w:ind w:firstLine="0" w:firstLineChars="0"/>
              <w:jc w:val="center"/>
              <w:rPr>
                <w:color w:val="auto"/>
                <w:kern w:val="0"/>
                <w:sz w:val="22"/>
                <w:szCs w:val="22"/>
              </w:rPr>
            </w:pPr>
            <w:r>
              <w:rPr>
                <w:color w:val="auto"/>
                <w:kern w:val="0"/>
                <w:sz w:val="22"/>
                <w:szCs w:val="22"/>
              </w:rPr>
              <w:t>2454115.66</w:t>
            </w:r>
          </w:p>
        </w:tc>
        <w:tc>
          <w:tcPr>
            <w:tcW w:w="1371" w:type="dxa"/>
            <w:tcBorders>
              <w:top w:val="nil"/>
              <w:left w:val="nil"/>
              <w:bottom w:val="single" w:color="auto" w:sz="4" w:space="0"/>
              <w:right w:val="single" w:color="auto" w:sz="4" w:space="0"/>
            </w:tcBorders>
            <w:shd w:val="clear" w:color="auto" w:fill="auto"/>
            <w:vAlign w:val="center"/>
          </w:tcPr>
          <w:p w14:paraId="2D755107">
            <w:pPr>
              <w:widowControl/>
              <w:spacing w:line="240" w:lineRule="auto"/>
              <w:ind w:firstLine="0" w:firstLineChars="0"/>
              <w:jc w:val="center"/>
              <w:rPr>
                <w:color w:val="auto"/>
                <w:kern w:val="0"/>
                <w:sz w:val="22"/>
                <w:szCs w:val="22"/>
              </w:rPr>
            </w:pPr>
            <w:r>
              <w:rPr>
                <w:color w:val="auto"/>
                <w:kern w:val="0"/>
                <w:sz w:val="22"/>
                <w:szCs w:val="22"/>
              </w:rPr>
              <w:t>36491540.18</w:t>
            </w:r>
          </w:p>
        </w:tc>
        <w:tc>
          <w:tcPr>
            <w:tcW w:w="0" w:type="auto"/>
            <w:tcBorders>
              <w:top w:val="nil"/>
              <w:left w:val="nil"/>
              <w:bottom w:val="single" w:color="auto" w:sz="4" w:space="0"/>
              <w:right w:val="single" w:color="auto" w:sz="4" w:space="0"/>
            </w:tcBorders>
            <w:shd w:val="clear" w:color="auto" w:fill="auto"/>
            <w:noWrap/>
            <w:vAlign w:val="center"/>
          </w:tcPr>
          <w:p w14:paraId="4DCCA900">
            <w:pPr>
              <w:widowControl/>
              <w:spacing w:line="240" w:lineRule="auto"/>
              <w:ind w:firstLine="0" w:firstLineChars="0"/>
              <w:jc w:val="center"/>
              <w:rPr>
                <w:color w:val="auto"/>
                <w:kern w:val="0"/>
                <w:sz w:val="22"/>
                <w:szCs w:val="22"/>
              </w:rPr>
            </w:pPr>
            <w:r>
              <w:rPr>
                <w:color w:val="auto"/>
                <w:kern w:val="0"/>
                <w:sz w:val="22"/>
                <w:szCs w:val="22"/>
              </w:rPr>
              <w:t>25</w:t>
            </w:r>
          </w:p>
        </w:tc>
        <w:tc>
          <w:tcPr>
            <w:tcW w:w="1261" w:type="dxa"/>
            <w:tcBorders>
              <w:top w:val="nil"/>
              <w:left w:val="nil"/>
              <w:bottom w:val="single" w:color="auto" w:sz="4" w:space="0"/>
              <w:right w:val="single" w:color="auto" w:sz="4" w:space="0"/>
            </w:tcBorders>
            <w:shd w:val="clear" w:color="auto" w:fill="auto"/>
            <w:noWrap/>
            <w:vAlign w:val="center"/>
          </w:tcPr>
          <w:p w14:paraId="51A6B50E">
            <w:pPr>
              <w:widowControl/>
              <w:spacing w:line="240" w:lineRule="auto"/>
              <w:ind w:firstLine="0" w:firstLineChars="0"/>
              <w:jc w:val="center"/>
              <w:rPr>
                <w:color w:val="auto"/>
                <w:kern w:val="0"/>
                <w:sz w:val="22"/>
                <w:szCs w:val="22"/>
              </w:rPr>
            </w:pPr>
            <w:r>
              <w:rPr>
                <w:color w:val="auto"/>
                <w:kern w:val="0"/>
                <w:sz w:val="22"/>
                <w:szCs w:val="22"/>
              </w:rPr>
              <w:t>2454996.03</w:t>
            </w:r>
          </w:p>
        </w:tc>
        <w:tc>
          <w:tcPr>
            <w:tcW w:w="1371" w:type="dxa"/>
            <w:tcBorders>
              <w:top w:val="nil"/>
              <w:left w:val="nil"/>
              <w:bottom w:val="single" w:color="auto" w:sz="4" w:space="0"/>
              <w:right w:val="single" w:color="auto" w:sz="4" w:space="0"/>
            </w:tcBorders>
            <w:shd w:val="clear" w:color="auto" w:fill="auto"/>
            <w:noWrap/>
            <w:vAlign w:val="center"/>
          </w:tcPr>
          <w:p w14:paraId="4943C183">
            <w:pPr>
              <w:widowControl/>
              <w:spacing w:line="240" w:lineRule="auto"/>
              <w:ind w:firstLine="0" w:firstLineChars="0"/>
              <w:jc w:val="center"/>
              <w:rPr>
                <w:color w:val="auto"/>
                <w:kern w:val="0"/>
                <w:sz w:val="22"/>
                <w:szCs w:val="22"/>
              </w:rPr>
            </w:pPr>
            <w:r>
              <w:rPr>
                <w:color w:val="auto"/>
                <w:kern w:val="0"/>
                <w:sz w:val="22"/>
                <w:szCs w:val="22"/>
              </w:rPr>
              <w:t>36491203.69</w:t>
            </w:r>
          </w:p>
        </w:tc>
      </w:tr>
      <w:tr w14:paraId="7E840816">
        <w:tblPrEx>
          <w:tblCellMar>
            <w:top w:w="0" w:type="dxa"/>
            <w:left w:w="108" w:type="dxa"/>
            <w:bottom w:w="0" w:type="dxa"/>
            <w:right w:w="108" w:type="dxa"/>
          </w:tblCellMar>
        </w:tblPrEx>
        <w:trPr>
          <w:trHeight w:val="300" w:hRule="atLeast"/>
          <w:jc w:val="center"/>
        </w:trPr>
        <w:tc>
          <w:tcPr>
            <w:tcW w:w="0" w:type="auto"/>
            <w:tcBorders>
              <w:top w:val="nil"/>
              <w:left w:val="single" w:color="auto" w:sz="4" w:space="0"/>
              <w:bottom w:val="single" w:color="auto" w:sz="4" w:space="0"/>
              <w:right w:val="nil"/>
            </w:tcBorders>
            <w:shd w:val="clear" w:color="auto" w:fill="auto"/>
            <w:noWrap/>
            <w:vAlign w:val="center"/>
          </w:tcPr>
          <w:p w14:paraId="203A84C9">
            <w:pPr>
              <w:widowControl/>
              <w:spacing w:line="240" w:lineRule="auto"/>
              <w:ind w:firstLine="0" w:firstLineChars="0"/>
              <w:jc w:val="center"/>
              <w:rPr>
                <w:color w:val="auto"/>
                <w:kern w:val="0"/>
                <w:sz w:val="22"/>
                <w:szCs w:val="22"/>
              </w:rPr>
            </w:pPr>
            <w:r>
              <w:rPr>
                <w:color w:val="auto"/>
                <w:kern w:val="0"/>
                <w:sz w:val="22"/>
                <w:szCs w:val="22"/>
              </w:rPr>
              <w:t>13</w:t>
            </w:r>
          </w:p>
        </w:tc>
        <w:tc>
          <w:tcPr>
            <w:tcW w:w="1261" w:type="dxa"/>
            <w:tcBorders>
              <w:top w:val="nil"/>
              <w:left w:val="single" w:color="auto" w:sz="4" w:space="0"/>
              <w:bottom w:val="single" w:color="auto" w:sz="4" w:space="0"/>
              <w:right w:val="single" w:color="auto" w:sz="4" w:space="0"/>
            </w:tcBorders>
            <w:shd w:val="clear" w:color="auto" w:fill="auto"/>
            <w:vAlign w:val="center"/>
          </w:tcPr>
          <w:p w14:paraId="6DEF7019">
            <w:pPr>
              <w:widowControl/>
              <w:spacing w:line="240" w:lineRule="auto"/>
              <w:ind w:firstLine="0" w:firstLineChars="0"/>
              <w:jc w:val="center"/>
              <w:rPr>
                <w:color w:val="auto"/>
                <w:kern w:val="0"/>
                <w:sz w:val="22"/>
                <w:szCs w:val="22"/>
              </w:rPr>
            </w:pPr>
            <w:r>
              <w:rPr>
                <w:color w:val="auto"/>
                <w:kern w:val="0"/>
                <w:sz w:val="22"/>
                <w:szCs w:val="22"/>
              </w:rPr>
              <w:t>2454159.84</w:t>
            </w:r>
          </w:p>
        </w:tc>
        <w:tc>
          <w:tcPr>
            <w:tcW w:w="1371" w:type="dxa"/>
            <w:tcBorders>
              <w:top w:val="nil"/>
              <w:left w:val="nil"/>
              <w:bottom w:val="single" w:color="auto" w:sz="4" w:space="0"/>
              <w:right w:val="single" w:color="auto" w:sz="4" w:space="0"/>
            </w:tcBorders>
            <w:shd w:val="clear" w:color="auto" w:fill="auto"/>
            <w:vAlign w:val="center"/>
          </w:tcPr>
          <w:p w14:paraId="65CBBB1B">
            <w:pPr>
              <w:widowControl/>
              <w:spacing w:line="240" w:lineRule="auto"/>
              <w:ind w:firstLine="0" w:firstLineChars="0"/>
              <w:jc w:val="center"/>
              <w:rPr>
                <w:color w:val="auto"/>
                <w:kern w:val="0"/>
                <w:sz w:val="22"/>
                <w:szCs w:val="22"/>
              </w:rPr>
            </w:pPr>
            <w:r>
              <w:rPr>
                <w:color w:val="auto"/>
                <w:kern w:val="0"/>
                <w:sz w:val="22"/>
                <w:szCs w:val="22"/>
              </w:rPr>
              <w:t>36491415.83</w:t>
            </w:r>
          </w:p>
        </w:tc>
        <w:tc>
          <w:tcPr>
            <w:tcW w:w="0" w:type="auto"/>
            <w:tcBorders>
              <w:top w:val="nil"/>
              <w:left w:val="nil"/>
              <w:bottom w:val="single" w:color="auto" w:sz="4" w:space="0"/>
              <w:right w:val="single" w:color="auto" w:sz="4" w:space="0"/>
            </w:tcBorders>
            <w:shd w:val="clear" w:color="auto" w:fill="auto"/>
            <w:noWrap/>
            <w:vAlign w:val="center"/>
          </w:tcPr>
          <w:p w14:paraId="6EA1DBB4">
            <w:pPr>
              <w:widowControl/>
              <w:spacing w:line="240" w:lineRule="auto"/>
              <w:ind w:firstLine="0" w:firstLineChars="0"/>
              <w:jc w:val="center"/>
              <w:rPr>
                <w:color w:val="auto"/>
                <w:kern w:val="0"/>
                <w:sz w:val="22"/>
                <w:szCs w:val="22"/>
              </w:rPr>
            </w:pPr>
            <w:r>
              <w:rPr>
                <w:color w:val="auto"/>
                <w:kern w:val="0"/>
                <w:sz w:val="22"/>
                <w:szCs w:val="22"/>
              </w:rPr>
              <w:t>/</w:t>
            </w:r>
          </w:p>
        </w:tc>
        <w:tc>
          <w:tcPr>
            <w:tcW w:w="0" w:type="auto"/>
            <w:tcBorders>
              <w:top w:val="nil"/>
              <w:left w:val="nil"/>
              <w:bottom w:val="single" w:color="auto" w:sz="4" w:space="0"/>
              <w:right w:val="single" w:color="auto" w:sz="4" w:space="0"/>
            </w:tcBorders>
            <w:shd w:val="clear" w:color="auto" w:fill="auto"/>
            <w:noWrap/>
            <w:vAlign w:val="center"/>
          </w:tcPr>
          <w:p w14:paraId="5E010E08">
            <w:pPr>
              <w:widowControl/>
              <w:spacing w:line="240" w:lineRule="auto"/>
              <w:ind w:firstLine="0" w:firstLineChars="0"/>
              <w:jc w:val="center"/>
              <w:rPr>
                <w:color w:val="auto"/>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2D4ACF42">
            <w:pPr>
              <w:widowControl/>
              <w:spacing w:line="240" w:lineRule="auto"/>
              <w:ind w:firstLine="0" w:firstLineChars="0"/>
              <w:jc w:val="center"/>
              <w:rPr>
                <w:color w:val="auto"/>
                <w:kern w:val="0"/>
                <w:sz w:val="22"/>
                <w:szCs w:val="22"/>
              </w:rPr>
            </w:pPr>
          </w:p>
        </w:tc>
      </w:tr>
      <w:tr w14:paraId="32DCD4BF">
        <w:tblPrEx>
          <w:tblCellMar>
            <w:top w:w="0" w:type="dxa"/>
            <w:left w:w="108" w:type="dxa"/>
            <w:bottom w:w="0" w:type="dxa"/>
            <w:right w:w="108" w:type="dxa"/>
          </w:tblCellMar>
        </w:tblPrEx>
        <w:trPr>
          <w:trHeight w:val="360" w:hRule="atLeast"/>
          <w:jc w:val="center"/>
        </w:trPr>
        <w:tc>
          <w:tcPr>
            <w:tcW w:w="0" w:type="auto"/>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14:paraId="2B2ED30E">
            <w:pPr>
              <w:widowControl/>
              <w:spacing w:line="240" w:lineRule="auto"/>
              <w:ind w:firstLine="0" w:firstLineChars="0"/>
              <w:jc w:val="left"/>
              <w:rPr>
                <w:color w:val="auto"/>
                <w:kern w:val="0"/>
                <w:sz w:val="22"/>
                <w:szCs w:val="22"/>
              </w:rPr>
            </w:pPr>
            <w:r>
              <w:rPr>
                <w:color w:val="auto"/>
                <w:kern w:val="0"/>
                <w:sz w:val="22"/>
                <w:szCs w:val="22"/>
              </w:rPr>
              <w:t>矿区面积：1.3519km</w:t>
            </w:r>
            <w:r>
              <w:rPr>
                <w:color w:val="auto"/>
                <w:kern w:val="0"/>
                <w:sz w:val="22"/>
                <w:szCs w:val="22"/>
                <w:vertAlign w:val="superscript"/>
              </w:rPr>
              <w:t>2</w:t>
            </w:r>
            <w:r>
              <w:rPr>
                <w:color w:val="auto"/>
                <w:kern w:val="0"/>
                <w:sz w:val="22"/>
                <w:szCs w:val="22"/>
              </w:rPr>
              <w:t>；开采深度：由+506.80m至+372.00m</w:t>
            </w:r>
          </w:p>
        </w:tc>
      </w:tr>
    </w:tbl>
    <w:p w14:paraId="5513E640">
      <w:pPr>
        <w:spacing w:before="190" w:beforeLines="50"/>
        <w:ind w:firstLine="560"/>
        <w:rPr>
          <w:color w:val="auto"/>
          <w:szCs w:val="28"/>
        </w:rPr>
      </w:pPr>
      <w:r>
        <w:rPr>
          <w:color w:val="auto"/>
          <w:szCs w:val="28"/>
        </w:rPr>
        <w:t>原华润水泥（上思）有限公司讲鱼山石灰岩矿开采矿种虽然为建筑石料用灰岩，但根据资源储量核实报告，区内矿石化学成分基本可满足水泥用石灰质原料矿石工业指标要求，因此整合区开采矿种定为水泥用灰岩。</w:t>
      </w:r>
    </w:p>
    <w:p w14:paraId="5378B8E3">
      <w:pPr>
        <w:ind w:firstLine="560"/>
        <w:rPr>
          <w:color w:val="auto"/>
          <w:szCs w:val="28"/>
        </w:rPr>
      </w:pPr>
      <w:r>
        <w:rPr>
          <w:color w:val="auto"/>
          <w:szCs w:val="28"/>
        </w:rPr>
        <w:t>拟整合采矿权各要素如下：</w:t>
      </w:r>
    </w:p>
    <w:p w14:paraId="0C0C70C1">
      <w:pPr>
        <w:ind w:firstLine="560"/>
        <w:rPr>
          <w:color w:val="auto"/>
          <w:szCs w:val="28"/>
        </w:rPr>
      </w:pPr>
      <w:r>
        <w:rPr>
          <w:color w:val="auto"/>
          <w:szCs w:val="28"/>
        </w:rPr>
        <w:t>采矿权人：华润水泥（上思）有限公司；</w:t>
      </w:r>
    </w:p>
    <w:p w14:paraId="1D315EAC">
      <w:pPr>
        <w:ind w:firstLine="560"/>
        <w:rPr>
          <w:color w:val="auto"/>
          <w:szCs w:val="28"/>
        </w:rPr>
      </w:pPr>
      <w:r>
        <w:rPr>
          <w:color w:val="auto"/>
          <w:szCs w:val="28"/>
        </w:rPr>
        <w:t>矿山名称：华润水泥（上思）有限公司龙大山矿区水泥用灰岩矿</w:t>
      </w:r>
    </w:p>
    <w:p w14:paraId="29FE5571">
      <w:pPr>
        <w:ind w:firstLine="560"/>
        <w:rPr>
          <w:color w:val="auto"/>
          <w:szCs w:val="28"/>
        </w:rPr>
      </w:pPr>
      <w:r>
        <w:rPr>
          <w:color w:val="auto"/>
          <w:szCs w:val="28"/>
        </w:rPr>
        <w:t>经济类型：港澳台独资经营企业；</w:t>
      </w:r>
    </w:p>
    <w:p w14:paraId="1B9D5D61">
      <w:pPr>
        <w:ind w:firstLine="560"/>
        <w:rPr>
          <w:color w:val="auto"/>
          <w:szCs w:val="28"/>
        </w:rPr>
      </w:pPr>
      <w:r>
        <w:rPr>
          <w:color w:val="auto"/>
          <w:szCs w:val="28"/>
        </w:rPr>
        <w:t>开采矿种：水泥用灰岩；</w:t>
      </w:r>
    </w:p>
    <w:p w14:paraId="3F633BC5">
      <w:pPr>
        <w:ind w:firstLine="560"/>
        <w:rPr>
          <w:color w:val="auto"/>
          <w:szCs w:val="28"/>
        </w:rPr>
      </w:pPr>
      <w:r>
        <w:rPr>
          <w:color w:val="auto"/>
          <w:szCs w:val="28"/>
        </w:rPr>
        <w:t>开采方式：露天开采；</w:t>
      </w:r>
    </w:p>
    <w:p w14:paraId="36461A5A">
      <w:pPr>
        <w:ind w:firstLine="560"/>
        <w:rPr>
          <w:color w:val="auto"/>
          <w:szCs w:val="28"/>
        </w:rPr>
      </w:pPr>
      <w:r>
        <w:rPr>
          <w:color w:val="auto"/>
          <w:szCs w:val="28"/>
        </w:rPr>
        <w:t>生产规模：待定；</w:t>
      </w:r>
    </w:p>
    <w:p w14:paraId="6756E0F8">
      <w:pPr>
        <w:ind w:firstLine="560"/>
        <w:rPr>
          <w:color w:val="auto"/>
          <w:szCs w:val="28"/>
        </w:rPr>
      </w:pPr>
      <w:r>
        <w:rPr>
          <w:color w:val="auto"/>
          <w:szCs w:val="28"/>
        </w:rPr>
        <w:t>矿区面积：1.3519km</w:t>
      </w:r>
      <w:r>
        <w:rPr>
          <w:color w:val="auto"/>
          <w:szCs w:val="28"/>
          <w:vertAlign w:val="superscript"/>
        </w:rPr>
        <w:t>2</w:t>
      </w:r>
    </w:p>
    <w:p w14:paraId="1635CF1E">
      <w:pPr>
        <w:ind w:firstLine="560"/>
        <w:rPr>
          <w:color w:val="auto"/>
          <w:szCs w:val="28"/>
        </w:rPr>
      </w:pPr>
      <w:r>
        <w:rPr>
          <w:color w:val="auto"/>
          <w:szCs w:val="28"/>
        </w:rPr>
        <w:t>开采标高：+506.80m～+372.00m。</w:t>
      </w:r>
    </w:p>
    <w:p w14:paraId="159C4AC4">
      <w:pPr>
        <w:ind w:firstLine="560"/>
        <w:rPr>
          <w:color w:val="auto"/>
          <w:szCs w:val="28"/>
        </w:rPr>
      </w:pPr>
      <w:r>
        <w:rPr>
          <w:color w:val="auto"/>
          <w:szCs w:val="28"/>
        </w:rPr>
        <w:t>经核查，拟整合采矿权范围涉及三区三线，不在城镇开发边界线、永久基本农田保护红线、生态保护红线及各类自然保护区等敏感限制区域内。原矿区与整合区范围叠合图详见图1-1：</w:t>
      </w:r>
    </w:p>
    <w:p w14:paraId="3AF3834C">
      <w:pPr>
        <w:spacing w:line="240" w:lineRule="auto"/>
        <w:ind w:firstLine="0" w:firstLineChars="0"/>
        <w:rPr>
          <w:color w:val="auto"/>
          <w:szCs w:val="28"/>
        </w:rPr>
      </w:pPr>
      <w:r>
        <w:rPr>
          <w:color w:val="auto"/>
          <w:szCs w:val="28"/>
        </w:rPr>
        <w:drawing>
          <wp:inline distT="0" distB="0" distL="114300" distR="114300">
            <wp:extent cx="5758815" cy="3648075"/>
            <wp:effectExtent l="0" t="0" r="13335" b="9525"/>
            <wp:docPr id="24" name="图片 24" descr="2.地形地质图及工程部署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2.地形地质图及工程部署图"/>
                    <pic:cNvPicPr>
                      <a:picLocks noChangeAspect="1"/>
                    </pic:cNvPicPr>
                  </pic:nvPicPr>
                  <pic:blipFill>
                    <a:blip r:embed="rId13"/>
                    <a:stretch>
                      <a:fillRect/>
                    </a:stretch>
                  </pic:blipFill>
                  <pic:spPr>
                    <a:xfrm>
                      <a:off x="0" y="0"/>
                      <a:ext cx="5758815" cy="3648075"/>
                    </a:xfrm>
                    <a:prstGeom prst="rect">
                      <a:avLst/>
                    </a:prstGeom>
                  </pic:spPr>
                </pic:pic>
              </a:graphicData>
            </a:graphic>
          </wp:inline>
        </w:drawing>
      </w:r>
    </w:p>
    <w:p w14:paraId="3A89F409">
      <w:pPr>
        <w:spacing w:line="240" w:lineRule="auto"/>
        <w:ind w:firstLine="0" w:firstLineChars="0"/>
        <w:jc w:val="center"/>
        <w:rPr>
          <w:color w:val="auto"/>
          <w:sz w:val="24"/>
          <w:szCs w:val="24"/>
        </w:rPr>
      </w:pPr>
      <w:r>
        <w:rPr>
          <w:b/>
          <w:bCs/>
          <w:color w:val="auto"/>
          <w:sz w:val="24"/>
          <w:szCs w:val="24"/>
        </w:rPr>
        <w:t>图1-1  原矿区与整合区范围叠合图</w:t>
      </w:r>
    </w:p>
    <w:p w14:paraId="1C1838B0">
      <w:pPr>
        <w:pStyle w:val="4"/>
        <w:spacing w:before="190" w:beforeLines="50"/>
        <w:rPr>
          <w:color w:val="auto"/>
        </w:rPr>
      </w:pPr>
      <w:bookmarkStart w:id="34" w:name="_Toc124107383"/>
      <w:bookmarkStart w:id="35" w:name="_Toc26829"/>
      <w:bookmarkStart w:id="36" w:name="_Toc77"/>
      <w:bookmarkStart w:id="37" w:name="_Toc9257"/>
      <w:bookmarkStart w:id="38" w:name="_Toc176901229"/>
      <w:bookmarkStart w:id="39" w:name="_Toc15856"/>
      <w:r>
        <w:rPr>
          <w:color w:val="auto"/>
        </w:rPr>
        <w:t xml:space="preserve">1.3 </w:t>
      </w:r>
      <w:bookmarkEnd w:id="34"/>
      <w:r>
        <w:rPr>
          <w:color w:val="auto"/>
        </w:rPr>
        <w:t>矿区概况</w:t>
      </w:r>
      <w:bookmarkEnd w:id="35"/>
      <w:bookmarkEnd w:id="36"/>
      <w:bookmarkEnd w:id="37"/>
      <w:bookmarkEnd w:id="38"/>
      <w:bookmarkEnd w:id="39"/>
    </w:p>
    <w:p w14:paraId="55F77B8E">
      <w:pPr>
        <w:pStyle w:val="5"/>
        <w:rPr>
          <w:color w:val="auto"/>
        </w:rPr>
      </w:pPr>
      <w:bookmarkStart w:id="40" w:name="_Toc69720001"/>
      <w:bookmarkStart w:id="41" w:name="_Toc10953971"/>
      <w:bookmarkStart w:id="42" w:name="_Toc39378847"/>
      <w:r>
        <w:rPr>
          <w:color w:val="auto"/>
        </w:rPr>
        <w:t>1.3.1 交通位置</w:t>
      </w:r>
    </w:p>
    <w:p w14:paraId="5540E8DD">
      <w:pPr>
        <w:ind w:firstLine="560"/>
        <w:rPr>
          <w:color w:val="auto"/>
        </w:rPr>
      </w:pPr>
      <w:r>
        <w:rPr>
          <w:color w:val="auto"/>
        </w:rPr>
        <w:t>矿区位于防城港市上思县城区305°方向，直距约7km处，行政区域属防城港市上思县思阳镇管辖。矿区中心地理坐标：东经107°55'26.4171"，北纬22°11'05.3931"，2000国家大地坐标系中心直角坐标：X：2454604.88，Y：36491773.11。上思县城至南宁市约110km，至防城港码头约120km，均有公路相通，钦州经上思到崇左的钦崇高速公路从</w:t>
      </w:r>
      <w:r>
        <w:rPr>
          <w:rFonts w:hint="eastAsia"/>
          <w:color w:val="auto"/>
        </w:rPr>
        <w:t>矿区</w:t>
      </w:r>
      <w:r>
        <w:rPr>
          <w:color w:val="auto"/>
        </w:rPr>
        <w:t>南侧经过，交通较便利（见图1-2  矿区交通位置图）。</w:t>
      </w:r>
    </w:p>
    <w:p w14:paraId="4EA80EE6">
      <w:pPr>
        <w:spacing w:line="240" w:lineRule="auto"/>
        <w:ind w:firstLine="0" w:firstLineChars="0"/>
        <w:jc w:val="center"/>
      </w:pPr>
      <w:r>
        <mc:AlternateContent>
          <mc:Choice Requires="wps">
            <w:drawing>
              <wp:anchor distT="0" distB="0" distL="114300" distR="114300" simplePos="0" relativeHeight="251660288" behindDoc="0" locked="0" layoutInCell="1" allowOverlap="1">
                <wp:simplePos x="0" y="0"/>
                <wp:positionH relativeFrom="column">
                  <wp:posOffset>3013710</wp:posOffset>
                </wp:positionH>
                <wp:positionV relativeFrom="paragraph">
                  <wp:posOffset>970280</wp:posOffset>
                </wp:positionV>
                <wp:extent cx="165100" cy="209550"/>
                <wp:effectExtent l="4445" t="4445" r="20955" b="14605"/>
                <wp:wrapNone/>
                <wp:docPr id="8" name="五角星 8"/>
                <wp:cNvGraphicFramePr/>
                <a:graphic xmlns:a="http://schemas.openxmlformats.org/drawingml/2006/main">
                  <a:graphicData uri="http://schemas.microsoft.com/office/word/2010/wordprocessingShape">
                    <wps:wsp>
                      <wps:cNvSpPr/>
                      <wps:spPr>
                        <a:xfrm>
                          <a:off x="3880485" y="6097905"/>
                          <a:ext cx="165100" cy="209550"/>
                        </a:xfrm>
                        <a:prstGeom prst="star5">
                          <a:avLst/>
                        </a:prstGeom>
                        <a:solidFill>
                          <a:srgbClr val="FF0000"/>
                        </a:solidFill>
                        <a:ln>
                          <a:solidFill>
                            <a:srgbClr val="FF0000"/>
                          </a:solidFill>
                        </a:ln>
                      </wps:spPr>
                      <wps:style>
                        <a:lnRef idx="0">
                          <a:srgbClr val="FFFFFF"/>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37.3pt;margin-top:76.4pt;height:16.5pt;width:13pt;z-index:251660288;v-text-anchor:middle;mso-width-relative:page;mso-height-relative:page;" fillcolor="#FF0000" filled="t" stroked="t" coordsize="165100,209550" o:gfxdata="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HlYRE2gAAAAsBAAAP&#10;AAAAAAAAAAEAIAAAACIAAABkcnMvZG93bnJldi54bWxQSwECFAAUAAAACACHTuJA0J9WPk8CAACo&#10;BAAADgAAAAAAAAABACAAAAApAQAAZHJzL2Uyb0RvYy54bWxQSwUGAAAAAAYABgBZAQAA6gUAAAAA&#10;" path="m0,80040l63062,80041,82550,0,102037,80041,165099,80040,114080,129508,133568,209549,82550,160080,31531,209549,51019,129508xe">
                <v:path o:connectlocs="82550,0;0,80040;31531,209549;133568,209549;165099,80040" o:connectangles="247,164,82,82,0"/>
                <v:fill on="t" focussize="0,0"/>
                <v:stroke color="#FF0000" joinstyle="round"/>
                <v:imagedata o:title=""/>
                <o:lock v:ext="edit" aspectratio="f"/>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2102485</wp:posOffset>
                </wp:positionH>
                <wp:positionV relativeFrom="paragraph">
                  <wp:posOffset>487680</wp:posOffset>
                </wp:positionV>
                <wp:extent cx="924560" cy="323850"/>
                <wp:effectExtent l="12700" t="12700" r="15240" b="254000"/>
                <wp:wrapNone/>
                <wp:docPr id="7" name="矩形标注 7"/>
                <wp:cNvGraphicFramePr/>
                <a:graphic xmlns:a="http://schemas.openxmlformats.org/drawingml/2006/main">
                  <a:graphicData uri="http://schemas.microsoft.com/office/word/2010/wordprocessingShape">
                    <wps:wsp>
                      <wps:cNvSpPr/>
                      <wps:spPr>
                        <a:xfrm>
                          <a:off x="2518410" y="5326380"/>
                          <a:ext cx="924560" cy="323850"/>
                        </a:xfrm>
                        <a:prstGeom prst="wedgeRectCallout">
                          <a:avLst>
                            <a:gd name="adj1" fmla="val 48969"/>
                            <a:gd name="adj2" fmla="val 120600"/>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8C188F4">
                            <w:pPr>
                              <w:ind w:firstLine="0" w:firstLineChars="0"/>
                              <w:rPr>
                                <w:b/>
                                <w:bCs/>
                                <w:color w:val="FF0000"/>
                              </w:rPr>
                            </w:pPr>
                            <w:r>
                              <w:rPr>
                                <w:rFonts w:hint="eastAsia"/>
                                <w:b/>
                                <w:bCs/>
                                <w:color w:val="FF0000"/>
                              </w:rPr>
                              <w:t>矿区位置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65.55pt;margin-top:38.4pt;height:25.5pt;width:72.8pt;z-index:251661312;v-text-anchor:middle;mso-width-relative:page;mso-height-relative:page;" fillcolor="#FFFFFF [3212]" filled="t" stroked="t" coordsize="21600,21600" o:gfxdata="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qnSkrdkAAAAKAQAADwAAAAAAAAABACAAAAAiAAAAZHJzL2Rv&#10;d25yZXYueG1sUEsBAhQAFAAAAAgAh07iQEv36imrAgAAVwUAAA4AAAAAAAAAAQAgAAAAKAEAAGRy&#10;cy9lMm9Eb2MueG1sUEsFBgAAAAAGAAYAWQEAAEUGAAAAAA==&#10;" adj="21377,36850">
                <v:fill on="t" focussize="0,0"/>
                <v:stroke weight="2pt" color="#FF0000 [2404]" joinstyle="round"/>
                <v:imagedata o:title=""/>
                <o:lock v:ext="edit" aspectratio="f"/>
                <v:textbox>
                  <w:txbxContent>
                    <w:p w14:paraId="68C188F4">
                      <w:pPr>
                        <w:ind w:firstLine="0" w:firstLineChars="0"/>
                        <w:rPr>
                          <w:b/>
                          <w:bCs/>
                          <w:color w:val="FF0000"/>
                        </w:rPr>
                      </w:pPr>
                      <w:r>
                        <w:rPr>
                          <w:rFonts w:hint="eastAsia"/>
                          <w:b/>
                          <w:bCs/>
                          <w:color w:val="FF0000"/>
                        </w:rPr>
                        <w:t>矿区位置</w:t>
                      </w:r>
                    </w:p>
                  </w:txbxContent>
                </v:textbox>
              </v:shape>
            </w:pict>
          </mc:Fallback>
        </mc:AlternateContent>
      </w:r>
      <w:r>
        <w:drawing>
          <wp:inline distT="0" distB="0" distL="114300" distR="114300">
            <wp:extent cx="4500245" cy="3853180"/>
            <wp:effectExtent l="0" t="0" r="14605" b="13970"/>
            <wp:docPr id="10" name="图片 1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
                    <pic:cNvPicPr>
                      <a:picLocks noChangeAspect="1"/>
                    </pic:cNvPicPr>
                  </pic:nvPicPr>
                  <pic:blipFill>
                    <a:blip r:embed="rId14"/>
                    <a:stretch>
                      <a:fillRect/>
                    </a:stretch>
                  </pic:blipFill>
                  <pic:spPr>
                    <a:xfrm>
                      <a:off x="0" y="0"/>
                      <a:ext cx="4500245" cy="3853180"/>
                    </a:xfrm>
                    <a:prstGeom prst="rect">
                      <a:avLst/>
                    </a:prstGeom>
                  </pic:spPr>
                </pic:pic>
              </a:graphicData>
            </a:graphic>
          </wp:inline>
        </w:drawing>
      </w:r>
    </w:p>
    <w:p w14:paraId="02ACB111">
      <w:pPr>
        <w:snapToGrid/>
        <w:ind w:firstLine="0" w:firstLineChars="0"/>
        <w:jc w:val="center"/>
        <w:rPr>
          <w:b/>
          <w:kern w:val="0"/>
          <w:sz w:val="24"/>
          <w:szCs w:val="24"/>
        </w:rPr>
      </w:pPr>
      <w:r>
        <w:rPr>
          <w:b/>
          <w:kern w:val="0"/>
          <w:sz w:val="24"/>
          <w:szCs w:val="24"/>
        </w:rPr>
        <w:t>图1-2  矿区交通位置图</w:t>
      </w:r>
    </w:p>
    <w:p w14:paraId="67F1A25B">
      <w:pPr>
        <w:pStyle w:val="5"/>
      </w:pPr>
      <w:r>
        <w:t>1.3.2 自然地理、气候概况</w:t>
      </w:r>
    </w:p>
    <w:p w14:paraId="26E9B18D">
      <w:pPr>
        <w:ind w:firstLine="560"/>
      </w:pPr>
      <w:r>
        <w:t>矿区以中低山地貌、岩溶地貌为主，岩溶地貌主要表现为岩溶裂隙、漏斗和溶洞。区域地势总体北高南低，海拔+278.20～+828.90m，高差一般100m～200m，冲沟发育，地形切割较强，山坡较陡，自然坡度25°～50°。</w:t>
      </w:r>
    </w:p>
    <w:p w14:paraId="3DCC3820">
      <w:pPr>
        <w:ind w:firstLine="560"/>
      </w:pPr>
      <w:r>
        <w:t>矿区所在地气候属亚热带季风气候，气温较高，温差小，太阳辐射强，雨量充沛，但分布不均。夏季多暴雨，易患洪涝，春秋有干旱，冬季有霜冻。月平均温度一月13℃，七月28℃，年平均温度21.4℃，极端高气温39.1℃，极端低气温-2℃。年平均降水量1246.1mm，多集中在4～9月，年蒸发量1573mm。区内湿度较大，年平均相对湿度为81%。具明显的季风特点，夏季偏南风频率高，冬季东北风频率高，年平均风速1.9m/s，强风最大风速26m/s，台风每年1～3次，多出现在6～9月，一般为8～9级，阵风为11～12级。</w:t>
      </w:r>
    </w:p>
    <w:p w14:paraId="32DF9F8D">
      <w:pPr>
        <w:pStyle w:val="5"/>
        <w:rPr>
          <w:lang w:val="en-US"/>
        </w:rPr>
      </w:pPr>
      <w:r>
        <w:rPr>
          <w:lang w:val="en-US"/>
        </w:rPr>
        <w:t>1.3.3 矿区周边情况</w:t>
      </w:r>
    </w:p>
    <w:p w14:paraId="70751613">
      <w:pPr>
        <w:ind w:firstLine="560"/>
      </w:pPr>
      <w:r>
        <w:t>拟设采矿权周围300m范围内无居民点、养殖场、果园、鱼塘等。500~1000m无公路、城市道路、市政工程、水利设施、管道、水源地保护区、自然保护区等。</w:t>
      </w:r>
    </w:p>
    <w:p w14:paraId="1A82C2D2">
      <w:pPr>
        <w:ind w:firstLine="560"/>
      </w:pPr>
      <w:r>
        <w:t>矿区周边分布有5个矿区，分别为北部的广西上思县派内山大丰石灰岩矿，东部的防城港市四方山水泥厂采石场、万鑫石灰岩矿、上思县计怀矿区建筑石料用石灰岩矿，西部的三化矿区。详细分布情况见图1-1。</w:t>
      </w:r>
    </w:p>
    <w:p w14:paraId="6C0B2FC5">
      <w:pPr>
        <w:spacing w:line="240" w:lineRule="auto"/>
        <w:ind w:firstLine="0" w:firstLineChars="0"/>
        <w:jc w:val="center"/>
        <w:rPr>
          <w:b/>
          <w:kern w:val="0"/>
          <w:sz w:val="24"/>
          <w:szCs w:val="24"/>
        </w:rPr>
      </w:pPr>
      <w:r>
        <mc:AlternateContent>
          <mc:Choice Requires="wps">
            <w:drawing>
              <wp:anchor distT="0" distB="0" distL="114300" distR="114300" simplePos="0" relativeHeight="251670528" behindDoc="0" locked="0" layoutInCell="1" allowOverlap="1">
                <wp:simplePos x="0" y="0"/>
                <wp:positionH relativeFrom="column">
                  <wp:posOffset>993775</wp:posOffset>
                </wp:positionH>
                <wp:positionV relativeFrom="paragraph">
                  <wp:posOffset>1696720</wp:posOffset>
                </wp:positionV>
                <wp:extent cx="800735" cy="610235"/>
                <wp:effectExtent l="0" t="0" r="0" b="0"/>
                <wp:wrapNone/>
                <wp:docPr id="21" name="圆角矩形 21"/>
                <wp:cNvGraphicFramePr/>
                <a:graphic xmlns:a="http://schemas.openxmlformats.org/drawingml/2006/main">
                  <a:graphicData uri="http://schemas.microsoft.com/office/word/2010/wordprocessingShape">
                    <wps:wsp>
                      <wps:cNvSpPr/>
                      <wps:spPr>
                        <a:xfrm>
                          <a:off x="0" y="0"/>
                          <a:ext cx="800735" cy="610235"/>
                        </a:xfrm>
                        <a:prstGeom prst="round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167DABD">
                            <w:pPr>
                              <w:spacing w:line="240" w:lineRule="auto"/>
                              <w:ind w:firstLine="0" w:firstLineChars="0"/>
                              <w:jc w:val="center"/>
                              <w:rPr>
                                <w:b/>
                                <w:bCs/>
                                <w:color w:val="0000FF"/>
                                <w:sz w:val="21"/>
                                <w:szCs w:val="21"/>
                              </w:rPr>
                            </w:pPr>
                            <w:r>
                              <w:rPr>
                                <w:rFonts w:hint="eastAsia"/>
                                <w:b/>
                                <w:bCs/>
                                <w:color w:val="0000FF"/>
                                <w:sz w:val="21"/>
                                <w:szCs w:val="21"/>
                              </w:rPr>
                              <w:t>南矿段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78.25pt;margin-top:133.6pt;height:48.05pt;width:63.05pt;z-index:251670528;v-text-anchor:middle;mso-width-relative:page;mso-height-relative:page;" filled="f" stroked="f" coordsize="21600,21600" arcsize="0.166666666666667" o:gfxdata="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l3rVZtoAAAALAQAADwAAAAAAAAABACAAAAAiAAAAZHJzL2Rvd25yZXYueG1sUEsBAhQA&#10;FAAAAAgAh07iQHiGtVZiAgAAogQAAA4AAAAAAAAAAQAgAAAAKQEAAGRycy9lMm9Eb2MueG1sUEsF&#10;BgAAAAAGAAYAWQEAAP0FAAAAAA==&#10;">
                <v:fill on="f" focussize="0,0"/>
                <v:stroke on="f" weight="2pt"/>
                <v:imagedata o:title=""/>
                <o:lock v:ext="edit" aspectratio="f"/>
                <v:textbox>
                  <w:txbxContent>
                    <w:p w14:paraId="5167DABD">
                      <w:pPr>
                        <w:spacing w:line="240" w:lineRule="auto"/>
                        <w:ind w:firstLine="0" w:firstLineChars="0"/>
                        <w:jc w:val="center"/>
                        <w:rPr>
                          <w:b/>
                          <w:bCs/>
                          <w:color w:val="0000FF"/>
                          <w:sz w:val="21"/>
                          <w:szCs w:val="21"/>
                        </w:rPr>
                      </w:pPr>
                      <w:r>
                        <w:rPr>
                          <w:rFonts w:hint="eastAsia"/>
                          <w:b/>
                          <w:bCs/>
                          <w:color w:val="0000FF"/>
                          <w:sz w:val="21"/>
                          <w:szCs w:val="21"/>
                        </w:rPr>
                        <w:t>南矿段</w:t>
                      </w:r>
                    </w:p>
                  </w:txbxContent>
                </v:textbox>
              </v:roundrect>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1089025</wp:posOffset>
                </wp:positionH>
                <wp:positionV relativeFrom="paragraph">
                  <wp:posOffset>1292860</wp:posOffset>
                </wp:positionV>
                <wp:extent cx="800735" cy="610235"/>
                <wp:effectExtent l="0" t="0" r="0" b="0"/>
                <wp:wrapNone/>
                <wp:docPr id="19" name="圆角矩形 19"/>
                <wp:cNvGraphicFramePr/>
                <a:graphic xmlns:a="http://schemas.openxmlformats.org/drawingml/2006/main">
                  <a:graphicData uri="http://schemas.microsoft.com/office/word/2010/wordprocessingShape">
                    <wps:wsp>
                      <wps:cNvSpPr/>
                      <wps:spPr>
                        <a:xfrm>
                          <a:off x="0" y="0"/>
                          <a:ext cx="800735" cy="610235"/>
                        </a:xfrm>
                        <a:prstGeom prst="round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2D39FB9">
                            <w:pPr>
                              <w:spacing w:line="240" w:lineRule="auto"/>
                              <w:ind w:firstLine="0" w:firstLineChars="0"/>
                              <w:jc w:val="center"/>
                              <w:rPr>
                                <w:b/>
                                <w:bCs/>
                                <w:color w:val="0000FF"/>
                                <w:sz w:val="21"/>
                                <w:szCs w:val="21"/>
                              </w:rPr>
                            </w:pPr>
                            <w:r>
                              <w:rPr>
                                <w:rFonts w:hint="eastAsia"/>
                                <w:b/>
                                <w:bCs/>
                                <w:color w:val="0000FF"/>
                                <w:sz w:val="21"/>
                                <w:szCs w:val="21"/>
                              </w:rPr>
                              <w:t>中矿段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85.75pt;margin-top:101.8pt;height:48.05pt;width:63.05pt;z-index:251668480;v-text-anchor:middle;mso-width-relative:page;mso-height-relative:page;" filled="f" stroked="f" coordsize="21600,21600" arcsize="0.166666666666667" o:gfxdata="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ZH0V82AAAAAsBAAAPAAAAAAAAAAEAIAAAACIAAABkcnMvZG93bnJldi54bWxQSwECFAAU&#10;AAAACACHTuJAncOKoGMCAACiBAAADgAAAAAAAAABACAAAAAnAQAAZHJzL2Uyb0RvYy54bWxQSwUG&#10;AAAAAAYABgBZAQAA/AUAAAAA&#10;">
                <v:fill on="f" focussize="0,0"/>
                <v:stroke on="f" weight="2pt"/>
                <v:imagedata o:title=""/>
                <o:lock v:ext="edit" aspectratio="f"/>
                <v:textbox>
                  <w:txbxContent>
                    <w:p w14:paraId="52D39FB9">
                      <w:pPr>
                        <w:spacing w:line="240" w:lineRule="auto"/>
                        <w:ind w:firstLine="0" w:firstLineChars="0"/>
                        <w:jc w:val="center"/>
                        <w:rPr>
                          <w:b/>
                          <w:bCs/>
                          <w:color w:val="0000FF"/>
                          <w:sz w:val="21"/>
                          <w:szCs w:val="21"/>
                        </w:rPr>
                      </w:pPr>
                      <w:r>
                        <w:rPr>
                          <w:rFonts w:hint="eastAsia"/>
                          <w:b/>
                          <w:bCs/>
                          <w:color w:val="0000FF"/>
                          <w:sz w:val="21"/>
                          <w:szCs w:val="21"/>
                        </w:rPr>
                        <w:t>中矿段</w:t>
                      </w:r>
                    </w:p>
                  </w:txbxContent>
                </v:textbox>
              </v:round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1584325</wp:posOffset>
                </wp:positionH>
                <wp:positionV relativeFrom="paragraph">
                  <wp:posOffset>1412240</wp:posOffset>
                </wp:positionV>
                <wp:extent cx="2515235" cy="610235"/>
                <wp:effectExtent l="0" t="0" r="0" b="0"/>
                <wp:wrapNone/>
                <wp:docPr id="3" name="圆角矩形 3"/>
                <wp:cNvGraphicFramePr/>
                <a:graphic xmlns:a="http://schemas.openxmlformats.org/drawingml/2006/main">
                  <a:graphicData uri="http://schemas.microsoft.com/office/word/2010/wordprocessingShape">
                    <wps:wsp>
                      <wps:cNvSpPr/>
                      <wps:spPr>
                        <a:xfrm>
                          <a:off x="3256280" y="6078855"/>
                          <a:ext cx="2515235" cy="610235"/>
                        </a:xfrm>
                        <a:prstGeom prst="round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8CDF0EC">
                            <w:pPr>
                              <w:spacing w:line="240" w:lineRule="auto"/>
                              <w:ind w:firstLine="0" w:firstLineChars="0"/>
                              <w:rPr>
                                <w:b/>
                                <w:bCs/>
                                <w:color w:val="E717E0"/>
                                <w:sz w:val="21"/>
                                <w:szCs w:val="21"/>
                              </w:rPr>
                            </w:pPr>
                            <w:r>
                              <w:rPr>
                                <w:b/>
                                <w:bCs/>
                                <w:color w:val="E717E0"/>
                                <w:sz w:val="21"/>
                                <w:szCs w:val="21"/>
                              </w:rPr>
                              <w:t>华润水泥（上思）有限公司龙大山矿区</w:t>
                            </w:r>
                          </w:p>
                          <w:p w14:paraId="43045162">
                            <w:pPr>
                              <w:spacing w:line="240" w:lineRule="auto"/>
                              <w:ind w:firstLine="0" w:firstLineChars="0"/>
                              <w:jc w:val="center"/>
                              <w:rPr>
                                <w:b/>
                                <w:bCs/>
                                <w:color w:val="E717E0"/>
                                <w:sz w:val="21"/>
                                <w:szCs w:val="21"/>
                              </w:rPr>
                            </w:pPr>
                            <w:r>
                              <w:rPr>
                                <w:rFonts w:hint="eastAsia"/>
                                <w:b/>
                                <w:bCs/>
                                <w:color w:val="E717E0"/>
                                <w:sz w:val="21"/>
                                <w:szCs w:val="21"/>
                              </w:rPr>
                              <w:t>北</w:t>
                            </w:r>
                            <w:r>
                              <w:rPr>
                                <w:b/>
                                <w:bCs/>
                                <w:color w:val="E717E0"/>
                                <w:sz w:val="21"/>
                                <w:szCs w:val="21"/>
                              </w:rPr>
                              <w:t>矿段水泥用灰岩矿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24.75pt;margin-top:111.2pt;height:48.05pt;width:198.05pt;z-index:251666432;v-text-anchor:middle;mso-width-relative:page;mso-height-relative:page;" filled="f" stroked="f" coordsize="21600,21600" arcsize="0.166666666666667" o:gfxdata="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Ij4I2zbAAAACwEAAA8AAAAAAAAAAQAgAAAAIgAAAGRycy9kb3du&#10;cmV2LnhtbFBLAQIUABQAAAAIAIdO4kCWO9aFbgIAAK0EAAAOAAAAAAAAAAEAIAAAACoBAABkcnMv&#10;ZTJvRG9jLnhtbFBLBQYAAAAABgAGAFkBAAAKBgAAAAA=&#10;">
                <v:fill on="f" focussize="0,0"/>
                <v:stroke on="f" weight="2pt"/>
                <v:imagedata o:title=""/>
                <o:lock v:ext="edit" aspectratio="f"/>
                <v:textbox>
                  <w:txbxContent>
                    <w:p w14:paraId="78CDF0EC">
                      <w:pPr>
                        <w:spacing w:line="240" w:lineRule="auto"/>
                        <w:ind w:firstLine="0" w:firstLineChars="0"/>
                        <w:rPr>
                          <w:b/>
                          <w:bCs/>
                          <w:color w:val="E717E0"/>
                          <w:sz w:val="21"/>
                          <w:szCs w:val="21"/>
                        </w:rPr>
                      </w:pPr>
                      <w:r>
                        <w:rPr>
                          <w:b/>
                          <w:bCs/>
                          <w:color w:val="E717E0"/>
                          <w:sz w:val="21"/>
                          <w:szCs w:val="21"/>
                        </w:rPr>
                        <w:t>华润水泥（上思）有限公司龙大山矿区</w:t>
                      </w:r>
                    </w:p>
                    <w:p w14:paraId="43045162">
                      <w:pPr>
                        <w:spacing w:line="240" w:lineRule="auto"/>
                        <w:ind w:firstLine="0" w:firstLineChars="0"/>
                        <w:jc w:val="center"/>
                        <w:rPr>
                          <w:b/>
                          <w:bCs/>
                          <w:color w:val="E717E0"/>
                          <w:sz w:val="21"/>
                          <w:szCs w:val="21"/>
                        </w:rPr>
                      </w:pPr>
                      <w:r>
                        <w:rPr>
                          <w:rFonts w:hint="eastAsia"/>
                          <w:b/>
                          <w:bCs/>
                          <w:color w:val="E717E0"/>
                          <w:sz w:val="21"/>
                          <w:szCs w:val="21"/>
                        </w:rPr>
                        <w:t>北</w:t>
                      </w:r>
                      <w:r>
                        <w:rPr>
                          <w:b/>
                          <w:bCs/>
                          <w:color w:val="E717E0"/>
                          <w:sz w:val="21"/>
                          <w:szCs w:val="21"/>
                        </w:rPr>
                        <w:t>矿段水泥用灰岩矿</w:t>
                      </w:r>
                    </w:p>
                  </w:txbxContent>
                </v:textbox>
              </v:roundrect>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449580</wp:posOffset>
                </wp:positionH>
                <wp:positionV relativeFrom="paragraph">
                  <wp:posOffset>1054735</wp:posOffset>
                </wp:positionV>
                <wp:extent cx="1209040" cy="320040"/>
                <wp:effectExtent l="0" t="0" r="0" b="0"/>
                <wp:wrapNone/>
                <wp:docPr id="20" name="圆角矩形 20"/>
                <wp:cNvGraphicFramePr/>
                <a:graphic xmlns:a="http://schemas.openxmlformats.org/drawingml/2006/main">
                  <a:graphicData uri="http://schemas.microsoft.com/office/word/2010/wordprocessingShape">
                    <wps:wsp>
                      <wps:cNvSpPr/>
                      <wps:spPr>
                        <a:xfrm>
                          <a:off x="0" y="0"/>
                          <a:ext cx="1209040" cy="320040"/>
                        </a:xfrm>
                        <a:prstGeom prst="round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BA10711">
                            <w:pPr>
                              <w:spacing w:line="240" w:lineRule="auto"/>
                              <w:ind w:firstLine="0" w:firstLineChars="0"/>
                              <w:jc w:val="center"/>
                              <w:rPr>
                                <w:b/>
                                <w:bCs/>
                                <w:color w:val="0000FF"/>
                                <w:sz w:val="21"/>
                                <w:szCs w:val="21"/>
                              </w:rPr>
                            </w:pPr>
                            <w:r>
                              <w:rPr>
                                <w:rFonts w:hint="eastAsia"/>
                                <w:b/>
                                <w:bCs/>
                                <w:color w:val="0000FF"/>
                                <w:sz w:val="21"/>
                                <w:szCs w:val="21"/>
                              </w:rPr>
                              <w:t>三化矿区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pt;margin-top:83.05pt;height:25.2pt;width:95.2pt;z-index:251669504;v-text-anchor:middle;mso-width-relative:page;mso-height-relative:page;" filled="f" stroked="f" coordsize="21600,21600" arcsize="0.166666666666667" o:gfxdata="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jSbPG2AAAAAoBAAAPAAAAAAAAAAEAIAAAACIAAABkcnMvZG93bnJldi54bWxQSwECFAAUAAAA&#10;CACHTuJAWSiLdGACAACjBAAADgAAAAAAAAABACAAAAAnAQAAZHJzL2Uyb0RvYy54bWxQSwUGAAAA&#10;AAYABgBZAQAA+QUAAAAA&#10;">
                <v:fill on="f" focussize="0,0"/>
                <v:stroke on="f" weight="2pt"/>
                <v:imagedata o:title=""/>
                <o:lock v:ext="edit" aspectratio="f"/>
                <v:textbox>
                  <w:txbxContent>
                    <w:p w14:paraId="1BA10711">
                      <w:pPr>
                        <w:spacing w:line="240" w:lineRule="auto"/>
                        <w:ind w:firstLine="0" w:firstLineChars="0"/>
                        <w:jc w:val="center"/>
                        <w:rPr>
                          <w:b/>
                          <w:bCs/>
                          <w:color w:val="0000FF"/>
                          <w:sz w:val="21"/>
                          <w:szCs w:val="21"/>
                        </w:rPr>
                      </w:pPr>
                      <w:r>
                        <w:rPr>
                          <w:rFonts w:hint="eastAsia"/>
                          <w:b/>
                          <w:bCs/>
                          <w:color w:val="0000FF"/>
                          <w:sz w:val="21"/>
                          <w:szCs w:val="21"/>
                        </w:rPr>
                        <w:t>三化矿区</w:t>
                      </w:r>
                    </w:p>
                  </w:txbxContent>
                </v:textbox>
              </v:roundrect>
            </w:pict>
          </mc:Fallback>
        </mc:AlternateContent>
      </w:r>
      <w:r>
        <w:drawing>
          <wp:inline distT="0" distB="0" distL="114300" distR="114300">
            <wp:extent cx="5755005" cy="3475990"/>
            <wp:effectExtent l="0" t="0" r="17145" b="10160"/>
            <wp:docPr id="17" name="图片 17" descr="4a122c1820dc36d8505d639ebcff27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4a122c1820dc36d8505d639ebcff275c"/>
                    <pic:cNvPicPr>
                      <a:picLocks noChangeAspect="1"/>
                    </pic:cNvPicPr>
                  </pic:nvPicPr>
                  <pic:blipFill>
                    <a:blip r:embed="rId15"/>
                    <a:stretch>
                      <a:fillRect/>
                    </a:stretch>
                  </pic:blipFill>
                  <pic:spPr>
                    <a:xfrm>
                      <a:off x="0" y="0"/>
                      <a:ext cx="5755005" cy="3475990"/>
                    </a:xfrm>
                    <a:prstGeom prst="rect">
                      <a:avLst/>
                    </a:prstGeom>
                  </pic:spPr>
                </pic:pic>
              </a:graphicData>
            </a:graphic>
          </wp:inline>
        </w:drawing>
      </w:r>
      <w:r>
        <mc:AlternateContent>
          <mc:Choice Requires="wps">
            <w:drawing>
              <wp:anchor distT="0" distB="0" distL="114300" distR="114300" simplePos="0" relativeHeight="251664384" behindDoc="0" locked="0" layoutInCell="1" allowOverlap="1">
                <wp:simplePos x="0" y="0"/>
                <wp:positionH relativeFrom="column">
                  <wp:posOffset>3369310</wp:posOffset>
                </wp:positionH>
                <wp:positionV relativeFrom="paragraph">
                  <wp:posOffset>3065145</wp:posOffset>
                </wp:positionV>
                <wp:extent cx="1701165" cy="323850"/>
                <wp:effectExtent l="290830" t="525145" r="8255" b="8255"/>
                <wp:wrapNone/>
                <wp:docPr id="1" name="矩形标注 27"/>
                <wp:cNvGraphicFramePr/>
                <a:graphic xmlns:a="http://schemas.openxmlformats.org/drawingml/2006/main">
                  <a:graphicData uri="http://schemas.microsoft.com/office/word/2010/wordprocessingShape">
                    <wps:wsp>
                      <wps:cNvSpPr>
                        <a:spLocks noChangeArrowheads="1"/>
                      </wps:cNvSpPr>
                      <wps:spPr bwMode="auto">
                        <a:xfrm>
                          <a:off x="0" y="0"/>
                          <a:ext cx="1701165" cy="323850"/>
                        </a:xfrm>
                        <a:prstGeom prst="wedgeRectCallout">
                          <a:avLst>
                            <a:gd name="adj1" fmla="val -66834"/>
                            <a:gd name="adj2" fmla="val -210784"/>
                          </a:avLst>
                        </a:prstGeom>
                        <a:noFill/>
                        <a:ln w="6350">
                          <a:solidFill>
                            <a:srgbClr val="FF0000"/>
                          </a:solidFill>
                          <a:round/>
                        </a:ln>
                        <a:effectLst/>
                      </wps:spPr>
                      <wps:txbx>
                        <w:txbxContent>
                          <w:p w14:paraId="1D7D86AD">
                            <w:pPr>
                              <w:widowControl/>
                              <w:adjustRightInd/>
                              <w:snapToGrid/>
                              <w:spacing w:line="240" w:lineRule="auto"/>
                              <w:ind w:firstLine="0" w:firstLineChars="0"/>
                              <w:jc w:val="left"/>
                              <w:rPr>
                                <w:rFonts w:ascii="宋体" w:hAnsi="宋体" w:eastAsia="宋体"/>
                                <w:b/>
                                <w:color w:val="FF0000"/>
                                <w:sz w:val="24"/>
                                <w:szCs w:val="24"/>
                              </w:rPr>
                            </w:pPr>
                            <w:r>
                              <w:rPr>
                                <w:rFonts w:hint="eastAsia" w:ascii="宋体" w:hAnsi="宋体" w:eastAsia="宋体"/>
                                <w:b/>
                                <w:color w:val="FF0000"/>
                                <w:sz w:val="24"/>
                                <w:szCs w:val="24"/>
                              </w:rPr>
                              <w:t>本次拟设采矿权范围</w:t>
                            </w:r>
                          </w:p>
                        </w:txbxContent>
                      </wps:txbx>
                      <wps:bodyPr rot="0" vert="horz" wrap="square" lIns="91440" tIns="45720" rIns="91440" bIns="45720" anchor="ctr" anchorCtr="0" upright="1">
                        <a:noAutofit/>
                      </wps:bodyPr>
                    </wps:wsp>
                  </a:graphicData>
                </a:graphic>
              </wp:anchor>
            </w:drawing>
          </mc:Choice>
          <mc:Fallback>
            <w:pict>
              <v:shape id="矩形标注 27" o:spid="_x0000_s1026" o:spt="61" type="#_x0000_t61" style="position:absolute;left:0pt;margin-left:265.3pt;margin-top:241.35pt;height:25.5pt;width:133.95pt;z-index:251664384;v-text-anchor:middle;mso-width-relative:page;mso-height-relative:page;" filled="f" stroked="t" coordsize="21600,21600" o:gfxdata="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jEeT9kAAAALAQAADwAAAAAAAAABACAAAAAiAAAAZHJzL2Rv&#10;d25yZXYueG1sUEsBAhQAFAAAAAgAh07iQGWYnY9yAgAAuwQAAA4AAAAAAAAAAQAgAAAAKAEAAGRy&#10;cy9lMm9Eb2MueG1sUEsFBgAAAAAGAAYAWQEAAAwGAAAAAA==&#10;" adj="-3636,-34729">
                <v:fill on="f" focussize="0,0"/>
                <v:stroke weight="0.5pt" color="#FF0000" joinstyle="round"/>
                <v:imagedata o:title=""/>
                <o:lock v:ext="edit" aspectratio="f"/>
                <v:textbox>
                  <w:txbxContent>
                    <w:p w14:paraId="1D7D86AD">
                      <w:pPr>
                        <w:widowControl/>
                        <w:adjustRightInd/>
                        <w:snapToGrid/>
                        <w:spacing w:line="240" w:lineRule="auto"/>
                        <w:ind w:firstLine="0" w:firstLineChars="0"/>
                        <w:jc w:val="left"/>
                        <w:rPr>
                          <w:rFonts w:ascii="宋体" w:hAnsi="宋体" w:eastAsia="宋体"/>
                          <w:b/>
                          <w:color w:val="FF0000"/>
                          <w:sz w:val="24"/>
                          <w:szCs w:val="24"/>
                        </w:rPr>
                      </w:pPr>
                      <w:r>
                        <w:rPr>
                          <w:rFonts w:hint="eastAsia" w:ascii="宋体" w:hAnsi="宋体" w:eastAsia="宋体"/>
                          <w:b/>
                          <w:color w:val="FF0000"/>
                          <w:sz w:val="24"/>
                          <w:szCs w:val="24"/>
                        </w:rPr>
                        <w:t>本次拟设采矿权范围</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2127250</wp:posOffset>
                </wp:positionH>
                <wp:positionV relativeFrom="paragraph">
                  <wp:posOffset>417195</wp:posOffset>
                </wp:positionV>
                <wp:extent cx="1506855" cy="610235"/>
                <wp:effectExtent l="0" t="0" r="0" b="0"/>
                <wp:wrapNone/>
                <wp:docPr id="22" name="圆角矩形 22"/>
                <wp:cNvGraphicFramePr/>
                <a:graphic xmlns:a="http://schemas.openxmlformats.org/drawingml/2006/main">
                  <a:graphicData uri="http://schemas.microsoft.com/office/word/2010/wordprocessingShape">
                    <wps:wsp>
                      <wps:cNvSpPr/>
                      <wps:spPr>
                        <a:xfrm>
                          <a:off x="0" y="0"/>
                          <a:ext cx="1506855" cy="610235"/>
                        </a:xfrm>
                        <a:prstGeom prst="round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9FD26E5">
                            <w:pPr>
                              <w:spacing w:line="240" w:lineRule="auto"/>
                              <w:ind w:firstLine="0" w:firstLineChars="0"/>
                              <w:jc w:val="center"/>
                              <w:rPr>
                                <w:b/>
                                <w:bCs/>
                                <w:color w:val="0000FF"/>
                                <w:sz w:val="21"/>
                                <w:szCs w:val="21"/>
                              </w:rPr>
                            </w:pPr>
                            <w:r>
                              <w:rPr>
                                <w:rFonts w:hint="eastAsia"/>
                                <w:b/>
                                <w:bCs/>
                                <w:color w:val="0000FF"/>
                                <w:sz w:val="21"/>
                                <w:szCs w:val="21"/>
                              </w:rPr>
                              <w:t>广西上思县派内山大丰石灰岩矿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7.5pt;margin-top:32.85pt;height:48.05pt;width:118.65pt;z-index:251671552;v-text-anchor:middle;mso-width-relative:page;mso-height-relative:page;" filled="f" stroked="f" coordsize="21600,21600" arcsize="0.166666666666667" o:gfxdata="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NFzM7bZAAAACgEAAA8AAAAAAAAAAQAgAAAAIgAAAGRycy9kb3ducmV2LnhtbFBLAQIU&#10;ABQAAAAIAIdO4kBHCovjZAIAAKMEAAAOAAAAAAAAAAEAIAAAACgBAABkcnMvZTJvRG9jLnhtbFBL&#10;BQYAAAAABgAGAFkBAAD+BQAAAAA=&#10;">
                <v:fill on="f" focussize="0,0"/>
                <v:stroke on="f" weight="2pt"/>
                <v:imagedata o:title=""/>
                <o:lock v:ext="edit" aspectratio="f"/>
                <v:textbox>
                  <w:txbxContent>
                    <w:p w14:paraId="29FD26E5">
                      <w:pPr>
                        <w:spacing w:line="240" w:lineRule="auto"/>
                        <w:ind w:firstLine="0" w:firstLineChars="0"/>
                        <w:jc w:val="center"/>
                        <w:rPr>
                          <w:b/>
                          <w:bCs/>
                          <w:color w:val="0000FF"/>
                          <w:sz w:val="21"/>
                          <w:szCs w:val="21"/>
                        </w:rPr>
                      </w:pPr>
                      <w:r>
                        <w:rPr>
                          <w:rFonts w:hint="eastAsia"/>
                          <w:b/>
                          <w:bCs/>
                          <w:color w:val="0000FF"/>
                          <w:sz w:val="21"/>
                          <w:szCs w:val="21"/>
                        </w:rPr>
                        <w:t>广西上思县派内山大丰石灰岩矿</w:t>
                      </w:r>
                    </w:p>
                  </w:txbxContent>
                </v:textbox>
              </v:roundrect>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3898900</wp:posOffset>
                </wp:positionH>
                <wp:positionV relativeFrom="paragraph">
                  <wp:posOffset>1510665</wp:posOffset>
                </wp:positionV>
                <wp:extent cx="708025" cy="572770"/>
                <wp:effectExtent l="0" t="0" r="0" b="0"/>
                <wp:wrapNone/>
                <wp:docPr id="27" name="圆角矩形 27"/>
                <wp:cNvGraphicFramePr/>
                <a:graphic xmlns:a="http://schemas.openxmlformats.org/drawingml/2006/main">
                  <a:graphicData uri="http://schemas.microsoft.com/office/word/2010/wordprocessingShape">
                    <wps:wsp>
                      <wps:cNvSpPr/>
                      <wps:spPr>
                        <a:xfrm>
                          <a:off x="0" y="0"/>
                          <a:ext cx="708025" cy="572770"/>
                        </a:xfrm>
                        <a:prstGeom prst="round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2D285F0">
                            <w:pPr>
                              <w:widowControl/>
                              <w:spacing w:line="240" w:lineRule="auto"/>
                              <w:ind w:firstLine="0" w:firstLineChars="0"/>
                              <w:jc w:val="left"/>
                              <w:rPr>
                                <w:rFonts w:ascii="仿宋" w:hAnsi="仿宋" w:cs="仿宋"/>
                                <w:b/>
                                <w:color w:val="0000FF"/>
                                <w:sz w:val="21"/>
                                <w:szCs w:val="21"/>
                              </w:rPr>
                            </w:pPr>
                            <w:r>
                              <w:rPr>
                                <w:rFonts w:hint="eastAsia" w:ascii="仿宋" w:hAnsi="仿宋" w:cs="仿宋"/>
                                <w:b/>
                                <w:color w:val="0000FF"/>
                                <w:sz w:val="21"/>
                                <w:szCs w:val="21"/>
                              </w:rPr>
                              <w:t>万鑫石</w:t>
                            </w:r>
                          </w:p>
                          <w:p w14:paraId="628534B0">
                            <w:pPr>
                              <w:widowControl/>
                              <w:spacing w:line="240" w:lineRule="auto"/>
                              <w:ind w:firstLine="0" w:firstLineChars="0"/>
                              <w:jc w:val="left"/>
                              <w:rPr>
                                <w:rFonts w:ascii="仿宋" w:hAnsi="仿宋" w:cs="仿宋"/>
                                <w:b/>
                                <w:color w:val="0000FF"/>
                                <w:sz w:val="21"/>
                                <w:szCs w:val="21"/>
                              </w:rPr>
                            </w:pPr>
                            <w:r>
                              <w:rPr>
                                <w:rFonts w:hint="eastAsia" w:ascii="仿宋" w:hAnsi="仿宋" w:cs="仿宋"/>
                                <w:b/>
                                <w:color w:val="0000FF"/>
                                <w:sz w:val="21"/>
                                <w:szCs w:val="21"/>
                              </w:rPr>
                              <w:t>灰岩矿</w:t>
                            </w:r>
                          </w:p>
                          <w:p w14:paraId="557DC425">
                            <w:pPr>
                              <w:ind w:firstLine="560"/>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07pt;margin-top:118.95pt;height:45.1pt;width:55.75pt;z-index:251674624;v-text-anchor:middle;mso-width-relative:page;mso-height-relative:page;" filled="f" stroked="f" coordsize="21600,21600" arcsize="0.166666666666667" o:gfxdata="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DZYR/vaAAAACwEAAA8AAAAAAAAAAQAgAAAAIgAAAGRycy9kb3ducmV2LnhtbFBLAQIU&#10;ABQAAAAIAIdO4kBCsOsyYwIAAKIEAAAOAAAAAAAAAAEAIAAAACkBAABkcnMvZTJvRG9jLnhtbFBL&#10;BQYAAAAABgAGAFkBAAD+BQAAAAA=&#10;">
                <v:fill on="f" focussize="0,0"/>
                <v:stroke on="f" weight="2pt"/>
                <v:imagedata o:title=""/>
                <o:lock v:ext="edit" aspectratio="f"/>
                <v:textbox>
                  <w:txbxContent>
                    <w:p w14:paraId="22D285F0">
                      <w:pPr>
                        <w:widowControl/>
                        <w:spacing w:line="240" w:lineRule="auto"/>
                        <w:ind w:firstLine="0" w:firstLineChars="0"/>
                        <w:jc w:val="left"/>
                        <w:rPr>
                          <w:rFonts w:ascii="仿宋" w:hAnsi="仿宋" w:cs="仿宋"/>
                          <w:b/>
                          <w:color w:val="0000FF"/>
                          <w:sz w:val="21"/>
                          <w:szCs w:val="21"/>
                        </w:rPr>
                      </w:pPr>
                      <w:r>
                        <w:rPr>
                          <w:rFonts w:hint="eastAsia" w:ascii="仿宋" w:hAnsi="仿宋" w:cs="仿宋"/>
                          <w:b/>
                          <w:color w:val="0000FF"/>
                          <w:sz w:val="21"/>
                          <w:szCs w:val="21"/>
                        </w:rPr>
                        <w:t>万鑫石</w:t>
                      </w:r>
                    </w:p>
                    <w:p w14:paraId="628534B0">
                      <w:pPr>
                        <w:widowControl/>
                        <w:spacing w:line="240" w:lineRule="auto"/>
                        <w:ind w:firstLine="0" w:firstLineChars="0"/>
                        <w:jc w:val="left"/>
                        <w:rPr>
                          <w:rFonts w:ascii="仿宋" w:hAnsi="仿宋" w:cs="仿宋"/>
                          <w:b/>
                          <w:color w:val="0000FF"/>
                          <w:sz w:val="21"/>
                          <w:szCs w:val="21"/>
                        </w:rPr>
                      </w:pPr>
                      <w:r>
                        <w:rPr>
                          <w:rFonts w:hint="eastAsia" w:ascii="仿宋" w:hAnsi="仿宋" w:cs="仿宋"/>
                          <w:b/>
                          <w:color w:val="0000FF"/>
                          <w:sz w:val="21"/>
                          <w:szCs w:val="21"/>
                        </w:rPr>
                        <w:t>灰岩矿</w:t>
                      </w:r>
                    </w:p>
                    <w:p w14:paraId="557DC425">
                      <w:pPr>
                        <w:ind w:firstLine="560"/>
                      </w:pPr>
                    </w:p>
                  </w:txbxContent>
                </v:textbox>
              </v:roundrect>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1345565</wp:posOffset>
                </wp:positionH>
                <wp:positionV relativeFrom="paragraph">
                  <wp:posOffset>3000375</wp:posOffset>
                </wp:positionV>
                <wp:extent cx="1701800" cy="466090"/>
                <wp:effectExtent l="5080" t="437515" r="7620" b="10795"/>
                <wp:wrapNone/>
                <wp:docPr id="28" name="矩形标注 27"/>
                <wp:cNvGraphicFramePr/>
                <a:graphic xmlns:a="http://schemas.openxmlformats.org/drawingml/2006/main">
                  <a:graphicData uri="http://schemas.microsoft.com/office/word/2010/wordprocessingShape">
                    <wps:wsp>
                      <wps:cNvSpPr>
                        <a:spLocks noChangeArrowheads="1"/>
                      </wps:cNvSpPr>
                      <wps:spPr bwMode="auto">
                        <a:xfrm>
                          <a:off x="0" y="0"/>
                          <a:ext cx="1701800" cy="466090"/>
                        </a:xfrm>
                        <a:prstGeom prst="wedgeRectCallout">
                          <a:avLst>
                            <a:gd name="adj1" fmla="val 4552"/>
                            <a:gd name="adj2" fmla="val -142915"/>
                          </a:avLst>
                        </a:prstGeom>
                        <a:noFill/>
                        <a:ln w="6350">
                          <a:solidFill>
                            <a:srgbClr val="E717E0"/>
                          </a:solidFill>
                          <a:round/>
                        </a:ln>
                        <a:effectLst/>
                      </wps:spPr>
                      <wps:txbx>
                        <w:txbxContent>
                          <w:p w14:paraId="170CB048">
                            <w:pPr>
                              <w:spacing w:line="240" w:lineRule="auto"/>
                              <w:ind w:firstLine="0" w:firstLineChars="0"/>
                              <w:jc w:val="center"/>
                              <w:rPr>
                                <w:b/>
                                <w:bCs/>
                                <w:color w:val="E717E0"/>
                                <w:sz w:val="21"/>
                                <w:szCs w:val="21"/>
                              </w:rPr>
                            </w:pPr>
                            <w:r>
                              <w:rPr>
                                <w:b/>
                                <w:bCs/>
                                <w:color w:val="E717E0"/>
                                <w:sz w:val="21"/>
                                <w:szCs w:val="21"/>
                              </w:rPr>
                              <w:t>华润水泥（上思）</w:t>
                            </w:r>
                          </w:p>
                          <w:p w14:paraId="2B2ADAAA">
                            <w:pPr>
                              <w:spacing w:line="240" w:lineRule="auto"/>
                              <w:ind w:firstLine="0" w:firstLineChars="0"/>
                              <w:jc w:val="center"/>
                              <w:rPr>
                                <w:b/>
                                <w:bCs/>
                                <w:color w:val="E717E0"/>
                                <w:sz w:val="21"/>
                                <w:szCs w:val="21"/>
                              </w:rPr>
                            </w:pPr>
                            <w:r>
                              <w:rPr>
                                <w:b/>
                                <w:bCs/>
                                <w:color w:val="E717E0"/>
                                <w:sz w:val="21"/>
                                <w:szCs w:val="21"/>
                              </w:rPr>
                              <w:t>有限公司</w:t>
                            </w:r>
                            <w:r>
                              <w:rPr>
                                <w:rFonts w:hint="eastAsia"/>
                                <w:b/>
                                <w:bCs/>
                                <w:color w:val="E717E0"/>
                                <w:sz w:val="21"/>
                                <w:szCs w:val="21"/>
                              </w:rPr>
                              <w:t>讲鱼山</w:t>
                            </w:r>
                            <w:r>
                              <w:rPr>
                                <w:b/>
                                <w:bCs/>
                                <w:color w:val="E717E0"/>
                                <w:sz w:val="21"/>
                                <w:szCs w:val="21"/>
                              </w:rPr>
                              <w:t>灰岩矿</w:t>
                            </w:r>
                          </w:p>
                          <w:p w14:paraId="6922E5B0">
                            <w:pPr>
                              <w:widowControl/>
                              <w:adjustRightInd/>
                              <w:snapToGrid/>
                              <w:spacing w:line="240" w:lineRule="auto"/>
                              <w:ind w:firstLine="0" w:firstLineChars="0"/>
                              <w:jc w:val="left"/>
                              <w:rPr>
                                <w:rFonts w:ascii="宋体" w:hAnsi="宋体" w:eastAsia="宋体"/>
                                <w:b/>
                                <w:color w:val="0000FF"/>
                                <w:sz w:val="21"/>
                                <w:szCs w:val="21"/>
                              </w:rPr>
                            </w:pPr>
                          </w:p>
                        </w:txbxContent>
                      </wps:txbx>
                      <wps:bodyPr rot="0" vert="horz" wrap="square" lIns="91440" tIns="45720" rIns="91440" bIns="45720" anchor="ctr" anchorCtr="0" upright="1">
                        <a:noAutofit/>
                      </wps:bodyPr>
                    </wps:wsp>
                  </a:graphicData>
                </a:graphic>
              </wp:anchor>
            </w:drawing>
          </mc:Choice>
          <mc:Fallback>
            <w:pict>
              <v:shape id="矩形标注 27" o:spid="_x0000_s1026" o:spt="61" type="#_x0000_t61" style="position:absolute;left:0pt;margin-left:105.95pt;margin-top:236.25pt;height:36.7pt;width:134pt;z-index:251675648;v-text-anchor:middle;mso-width-relative:page;mso-height-relative:page;" filled="f" stroked="t" coordsize="21600,21600" o:gfxdata="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XPCwgdkAAAALAQAADwAAAAAAAAABACAAAAAiAAAAZHJzL2Rv&#10;d25yZXYueG1sUEsBAhQAFAAAAAgAh07iQGf+hTFyAgAAugQAAA4AAAAAAAAAAQAgAAAAKAEAAGRy&#10;cy9lMm9Eb2MueG1sUEsFBgAAAAAGAAYAWQEAAAwGAAAAAA==&#10;" adj="11783,-20070">
                <v:fill on="f" focussize="0,0"/>
                <v:stroke weight="0.5pt" color="#E717E0" joinstyle="round"/>
                <v:imagedata o:title=""/>
                <o:lock v:ext="edit" aspectratio="f"/>
                <v:textbox>
                  <w:txbxContent>
                    <w:p w14:paraId="170CB048">
                      <w:pPr>
                        <w:spacing w:line="240" w:lineRule="auto"/>
                        <w:ind w:firstLine="0" w:firstLineChars="0"/>
                        <w:jc w:val="center"/>
                        <w:rPr>
                          <w:b/>
                          <w:bCs/>
                          <w:color w:val="E717E0"/>
                          <w:sz w:val="21"/>
                          <w:szCs w:val="21"/>
                        </w:rPr>
                      </w:pPr>
                      <w:r>
                        <w:rPr>
                          <w:b/>
                          <w:bCs/>
                          <w:color w:val="E717E0"/>
                          <w:sz w:val="21"/>
                          <w:szCs w:val="21"/>
                        </w:rPr>
                        <w:t>华润水泥（上思）</w:t>
                      </w:r>
                    </w:p>
                    <w:p w14:paraId="2B2ADAAA">
                      <w:pPr>
                        <w:spacing w:line="240" w:lineRule="auto"/>
                        <w:ind w:firstLine="0" w:firstLineChars="0"/>
                        <w:jc w:val="center"/>
                        <w:rPr>
                          <w:b/>
                          <w:bCs/>
                          <w:color w:val="E717E0"/>
                          <w:sz w:val="21"/>
                          <w:szCs w:val="21"/>
                        </w:rPr>
                      </w:pPr>
                      <w:r>
                        <w:rPr>
                          <w:b/>
                          <w:bCs/>
                          <w:color w:val="E717E0"/>
                          <w:sz w:val="21"/>
                          <w:szCs w:val="21"/>
                        </w:rPr>
                        <w:t>有限公司</w:t>
                      </w:r>
                      <w:r>
                        <w:rPr>
                          <w:rFonts w:hint="eastAsia"/>
                          <w:b/>
                          <w:bCs/>
                          <w:color w:val="E717E0"/>
                          <w:sz w:val="21"/>
                          <w:szCs w:val="21"/>
                        </w:rPr>
                        <w:t>讲鱼山</w:t>
                      </w:r>
                      <w:r>
                        <w:rPr>
                          <w:b/>
                          <w:bCs/>
                          <w:color w:val="E717E0"/>
                          <w:sz w:val="21"/>
                          <w:szCs w:val="21"/>
                        </w:rPr>
                        <w:t>灰岩矿</w:t>
                      </w:r>
                    </w:p>
                    <w:p w14:paraId="6922E5B0">
                      <w:pPr>
                        <w:widowControl/>
                        <w:adjustRightInd/>
                        <w:snapToGrid/>
                        <w:spacing w:line="240" w:lineRule="auto"/>
                        <w:ind w:firstLine="0" w:firstLineChars="0"/>
                        <w:jc w:val="left"/>
                        <w:rPr>
                          <w:rFonts w:ascii="宋体" w:hAnsi="宋体" w:eastAsia="宋体"/>
                          <w:b/>
                          <w:color w:val="0000FF"/>
                          <w:sz w:val="21"/>
                          <w:szCs w:val="21"/>
                        </w:rPr>
                      </w:pP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4140835</wp:posOffset>
                </wp:positionH>
                <wp:positionV relativeFrom="paragraph">
                  <wp:posOffset>2636520</wp:posOffset>
                </wp:positionV>
                <wp:extent cx="1425575" cy="408940"/>
                <wp:effectExtent l="5080" t="455930" r="17145" b="11430"/>
                <wp:wrapNone/>
                <wp:docPr id="26" name="矩形标注 27"/>
                <wp:cNvGraphicFramePr/>
                <a:graphic xmlns:a="http://schemas.openxmlformats.org/drawingml/2006/main">
                  <a:graphicData uri="http://schemas.microsoft.com/office/word/2010/wordprocessingShape">
                    <wps:wsp>
                      <wps:cNvSpPr>
                        <a:spLocks noChangeArrowheads="1"/>
                      </wps:cNvSpPr>
                      <wps:spPr bwMode="auto">
                        <a:xfrm>
                          <a:off x="0" y="0"/>
                          <a:ext cx="1425575" cy="408940"/>
                        </a:xfrm>
                        <a:prstGeom prst="wedgeRectCallout">
                          <a:avLst>
                            <a:gd name="adj1" fmla="val 244"/>
                            <a:gd name="adj2" fmla="val -160403"/>
                          </a:avLst>
                        </a:prstGeom>
                        <a:noFill/>
                        <a:ln w="6350">
                          <a:solidFill>
                            <a:srgbClr val="0000FF"/>
                          </a:solidFill>
                          <a:round/>
                        </a:ln>
                        <a:effectLst/>
                      </wps:spPr>
                      <wps:txbx>
                        <w:txbxContent>
                          <w:p w14:paraId="2A8CB18F">
                            <w:pPr>
                              <w:widowControl/>
                              <w:spacing w:line="240" w:lineRule="auto"/>
                              <w:ind w:firstLine="0" w:firstLineChars="0"/>
                              <w:jc w:val="left"/>
                              <w:rPr>
                                <w:rFonts w:ascii="仿宋" w:hAnsi="仿宋" w:cs="仿宋"/>
                                <w:b/>
                                <w:color w:val="0000FF"/>
                                <w:sz w:val="21"/>
                                <w:szCs w:val="21"/>
                              </w:rPr>
                            </w:pPr>
                            <w:r>
                              <w:rPr>
                                <w:rFonts w:hint="eastAsia" w:ascii="仿宋" w:hAnsi="仿宋" w:cs="仿宋"/>
                                <w:b/>
                                <w:color w:val="0000FF"/>
                                <w:sz w:val="21"/>
                                <w:szCs w:val="21"/>
                              </w:rPr>
                              <w:t>上思县计怀矿区</w:t>
                            </w:r>
                          </w:p>
                          <w:p w14:paraId="11AA5BC4">
                            <w:pPr>
                              <w:widowControl/>
                              <w:spacing w:line="240" w:lineRule="auto"/>
                              <w:ind w:firstLine="0" w:firstLineChars="0"/>
                              <w:jc w:val="left"/>
                              <w:rPr>
                                <w:rFonts w:ascii="仿宋" w:hAnsi="仿宋" w:cs="仿宋"/>
                                <w:b/>
                                <w:color w:val="0000FF"/>
                                <w:sz w:val="21"/>
                                <w:szCs w:val="21"/>
                              </w:rPr>
                            </w:pPr>
                            <w:r>
                              <w:rPr>
                                <w:rFonts w:hint="eastAsia" w:ascii="仿宋" w:hAnsi="仿宋" w:cs="仿宋"/>
                                <w:b/>
                                <w:color w:val="0000FF"/>
                                <w:sz w:val="21"/>
                                <w:szCs w:val="21"/>
                              </w:rPr>
                              <w:t>建筑石料用石灰岩矿</w:t>
                            </w:r>
                          </w:p>
                        </w:txbxContent>
                      </wps:txbx>
                      <wps:bodyPr rot="0" vert="horz" wrap="square" lIns="91440" tIns="45720" rIns="91440" bIns="45720" anchor="ctr" anchorCtr="0" upright="1">
                        <a:noAutofit/>
                      </wps:bodyPr>
                    </wps:wsp>
                  </a:graphicData>
                </a:graphic>
              </wp:anchor>
            </w:drawing>
          </mc:Choice>
          <mc:Fallback>
            <w:pict>
              <v:shape id="矩形标注 27" o:spid="_x0000_s1026" o:spt="61" type="#_x0000_t61" style="position:absolute;left:0pt;margin-left:326.05pt;margin-top:207.6pt;height:32.2pt;width:112.25pt;z-index:251673600;v-text-anchor:middle;mso-width-relative:page;mso-height-relative:page;" filled="f" stroked="t" coordsize="21600,21600" o:gfxdata="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yfcgB2AAAAAsBAAAPAAAAAAAAAAEAIAAAACIAAABkcnMvZG93&#10;bnJldi54bWxQSwECFAAUAAAACACHTuJAnbH5EHICAAC5BAAADgAAAAAAAAABACAAAAAnAQAAZHJz&#10;L2Uyb0RvYy54bWxQSwUGAAAAAAYABgBZAQAACwYAAAAA&#10;" adj="10853,-23847">
                <v:fill on="f" focussize="0,0"/>
                <v:stroke weight="0.5pt" color="#0000FF" joinstyle="round"/>
                <v:imagedata o:title=""/>
                <o:lock v:ext="edit" aspectratio="f"/>
                <v:textbox>
                  <w:txbxContent>
                    <w:p w14:paraId="2A8CB18F">
                      <w:pPr>
                        <w:widowControl/>
                        <w:spacing w:line="240" w:lineRule="auto"/>
                        <w:ind w:firstLine="0" w:firstLineChars="0"/>
                        <w:jc w:val="left"/>
                        <w:rPr>
                          <w:rFonts w:ascii="仿宋" w:hAnsi="仿宋" w:cs="仿宋"/>
                          <w:b/>
                          <w:color w:val="0000FF"/>
                          <w:sz w:val="21"/>
                          <w:szCs w:val="21"/>
                        </w:rPr>
                      </w:pPr>
                      <w:r>
                        <w:rPr>
                          <w:rFonts w:hint="eastAsia" w:ascii="仿宋" w:hAnsi="仿宋" w:cs="仿宋"/>
                          <w:b/>
                          <w:color w:val="0000FF"/>
                          <w:sz w:val="21"/>
                          <w:szCs w:val="21"/>
                        </w:rPr>
                        <w:t>上思县计怀矿区</w:t>
                      </w:r>
                    </w:p>
                    <w:p w14:paraId="11AA5BC4">
                      <w:pPr>
                        <w:widowControl/>
                        <w:spacing w:line="240" w:lineRule="auto"/>
                        <w:ind w:firstLine="0" w:firstLineChars="0"/>
                        <w:jc w:val="left"/>
                        <w:rPr>
                          <w:rFonts w:ascii="仿宋" w:hAnsi="仿宋" w:cs="仿宋"/>
                          <w:b/>
                          <w:color w:val="0000FF"/>
                          <w:sz w:val="21"/>
                          <w:szCs w:val="21"/>
                        </w:rPr>
                      </w:pPr>
                      <w:r>
                        <w:rPr>
                          <w:rFonts w:hint="eastAsia" w:ascii="仿宋" w:hAnsi="仿宋" w:cs="仿宋"/>
                          <w:b/>
                          <w:color w:val="0000FF"/>
                          <w:sz w:val="21"/>
                          <w:szCs w:val="21"/>
                        </w:rPr>
                        <w:t>建筑石料用石灰岩矿</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3727450</wp:posOffset>
                </wp:positionH>
                <wp:positionV relativeFrom="paragraph">
                  <wp:posOffset>742315</wp:posOffset>
                </wp:positionV>
                <wp:extent cx="1948815" cy="323850"/>
                <wp:effectExtent l="5080" t="4445" r="8255" b="490855"/>
                <wp:wrapNone/>
                <wp:docPr id="23" name="矩形标注 27"/>
                <wp:cNvGraphicFramePr/>
                <a:graphic xmlns:a="http://schemas.openxmlformats.org/drawingml/2006/main">
                  <a:graphicData uri="http://schemas.microsoft.com/office/word/2010/wordprocessingShape">
                    <wps:wsp>
                      <wps:cNvSpPr>
                        <a:spLocks noChangeArrowheads="1"/>
                      </wps:cNvSpPr>
                      <wps:spPr bwMode="auto">
                        <a:xfrm>
                          <a:off x="0" y="0"/>
                          <a:ext cx="1948815" cy="323850"/>
                        </a:xfrm>
                        <a:prstGeom prst="wedgeRectCallout">
                          <a:avLst>
                            <a:gd name="adj1" fmla="val 24258"/>
                            <a:gd name="adj2" fmla="val 195490"/>
                          </a:avLst>
                        </a:prstGeom>
                        <a:noFill/>
                        <a:ln w="6350">
                          <a:solidFill>
                            <a:srgbClr val="2626F1"/>
                          </a:solidFill>
                          <a:round/>
                        </a:ln>
                        <a:effectLst/>
                      </wps:spPr>
                      <wps:txbx>
                        <w:txbxContent>
                          <w:p w14:paraId="57E76705">
                            <w:pPr>
                              <w:widowControl/>
                              <w:adjustRightInd/>
                              <w:snapToGrid/>
                              <w:spacing w:line="240" w:lineRule="auto"/>
                              <w:ind w:firstLine="0" w:firstLineChars="0"/>
                              <w:jc w:val="left"/>
                              <w:rPr>
                                <w:rFonts w:ascii="仿宋" w:hAnsi="仿宋" w:cs="仿宋"/>
                                <w:b/>
                                <w:color w:val="0000FF"/>
                                <w:sz w:val="21"/>
                                <w:szCs w:val="21"/>
                              </w:rPr>
                            </w:pPr>
                            <w:r>
                              <w:rPr>
                                <w:rFonts w:hint="eastAsia" w:ascii="仿宋" w:hAnsi="仿宋" w:cs="仿宋"/>
                                <w:b/>
                                <w:color w:val="0000FF"/>
                                <w:sz w:val="21"/>
                                <w:szCs w:val="21"/>
                              </w:rPr>
                              <w:t>防城港市四方山水泥厂采石场</w:t>
                            </w:r>
                          </w:p>
                        </w:txbxContent>
                      </wps:txbx>
                      <wps:bodyPr rot="0" vert="horz" wrap="square" lIns="91440" tIns="45720" rIns="91440" bIns="45720" anchor="ctr" anchorCtr="0" upright="1">
                        <a:noAutofit/>
                      </wps:bodyPr>
                    </wps:wsp>
                  </a:graphicData>
                </a:graphic>
              </wp:anchor>
            </w:drawing>
          </mc:Choice>
          <mc:Fallback>
            <w:pict>
              <v:shape id="矩形标注 27" o:spid="_x0000_s1026" o:spt="61" type="#_x0000_t61" style="position:absolute;left:0pt;margin-left:293.5pt;margin-top:58.45pt;height:25.5pt;width:153.45pt;z-index:251672576;v-text-anchor:middle;mso-width-relative:page;mso-height-relative:page;" filled="f" stroked="t" coordsize="21600,21600" o:gfxdata="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LAXonbAAAACwEAAA8AAAAAAAAAAQAgAAAAIgAAAGRycy9k&#10;b3ducmV2LnhtbFBLAQIUABQAAAAIAIdO4kB845kTcQIAALoEAAAOAAAAAAAAAAEAIAAAACoBAABk&#10;cnMvZTJvRG9jLnhtbFBLBQYAAAAABgAGAFkBAAANBgAAAAA=&#10;" adj="16040,53026">
                <v:fill on="f" focussize="0,0"/>
                <v:stroke weight="0.5pt" color="#2626F1" joinstyle="round"/>
                <v:imagedata o:title=""/>
                <o:lock v:ext="edit" aspectratio="f"/>
                <v:textbox>
                  <w:txbxContent>
                    <w:p w14:paraId="57E76705">
                      <w:pPr>
                        <w:widowControl/>
                        <w:adjustRightInd/>
                        <w:snapToGrid/>
                        <w:spacing w:line="240" w:lineRule="auto"/>
                        <w:ind w:firstLine="0" w:firstLineChars="0"/>
                        <w:jc w:val="left"/>
                        <w:rPr>
                          <w:rFonts w:ascii="仿宋" w:hAnsi="仿宋" w:cs="仿宋"/>
                          <w:b/>
                          <w:color w:val="0000FF"/>
                          <w:sz w:val="21"/>
                          <w:szCs w:val="21"/>
                        </w:rPr>
                      </w:pPr>
                      <w:r>
                        <w:rPr>
                          <w:rFonts w:hint="eastAsia" w:ascii="仿宋" w:hAnsi="仿宋" w:cs="仿宋"/>
                          <w:b/>
                          <w:color w:val="0000FF"/>
                          <w:sz w:val="21"/>
                          <w:szCs w:val="21"/>
                        </w:rPr>
                        <w:t>防城港市四方山水泥厂采石场</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622300</wp:posOffset>
                </wp:positionH>
                <wp:positionV relativeFrom="paragraph">
                  <wp:posOffset>447040</wp:posOffset>
                </wp:positionV>
                <wp:extent cx="1558290" cy="323850"/>
                <wp:effectExtent l="5080" t="5080" r="17780" b="356870"/>
                <wp:wrapNone/>
                <wp:docPr id="1709874176" name="矩形标注 27"/>
                <wp:cNvGraphicFramePr/>
                <a:graphic xmlns:a="http://schemas.openxmlformats.org/drawingml/2006/main">
                  <a:graphicData uri="http://schemas.microsoft.com/office/word/2010/wordprocessingShape">
                    <wps:wsp>
                      <wps:cNvSpPr>
                        <a:spLocks noChangeArrowheads="1"/>
                      </wps:cNvSpPr>
                      <wps:spPr bwMode="auto">
                        <a:xfrm>
                          <a:off x="0" y="0"/>
                          <a:ext cx="1558290" cy="323850"/>
                        </a:xfrm>
                        <a:prstGeom prst="wedgeRectCallout">
                          <a:avLst>
                            <a:gd name="adj1" fmla="val 49185"/>
                            <a:gd name="adj2" fmla="val 154313"/>
                          </a:avLst>
                        </a:prstGeom>
                        <a:noFill/>
                        <a:ln w="6350">
                          <a:solidFill>
                            <a:srgbClr val="FFFF00"/>
                          </a:solidFill>
                          <a:round/>
                        </a:ln>
                        <a:effectLst/>
                      </wps:spPr>
                      <wps:txbx>
                        <w:txbxContent>
                          <w:p w14:paraId="0C4E2334">
                            <w:pPr>
                              <w:widowControl/>
                              <w:adjustRightInd/>
                              <w:snapToGrid/>
                              <w:spacing w:line="240" w:lineRule="auto"/>
                              <w:ind w:firstLine="0" w:firstLineChars="0"/>
                              <w:jc w:val="left"/>
                              <w:rPr>
                                <w:rFonts w:ascii="宋体" w:hAnsi="宋体" w:eastAsia="宋体"/>
                                <w:b/>
                                <w:color w:val="FFFF00"/>
                                <w:sz w:val="24"/>
                                <w:szCs w:val="24"/>
                              </w:rPr>
                            </w:pPr>
                            <w:r>
                              <w:rPr>
                                <w:rFonts w:eastAsia="宋体"/>
                                <w:b/>
                                <w:color w:val="FFFF00"/>
                                <w:sz w:val="24"/>
                                <w:szCs w:val="24"/>
                              </w:rPr>
                              <w:t>300m</w:t>
                            </w:r>
                            <w:r>
                              <w:rPr>
                                <w:rFonts w:hint="eastAsia" w:ascii="宋体" w:hAnsi="宋体" w:eastAsia="宋体"/>
                                <w:b/>
                                <w:color w:val="FFFF00"/>
                                <w:sz w:val="24"/>
                                <w:szCs w:val="24"/>
                              </w:rPr>
                              <w:t>安全爆破距离</w:t>
                            </w:r>
                          </w:p>
                        </w:txbxContent>
                      </wps:txbx>
                      <wps:bodyPr rot="0" vert="horz" wrap="square" lIns="91440" tIns="45720" rIns="91440" bIns="45720" anchor="ctr" anchorCtr="0" upright="1">
                        <a:noAutofit/>
                      </wps:bodyPr>
                    </wps:wsp>
                  </a:graphicData>
                </a:graphic>
              </wp:anchor>
            </w:drawing>
          </mc:Choice>
          <mc:Fallback>
            <w:pict>
              <v:shape id="矩形标注 27" o:spid="_x0000_s1026" o:spt="61" type="#_x0000_t61" style="position:absolute;left:0pt;margin-left:49pt;margin-top:35.2pt;height:25.5pt;width:122.7pt;z-index:251665408;v-text-anchor:middle;mso-width-relative:page;mso-height-relative:page;" filled="f" stroked="t" coordsize="21600,21600" o:gfxdata="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oouumtgAAAAJAQAADwAAAAAAAAABACAAAAAiAAAA&#10;ZHJzL2Rvd25yZXYueG1sUEsBAhQAFAAAAAgAh07iQOMeH/J5AgAAwgQAAA4AAAAAAAAAAQAgAAAA&#10;JwEAAGRycy9lMm9Eb2MueG1sUEsFBgAAAAAGAAYAWQEAABIGAAAAAA==&#10;" adj="21424,44132">
                <v:fill on="f" focussize="0,0"/>
                <v:stroke weight="0.5pt" color="#FFFF00" joinstyle="round"/>
                <v:imagedata o:title=""/>
                <o:lock v:ext="edit" aspectratio="f"/>
                <v:textbox>
                  <w:txbxContent>
                    <w:p w14:paraId="0C4E2334">
                      <w:pPr>
                        <w:widowControl/>
                        <w:adjustRightInd/>
                        <w:snapToGrid/>
                        <w:spacing w:line="240" w:lineRule="auto"/>
                        <w:ind w:firstLine="0" w:firstLineChars="0"/>
                        <w:jc w:val="left"/>
                        <w:rPr>
                          <w:rFonts w:ascii="宋体" w:hAnsi="宋体" w:eastAsia="宋体"/>
                          <w:b/>
                          <w:color w:val="FFFF00"/>
                          <w:sz w:val="24"/>
                          <w:szCs w:val="24"/>
                        </w:rPr>
                      </w:pPr>
                      <w:r>
                        <w:rPr>
                          <w:rFonts w:eastAsia="宋体"/>
                          <w:b/>
                          <w:color w:val="FFFF00"/>
                          <w:sz w:val="24"/>
                          <w:szCs w:val="24"/>
                        </w:rPr>
                        <w:t>300m</w:t>
                      </w:r>
                      <w:r>
                        <w:rPr>
                          <w:rFonts w:hint="eastAsia" w:ascii="宋体" w:hAnsi="宋体" w:eastAsia="宋体"/>
                          <w:b/>
                          <w:color w:val="FFFF00"/>
                          <w:sz w:val="24"/>
                          <w:szCs w:val="24"/>
                        </w:rPr>
                        <w:t>安全爆破距离</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2079625</wp:posOffset>
                </wp:positionH>
                <wp:positionV relativeFrom="paragraph">
                  <wp:posOffset>2055495</wp:posOffset>
                </wp:positionV>
                <wp:extent cx="2581275" cy="610235"/>
                <wp:effectExtent l="0" t="0" r="0" b="0"/>
                <wp:wrapNone/>
                <wp:docPr id="5" name="圆角矩形 5"/>
                <wp:cNvGraphicFramePr/>
                <a:graphic xmlns:a="http://schemas.openxmlformats.org/drawingml/2006/main">
                  <a:graphicData uri="http://schemas.microsoft.com/office/word/2010/wordprocessingShape">
                    <wps:wsp>
                      <wps:cNvSpPr/>
                      <wps:spPr>
                        <a:xfrm>
                          <a:off x="0" y="0"/>
                          <a:ext cx="2581275" cy="610235"/>
                        </a:xfrm>
                        <a:prstGeom prst="round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22B2A16">
                            <w:pPr>
                              <w:spacing w:line="240" w:lineRule="auto"/>
                              <w:ind w:firstLine="0" w:firstLineChars="0"/>
                              <w:rPr>
                                <w:b/>
                                <w:bCs/>
                                <w:color w:val="E717E0"/>
                                <w:sz w:val="21"/>
                                <w:szCs w:val="21"/>
                              </w:rPr>
                            </w:pPr>
                            <w:r>
                              <w:rPr>
                                <w:b/>
                                <w:bCs/>
                                <w:color w:val="E717E0"/>
                                <w:sz w:val="21"/>
                                <w:szCs w:val="21"/>
                              </w:rPr>
                              <w:t>华润水泥（上思）有限公司龙大山矿区</w:t>
                            </w:r>
                          </w:p>
                          <w:p w14:paraId="34AC0DB6">
                            <w:pPr>
                              <w:spacing w:line="240" w:lineRule="auto"/>
                              <w:ind w:firstLine="0" w:firstLineChars="0"/>
                              <w:jc w:val="center"/>
                              <w:rPr>
                                <w:b/>
                                <w:bCs/>
                                <w:color w:val="0000FF"/>
                                <w:sz w:val="21"/>
                                <w:szCs w:val="21"/>
                              </w:rPr>
                            </w:pPr>
                            <w:r>
                              <w:rPr>
                                <w:b/>
                                <w:bCs/>
                                <w:color w:val="E717E0"/>
                                <w:sz w:val="21"/>
                                <w:szCs w:val="21"/>
                              </w:rPr>
                              <w:t>南矿段水泥用灰岩矿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3.75pt;margin-top:161.85pt;height:48.05pt;width:203.25pt;z-index:251667456;v-text-anchor:middle;mso-width-relative:page;mso-height-relative:page;" filled="f" stroked="f" coordsize="21600,21600" arcsize="0.166666666666667" o:gfxdata="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JmE1K3aAAAACwEAAA8AAAAAAAAAAQAgAAAAIgAAAGRycy9kb3ducmV2LnhtbFBLAQIU&#10;ABQAAAAIAIdO4kCfsTYwYwIAAKEEAAAOAAAAAAAAAAEAIAAAACkBAABkcnMvZTJvRG9jLnhtbFBL&#10;BQYAAAAABgAGAFkBAAD+BQAAAAA=&#10;">
                <v:fill on="f" focussize="0,0"/>
                <v:stroke on="f" weight="2pt"/>
                <v:imagedata o:title=""/>
                <o:lock v:ext="edit" aspectratio="f"/>
                <v:textbox>
                  <w:txbxContent>
                    <w:p w14:paraId="522B2A16">
                      <w:pPr>
                        <w:spacing w:line="240" w:lineRule="auto"/>
                        <w:ind w:firstLine="0" w:firstLineChars="0"/>
                        <w:rPr>
                          <w:b/>
                          <w:bCs/>
                          <w:color w:val="E717E0"/>
                          <w:sz w:val="21"/>
                          <w:szCs w:val="21"/>
                        </w:rPr>
                      </w:pPr>
                      <w:r>
                        <w:rPr>
                          <w:b/>
                          <w:bCs/>
                          <w:color w:val="E717E0"/>
                          <w:sz w:val="21"/>
                          <w:szCs w:val="21"/>
                        </w:rPr>
                        <w:t>华润水泥（上思）有限公司龙大山矿区</w:t>
                      </w:r>
                    </w:p>
                    <w:p w14:paraId="34AC0DB6">
                      <w:pPr>
                        <w:spacing w:line="240" w:lineRule="auto"/>
                        <w:ind w:firstLine="0" w:firstLineChars="0"/>
                        <w:jc w:val="center"/>
                        <w:rPr>
                          <w:b/>
                          <w:bCs/>
                          <w:color w:val="0000FF"/>
                          <w:sz w:val="21"/>
                          <w:szCs w:val="21"/>
                        </w:rPr>
                      </w:pPr>
                      <w:r>
                        <w:rPr>
                          <w:b/>
                          <w:bCs/>
                          <w:color w:val="E717E0"/>
                          <w:sz w:val="21"/>
                          <w:szCs w:val="21"/>
                        </w:rPr>
                        <w:t>南矿段水泥用灰岩矿</w:t>
                      </w:r>
                    </w:p>
                  </w:txbxContent>
                </v:textbox>
              </v:roundrect>
            </w:pict>
          </mc:Fallback>
        </mc:AlternateContent>
      </w:r>
    </w:p>
    <w:p w14:paraId="5414F7D5">
      <w:pPr>
        <w:spacing w:line="240" w:lineRule="auto"/>
        <w:ind w:firstLine="0" w:firstLineChars="0"/>
        <w:jc w:val="center"/>
        <w:rPr>
          <w:b/>
          <w:kern w:val="0"/>
          <w:sz w:val="24"/>
          <w:szCs w:val="24"/>
        </w:rPr>
      </w:pPr>
      <w:r>
        <w:rPr>
          <w:b/>
          <w:kern w:val="0"/>
          <w:sz w:val="24"/>
          <w:szCs w:val="24"/>
        </w:rPr>
        <w:t>图1-3  拟整合采矿权范围与周边环境情况图</w:t>
      </w:r>
    </w:p>
    <w:p w14:paraId="7D1B44B2">
      <w:pPr>
        <w:ind w:firstLine="560"/>
      </w:pPr>
    </w:p>
    <w:p w14:paraId="29B22045">
      <w:pPr>
        <w:pStyle w:val="5"/>
      </w:pPr>
      <w:r>
        <w:t>1.3.</w:t>
      </w:r>
      <w:r>
        <w:rPr>
          <w:lang w:val="en-US"/>
        </w:rPr>
        <w:t>4</w:t>
      </w:r>
      <w:r>
        <w:t xml:space="preserve"> 社会经济概况</w:t>
      </w:r>
    </w:p>
    <w:p w14:paraId="412254CC">
      <w:pPr>
        <w:ind w:firstLine="560"/>
        <w:rPr>
          <w:szCs w:val="28"/>
        </w:rPr>
      </w:pPr>
      <w:r>
        <w:rPr>
          <w:szCs w:val="28"/>
        </w:rPr>
        <w:t>区内工业较发达，有能源、食品加工、化工、建材等门类。农业：农作物以水稻为主，盛产柑橘，特产有香糯、凤凰茶、扁桃、蜂蜜，经济作物主要为甘蔗。此外林业较发达。区内矿产资源丰富，有煤、汞、磷、石膏、膨润土等矿种及优质矿泉水。</w:t>
      </w:r>
    </w:p>
    <w:bookmarkEnd w:id="40"/>
    <w:bookmarkEnd w:id="41"/>
    <w:bookmarkEnd w:id="42"/>
    <w:p w14:paraId="2CEDE07C">
      <w:pPr>
        <w:ind w:firstLine="0" w:firstLineChars="0"/>
        <w:rPr>
          <w:szCs w:val="28"/>
        </w:rPr>
        <w:sectPr>
          <w:footerReference r:id="rId11" w:type="default"/>
          <w:pgSz w:w="11906" w:h="16838"/>
          <w:pgMar w:top="1418" w:right="1418" w:bottom="1418" w:left="1418" w:header="851" w:footer="992" w:gutter="0"/>
          <w:pgNumType w:start="1"/>
          <w:cols w:space="720" w:num="1"/>
          <w:docGrid w:type="lines" w:linePitch="381" w:charSpace="0"/>
        </w:sectPr>
      </w:pPr>
    </w:p>
    <w:p w14:paraId="4CD332B1">
      <w:pPr>
        <w:pStyle w:val="3"/>
      </w:pPr>
      <w:bookmarkStart w:id="43" w:name="_Toc124107385"/>
      <w:bookmarkStart w:id="44" w:name="_Toc176901230"/>
      <w:bookmarkStart w:id="45" w:name="_Toc26781"/>
      <w:bookmarkStart w:id="46" w:name="_Toc24811"/>
      <w:bookmarkStart w:id="47" w:name="_Toc29313"/>
      <w:bookmarkStart w:id="48" w:name="_Toc20981"/>
      <w:bookmarkStart w:id="49" w:name="_Toc7028"/>
      <w:r>
        <w:t xml:space="preserve">2 </w:t>
      </w:r>
      <w:bookmarkEnd w:id="43"/>
      <w:r>
        <w:t>设计地质依据</w:t>
      </w:r>
      <w:bookmarkEnd w:id="44"/>
      <w:bookmarkEnd w:id="45"/>
      <w:bookmarkEnd w:id="46"/>
      <w:bookmarkEnd w:id="47"/>
      <w:bookmarkEnd w:id="48"/>
      <w:bookmarkEnd w:id="49"/>
    </w:p>
    <w:p w14:paraId="2EBA44BF">
      <w:pPr>
        <w:pStyle w:val="4"/>
      </w:pPr>
      <w:bookmarkStart w:id="50" w:name="_Toc21181"/>
      <w:bookmarkStart w:id="51" w:name="_Toc17719"/>
      <w:bookmarkStart w:id="52" w:name="_Toc14077"/>
      <w:bookmarkStart w:id="53" w:name="_Toc176901231"/>
      <w:bookmarkStart w:id="54" w:name="_Toc124107386"/>
      <w:bookmarkStart w:id="55" w:name="_Toc10987"/>
      <w:r>
        <w:t>2.1 以往地质工作情况</w:t>
      </w:r>
      <w:bookmarkEnd w:id="50"/>
      <w:bookmarkEnd w:id="51"/>
      <w:bookmarkEnd w:id="52"/>
      <w:bookmarkEnd w:id="53"/>
      <w:bookmarkEnd w:id="54"/>
      <w:bookmarkEnd w:id="55"/>
    </w:p>
    <w:p w14:paraId="4C88CDE2">
      <w:pPr>
        <w:pStyle w:val="5"/>
      </w:pPr>
      <w:r>
        <w:t>2.1.1 历次勘查工作</w:t>
      </w:r>
    </w:p>
    <w:p w14:paraId="5752951C">
      <w:pPr>
        <w:ind w:firstLine="560"/>
      </w:pPr>
      <w:r>
        <w:t>（1）1971~1975年广西区域地质调查队曾在本区开展1:20万区域地质调查工作，建立了较为完整的地层层序，基本上查明了矿区所在区域地质构造特征及岩石成份、结构构造及物理化学性质、矿产分布情况等。</w:t>
      </w:r>
    </w:p>
    <w:p w14:paraId="220C9A66">
      <w:pPr>
        <w:ind w:firstLine="560"/>
      </w:pPr>
      <w:r>
        <w:t>（2）1976~1978年广西水文工程地质队在本区开展过1:20万凭祥幅、崇左幅、东兴幅、友谊关幅区域水文地质普查工作。</w:t>
      </w:r>
    </w:p>
    <w:p w14:paraId="06EFCD49">
      <w:pPr>
        <w:ind w:firstLine="560"/>
      </w:pPr>
      <w:r>
        <w:t>（3）1975~1979年广西第三地质队在上思盆地一带进行煤田地质勘探。</w:t>
      </w:r>
    </w:p>
    <w:p w14:paraId="4D5CA6BF">
      <w:pPr>
        <w:ind w:firstLine="560"/>
      </w:pPr>
      <w:r>
        <w:t>（4）2005年广西272地质队对龙大山矿区一带的灰岩进行了普查工作。</w:t>
      </w:r>
    </w:p>
    <w:p w14:paraId="36FB5348">
      <w:pPr>
        <w:ind w:firstLine="560"/>
        <w:rPr>
          <w:color w:val="auto"/>
        </w:rPr>
      </w:pPr>
      <w:r>
        <w:rPr>
          <w:color w:val="auto"/>
        </w:rPr>
        <w:t>（5）2007～2008年中国建筑材料工业地质勘查中心广西总队在龙大山石灰岩矿区开展了详查工作，确定勘查类型为</w:t>
      </w:r>
      <w:r>
        <w:rPr>
          <w:color w:val="auto"/>
        </w:rPr>
        <w:fldChar w:fldCharType="begin"/>
      </w:r>
      <w:r>
        <w:rPr>
          <w:color w:val="auto"/>
        </w:rPr>
        <w:instrText xml:space="preserve"> = 1 \* ROMAN \* MERGEFORMAT </w:instrText>
      </w:r>
      <w:r>
        <w:rPr>
          <w:color w:val="auto"/>
        </w:rPr>
        <w:fldChar w:fldCharType="separate"/>
      </w:r>
      <w:r>
        <w:rPr>
          <w:color w:val="auto"/>
        </w:rPr>
        <w:t>I</w:t>
      </w:r>
      <w:r>
        <w:rPr>
          <w:color w:val="auto"/>
        </w:rPr>
        <w:fldChar w:fldCharType="end"/>
      </w:r>
      <w:r>
        <w:rPr>
          <w:color w:val="auto"/>
        </w:rPr>
        <w:t>类型，勘查网度400×400m。2009年3月提交《广西上思县思阳镇龙大山矿区北矿段水泥用灰岩矿详查报告》和《广西上思县思阳镇龙大山矿区南矿段水泥用灰岩矿详查报告》。主要完成的实物工作量有：</w:t>
      </w:r>
      <w:r>
        <w:rPr>
          <w:color w:val="auto"/>
          <w:szCs w:val="21"/>
        </w:rPr>
        <w:t>北矿段：1/2000地形地质测量3.23Km</w:t>
      </w:r>
      <w:r>
        <w:rPr>
          <w:color w:val="auto"/>
          <w:szCs w:val="21"/>
          <w:vertAlign w:val="superscript"/>
        </w:rPr>
        <w:t>2</w:t>
      </w:r>
      <w:r>
        <w:rPr>
          <w:color w:val="auto"/>
          <w:szCs w:val="21"/>
        </w:rPr>
        <w:t>、1/1000地形地质剖面测量4197.95m、钻探进尺1897.61m、1/2000矿区水文地质测量3.23Km</w:t>
      </w:r>
      <w:r>
        <w:rPr>
          <w:color w:val="auto"/>
          <w:szCs w:val="21"/>
          <w:vertAlign w:val="superscript"/>
        </w:rPr>
        <w:t>2</w:t>
      </w:r>
      <w:r>
        <w:rPr>
          <w:color w:val="auto"/>
          <w:szCs w:val="21"/>
        </w:rPr>
        <w:t>、1/50000区域水文地质调查80Km</w:t>
      </w:r>
      <w:r>
        <w:rPr>
          <w:color w:val="auto"/>
          <w:szCs w:val="21"/>
          <w:vertAlign w:val="superscript"/>
        </w:rPr>
        <w:t>2</w:t>
      </w:r>
      <w:r>
        <w:rPr>
          <w:color w:val="auto"/>
          <w:szCs w:val="21"/>
        </w:rPr>
        <w:t>等。</w:t>
      </w:r>
      <w:r>
        <w:rPr>
          <w:color w:val="auto"/>
        </w:rPr>
        <w:t>南矿段：</w:t>
      </w:r>
      <w:r>
        <w:rPr>
          <w:color w:val="auto"/>
          <w:szCs w:val="21"/>
        </w:rPr>
        <w:t>1/2000地形地质测量3.23Km</w:t>
      </w:r>
      <w:r>
        <w:rPr>
          <w:color w:val="auto"/>
          <w:szCs w:val="21"/>
          <w:vertAlign w:val="superscript"/>
        </w:rPr>
        <w:t>2</w:t>
      </w:r>
      <w:r>
        <w:rPr>
          <w:color w:val="auto"/>
          <w:szCs w:val="21"/>
        </w:rPr>
        <w:t>、1/1000地形地质剖面测量4197.95m、钻探进尺1272.70m、刻槽取样2080m、1/2000矿区水文地质测量3.23Km</w:t>
      </w:r>
      <w:r>
        <w:rPr>
          <w:color w:val="auto"/>
          <w:szCs w:val="21"/>
          <w:vertAlign w:val="superscript"/>
        </w:rPr>
        <w:t>2</w:t>
      </w:r>
      <w:r>
        <w:rPr>
          <w:color w:val="auto"/>
          <w:szCs w:val="21"/>
        </w:rPr>
        <w:t>、1/50000区域水文地质调查80Km</w:t>
      </w:r>
      <w:r>
        <w:rPr>
          <w:color w:val="auto"/>
          <w:szCs w:val="21"/>
          <w:vertAlign w:val="superscript"/>
        </w:rPr>
        <w:t>2</w:t>
      </w:r>
      <w:r>
        <w:rPr>
          <w:color w:val="auto"/>
          <w:szCs w:val="21"/>
        </w:rPr>
        <w:t>等。</w:t>
      </w:r>
      <w:r>
        <w:rPr>
          <w:color w:val="auto"/>
        </w:rPr>
        <w:t>基本查明矿床地质特征、开采技术条件，基本确定矿层的形态、产状、空间位置及矿石质量特征。</w:t>
      </w:r>
      <w:r>
        <w:rPr>
          <w:rStyle w:val="38"/>
          <w:color w:val="auto"/>
          <w:sz w:val="28"/>
        </w:rPr>
        <w:t>其中北矿段提交</w:t>
      </w:r>
      <w:r>
        <w:rPr>
          <w:color w:val="auto"/>
          <w:szCs w:val="21"/>
        </w:rPr>
        <w:t>控制资源量6963.57万t，推断资源量987.03万t，矿石量总计</w:t>
      </w:r>
      <w:r>
        <w:rPr>
          <w:color w:val="auto"/>
        </w:rPr>
        <w:t>7950.60</w:t>
      </w:r>
      <w:r>
        <w:rPr>
          <w:color w:val="auto"/>
          <w:szCs w:val="21"/>
        </w:rPr>
        <w:t>万t；南矿段提交控制资源量</w:t>
      </w:r>
      <w:r>
        <w:rPr>
          <w:color w:val="auto"/>
        </w:rPr>
        <w:t>5062.31</w:t>
      </w:r>
      <w:r>
        <w:rPr>
          <w:color w:val="auto"/>
          <w:szCs w:val="21"/>
        </w:rPr>
        <w:t>万t，推断资源量2762.71万t，矿石量总计</w:t>
      </w:r>
      <w:r>
        <w:rPr>
          <w:color w:val="auto"/>
        </w:rPr>
        <w:t>7825.02</w:t>
      </w:r>
      <w:r>
        <w:rPr>
          <w:color w:val="auto"/>
          <w:szCs w:val="21"/>
        </w:rPr>
        <w:t>万t。</w:t>
      </w:r>
    </w:p>
    <w:p w14:paraId="152B9CA8">
      <w:pPr>
        <w:ind w:firstLine="560"/>
      </w:pPr>
      <w:r>
        <w:t>（6）2016年4月到2016年11月广西第三地质队对勘查区西部的三化矿区开展了详查工作，累计查明石灰岩矿矿石资源量32915.46万吨，其中（332）类资源量为11006.11万吨，（333）类资源量为21909.35万吨，属大型矿床规模。</w:t>
      </w:r>
    </w:p>
    <w:p w14:paraId="452ADEEF">
      <w:pPr>
        <w:ind w:firstLine="560"/>
        <w:rPr>
          <w:color w:val="auto"/>
        </w:rPr>
      </w:pPr>
      <w:r>
        <w:rPr>
          <w:color w:val="auto"/>
        </w:rPr>
        <w:t>（7）2018年8月至10月，广西壮族自治区第三地质队对广西上思县讲鱼山矿区石灰岩矿开展了野外工作，确定勘查类型为</w:t>
      </w:r>
      <w:r>
        <w:rPr>
          <w:color w:val="auto"/>
        </w:rPr>
        <w:fldChar w:fldCharType="begin"/>
      </w:r>
      <w:r>
        <w:rPr>
          <w:color w:val="auto"/>
        </w:rPr>
        <w:instrText xml:space="preserve"> = 1 \* ROMAN \* MERGEFORMAT </w:instrText>
      </w:r>
      <w:r>
        <w:rPr>
          <w:color w:val="auto"/>
        </w:rPr>
        <w:fldChar w:fldCharType="separate"/>
      </w:r>
      <w:r>
        <w:rPr>
          <w:color w:val="auto"/>
        </w:rPr>
        <w:t>I</w:t>
      </w:r>
      <w:r>
        <w:rPr>
          <w:color w:val="auto"/>
        </w:rPr>
        <w:fldChar w:fldCharType="end"/>
      </w:r>
      <w:r>
        <w:rPr>
          <w:color w:val="auto"/>
        </w:rPr>
        <w:t>类型，勘查网度400×400m。主要工作量包含：1:2000地质测量0.38km</w:t>
      </w:r>
      <w:r>
        <w:rPr>
          <w:color w:val="auto"/>
          <w:vertAlign w:val="superscript"/>
        </w:rPr>
        <w:t>2</w:t>
      </w:r>
      <w:r>
        <w:rPr>
          <w:color w:val="auto"/>
        </w:rPr>
        <w:t>、</w:t>
      </w:r>
      <w:r>
        <w:rPr>
          <w:color w:val="auto"/>
          <w:szCs w:val="21"/>
        </w:rPr>
        <w:t>1:2000地形地质测量0.86Km</w:t>
      </w:r>
      <w:r>
        <w:rPr>
          <w:color w:val="auto"/>
          <w:szCs w:val="21"/>
          <w:vertAlign w:val="superscript"/>
        </w:rPr>
        <w:t>2</w:t>
      </w:r>
      <w:r>
        <w:rPr>
          <w:color w:val="auto"/>
          <w:szCs w:val="21"/>
        </w:rPr>
        <w:t>、钻探进尺272.8m、1：10000水工环测量10Km</w:t>
      </w:r>
      <w:r>
        <w:rPr>
          <w:color w:val="auto"/>
          <w:szCs w:val="21"/>
          <w:vertAlign w:val="superscript"/>
        </w:rPr>
        <w:t>2</w:t>
      </w:r>
      <w:r>
        <w:rPr>
          <w:color w:val="auto"/>
          <w:szCs w:val="21"/>
        </w:rPr>
        <w:t>、槽探421.60m</w:t>
      </w:r>
      <w:r>
        <w:rPr>
          <w:color w:val="auto"/>
          <w:szCs w:val="21"/>
          <w:vertAlign w:val="superscript"/>
        </w:rPr>
        <w:t>3</w:t>
      </w:r>
      <w:r>
        <w:rPr>
          <w:color w:val="auto"/>
          <w:szCs w:val="21"/>
        </w:rPr>
        <w:t>等。</w:t>
      </w:r>
      <w:r>
        <w:rPr>
          <w:color w:val="auto"/>
        </w:rPr>
        <w:t>于2018年12月提交《广西上思县讲鱼山矿区石灰岩矿资源储量核实报告》。截止2018年10月30日，核实区保有的石灰岩矿石资源量为7334.36万吨，其中控制的资源量为3472.27万吨，推断的资源量为3862.09万吨。</w:t>
      </w:r>
    </w:p>
    <w:p w14:paraId="218AD378">
      <w:pPr>
        <w:pStyle w:val="5"/>
        <w:rPr>
          <w:color w:val="auto"/>
        </w:rPr>
      </w:pPr>
      <w:bookmarkStart w:id="56" w:name="_Toc124107387"/>
      <w:r>
        <w:rPr>
          <w:color w:val="auto"/>
        </w:rPr>
        <w:t>2.1.2 以往勘查工作质量及可利用性评价</w:t>
      </w:r>
      <w:bookmarkEnd w:id="56"/>
    </w:p>
    <w:p w14:paraId="6C0D36AD">
      <w:pPr>
        <w:ind w:firstLine="560"/>
        <w:rPr>
          <w:color w:val="auto"/>
        </w:rPr>
      </w:pPr>
      <w:r>
        <w:rPr>
          <w:color w:val="auto"/>
        </w:rPr>
        <w:t>矿区以往开展过1:20万区域地质调查，大致查明了矿区所在区域地质构造特征及岩石成份、结构构造及物理化学性质、矿产分布情况。2008年开展过南、北矿段的地质详查工作，2018年开展过讲鱼山地质详查工作（前期完成主要工作量详见表2-1），通过前期的详查工作，基本查明整合区矿床地质特征、开采技术条件，基本确定矿层的形态、产状、空间位置及矿石质量特征以及资源储量，此外，根据采矿权人提供历年年报及相关生产台账，前期勘查成果与矿山历年开采实际情况基本相符。因此本次工作在充分收集前期地质勘查资料的基础，充分利用原有的勘查工程，结合矿山现状</w:t>
      </w:r>
      <w:r>
        <w:rPr>
          <w:rFonts w:hint="eastAsia"/>
          <w:color w:val="auto"/>
        </w:rPr>
        <w:t>及</w:t>
      </w:r>
      <w:r>
        <w:rPr>
          <w:color w:val="auto"/>
        </w:rPr>
        <w:t>现行勘查规范对整合区开展地质测量或者修测，</w:t>
      </w:r>
      <w:r>
        <w:rPr>
          <w:rFonts w:hint="eastAsia"/>
          <w:color w:val="auto"/>
        </w:rPr>
        <w:t>以及</w:t>
      </w:r>
      <w:r>
        <w:rPr>
          <w:color w:val="auto"/>
        </w:rPr>
        <w:t>进一步补充水文地质工程地质测绘。</w:t>
      </w:r>
    </w:p>
    <w:p w14:paraId="50BFC7DE">
      <w:pPr>
        <w:ind w:firstLine="560"/>
        <w:rPr>
          <w:color w:val="auto"/>
        </w:rPr>
      </w:pPr>
    </w:p>
    <w:p w14:paraId="51F699BC">
      <w:pPr>
        <w:ind w:firstLine="560"/>
        <w:rPr>
          <w:color w:val="0000FF"/>
        </w:rPr>
      </w:pPr>
    </w:p>
    <w:p w14:paraId="78A417D5">
      <w:pPr>
        <w:ind w:firstLine="560"/>
        <w:rPr>
          <w:color w:val="0000FF"/>
        </w:rPr>
      </w:pPr>
    </w:p>
    <w:p w14:paraId="68ED3A28">
      <w:pPr>
        <w:ind w:firstLine="560"/>
        <w:rPr>
          <w:color w:val="0000FF"/>
        </w:rPr>
      </w:pPr>
    </w:p>
    <w:p w14:paraId="4DFECDC8">
      <w:pPr>
        <w:ind w:firstLine="560"/>
        <w:rPr>
          <w:color w:val="0000FF"/>
        </w:rPr>
      </w:pPr>
    </w:p>
    <w:p w14:paraId="4466F7B6">
      <w:pPr>
        <w:spacing w:line="240" w:lineRule="auto"/>
        <w:ind w:firstLine="0" w:firstLineChars="0"/>
        <w:jc w:val="center"/>
        <w:rPr>
          <w:b/>
          <w:bCs/>
          <w:color w:val="auto"/>
          <w:sz w:val="24"/>
          <w:szCs w:val="24"/>
        </w:rPr>
      </w:pPr>
      <w:r>
        <w:rPr>
          <w:b/>
          <w:bCs/>
          <w:color w:val="auto"/>
          <w:sz w:val="24"/>
          <w:szCs w:val="24"/>
        </w:rPr>
        <w:t>表2-1  以往主要工作情况表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3628"/>
        <w:gridCol w:w="1344"/>
        <w:gridCol w:w="1344"/>
        <w:gridCol w:w="1344"/>
      </w:tblGrid>
      <w:tr w14:paraId="4543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587" w:type="dxa"/>
            <w:vAlign w:val="center"/>
          </w:tcPr>
          <w:p w14:paraId="5D2B58D3">
            <w:pPr>
              <w:spacing w:line="240" w:lineRule="auto"/>
              <w:ind w:firstLine="0" w:firstLineChars="0"/>
              <w:jc w:val="center"/>
              <w:rPr>
                <w:color w:val="auto"/>
                <w:sz w:val="24"/>
                <w:szCs w:val="24"/>
              </w:rPr>
            </w:pPr>
            <w:r>
              <w:rPr>
                <w:color w:val="auto"/>
                <w:sz w:val="24"/>
                <w:szCs w:val="24"/>
              </w:rPr>
              <w:t>矿区</w:t>
            </w:r>
          </w:p>
        </w:tc>
        <w:tc>
          <w:tcPr>
            <w:tcW w:w="3628" w:type="dxa"/>
            <w:shd w:val="clear" w:color="auto" w:fill="auto"/>
            <w:vAlign w:val="center"/>
          </w:tcPr>
          <w:p w14:paraId="6D86C90E">
            <w:pPr>
              <w:widowControl/>
              <w:spacing w:line="240" w:lineRule="auto"/>
              <w:ind w:firstLine="0" w:firstLineChars="0"/>
              <w:jc w:val="center"/>
              <w:rPr>
                <w:color w:val="auto"/>
                <w:kern w:val="0"/>
                <w:sz w:val="24"/>
                <w:szCs w:val="24"/>
              </w:rPr>
            </w:pPr>
            <w:r>
              <w:rPr>
                <w:color w:val="auto"/>
                <w:kern w:val="0"/>
                <w:sz w:val="24"/>
                <w:szCs w:val="24"/>
              </w:rPr>
              <w:t>工作项目</w:t>
            </w:r>
          </w:p>
        </w:tc>
        <w:tc>
          <w:tcPr>
            <w:tcW w:w="1344" w:type="dxa"/>
            <w:shd w:val="clear" w:color="auto" w:fill="auto"/>
            <w:vAlign w:val="center"/>
          </w:tcPr>
          <w:p w14:paraId="51B3C951">
            <w:pPr>
              <w:widowControl/>
              <w:spacing w:line="240" w:lineRule="auto"/>
              <w:ind w:firstLine="0" w:firstLineChars="0"/>
              <w:jc w:val="center"/>
              <w:rPr>
                <w:color w:val="auto"/>
                <w:kern w:val="0"/>
                <w:sz w:val="24"/>
                <w:szCs w:val="24"/>
              </w:rPr>
            </w:pPr>
            <w:r>
              <w:rPr>
                <w:color w:val="auto"/>
                <w:kern w:val="0"/>
                <w:sz w:val="24"/>
                <w:szCs w:val="24"/>
              </w:rPr>
              <w:t>累计完成</w:t>
            </w:r>
          </w:p>
        </w:tc>
        <w:tc>
          <w:tcPr>
            <w:tcW w:w="1344" w:type="dxa"/>
            <w:shd w:val="clear" w:color="auto" w:fill="auto"/>
            <w:vAlign w:val="center"/>
          </w:tcPr>
          <w:p w14:paraId="2650D9BA">
            <w:pPr>
              <w:widowControl/>
              <w:spacing w:line="240" w:lineRule="auto"/>
              <w:ind w:firstLine="0" w:firstLineChars="0"/>
              <w:jc w:val="center"/>
              <w:rPr>
                <w:color w:val="auto"/>
                <w:kern w:val="0"/>
                <w:sz w:val="24"/>
                <w:szCs w:val="24"/>
              </w:rPr>
            </w:pPr>
            <w:r>
              <w:rPr>
                <w:color w:val="auto"/>
                <w:kern w:val="0"/>
                <w:sz w:val="24"/>
                <w:szCs w:val="24"/>
              </w:rPr>
              <w:t>单位</w:t>
            </w:r>
          </w:p>
        </w:tc>
        <w:tc>
          <w:tcPr>
            <w:tcW w:w="1344" w:type="dxa"/>
            <w:vAlign w:val="center"/>
          </w:tcPr>
          <w:p w14:paraId="2F9BB78B">
            <w:pPr>
              <w:widowControl/>
              <w:spacing w:line="240" w:lineRule="auto"/>
              <w:ind w:firstLine="0" w:firstLineChars="0"/>
              <w:jc w:val="center"/>
              <w:rPr>
                <w:color w:val="auto"/>
                <w:kern w:val="0"/>
                <w:sz w:val="24"/>
                <w:szCs w:val="24"/>
              </w:rPr>
            </w:pPr>
            <w:r>
              <w:rPr>
                <w:color w:val="auto"/>
                <w:kern w:val="0"/>
                <w:sz w:val="24"/>
                <w:szCs w:val="24"/>
              </w:rPr>
              <w:t>备注</w:t>
            </w:r>
          </w:p>
        </w:tc>
      </w:tr>
      <w:tr w14:paraId="088D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restart"/>
            <w:vAlign w:val="center"/>
          </w:tcPr>
          <w:p w14:paraId="5A76E235">
            <w:pPr>
              <w:spacing w:line="240" w:lineRule="auto"/>
              <w:ind w:firstLine="0" w:firstLineChars="0"/>
              <w:jc w:val="center"/>
              <w:rPr>
                <w:color w:val="auto"/>
                <w:sz w:val="24"/>
                <w:szCs w:val="24"/>
              </w:rPr>
            </w:pPr>
            <w:r>
              <w:rPr>
                <w:color w:val="auto"/>
                <w:sz w:val="24"/>
                <w:szCs w:val="24"/>
              </w:rPr>
              <w:t>讲鱼山</w:t>
            </w:r>
          </w:p>
        </w:tc>
        <w:tc>
          <w:tcPr>
            <w:tcW w:w="3628" w:type="dxa"/>
            <w:shd w:val="clear" w:color="auto" w:fill="auto"/>
            <w:vAlign w:val="center"/>
          </w:tcPr>
          <w:p w14:paraId="470AFB7F">
            <w:pPr>
              <w:widowControl/>
              <w:spacing w:line="240" w:lineRule="auto"/>
              <w:ind w:firstLine="0" w:firstLineChars="0"/>
              <w:rPr>
                <w:color w:val="auto"/>
                <w:kern w:val="0"/>
                <w:sz w:val="24"/>
                <w:szCs w:val="24"/>
              </w:rPr>
            </w:pPr>
            <w:r>
              <w:rPr>
                <w:color w:val="auto"/>
                <w:kern w:val="0"/>
                <w:sz w:val="24"/>
                <w:szCs w:val="24"/>
              </w:rPr>
              <w:t>1</w:t>
            </w:r>
            <w:r>
              <w:rPr>
                <w:rFonts w:hint="eastAsia" w:ascii="宋体" w:hAnsi="宋体" w:eastAsia="宋体" w:cs="宋体"/>
                <w:color w:val="auto"/>
                <w:kern w:val="0"/>
                <w:sz w:val="24"/>
                <w:szCs w:val="24"/>
              </w:rPr>
              <w:t>∶</w:t>
            </w:r>
            <w:r>
              <w:rPr>
                <w:color w:val="auto"/>
                <w:kern w:val="0"/>
                <w:sz w:val="24"/>
                <w:szCs w:val="24"/>
              </w:rPr>
              <w:t>2000地质测量</w:t>
            </w:r>
          </w:p>
        </w:tc>
        <w:tc>
          <w:tcPr>
            <w:tcW w:w="1344" w:type="dxa"/>
            <w:shd w:val="clear" w:color="auto" w:fill="auto"/>
            <w:vAlign w:val="center"/>
          </w:tcPr>
          <w:p w14:paraId="57ECE69D">
            <w:pPr>
              <w:widowControl/>
              <w:spacing w:line="240" w:lineRule="auto"/>
              <w:ind w:firstLine="0" w:firstLineChars="0"/>
              <w:jc w:val="center"/>
              <w:rPr>
                <w:color w:val="auto"/>
                <w:kern w:val="0"/>
                <w:sz w:val="24"/>
                <w:szCs w:val="24"/>
              </w:rPr>
            </w:pPr>
            <w:r>
              <w:rPr>
                <w:color w:val="auto"/>
                <w:kern w:val="0"/>
                <w:sz w:val="24"/>
                <w:szCs w:val="24"/>
              </w:rPr>
              <w:t>0.38</w:t>
            </w:r>
          </w:p>
        </w:tc>
        <w:tc>
          <w:tcPr>
            <w:tcW w:w="1344" w:type="dxa"/>
            <w:shd w:val="clear" w:color="auto" w:fill="auto"/>
            <w:vAlign w:val="center"/>
          </w:tcPr>
          <w:p w14:paraId="378A37C8">
            <w:pPr>
              <w:widowControl/>
              <w:spacing w:line="240" w:lineRule="auto"/>
              <w:ind w:firstLine="0" w:firstLineChars="0"/>
              <w:jc w:val="center"/>
              <w:rPr>
                <w:color w:val="auto"/>
                <w:kern w:val="0"/>
                <w:sz w:val="24"/>
                <w:szCs w:val="24"/>
              </w:rPr>
            </w:pPr>
            <w:r>
              <w:rPr>
                <w:color w:val="auto"/>
                <w:kern w:val="0"/>
                <w:sz w:val="24"/>
                <w:szCs w:val="24"/>
              </w:rPr>
              <w:t>km</w:t>
            </w:r>
            <w:r>
              <w:rPr>
                <w:color w:val="auto"/>
                <w:kern w:val="0"/>
                <w:sz w:val="24"/>
                <w:szCs w:val="24"/>
                <w:vertAlign w:val="superscript"/>
              </w:rPr>
              <w:t>2</w:t>
            </w:r>
          </w:p>
        </w:tc>
        <w:tc>
          <w:tcPr>
            <w:tcW w:w="1344" w:type="dxa"/>
            <w:vAlign w:val="center"/>
          </w:tcPr>
          <w:p w14:paraId="14A8A440">
            <w:pPr>
              <w:widowControl/>
              <w:spacing w:line="240" w:lineRule="auto"/>
              <w:ind w:firstLine="0" w:firstLineChars="0"/>
              <w:jc w:val="center"/>
              <w:rPr>
                <w:color w:val="auto"/>
                <w:kern w:val="0"/>
                <w:sz w:val="24"/>
                <w:szCs w:val="24"/>
              </w:rPr>
            </w:pPr>
          </w:p>
        </w:tc>
      </w:tr>
      <w:tr w14:paraId="77EDA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continue"/>
            <w:vAlign w:val="center"/>
          </w:tcPr>
          <w:p w14:paraId="495B9F63">
            <w:pPr>
              <w:spacing w:line="240" w:lineRule="auto"/>
              <w:ind w:firstLine="0" w:firstLineChars="0"/>
              <w:jc w:val="center"/>
              <w:rPr>
                <w:color w:val="auto"/>
                <w:sz w:val="24"/>
                <w:szCs w:val="24"/>
              </w:rPr>
            </w:pPr>
          </w:p>
        </w:tc>
        <w:tc>
          <w:tcPr>
            <w:tcW w:w="3628" w:type="dxa"/>
            <w:shd w:val="clear" w:color="auto" w:fill="auto"/>
            <w:vAlign w:val="center"/>
          </w:tcPr>
          <w:p w14:paraId="673D0A95">
            <w:pPr>
              <w:widowControl/>
              <w:spacing w:line="240" w:lineRule="auto"/>
              <w:ind w:firstLine="0" w:firstLineChars="0"/>
              <w:rPr>
                <w:color w:val="auto"/>
                <w:kern w:val="0"/>
                <w:sz w:val="24"/>
                <w:szCs w:val="24"/>
              </w:rPr>
            </w:pPr>
            <w:r>
              <w:rPr>
                <w:color w:val="auto"/>
                <w:kern w:val="0"/>
                <w:sz w:val="24"/>
                <w:szCs w:val="24"/>
              </w:rPr>
              <w:t>1</w:t>
            </w:r>
            <w:r>
              <w:rPr>
                <w:rFonts w:hint="eastAsia" w:ascii="宋体" w:hAnsi="宋体" w:eastAsia="宋体" w:cs="宋体"/>
                <w:color w:val="auto"/>
                <w:kern w:val="0"/>
                <w:sz w:val="24"/>
                <w:szCs w:val="24"/>
              </w:rPr>
              <w:t>∶</w:t>
            </w:r>
            <w:r>
              <w:rPr>
                <w:color w:val="auto"/>
                <w:kern w:val="0"/>
                <w:sz w:val="24"/>
                <w:szCs w:val="24"/>
              </w:rPr>
              <w:t>10000水工环调查</w:t>
            </w:r>
          </w:p>
        </w:tc>
        <w:tc>
          <w:tcPr>
            <w:tcW w:w="1344" w:type="dxa"/>
            <w:shd w:val="clear" w:color="auto" w:fill="auto"/>
            <w:vAlign w:val="center"/>
          </w:tcPr>
          <w:p w14:paraId="577CD4E9">
            <w:pPr>
              <w:widowControl/>
              <w:spacing w:line="240" w:lineRule="auto"/>
              <w:ind w:firstLine="0" w:firstLineChars="0"/>
              <w:jc w:val="center"/>
              <w:rPr>
                <w:color w:val="auto"/>
                <w:kern w:val="0"/>
                <w:sz w:val="24"/>
                <w:szCs w:val="24"/>
              </w:rPr>
            </w:pPr>
            <w:r>
              <w:rPr>
                <w:color w:val="auto"/>
                <w:kern w:val="0"/>
                <w:sz w:val="24"/>
                <w:szCs w:val="24"/>
              </w:rPr>
              <w:t>10.0</w:t>
            </w:r>
          </w:p>
        </w:tc>
        <w:tc>
          <w:tcPr>
            <w:tcW w:w="1344" w:type="dxa"/>
            <w:shd w:val="clear" w:color="auto" w:fill="auto"/>
            <w:vAlign w:val="center"/>
          </w:tcPr>
          <w:p w14:paraId="63609652">
            <w:pPr>
              <w:widowControl/>
              <w:spacing w:line="240" w:lineRule="auto"/>
              <w:ind w:firstLine="0" w:firstLineChars="0"/>
              <w:jc w:val="center"/>
              <w:rPr>
                <w:color w:val="auto"/>
                <w:kern w:val="0"/>
                <w:sz w:val="24"/>
                <w:szCs w:val="24"/>
              </w:rPr>
            </w:pPr>
            <w:r>
              <w:rPr>
                <w:color w:val="auto"/>
                <w:kern w:val="0"/>
                <w:sz w:val="24"/>
                <w:szCs w:val="24"/>
              </w:rPr>
              <w:t>km</w:t>
            </w:r>
            <w:r>
              <w:rPr>
                <w:color w:val="auto"/>
                <w:kern w:val="0"/>
                <w:sz w:val="24"/>
                <w:szCs w:val="24"/>
                <w:vertAlign w:val="superscript"/>
              </w:rPr>
              <w:t>2</w:t>
            </w:r>
          </w:p>
        </w:tc>
        <w:tc>
          <w:tcPr>
            <w:tcW w:w="1344" w:type="dxa"/>
            <w:vAlign w:val="center"/>
          </w:tcPr>
          <w:p w14:paraId="69F31059">
            <w:pPr>
              <w:widowControl/>
              <w:spacing w:line="240" w:lineRule="auto"/>
              <w:ind w:firstLine="0" w:firstLineChars="0"/>
              <w:jc w:val="center"/>
              <w:rPr>
                <w:color w:val="auto"/>
                <w:kern w:val="0"/>
                <w:sz w:val="24"/>
                <w:szCs w:val="24"/>
              </w:rPr>
            </w:pPr>
          </w:p>
        </w:tc>
      </w:tr>
      <w:tr w14:paraId="45CA6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continue"/>
            <w:vAlign w:val="center"/>
          </w:tcPr>
          <w:p w14:paraId="7A20385C">
            <w:pPr>
              <w:spacing w:line="240" w:lineRule="auto"/>
              <w:ind w:firstLine="0" w:firstLineChars="0"/>
              <w:jc w:val="center"/>
              <w:rPr>
                <w:color w:val="auto"/>
                <w:sz w:val="24"/>
                <w:szCs w:val="24"/>
              </w:rPr>
            </w:pPr>
          </w:p>
        </w:tc>
        <w:tc>
          <w:tcPr>
            <w:tcW w:w="3628" w:type="dxa"/>
            <w:shd w:val="clear" w:color="auto" w:fill="auto"/>
            <w:vAlign w:val="center"/>
          </w:tcPr>
          <w:p w14:paraId="496FB0BA">
            <w:pPr>
              <w:widowControl/>
              <w:spacing w:line="240" w:lineRule="auto"/>
              <w:ind w:firstLine="0" w:firstLineChars="0"/>
              <w:rPr>
                <w:color w:val="auto"/>
                <w:kern w:val="0"/>
                <w:sz w:val="24"/>
                <w:szCs w:val="24"/>
              </w:rPr>
            </w:pPr>
            <w:r>
              <w:rPr>
                <w:color w:val="auto"/>
                <w:kern w:val="0"/>
                <w:sz w:val="24"/>
                <w:szCs w:val="24"/>
              </w:rPr>
              <w:t>钻探</w:t>
            </w:r>
          </w:p>
        </w:tc>
        <w:tc>
          <w:tcPr>
            <w:tcW w:w="1344" w:type="dxa"/>
            <w:shd w:val="clear" w:color="auto" w:fill="auto"/>
            <w:vAlign w:val="center"/>
          </w:tcPr>
          <w:p w14:paraId="416C575C">
            <w:pPr>
              <w:widowControl/>
              <w:spacing w:line="240" w:lineRule="auto"/>
              <w:ind w:firstLine="0" w:firstLineChars="0"/>
              <w:jc w:val="center"/>
              <w:rPr>
                <w:color w:val="auto"/>
                <w:kern w:val="0"/>
                <w:sz w:val="24"/>
                <w:szCs w:val="24"/>
              </w:rPr>
            </w:pPr>
            <w:r>
              <w:rPr>
                <w:color w:val="auto"/>
                <w:kern w:val="0"/>
                <w:sz w:val="24"/>
                <w:szCs w:val="24"/>
              </w:rPr>
              <w:t>272.8</w:t>
            </w:r>
          </w:p>
        </w:tc>
        <w:tc>
          <w:tcPr>
            <w:tcW w:w="1344" w:type="dxa"/>
            <w:shd w:val="clear" w:color="auto" w:fill="auto"/>
            <w:vAlign w:val="center"/>
          </w:tcPr>
          <w:p w14:paraId="4D40C634">
            <w:pPr>
              <w:widowControl/>
              <w:spacing w:line="240" w:lineRule="auto"/>
              <w:ind w:firstLine="0" w:firstLineChars="0"/>
              <w:jc w:val="center"/>
              <w:rPr>
                <w:color w:val="auto"/>
                <w:kern w:val="0"/>
                <w:sz w:val="24"/>
                <w:szCs w:val="24"/>
              </w:rPr>
            </w:pPr>
            <w:r>
              <w:rPr>
                <w:color w:val="auto"/>
                <w:kern w:val="0"/>
                <w:sz w:val="24"/>
                <w:szCs w:val="24"/>
              </w:rPr>
              <w:t>m</w:t>
            </w:r>
          </w:p>
        </w:tc>
        <w:tc>
          <w:tcPr>
            <w:tcW w:w="1344" w:type="dxa"/>
            <w:vAlign w:val="center"/>
          </w:tcPr>
          <w:p w14:paraId="0037E034">
            <w:pPr>
              <w:widowControl/>
              <w:spacing w:line="240" w:lineRule="auto"/>
              <w:ind w:firstLine="0" w:firstLineChars="0"/>
              <w:jc w:val="center"/>
              <w:rPr>
                <w:color w:val="auto"/>
                <w:kern w:val="0"/>
                <w:sz w:val="24"/>
                <w:szCs w:val="24"/>
              </w:rPr>
            </w:pPr>
          </w:p>
        </w:tc>
      </w:tr>
      <w:tr w14:paraId="498F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continue"/>
            <w:vAlign w:val="center"/>
          </w:tcPr>
          <w:p w14:paraId="33B9DC3C">
            <w:pPr>
              <w:spacing w:line="240" w:lineRule="auto"/>
              <w:ind w:firstLine="0" w:firstLineChars="0"/>
              <w:jc w:val="center"/>
              <w:rPr>
                <w:color w:val="auto"/>
                <w:sz w:val="24"/>
                <w:szCs w:val="24"/>
              </w:rPr>
            </w:pPr>
          </w:p>
        </w:tc>
        <w:tc>
          <w:tcPr>
            <w:tcW w:w="3628" w:type="dxa"/>
            <w:shd w:val="clear" w:color="auto" w:fill="auto"/>
            <w:vAlign w:val="center"/>
          </w:tcPr>
          <w:p w14:paraId="55F0EFA4">
            <w:pPr>
              <w:widowControl/>
              <w:spacing w:line="240" w:lineRule="auto"/>
              <w:ind w:firstLine="0" w:firstLineChars="0"/>
              <w:rPr>
                <w:color w:val="auto"/>
                <w:kern w:val="0"/>
                <w:sz w:val="24"/>
                <w:szCs w:val="24"/>
              </w:rPr>
            </w:pPr>
            <w:r>
              <w:rPr>
                <w:color w:val="auto"/>
                <w:kern w:val="0"/>
                <w:sz w:val="24"/>
                <w:szCs w:val="24"/>
              </w:rPr>
              <w:t>槽探（剥土）</w:t>
            </w:r>
          </w:p>
        </w:tc>
        <w:tc>
          <w:tcPr>
            <w:tcW w:w="1344" w:type="dxa"/>
            <w:shd w:val="clear" w:color="auto" w:fill="auto"/>
            <w:vAlign w:val="center"/>
          </w:tcPr>
          <w:p w14:paraId="428806B7">
            <w:pPr>
              <w:widowControl/>
              <w:spacing w:line="240" w:lineRule="auto"/>
              <w:ind w:firstLine="0" w:firstLineChars="0"/>
              <w:jc w:val="center"/>
              <w:rPr>
                <w:color w:val="auto"/>
                <w:kern w:val="0"/>
                <w:sz w:val="24"/>
                <w:szCs w:val="24"/>
              </w:rPr>
            </w:pPr>
            <w:r>
              <w:rPr>
                <w:color w:val="auto"/>
                <w:kern w:val="0"/>
                <w:sz w:val="24"/>
                <w:szCs w:val="24"/>
              </w:rPr>
              <w:t>421.6</w:t>
            </w:r>
          </w:p>
        </w:tc>
        <w:tc>
          <w:tcPr>
            <w:tcW w:w="1344" w:type="dxa"/>
            <w:shd w:val="clear" w:color="auto" w:fill="auto"/>
            <w:vAlign w:val="center"/>
          </w:tcPr>
          <w:p w14:paraId="04606B60">
            <w:pPr>
              <w:widowControl/>
              <w:spacing w:line="240" w:lineRule="auto"/>
              <w:ind w:firstLine="0" w:firstLineChars="0"/>
              <w:jc w:val="center"/>
              <w:rPr>
                <w:color w:val="auto"/>
                <w:kern w:val="0"/>
                <w:sz w:val="24"/>
                <w:szCs w:val="24"/>
              </w:rPr>
            </w:pPr>
            <w:r>
              <w:rPr>
                <w:color w:val="auto"/>
                <w:kern w:val="0"/>
                <w:sz w:val="24"/>
                <w:szCs w:val="24"/>
              </w:rPr>
              <w:t>m</w:t>
            </w:r>
            <w:r>
              <w:rPr>
                <w:color w:val="auto"/>
                <w:kern w:val="0"/>
                <w:sz w:val="24"/>
                <w:szCs w:val="24"/>
                <w:vertAlign w:val="superscript"/>
              </w:rPr>
              <w:t>3</w:t>
            </w:r>
          </w:p>
        </w:tc>
        <w:tc>
          <w:tcPr>
            <w:tcW w:w="1344" w:type="dxa"/>
            <w:vAlign w:val="center"/>
          </w:tcPr>
          <w:p w14:paraId="78275AD0">
            <w:pPr>
              <w:widowControl/>
              <w:spacing w:line="240" w:lineRule="auto"/>
              <w:ind w:firstLine="0" w:firstLineChars="0"/>
              <w:jc w:val="center"/>
              <w:rPr>
                <w:color w:val="auto"/>
                <w:kern w:val="0"/>
                <w:sz w:val="24"/>
                <w:szCs w:val="24"/>
              </w:rPr>
            </w:pPr>
          </w:p>
        </w:tc>
      </w:tr>
      <w:tr w14:paraId="3FFB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restart"/>
            <w:vAlign w:val="center"/>
          </w:tcPr>
          <w:p w14:paraId="4FFE5F89">
            <w:pPr>
              <w:spacing w:line="240" w:lineRule="auto"/>
              <w:ind w:firstLine="0" w:firstLineChars="0"/>
              <w:jc w:val="center"/>
              <w:rPr>
                <w:color w:val="auto"/>
                <w:sz w:val="24"/>
                <w:szCs w:val="24"/>
              </w:rPr>
            </w:pPr>
            <w:r>
              <w:rPr>
                <w:color w:val="auto"/>
                <w:sz w:val="24"/>
                <w:szCs w:val="24"/>
              </w:rPr>
              <w:t>南矿段</w:t>
            </w:r>
          </w:p>
        </w:tc>
        <w:tc>
          <w:tcPr>
            <w:tcW w:w="3628" w:type="dxa"/>
            <w:shd w:val="clear" w:color="auto" w:fill="auto"/>
            <w:vAlign w:val="center"/>
          </w:tcPr>
          <w:p w14:paraId="2017E914">
            <w:pPr>
              <w:widowControl/>
              <w:spacing w:line="240" w:lineRule="auto"/>
              <w:ind w:firstLine="0" w:firstLineChars="0"/>
              <w:rPr>
                <w:color w:val="auto"/>
                <w:kern w:val="0"/>
                <w:sz w:val="24"/>
                <w:szCs w:val="24"/>
              </w:rPr>
            </w:pPr>
            <w:r>
              <w:rPr>
                <w:color w:val="auto"/>
                <w:sz w:val="24"/>
                <w:szCs w:val="24"/>
              </w:rPr>
              <w:t>1</w:t>
            </w:r>
            <w:r>
              <w:rPr>
                <w:rFonts w:hint="eastAsia" w:ascii="宋体" w:hAnsi="宋体" w:eastAsia="宋体" w:cs="宋体"/>
                <w:color w:val="auto"/>
                <w:kern w:val="0"/>
                <w:sz w:val="24"/>
                <w:szCs w:val="24"/>
              </w:rPr>
              <w:t>∶</w:t>
            </w:r>
            <w:r>
              <w:rPr>
                <w:color w:val="auto"/>
                <w:sz w:val="24"/>
                <w:szCs w:val="24"/>
              </w:rPr>
              <w:t>2000地形地质测量</w:t>
            </w:r>
          </w:p>
        </w:tc>
        <w:tc>
          <w:tcPr>
            <w:tcW w:w="1344" w:type="dxa"/>
            <w:shd w:val="clear" w:color="auto" w:fill="auto"/>
            <w:vAlign w:val="center"/>
          </w:tcPr>
          <w:p w14:paraId="3FAA3C66">
            <w:pPr>
              <w:widowControl/>
              <w:spacing w:line="240" w:lineRule="auto"/>
              <w:ind w:firstLine="0" w:firstLineChars="0"/>
              <w:jc w:val="center"/>
              <w:rPr>
                <w:color w:val="auto"/>
                <w:kern w:val="0"/>
                <w:sz w:val="24"/>
                <w:szCs w:val="24"/>
              </w:rPr>
            </w:pPr>
            <w:r>
              <w:rPr>
                <w:color w:val="auto"/>
                <w:sz w:val="24"/>
                <w:szCs w:val="24"/>
              </w:rPr>
              <w:t>3.23</w:t>
            </w:r>
          </w:p>
        </w:tc>
        <w:tc>
          <w:tcPr>
            <w:tcW w:w="1344" w:type="dxa"/>
            <w:shd w:val="clear" w:color="auto" w:fill="auto"/>
            <w:vAlign w:val="center"/>
          </w:tcPr>
          <w:p w14:paraId="60A3A473">
            <w:pPr>
              <w:widowControl/>
              <w:spacing w:line="240" w:lineRule="auto"/>
              <w:ind w:firstLine="0" w:firstLineChars="0"/>
              <w:jc w:val="center"/>
              <w:rPr>
                <w:color w:val="auto"/>
                <w:sz w:val="24"/>
                <w:szCs w:val="24"/>
              </w:rPr>
            </w:pPr>
            <w:r>
              <w:rPr>
                <w:color w:val="auto"/>
                <w:kern w:val="0"/>
                <w:sz w:val="24"/>
                <w:szCs w:val="24"/>
              </w:rPr>
              <w:t>km</w:t>
            </w:r>
            <w:r>
              <w:rPr>
                <w:color w:val="auto"/>
                <w:kern w:val="0"/>
                <w:sz w:val="24"/>
                <w:szCs w:val="24"/>
                <w:vertAlign w:val="superscript"/>
              </w:rPr>
              <w:t>2</w:t>
            </w:r>
          </w:p>
        </w:tc>
        <w:tc>
          <w:tcPr>
            <w:tcW w:w="1344" w:type="dxa"/>
            <w:vAlign w:val="center"/>
          </w:tcPr>
          <w:p w14:paraId="67286871">
            <w:pPr>
              <w:widowControl/>
              <w:spacing w:line="240" w:lineRule="auto"/>
              <w:ind w:firstLine="0" w:firstLineChars="0"/>
              <w:jc w:val="center"/>
              <w:rPr>
                <w:color w:val="auto"/>
                <w:kern w:val="0"/>
                <w:sz w:val="24"/>
                <w:szCs w:val="24"/>
              </w:rPr>
            </w:pPr>
          </w:p>
        </w:tc>
      </w:tr>
      <w:tr w14:paraId="148F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continue"/>
            <w:vAlign w:val="center"/>
          </w:tcPr>
          <w:p w14:paraId="7054F776">
            <w:pPr>
              <w:spacing w:line="240" w:lineRule="auto"/>
              <w:ind w:firstLine="0" w:firstLineChars="0"/>
              <w:jc w:val="center"/>
              <w:rPr>
                <w:color w:val="auto"/>
                <w:sz w:val="24"/>
                <w:szCs w:val="24"/>
              </w:rPr>
            </w:pPr>
          </w:p>
        </w:tc>
        <w:tc>
          <w:tcPr>
            <w:tcW w:w="3628" w:type="dxa"/>
            <w:shd w:val="clear" w:color="auto" w:fill="auto"/>
            <w:vAlign w:val="center"/>
          </w:tcPr>
          <w:p w14:paraId="4ADB336C">
            <w:pPr>
              <w:widowControl/>
              <w:spacing w:line="240" w:lineRule="auto"/>
              <w:ind w:firstLine="0" w:firstLineChars="0"/>
              <w:rPr>
                <w:color w:val="auto"/>
                <w:kern w:val="0"/>
                <w:sz w:val="24"/>
                <w:szCs w:val="24"/>
              </w:rPr>
            </w:pPr>
            <w:r>
              <w:rPr>
                <w:color w:val="auto"/>
                <w:sz w:val="24"/>
                <w:szCs w:val="24"/>
              </w:rPr>
              <w:t>1</w:t>
            </w:r>
            <w:r>
              <w:rPr>
                <w:rFonts w:hint="eastAsia" w:ascii="宋体" w:hAnsi="宋体" w:eastAsia="宋体" w:cs="宋体"/>
                <w:color w:val="auto"/>
                <w:kern w:val="0"/>
                <w:sz w:val="24"/>
                <w:szCs w:val="24"/>
              </w:rPr>
              <w:t>∶</w:t>
            </w:r>
            <w:r>
              <w:rPr>
                <w:color w:val="auto"/>
                <w:sz w:val="24"/>
                <w:szCs w:val="24"/>
              </w:rPr>
              <w:t>1000地形地质剖面测量</w:t>
            </w:r>
          </w:p>
        </w:tc>
        <w:tc>
          <w:tcPr>
            <w:tcW w:w="1344" w:type="dxa"/>
            <w:shd w:val="clear" w:color="auto" w:fill="auto"/>
            <w:vAlign w:val="center"/>
          </w:tcPr>
          <w:p w14:paraId="0A77E23E">
            <w:pPr>
              <w:widowControl/>
              <w:spacing w:line="240" w:lineRule="auto"/>
              <w:ind w:firstLine="0" w:firstLineChars="0"/>
              <w:jc w:val="center"/>
              <w:rPr>
                <w:color w:val="auto"/>
                <w:kern w:val="0"/>
                <w:sz w:val="24"/>
                <w:szCs w:val="24"/>
              </w:rPr>
            </w:pPr>
            <w:r>
              <w:rPr>
                <w:color w:val="auto"/>
                <w:sz w:val="24"/>
                <w:szCs w:val="24"/>
              </w:rPr>
              <w:t>4197.95</w:t>
            </w:r>
          </w:p>
        </w:tc>
        <w:tc>
          <w:tcPr>
            <w:tcW w:w="1344" w:type="dxa"/>
            <w:shd w:val="clear" w:color="auto" w:fill="auto"/>
            <w:vAlign w:val="center"/>
          </w:tcPr>
          <w:p w14:paraId="77BA15AA">
            <w:pPr>
              <w:widowControl/>
              <w:spacing w:line="240" w:lineRule="auto"/>
              <w:ind w:firstLine="0" w:firstLineChars="0"/>
              <w:jc w:val="center"/>
              <w:rPr>
                <w:color w:val="auto"/>
                <w:sz w:val="24"/>
                <w:szCs w:val="24"/>
              </w:rPr>
            </w:pPr>
            <w:r>
              <w:rPr>
                <w:color w:val="auto"/>
                <w:sz w:val="24"/>
                <w:szCs w:val="24"/>
              </w:rPr>
              <w:t>m</w:t>
            </w:r>
          </w:p>
        </w:tc>
        <w:tc>
          <w:tcPr>
            <w:tcW w:w="1344" w:type="dxa"/>
            <w:vAlign w:val="center"/>
          </w:tcPr>
          <w:p w14:paraId="4338ED92">
            <w:pPr>
              <w:widowControl/>
              <w:spacing w:line="240" w:lineRule="auto"/>
              <w:ind w:firstLine="0" w:firstLineChars="0"/>
              <w:jc w:val="center"/>
              <w:rPr>
                <w:color w:val="auto"/>
                <w:sz w:val="24"/>
                <w:szCs w:val="24"/>
              </w:rPr>
            </w:pPr>
          </w:p>
        </w:tc>
      </w:tr>
      <w:tr w14:paraId="0FA0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continue"/>
            <w:vAlign w:val="center"/>
          </w:tcPr>
          <w:p w14:paraId="3E6A3DAD">
            <w:pPr>
              <w:spacing w:line="240" w:lineRule="auto"/>
              <w:ind w:firstLine="0" w:firstLineChars="0"/>
              <w:jc w:val="center"/>
              <w:rPr>
                <w:color w:val="auto"/>
                <w:sz w:val="24"/>
                <w:szCs w:val="24"/>
              </w:rPr>
            </w:pPr>
          </w:p>
        </w:tc>
        <w:tc>
          <w:tcPr>
            <w:tcW w:w="3628" w:type="dxa"/>
            <w:shd w:val="clear" w:color="auto" w:fill="auto"/>
            <w:vAlign w:val="center"/>
          </w:tcPr>
          <w:p w14:paraId="1BC8E3D0">
            <w:pPr>
              <w:widowControl/>
              <w:spacing w:line="240" w:lineRule="auto"/>
              <w:ind w:firstLine="0" w:firstLineChars="0"/>
              <w:rPr>
                <w:color w:val="auto"/>
                <w:kern w:val="0"/>
                <w:sz w:val="24"/>
                <w:szCs w:val="24"/>
              </w:rPr>
            </w:pPr>
            <w:r>
              <w:rPr>
                <w:color w:val="auto"/>
                <w:sz w:val="24"/>
                <w:szCs w:val="24"/>
              </w:rPr>
              <w:t>1</w:t>
            </w:r>
            <w:r>
              <w:rPr>
                <w:rFonts w:hint="eastAsia" w:ascii="宋体" w:hAnsi="宋体" w:eastAsia="宋体" w:cs="宋体"/>
                <w:color w:val="auto"/>
                <w:kern w:val="0"/>
                <w:sz w:val="24"/>
                <w:szCs w:val="24"/>
              </w:rPr>
              <w:t>∶</w:t>
            </w:r>
            <w:r>
              <w:rPr>
                <w:color w:val="auto"/>
                <w:sz w:val="24"/>
                <w:szCs w:val="24"/>
              </w:rPr>
              <w:t>2000矿区水文地质测量</w:t>
            </w:r>
          </w:p>
        </w:tc>
        <w:tc>
          <w:tcPr>
            <w:tcW w:w="1344" w:type="dxa"/>
            <w:shd w:val="clear" w:color="auto" w:fill="auto"/>
            <w:vAlign w:val="center"/>
          </w:tcPr>
          <w:p w14:paraId="204930B7">
            <w:pPr>
              <w:widowControl/>
              <w:spacing w:line="240" w:lineRule="auto"/>
              <w:ind w:firstLine="0" w:firstLineChars="0"/>
              <w:jc w:val="center"/>
              <w:rPr>
                <w:color w:val="auto"/>
                <w:kern w:val="0"/>
                <w:sz w:val="24"/>
                <w:szCs w:val="24"/>
              </w:rPr>
            </w:pPr>
            <w:r>
              <w:rPr>
                <w:color w:val="auto"/>
                <w:sz w:val="24"/>
                <w:szCs w:val="24"/>
              </w:rPr>
              <w:t>3.23</w:t>
            </w:r>
          </w:p>
        </w:tc>
        <w:tc>
          <w:tcPr>
            <w:tcW w:w="1344" w:type="dxa"/>
            <w:shd w:val="clear" w:color="auto" w:fill="auto"/>
            <w:vAlign w:val="center"/>
          </w:tcPr>
          <w:p w14:paraId="7189051F">
            <w:pPr>
              <w:widowControl/>
              <w:spacing w:line="240" w:lineRule="auto"/>
              <w:ind w:firstLine="0" w:firstLineChars="0"/>
              <w:jc w:val="center"/>
              <w:rPr>
                <w:color w:val="auto"/>
                <w:sz w:val="24"/>
                <w:szCs w:val="24"/>
              </w:rPr>
            </w:pPr>
            <w:r>
              <w:rPr>
                <w:color w:val="auto"/>
                <w:kern w:val="0"/>
                <w:sz w:val="24"/>
                <w:szCs w:val="24"/>
              </w:rPr>
              <w:t>km</w:t>
            </w:r>
            <w:r>
              <w:rPr>
                <w:color w:val="auto"/>
                <w:kern w:val="0"/>
                <w:sz w:val="24"/>
                <w:szCs w:val="24"/>
                <w:vertAlign w:val="superscript"/>
              </w:rPr>
              <w:t>2</w:t>
            </w:r>
          </w:p>
        </w:tc>
        <w:tc>
          <w:tcPr>
            <w:tcW w:w="1344" w:type="dxa"/>
            <w:vAlign w:val="center"/>
          </w:tcPr>
          <w:p w14:paraId="0CBB8BA4">
            <w:pPr>
              <w:widowControl/>
              <w:spacing w:line="240" w:lineRule="auto"/>
              <w:ind w:firstLine="0" w:firstLineChars="0"/>
              <w:jc w:val="center"/>
              <w:rPr>
                <w:color w:val="auto"/>
                <w:kern w:val="0"/>
                <w:sz w:val="24"/>
                <w:szCs w:val="24"/>
              </w:rPr>
            </w:pPr>
          </w:p>
        </w:tc>
      </w:tr>
      <w:tr w14:paraId="6BAC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continue"/>
            <w:vAlign w:val="center"/>
          </w:tcPr>
          <w:p w14:paraId="43D393BF">
            <w:pPr>
              <w:spacing w:line="240" w:lineRule="auto"/>
              <w:ind w:firstLine="0" w:firstLineChars="0"/>
              <w:jc w:val="center"/>
              <w:rPr>
                <w:color w:val="auto"/>
                <w:sz w:val="24"/>
                <w:szCs w:val="24"/>
              </w:rPr>
            </w:pPr>
          </w:p>
        </w:tc>
        <w:tc>
          <w:tcPr>
            <w:tcW w:w="3628" w:type="dxa"/>
            <w:shd w:val="clear" w:color="auto" w:fill="auto"/>
            <w:vAlign w:val="center"/>
          </w:tcPr>
          <w:p w14:paraId="7AEE4080">
            <w:pPr>
              <w:widowControl/>
              <w:spacing w:line="240" w:lineRule="auto"/>
              <w:ind w:firstLine="0" w:firstLineChars="0"/>
              <w:rPr>
                <w:color w:val="auto"/>
                <w:sz w:val="24"/>
                <w:szCs w:val="24"/>
              </w:rPr>
            </w:pPr>
            <w:r>
              <w:rPr>
                <w:color w:val="auto"/>
                <w:sz w:val="24"/>
                <w:szCs w:val="24"/>
              </w:rPr>
              <w:t>1</w:t>
            </w:r>
            <w:r>
              <w:rPr>
                <w:rFonts w:hint="eastAsia" w:ascii="宋体" w:hAnsi="宋体" w:eastAsia="宋体" w:cs="宋体"/>
                <w:color w:val="auto"/>
                <w:kern w:val="0"/>
                <w:sz w:val="24"/>
                <w:szCs w:val="24"/>
              </w:rPr>
              <w:t>∶</w:t>
            </w:r>
            <w:r>
              <w:rPr>
                <w:color w:val="auto"/>
                <w:sz w:val="24"/>
                <w:szCs w:val="24"/>
              </w:rPr>
              <w:t>50000区域水文地质调查</w:t>
            </w:r>
          </w:p>
        </w:tc>
        <w:tc>
          <w:tcPr>
            <w:tcW w:w="1344" w:type="dxa"/>
            <w:shd w:val="clear" w:color="auto" w:fill="auto"/>
            <w:vAlign w:val="center"/>
          </w:tcPr>
          <w:p w14:paraId="306D6647">
            <w:pPr>
              <w:widowControl/>
              <w:spacing w:line="240" w:lineRule="auto"/>
              <w:ind w:firstLine="0" w:firstLineChars="0"/>
              <w:jc w:val="center"/>
              <w:rPr>
                <w:color w:val="auto"/>
                <w:sz w:val="24"/>
                <w:szCs w:val="24"/>
              </w:rPr>
            </w:pPr>
            <w:r>
              <w:rPr>
                <w:color w:val="auto"/>
                <w:sz w:val="24"/>
                <w:szCs w:val="24"/>
              </w:rPr>
              <w:t>80Km</w:t>
            </w:r>
            <w:r>
              <w:rPr>
                <w:color w:val="auto"/>
                <w:sz w:val="24"/>
                <w:szCs w:val="24"/>
                <w:vertAlign w:val="superscript"/>
              </w:rPr>
              <w:t>2</w:t>
            </w:r>
          </w:p>
        </w:tc>
        <w:tc>
          <w:tcPr>
            <w:tcW w:w="1344" w:type="dxa"/>
            <w:shd w:val="clear" w:color="auto" w:fill="auto"/>
            <w:vAlign w:val="center"/>
          </w:tcPr>
          <w:p w14:paraId="31523265">
            <w:pPr>
              <w:widowControl/>
              <w:spacing w:line="240" w:lineRule="auto"/>
              <w:ind w:firstLine="0" w:firstLineChars="0"/>
              <w:jc w:val="center"/>
              <w:rPr>
                <w:color w:val="auto"/>
                <w:sz w:val="24"/>
                <w:szCs w:val="24"/>
              </w:rPr>
            </w:pPr>
            <w:r>
              <w:rPr>
                <w:color w:val="auto"/>
                <w:kern w:val="0"/>
                <w:sz w:val="24"/>
                <w:szCs w:val="24"/>
              </w:rPr>
              <w:t>km</w:t>
            </w:r>
            <w:r>
              <w:rPr>
                <w:color w:val="auto"/>
                <w:kern w:val="0"/>
                <w:sz w:val="24"/>
                <w:szCs w:val="24"/>
                <w:vertAlign w:val="superscript"/>
              </w:rPr>
              <w:t>2</w:t>
            </w:r>
          </w:p>
        </w:tc>
        <w:tc>
          <w:tcPr>
            <w:tcW w:w="1344" w:type="dxa"/>
            <w:vAlign w:val="center"/>
          </w:tcPr>
          <w:p w14:paraId="2257839B">
            <w:pPr>
              <w:widowControl/>
              <w:spacing w:line="240" w:lineRule="auto"/>
              <w:ind w:firstLine="0" w:firstLineChars="0"/>
              <w:jc w:val="center"/>
              <w:rPr>
                <w:color w:val="auto"/>
                <w:kern w:val="0"/>
                <w:sz w:val="24"/>
                <w:szCs w:val="24"/>
              </w:rPr>
            </w:pPr>
          </w:p>
        </w:tc>
      </w:tr>
      <w:tr w14:paraId="4842D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continue"/>
            <w:vAlign w:val="center"/>
          </w:tcPr>
          <w:p w14:paraId="73FD36BA">
            <w:pPr>
              <w:spacing w:line="240" w:lineRule="auto"/>
              <w:ind w:firstLine="0" w:firstLineChars="0"/>
              <w:jc w:val="center"/>
              <w:rPr>
                <w:color w:val="auto"/>
                <w:sz w:val="24"/>
                <w:szCs w:val="24"/>
              </w:rPr>
            </w:pPr>
          </w:p>
        </w:tc>
        <w:tc>
          <w:tcPr>
            <w:tcW w:w="3628" w:type="dxa"/>
            <w:shd w:val="clear" w:color="auto" w:fill="auto"/>
            <w:vAlign w:val="center"/>
          </w:tcPr>
          <w:p w14:paraId="012CBB37">
            <w:pPr>
              <w:widowControl/>
              <w:spacing w:line="240" w:lineRule="auto"/>
              <w:ind w:firstLine="0" w:firstLineChars="0"/>
              <w:rPr>
                <w:color w:val="auto"/>
                <w:kern w:val="0"/>
                <w:sz w:val="24"/>
                <w:szCs w:val="24"/>
              </w:rPr>
            </w:pPr>
            <w:r>
              <w:rPr>
                <w:color w:val="auto"/>
                <w:sz w:val="24"/>
                <w:szCs w:val="24"/>
              </w:rPr>
              <w:t>钻探进尺</w:t>
            </w:r>
          </w:p>
        </w:tc>
        <w:tc>
          <w:tcPr>
            <w:tcW w:w="1344" w:type="dxa"/>
            <w:shd w:val="clear" w:color="auto" w:fill="auto"/>
            <w:vAlign w:val="center"/>
          </w:tcPr>
          <w:p w14:paraId="752356A4">
            <w:pPr>
              <w:widowControl/>
              <w:spacing w:line="240" w:lineRule="auto"/>
              <w:ind w:firstLine="0" w:firstLineChars="0"/>
              <w:jc w:val="center"/>
              <w:rPr>
                <w:color w:val="auto"/>
                <w:kern w:val="0"/>
                <w:sz w:val="24"/>
                <w:szCs w:val="24"/>
              </w:rPr>
            </w:pPr>
            <w:r>
              <w:rPr>
                <w:color w:val="auto"/>
                <w:sz w:val="24"/>
                <w:szCs w:val="24"/>
              </w:rPr>
              <w:t>1272.70m</w:t>
            </w:r>
          </w:p>
        </w:tc>
        <w:tc>
          <w:tcPr>
            <w:tcW w:w="1344" w:type="dxa"/>
            <w:shd w:val="clear" w:color="auto" w:fill="auto"/>
            <w:vAlign w:val="center"/>
          </w:tcPr>
          <w:p w14:paraId="6C7C3B85">
            <w:pPr>
              <w:widowControl/>
              <w:spacing w:line="240" w:lineRule="auto"/>
              <w:ind w:firstLine="0" w:firstLineChars="0"/>
              <w:jc w:val="center"/>
              <w:rPr>
                <w:color w:val="auto"/>
                <w:sz w:val="24"/>
                <w:szCs w:val="24"/>
              </w:rPr>
            </w:pPr>
            <w:r>
              <w:rPr>
                <w:color w:val="auto"/>
                <w:sz w:val="24"/>
                <w:szCs w:val="24"/>
              </w:rPr>
              <w:t>m</w:t>
            </w:r>
          </w:p>
        </w:tc>
        <w:tc>
          <w:tcPr>
            <w:tcW w:w="1344" w:type="dxa"/>
            <w:vAlign w:val="center"/>
          </w:tcPr>
          <w:p w14:paraId="0AA52E2F">
            <w:pPr>
              <w:widowControl/>
              <w:spacing w:line="240" w:lineRule="auto"/>
              <w:ind w:firstLine="0" w:firstLineChars="0"/>
              <w:jc w:val="center"/>
              <w:rPr>
                <w:color w:val="auto"/>
                <w:sz w:val="24"/>
                <w:szCs w:val="24"/>
              </w:rPr>
            </w:pPr>
            <w:r>
              <w:rPr>
                <w:color w:val="auto"/>
                <w:sz w:val="24"/>
                <w:szCs w:val="24"/>
              </w:rPr>
              <w:t>本次利用</w:t>
            </w:r>
          </w:p>
        </w:tc>
      </w:tr>
      <w:tr w14:paraId="74D7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restart"/>
            <w:vAlign w:val="center"/>
          </w:tcPr>
          <w:p w14:paraId="5A7588EC">
            <w:pPr>
              <w:spacing w:line="240" w:lineRule="auto"/>
              <w:ind w:firstLine="0" w:firstLineChars="0"/>
              <w:jc w:val="center"/>
              <w:rPr>
                <w:color w:val="auto"/>
                <w:sz w:val="24"/>
                <w:szCs w:val="24"/>
              </w:rPr>
            </w:pPr>
            <w:r>
              <w:rPr>
                <w:color w:val="auto"/>
                <w:sz w:val="24"/>
                <w:szCs w:val="24"/>
              </w:rPr>
              <w:t>北矿段</w:t>
            </w:r>
          </w:p>
        </w:tc>
        <w:tc>
          <w:tcPr>
            <w:tcW w:w="3628" w:type="dxa"/>
            <w:shd w:val="clear" w:color="auto" w:fill="auto"/>
            <w:vAlign w:val="center"/>
          </w:tcPr>
          <w:p w14:paraId="13256FB3">
            <w:pPr>
              <w:widowControl/>
              <w:spacing w:line="240" w:lineRule="auto"/>
              <w:ind w:firstLine="0" w:firstLineChars="0"/>
              <w:rPr>
                <w:color w:val="auto"/>
                <w:kern w:val="0"/>
                <w:sz w:val="24"/>
                <w:szCs w:val="24"/>
              </w:rPr>
            </w:pPr>
            <w:r>
              <w:rPr>
                <w:color w:val="auto"/>
                <w:sz w:val="24"/>
                <w:szCs w:val="24"/>
              </w:rPr>
              <w:t>1</w:t>
            </w:r>
            <w:r>
              <w:rPr>
                <w:rFonts w:hint="eastAsia" w:ascii="宋体" w:hAnsi="宋体" w:eastAsia="宋体" w:cs="宋体"/>
                <w:color w:val="auto"/>
                <w:kern w:val="0"/>
                <w:sz w:val="24"/>
                <w:szCs w:val="24"/>
              </w:rPr>
              <w:t>∶</w:t>
            </w:r>
            <w:r>
              <w:rPr>
                <w:color w:val="auto"/>
                <w:sz w:val="24"/>
                <w:szCs w:val="24"/>
              </w:rPr>
              <w:t>2000地形地质测量</w:t>
            </w:r>
          </w:p>
        </w:tc>
        <w:tc>
          <w:tcPr>
            <w:tcW w:w="1344" w:type="dxa"/>
            <w:shd w:val="clear" w:color="auto" w:fill="auto"/>
            <w:vAlign w:val="center"/>
          </w:tcPr>
          <w:p w14:paraId="1D9AF912">
            <w:pPr>
              <w:widowControl/>
              <w:spacing w:line="240" w:lineRule="auto"/>
              <w:ind w:firstLine="0" w:firstLineChars="0"/>
              <w:jc w:val="center"/>
              <w:rPr>
                <w:color w:val="auto"/>
                <w:kern w:val="0"/>
                <w:sz w:val="24"/>
                <w:szCs w:val="24"/>
              </w:rPr>
            </w:pPr>
            <w:r>
              <w:rPr>
                <w:color w:val="auto"/>
                <w:sz w:val="24"/>
                <w:szCs w:val="24"/>
              </w:rPr>
              <w:t>3.23</w:t>
            </w:r>
          </w:p>
        </w:tc>
        <w:tc>
          <w:tcPr>
            <w:tcW w:w="1344" w:type="dxa"/>
            <w:shd w:val="clear" w:color="auto" w:fill="auto"/>
            <w:vAlign w:val="center"/>
          </w:tcPr>
          <w:p w14:paraId="2B9246CC">
            <w:pPr>
              <w:widowControl/>
              <w:spacing w:line="240" w:lineRule="auto"/>
              <w:ind w:firstLine="0" w:firstLineChars="0"/>
              <w:jc w:val="center"/>
              <w:rPr>
                <w:color w:val="auto"/>
                <w:sz w:val="24"/>
                <w:szCs w:val="24"/>
              </w:rPr>
            </w:pPr>
            <w:r>
              <w:rPr>
                <w:color w:val="auto"/>
                <w:kern w:val="0"/>
                <w:sz w:val="24"/>
                <w:szCs w:val="24"/>
              </w:rPr>
              <w:t>km</w:t>
            </w:r>
            <w:r>
              <w:rPr>
                <w:color w:val="auto"/>
                <w:kern w:val="0"/>
                <w:sz w:val="24"/>
                <w:szCs w:val="24"/>
                <w:vertAlign w:val="superscript"/>
              </w:rPr>
              <w:t>2</w:t>
            </w:r>
          </w:p>
        </w:tc>
        <w:tc>
          <w:tcPr>
            <w:tcW w:w="1344" w:type="dxa"/>
            <w:vAlign w:val="center"/>
          </w:tcPr>
          <w:p w14:paraId="53BB2376">
            <w:pPr>
              <w:widowControl/>
              <w:spacing w:line="240" w:lineRule="auto"/>
              <w:ind w:firstLine="0" w:firstLineChars="0"/>
              <w:jc w:val="center"/>
              <w:rPr>
                <w:color w:val="auto"/>
                <w:kern w:val="0"/>
                <w:sz w:val="24"/>
                <w:szCs w:val="24"/>
              </w:rPr>
            </w:pPr>
          </w:p>
        </w:tc>
      </w:tr>
      <w:tr w14:paraId="4963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continue"/>
            <w:vAlign w:val="center"/>
          </w:tcPr>
          <w:p w14:paraId="31966180">
            <w:pPr>
              <w:spacing w:line="240" w:lineRule="auto"/>
              <w:ind w:firstLine="0" w:firstLineChars="0"/>
              <w:jc w:val="center"/>
              <w:rPr>
                <w:color w:val="auto"/>
                <w:sz w:val="24"/>
                <w:szCs w:val="24"/>
              </w:rPr>
            </w:pPr>
          </w:p>
        </w:tc>
        <w:tc>
          <w:tcPr>
            <w:tcW w:w="3628" w:type="dxa"/>
            <w:shd w:val="clear" w:color="auto" w:fill="auto"/>
            <w:vAlign w:val="center"/>
          </w:tcPr>
          <w:p w14:paraId="7AF8D305">
            <w:pPr>
              <w:widowControl/>
              <w:spacing w:line="240" w:lineRule="auto"/>
              <w:ind w:firstLine="0" w:firstLineChars="0"/>
              <w:rPr>
                <w:color w:val="auto"/>
                <w:kern w:val="0"/>
                <w:sz w:val="24"/>
                <w:szCs w:val="24"/>
              </w:rPr>
            </w:pPr>
            <w:r>
              <w:rPr>
                <w:color w:val="auto"/>
                <w:sz w:val="24"/>
                <w:szCs w:val="24"/>
              </w:rPr>
              <w:t>1</w:t>
            </w:r>
            <w:r>
              <w:rPr>
                <w:rFonts w:hint="eastAsia" w:ascii="宋体" w:hAnsi="宋体" w:eastAsia="宋体" w:cs="宋体"/>
                <w:color w:val="auto"/>
                <w:kern w:val="0"/>
                <w:sz w:val="24"/>
                <w:szCs w:val="24"/>
              </w:rPr>
              <w:t>∶</w:t>
            </w:r>
            <w:r>
              <w:rPr>
                <w:color w:val="auto"/>
                <w:sz w:val="24"/>
                <w:szCs w:val="24"/>
              </w:rPr>
              <w:t>1000地形地质剖面测量</w:t>
            </w:r>
          </w:p>
        </w:tc>
        <w:tc>
          <w:tcPr>
            <w:tcW w:w="1344" w:type="dxa"/>
            <w:shd w:val="clear" w:color="auto" w:fill="auto"/>
            <w:vAlign w:val="center"/>
          </w:tcPr>
          <w:p w14:paraId="0C24C56F">
            <w:pPr>
              <w:widowControl/>
              <w:spacing w:line="240" w:lineRule="auto"/>
              <w:ind w:firstLine="0" w:firstLineChars="0"/>
              <w:jc w:val="center"/>
              <w:rPr>
                <w:color w:val="auto"/>
                <w:kern w:val="0"/>
                <w:sz w:val="24"/>
                <w:szCs w:val="24"/>
              </w:rPr>
            </w:pPr>
            <w:r>
              <w:rPr>
                <w:color w:val="auto"/>
                <w:sz w:val="24"/>
                <w:szCs w:val="24"/>
              </w:rPr>
              <w:t>4197.95</w:t>
            </w:r>
          </w:p>
        </w:tc>
        <w:tc>
          <w:tcPr>
            <w:tcW w:w="1344" w:type="dxa"/>
            <w:shd w:val="clear" w:color="auto" w:fill="auto"/>
            <w:vAlign w:val="center"/>
          </w:tcPr>
          <w:p w14:paraId="7BCC0F47">
            <w:pPr>
              <w:widowControl/>
              <w:spacing w:line="240" w:lineRule="auto"/>
              <w:ind w:firstLine="0" w:firstLineChars="0"/>
              <w:jc w:val="center"/>
              <w:rPr>
                <w:color w:val="auto"/>
                <w:sz w:val="24"/>
                <w:szCs w:val="24"/>
              </w:rPr>
            </w:pPr>
            <w:r>
              <w:rPr>
                <w:color w:val="auto"/>
                <w:sz w:val="24"/>
                <w:szCs w:val="24"/>
              </w:rPr>
              <w:t>m</w:t>
            </w:r>
          </w:p>
        </w:tc>
        <w:tc>
          <w:tcPr>
            <w:tcW w:w="1344" w:type="dxa"/>
            <w:vAlign w:val="center"/>
          </w:tcPr>
          <w:p w14:paraId="2A933F2C">
            <w:pPr>
              <w:widowControl/>
              <w:spacing w:line="240" w:lineRule="auto"/>
              <w:ind w:firstLine="0" w:firstLineChars="0"/>
              <w:jc w:val="center"/>
              <w:rPr>
                <w:color w:val="auto"/>
                <w:sz w:val="24"/>
                <w:szCs w:val="24"/>
              </w:rPr>
            </w:pPr>
          </w:p>
        </w:tc>
      </w:tr>
      <w:tr w14:paraId="3ABF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continue"/>
            <w:vAlign w:val="center"/>
          </w:tcPr>
          <w:p w14:paraId="6239DFD8">
            <w:pPr>
              <w:spacing w:line="240" w:lineRule="auto"/>
              <w:ind w:firstLine="0" w:firstLineChars="0"/>
              <w:jc w:val="center"/>
              <w:rPr>
                <w:color w:val="auto"/>
                <w:sz w:val="24"/>
                <w:szCs w:val="24"/>
              </w:rPr>
            </w:pPr>
          </w:p>
        </w:tc>
        <w:tc>
          <w:tcPr>
            <w:tcW w:w="3628" w:type="dxa"/>
            <w:shd w:val="clear" w:color="auto" w:fill="auto"/>
            <w:vAlign w:val="center"/>
          </w:tcPr>
          <w:p w14:paraId="4C00CE8A">
            <w:pPr>
              <w:widowControl/>
              <w:spacing w:line="240" w:lineRule="auto"/>
              <w:ind w:firstLine="0" w:firstLineChars="0"/>
              <w:rPr>
                <w:color w:val="auto"/>
                <w:kern w:val="0"/>
                <w:sz w:val="24"/>
                <w:szCs w:val="24"/>
              </w:rPr>
            </w:pPr>
            <w:r>
              <w:rPr>
                <w:color w:val="auto"/>
                <w:sz w:val="24"/>
                <w:szCs w:val="24"/>
              </w:rPr>
              <w:t>1</w:t>
            </w:r>
            <w:r>
              <w:rPr>
                <w:rFonts w:hint="eastAsia" w:ascii="宋体" w:hAnsi="宋体" w:eastAsia="宋体" w:cs="宋体"/>
                <w:color w:val="auto"/>
                <w:kern w:val="0"/>
                <w:sz w:val="24"/>
                <w:szCs w:val="24"/>
              </w:rPr>
              <w:t>∶</w:t>
            </w:r>
            <w:r>
              <w:rPr>
                <w:color w:val="auto"/>
                <w:sz w:val="24"/>
                <w:szCs w:val="24"/>
              </w:rPr>
              <w:t>2000矿区水文地质测量</w:t>
            </w:r>
          </w:p>
        </w:tc>
        <w:tc>
          <w:tcPr>
            <w:tcW w:w="1344" w:type="dxa"/>
            <w:shd w:val="clear" w:color="auto" w:fill="auto"/>
            <w:vAlign w:val="center"/>
          </w:tcPr>
          <w:p w14:paraId="288189D3">
            <w:pPr>
              <w:widowControl/>
              <w:spacing w:line="240" w:lineRule="auto"/>
              <w:ind w:firstLine="0" w:firstLineChars="0"/>
              <w:jc w:val="center"/>
              <w:rPr>
                <w:color w:val="auto"/>
                <w:kern w:val="0"/>
                <w:sz w:val="24"/>
                <w:szCs w:val="24"/>
              </w:rPr>
            </w:pPr>
            <w:r>
              <w:rPr>
                <w:color w:val="auto"/>
                <w:sz w:val="24"/>
                <w:szCs w:val="24"/>
              </w:rPr>
              <w:t>3.23</w:t>
            </w:r>
          </w:p>
        </w:tc>
        <w:tc>
          <w:tcPr>
            <w:tcW w:w="1344" w:type="dxa"/>
            <w:shd w:val="clear" w:color="auto" w:fill="auto"/>
            <w:vAlign w:val="center"/>
          </w:tcPr>
          <w:p w14:paraId="3BD1E9AA">
            <w:pPr>
              <w:widowControl/>
              <w:spacing w:line="240" w:lineRule="auto"/>
              <w:ind w:firstLine="0" w:firstLineChars="0"/>
              <w:jc w:val="center"/>
              <w:rPr>
                <w:color w:val="auto"/>
                <w:sz w:val="24"/>
                <w:szCs w:val="24"/>
              </w:rPr>
            </w:pPr>
            <w:r>
              <w:rPr>
                <w:color w:val="auto"/>
                <w:kern w:val="0"/>
                <w:sz w:val="24"/>
                <w:szCs w:val="24"/>
              </w:rPr>
              <w:t>km</w:t>
            </w:r>
            <w:r>
              <w:rPr>
                <w:color w:val="auto"/>
                <w:kern w:val="0"/>
                <w:sz w:val="24"/>
                <w:szCs w:val="24"/>
                <w:vertAlign w:val="superscript"/>
              </w:rPr>
              <w:t>2</w:t>
            </w:r>
          </w:p>
        </w:tc>
        <w:tc>
          <w:tcPr>
            <w:tcW w:w="1344" w:type="dxa"/>
            <w:vAlign w:val="center"/>
          </w:tcPr>
          <w:p w14:paraId="20133F9D">
            <w:pPr>
              <w:widowControl/>
              <w:spacing w:line="240" w:lineRule="auto"/>
              <w:ind w:firstLine="0" w:firstLineChars="0"/>
              <w:jc w:val="center"/>
              <w:rPr>
                <w:color w:val="auto"/>
                <w:kern w:val="0"/>
                <w:sz w:val="24"/>
                <w:szCs w:val="24"/>
              </w:rPr>
            </w:pPr>
          </w:p>
        </w:tc>
      </w:tr>
      <w:tr w14:paraId="74F8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continue"/>
            <w:vAlign w:val="center"/>
          </w:tcPr>
          <w:p w14:paraId="0777459B">
            <w:pPr>
              <w:spacing w:line="240" w:lineRule="auto"/>
              <w:ind w:firstLine="0" w:firstLineChars="0"/>
              <w:jc w:val="center"/>
              <w:rPr>
                <w:color w:val="auto"/>
                <w:sz w:val="24"/>
                <w:szCs w:val="24"/>
              </w:rPr>
            </w:pPr>
          </w:p>
        </w:tc>
        <w:tc>
          <w:tcPr>
            <w:tcW w:w="3628" w:type="dxa"/>
            <w:shd w:val="clear" w:color="auto" w:fill="auto"/>
            <w:vAlign w:val="center"/>
          </w:tcPr>
          <w:p w14:paraId="03D5E64E">
            <w:pPr>
              <w:widowControl/>
              <w:spacing w:line="240" w:lineRule="auto"/>
              <w:ind w:firstLine="0" w:firstLineChars="0"/>
              <w:rPr>
                <w:color w:val="auto"/>
                <w:sz w:val="24"/>
                <w:szCs w:val="24"/>
              </w:rPr>
            </w:pPr>
            <w:r>
              <w:rPr>
                <w:color w:val="auto"/>
                <w:sz w:val="24"/>
                <w:szCs w:val="24"/>
              </w:rPr>
              <w:t>1</w:t>
            </w:r>
            <w:r>
              <w:rPr>
                <w:rFonts w:hint="eastAsia" w:ascii="宋体" w:hAnsi="宋体" w:eastAsia="宋体" w:cs="宋体"/>
                <w:color w:val="auto"/>
                <w:kern w:val="0"/>
                <w:sz w:val="24"/>
                <w:szCs w:val="24"/>
              </w:rPr>
              <w:t>∶</w:t>
            </w:r>
            <w:r>
              <w:rPr>
                <w:color w:val="auto"/>
                <w:sz w:val="24"/>
                <w:szCs w:val="24"/>
              </w:rPr>
              <w:t>50000区域水文地质调查</w:t>
            </w:r>
          </w:p>
        </w:tc>
        <w:tc>
          <w:tcPr>
            <w:tcW w:w="1344" w:type="dxa"/>
            <w:shd w:val="clear" w:color="auto" w:fill="auto"/>
            <w:vAlign w:val="center"/>
          </w:tcPr>
          <w:p w14:paraId="77490EAA">
            <w:pPr>
              <w:widowControl/>
              <w:spacing w:line="240" w:lineRule="auto"/>
              <w:ind w:firstLine="0" w:firstLineChars="0"/>
              <w:jc w:val="center"/>
              <w:rPr>
                <w:color w:val="auto"/>
                <w:sz w:val="24"/>
                <w:szCs w:val="24"/>
              </w:rPr>
            </w:pPr>
            <w:r>
              <w:rPr>
                <w:color w:val="auto"/>
                <w:sz w:val="24"/>
                <w:szCs w:val="24"/>
              </w:rPr>
              <w:t>80Km</w:t>
            </w:r>
            <w:r>
              <w:rPr>
                <w:color w:val="auto"/>
                <w:sz w:val="24"/>
                <w:szCs w:val="24"/>
                <w:vertAlign w:val="superscript"/>
              </w:rPr>
              <w:t>2</w:t>
            </w:r>
          </w:p>
        </w:tc>
        <w:tc>
          <w:tcPr>
            <w:tcW w:w="1344" w:type="dxa"/>
            <w:shd w:val="clear" w:color="auto" w:fill="auto"/>
            <w:vAlign w:val="center"/>
          </w:tcPr>
          <w:p w14:paraId="1DB5832C">
            <w:pPr>
              <w:widowControl/>
              <w:spacing w:line="240" w:lineRule="auto"/>
              <w:ind w:firstLine="0" w:firstLineChars="0"/>
              <w:jc w:val="center"/>
              <w:rPr>
                <w:color w:val="auto"/>
                <w:sz w:val="24"/>
                <w:szCs w:val="24"/>
              </w:rPr>
            </w:pPr>
            <w:r>
              <w:rPr>
                <w:color w:val="auto"/>
                <w:kern w:val="0"/>
                <w:sz w:val="24"/>
                <w:szCs w:val="24"/>
              </w:rPr>
              <w:t>km</w:t>
            </w:r>
            <w:r>
              <w:rPr>
                <w:color w:val="auto"/>
                <w:kern w:val="0"/>
                <w:sz w:val="24"/>
                <w:szCs w:val="24"/>
                <w:vertAlign w:val="superscript"/>
              </w:rPr>
              <w:t>2</w:t>
            </w:r>
          </w:p>
        </w:tc>
        <w:tc>
          <w:tcPr>
            <w:tcW w:w="1344" w:type="dxa"/>
            <w:vAlign w:val="center"/>
          </w:tcPr>
          <w:p w14:paraId="0A2FA38F">
            <w:pPr>
              <w:widowControl/>
              <w:spacing w:line="240" w:lineRule="auto"/>
              <w:ind w:firstLine="0" w:firstLineChars="0"/>
              <w:jc w:val="center"/>
              <w:rPr>
                <w:color w:val="auto"/>
                <w:kern w:val="0"/>
                <w:sz w:val="24"/>
                <w:szCs w:val="24"/>
              </w:rPr>
            </w:pPr>
          </w:p>
        </w:tc>
      </w:tr>
      <w:tr w14:paraId="3A56A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7" w:type="dxa"/>
            <w:vMerge w:val="continue"/>
            <w:vAlign w:val="center"/>
          </w:tcPr>
          <w:p w14:paraId="302E8B6A">
            <w:pPr>
              <w:spacing w:line="240" w:lineRule="auto"/>
              <w:ind w:firstLine="0" w:firstLineChars="0"/>
              <w:jc w:val="center"/>
              <w:rPr>
                <w:color w:val="auto"/>
                <w:sz w:val="24"/>
                <w:szCs w:val="24"/>
              </w:rPr>
            </w:pPr>
          </w:p>
        </w:tc>
        <w:tc>
          <w:tcPr>
            <w:tcW w:w="3628" w:type="dxa"/>
            <w:shd w:val="clear" w:color="auto" w:fill="auto"/>
            <w:vAlign w:val="center"/>
          </w:tcPr>
          <w:p w14:paraId="41B91E90">
            <w:pPr>
              <w:widowControl/>
              <w:spacing w:line="240" w:lineRule="auto"/>
              <w:ind w:firstLine="0" w:firstLineChars="0"/>
              <w:rPr>
                <w:color w:val="auto"/>
                <w:kern w:val="0"/>
                <w:sz w:val="24"/>
                <w:szCs w:val="24"/>
              </w:rPr>
            </w:pPr>
            <w:r>
              <w:rPr>
                <w:color w:val="auto"/>
                <w:sz w:val="24"/>
                <w:szCs w:val="24"/>
              </w:rPr>
              <w:t>钻探进尺</w:t>
            </w:r>
          </w:p>
        </w:tc>
        <w:tc>
          <w:tcPr>
            <w:tcW w:w="1344" w:type="dxa"/>
            <w:shd w:val="clear" w:color="auto" w:fill="auto"/>
            <w:vAlign w:val="center"/>
          </w:tcPr>
          <w:p w14:paraId="75CA593F">
            <w:pPr>
              <w:widowControl/>
              <w:spacing w:line="240" w:lineRule="auto"/>
              <w:ind w:firstLine="0" w:firstLineChars="0"/>
              <w:jc w:val="center"/>
              <w:rPr>
                <w:color w:val="auto"/>
                <w:kern w:val="0"/>
                <w:sz w:val="24"/>
                <w:szCs w:val="24"/>
              </w:rPr>
            </w:pPr>
            <w:r>
              <w:rPr>
                <w:color w:val="auto"/>
                <w:sz w:val="24"/>
                <w:szCs w:val="24"/>
              </w:rPr>
              <w:t>1897.61</w:t>
            </w:r>
          </w:p>
        </w:tc>
        <w:tc>
          <w:tcPr>
            <w:tcW w:w="1344" w:type="dxa"/>
            <w:shd w:val="clear" w:color="auto" w:fill="auto"/>
            <w:vAlign w:val="center"/>
          </w:tcPr>
          <w:p w14:paraId="4258099D">
            <w:pPr>
              <w:widowControl/>
              <w:spacing w:line="240" w:lineRule="auto"/>
              <w:ind w:firstLine="0" w:firstLineChars="0"/>
              <w:jc w:val="center"/>
              <w:rPr>
                <w:color w:val="auto"/>
                <w:sz w:val="24"/>
                <w:szCs w:val="24"/>
              </w:rPr>
            </w:pPr>
            <w:r>
              <w:rPr>
                <w:color w:val="auto"/>
                <w:sz w:val="24"/>
                <w:szCs w:val="24"/>
              </w:rPr>
              <w:t>m</w:t>
            </w:r>
          </w:p>
        </w:tc>
        <w:tc>
          <w:tcPr>
            <w:tcW w:w="1344" w:type="dxa"/>
            <w:vAlign w:val="center"/>
          </w:tcPr>
          <w:p w14:paraId="54457FA3">
            <w:pPr>
              <w:widowControl/>
              <w:spacing w:line="240" w:lineRule="auto"/>
              <w:ind w:firstLine="0" w:firstLineChars="0"/>
              <w:jc w:val="center"/>
              <w:rPr>
                <w:color w:val="auto"/>
                <w:sz w:val="24"/>
                <w:szCs w:val="24"/>
              </w:rPr>
            </w:pPr>
            <w:r>
              <w:rPr>
                <w:color w:val="auto"/>
                <w:sz w:val="24"/>
                <w:szCs w:val="24"/>
              </w:rPr>
              <w:t>本次利用</w:t>
            </w:r>
          </w:p>
        </w:tc>
      </w:tr>
    </w:tbl>
    <w:p w14:paraId="19BBE5C0">
      <w:pPr>
        <w:ind w:firstLine="560"/>
        <w:rPr>
          <w:color w:val="auto"/>
        </w:rPr>
      </w:pPr>
    </w:p>
    <w:p w14:paraId="3AC2F93F">
      <w:pPr>
        <w:pStyle w:val="5"/>
        <w:rPr>
          <w:color w:val="auto"/>
        </w:rPr>
      </w:pPr>
      <w:r>
        <w:rPr>
          <w:color w:val="auto"/>
        </w:rPr>
        <w:t>2.1.3 矿产资源开发情况</w:t>
      </w:r>
    </w:p>
    <w:p w14:paraId="2A57A1FA">
      <w:pPr>
        <w:ind w:firstLine="560"/>
        <w:rPr>
          <w:color w:val="auto"/>
        </w:rPr>
      </w:pPr>
      <w:r>
        <w:rPr>
          <w:color w:val="auto"/>
        </w:rPr>
        <w:t>拟设采矿权为原三个矿权整合而成，由于前期多年开采，矿体已基本裸露地表，拟设采矿权中心已形成一个长约1.29km，宽约1.10km不规则形态的历史采空区，开采标高在+506.80m～+409.54m。原三个矿权开采情况如下：</w:t>
      </w:r>
    </w:p>
    <w:p w14:paraId="7F76CA0C">
      <w:pPr>
        <w:ind w:firstLine="560"/>
        <w:rPr>
          <w:color w:val="auto"/>
        </w:rPr>
      </w:pPr>
      <w:r>
        <w:rPr>
          <w:color w:val="auto"/>
        </w:rPr>
        <w:t>（1）</w:t>
      </w:r>
      <w:r>
        <w:rPr>
          <w:color w:val="auto"/>
          <w:szCs w:val="28"/>
        </w:rPr>
        <w:t>华润水泥（上思）有限公司龙大山矿区北矿段水泥用灰岩矿</w:t>
      </w:r>
    </w:p>
    <w:p w14:paraId="5445D9ED">
      <w:pPr>
        <w:ind w:firstLine="560"/>
        <w:rPr>
          <w:color w:val="auto"/>
        </w:rPr>
      </w:pPr>
      <w:r>
        <w:rPr>
          <w:color w:val="auto"/>
        </w:rPr>
        <w:t>矿体已基本裸露地表，开采标高在+480.57m～+409.54m，目前开采可大致分为+480m、+470m、+455m、+440m、+425m、+409m等</w:t>
      </w:r>
      <w:r>
        <w:rPr>
          <w:rFonts w:hint="eastAsia"/>
          <w:color w:val="auto"/>
        </w:rPr>
        <w:t>6</w:t>
      </w:r>
      <w:r>
        <w:rPr>
          <w:color w:val="auto"/>
        </w:rPr>
        <w:t>个平台，台阶平台宽度5m~232m，边坡高度2~34m。</w:t>
      </w:r>
    </w:p>
    <w:p w14:paraId="689A52FA">
      <w:pPr>
        <w:ind w:firstLine="560"/>
        <w:rPr>
          <w:color w:val="auto"/>
        </w:rPr>
      </w:pPr>
      <w:r>
        <w:rPr>
          <w:color w:val="auto"/>
        </w:rPr>
        <w:t>（2）</w:t>
      </w:r>
      <w:r>
        <w:rPr>
          <w:color w:val="auto"/>
          <w:szCs w:val="28"/>
        </w:rPr>
        <w:t>华润水泥（上思）有限公司龙大山矿区南矿段水泥用灰岩矿</w:t>
      </w:r>
    </w:p>
    <w:p w14:paraId="597D9522">
      <w:pPr>
        <w:ind w:firstLine="560"/>
        <w:rPr>
          <w:color w:val="auto"/>
        </w:rPr>
      </w:pPr>
      <w:r>
        <w:rPr>
          <w:color w:val="auto"/>
        </w:rPr>
        <w:t>矿体大部分已裸露地表，开采标高在+409.95m～+426.81m，目前开采可大致分为+425m、+410m等2个平台，台阶平台宽度117m~202m，边坡高度9~35m。</w:t>
      </w:r>
    </w:p>
    <w:p w14:paraId="2B9FF564">
      <w:pPr>
        <w:ind w:firstLine="560"/>
        <w:rPr>
          <w:color w:val="auto"/>
        </w:rPr>
      </w:pPr>
      <w:r>
        <w:rPr>
          <w:color w:val="auto"/>
        </w:rPr>
        <w:t>（3）</w:t>
      </w:r>
      <w:r>
        <w:rPr>
          <w:color w:val="auto"/>
          <w:szCs w:val="28"/>
        </w:rPr>
        <w:t>华润水泥（上思）有限公司讲鱼山石灰岩矿</w:t>
      </w:r>
    </w:p>
    <w:p w14:paraId="18A78045">
      <w:pPr>
        <w:ind w:firstLine="560"/>
        <w:rPr>
          <w:color w:val="auto"/>
        </w:rPr>
      </w:pPr>
      <w:r>
        <w:rPr>
          <w:color w:val="auto"/>
        </w:rPr>
        <w:t>矿体大部分已裸露地表，开采标高在+425.29m～+506.80m，目前开采可大致分为+488m、+470m、+440m、+425m等4个平台，台阶平台宽度18m~168m，边坡高度2~65m。</w:t>
      </w:r>
    </w:p>
    <w:p w14:paraId="0F0B42C0">
      <w:pPr>
        <w:pStyle w:val="5"/>
        <w:rPr>
          <w:color w:val="auto"/>
        </w:rPr>
      </w:pPr>
      <w:r>
        <w:rPr>
          <w:color w:val="auto"/>
        </w:rPr>
        <w:t>2.1.4 以往工作存在的问题</w:t>
      </w:r>
    </w:p>
    <w:p w14:paraId="51F76BB7">
      <w:pPr>
        <w:ind w:firstLine="560"/>
        <w:rPr>
          <w:color w:val="auto"/>
          <w:szCs w:val="28"/>
        </w:rPr>
      </w:pPr>
      <w:r>
        <w:rPr>
          <w:color w:val="auto"/>
          <w:szCs w:val="28"/>
        </w:rPr>
        <w:t>以往针对区域和矿区的地质工作虽为本次详查提供了一定的地质资料，但仍存在一些问题有待解决。</w:t>
      </w:r>
    </w:p>
    <w:p w14:paraId="21A91318">
      <w:pPr>
        <w:ind w:firstLine="560"/>
        <w:rPr>
          <w:color w:val="auto"/>
          <w:szCs w:val="28"/>
        </w:rPr>
      </w:pPr>
      <w:r>
        <w:rPr>
          <w:color w:val="auto"/>
          <w:szCs w:val="28"/>
        </w:rPr>
        <w:t>（1）</w:t>
      </w:r>
      <w:r>
        <w:rPr>
          <w:color w:val="auto"/>
        </w:rPr>
        <w:t>根据广西壮族自治区自然资源厅关于加强矿业权管理促进矿业高质量发展的意见》（桂自然资规〔2025〕6号）等相关文件精神：大中型金属非金属露天矿山、水文地质或者工程地质类型为中等及以上的小型金属非金属矿山，其地质报告中水文地质工程地质勘查应当达到勘探程度。本矿山开采矿种为水泥用灰岩，属大型矿山，依据的工程地质和水文地质资料应当达到勘探程度。前期详查中水工环调查均未达到勘探程度，需进行1:5000专项水工环调查以达到勘探程度。</w:t>
      </w:r>
    </w:p>
    <w:p w14:paraId="4B45854C">
      <w:pPr>
        <w:ind w:firstLine="560"/>
        <w:rPr>
          <w:color w:val="auto"/>
          <w:szCs w:val="21"/>
        </w:rPr>
      </w:pPr>
      <w:r>
        <w:rPr>
          <w:color w:val="auto"/>
        </w:rPr>
        <w:t>（2）历史详查中针对</w:t>
      </w:r>
      <w:r>
        <w:rPr>
          <w:color w:val="auto"/>
          <w:szCs w:val="21"/>
        </w:rPr>
        <w:t>矿石基本分析项目仅为CaO、MgO两项，根据《矿产地质勘查规范 石灰岩、水泥配料类》（DZ/T 0213-2020），基本分析项目应为CaO、MgO、K</w:t>
      </w:r>
      <w:r>
        <w:rPr>
          <w:color w:val="auto"/>
          <w:szCs w:val="21"/>
          <w:vertAlign w:val="subscript"/>
        </w:rPr>
        <w:t>2</w:t>
      </w:r>
      <w:r>
        <w:rPr>
          <w:color w:val="auto"/>
          <w:szCs w:val="21"/>
        </w:rPr>
        <w:t>O、Na</w:t>
      </w:r>
      <w:r>
        <w:rPr>
          <w:color w:val="auto"/>
          <w:szCs w:val="21"/>
          <w:vertAlign w:val="subscript"/>
        </w:rPr>
        <w:t>2</w:t>
      </w:r>
      <w:r>
        <w:rPr>
          <w:color w:val="auto"/>
          <w:szCs w:val="21"/>
        </w:rPr>
        <w:t>O，因此需重新勘查取样测定，对矿石质量特征进行进一步评价，并对矿区资源储量进行估算。</w:t>
      </w:r>
      <w:bookmarkStart w:id="57" w:name="_Toc21360"/>
      <w:bookmarkStart w:id="58" w:name="_Toc176901232"/>
      <w:bookmarkStart w:id="59" w:name="_Toc176773701"/>
    </w:p>
    <w:p w14:paraId="5A76D543">
      <w:pPr>
        <w:bidi w:val="0"/>
        <w:rPr>
          <w:rFonts w:hint="eastAsia"/>
          <w:color w:val="auto"/>
          <w:lang w:val="en-US" w:eastAsia="zh-CN"/>
        </w:rPr>
      </w:pPr>
      <w:r>
        <w:rPr>
          <w:color w:val="auto"/>
        </w:rPr>
        <w:t>（3）</w:t>
      </w:r>
      <w:r>
        <w:rPr>
          <w:rFonts w:hint="eastAsia"/>
          <w:color w:val="auto"/>
          <w:lang w:val="en-US" w:eastAsia="zh-CN"/>
        </w:rPr>
        <w:t>根据历史详查资料可知，南矿段原开采标高为+</w:t>
      </w:r>
      <w:r>
        <w:rPr>
          <w:rFonts w:hint="default"/>
          <w:color w:val="auto"/>
        </w:rPr>
        <w:t>5</w:t>
      </w:r>
      <w:r>
        <w:rPr>
          <w:rFonts w:hint="default"/>
          <w:color w:val="auto"/>
          <w:lang w:val="en-US" w:eastAsia="zh-CN"/>
        </w:rPr>
        <w:t>04.7</w:t>
      </w:r>
      <w:r>
        <w:rPr>
          <w:rFonts w:hint="default"/>
          <w:color w:val="auto"/>
        </w:rPr>
        <w:t>m至</w:t>
      </w:r>
      <w:r>
        <w:rPr>
          <w:rFonts w:hint="eastAsia"/>
          <w:color w:val="auto"/>
          <w:lang w:val="en-US" w:eastAsia="zh-CN"/>
        </w:rPr>
        <w:t>+</w:t>
      </w:r>
      <w:r>
        <w:rPr>
          <w:rFonts w:hint="default"/>
          <w:color w:val="auto"/>
          <w:lang w:val="en-US" w:eastAsia="zh-CN"/>
        </w:rPr>
        <w:t>386</w:t>
      </w:r>
      <w:r>
        <w:rPr>
          <w:rFonts w:hint="default"/>
          <w:color w:val="auto"/>
        </w:rPr>
        <w:t>m</w:t>
      </w:r>
      <w:r>
        <w:rPr>
          <w:rFonts w:hint="eastAsia"/>
          <w:color w:val="auto"/>
          <w:lang w:eastAsia="zh-CN"/>
        </w:rPr>
        <w:t>，</w:t>
      </w:r>
      <w:r>
        <w:rPr>
          <w:rFonts w:hint="eastAsia"/>
          <w:color w:val="auto"/>
          <w:lang w:val="en-US" w:eastAsia="zh-CN"/>
        </w:rPr>
        <w:t>结合本次整合区开采标高为+506.8m</w:t>
      </w:r>
      <w:r>
        <w:rPr>
          <w:rFonts w:hint="default"/>
          <w:color w:val="auto"/>
        </w:rPr>
        <w:t>至</w:t>
      </w:r>
      <w:r>
        <w:rPr>
          <w:rFonts w:hint="eastAsia"/>
          <w:color w:val="auto"/>
          <w:lang w:val="en-US" w:eastAsia="zh-CN"/>
        </w:rPr>
        <w:t>+372m，以往详查工作的勘查深度不足，未覆盖本次勘查的最低开采标高，勘查范围存在局限。</w:t>
      </w:r>
    </w:p>
    <w:p w14:paraId="3FC6A91E">
      <w:pPr>
        <w:ind w:firstLine="560"/>
        <w:rPr>
          <w:color w:val="auto"/>
          <w:szCs w:val="21"/>
        </w:rPr>
      </w:pPr>
      <w:r>
        <w:rPr>
          <w:color w:val="auto"/>
        </w:rPr>
        <w:t>（4）</w:t>
      </w:r>
      <w:r>
        <w:rPr>
          <w:rFonts w:hint="eastAsia"/>
          <w:color w:val="auto"/>
          <w:lang w:val="en-US" w:eastAsia="zh-CN"/>
        </w:rPr>
        <w:t>根据历史详查成果，讲鱼山矿山勘查矿种为建筑石料用灰岩，</w:t>
      </w:r>
      <w:r>
        <w:rPr>
          <w:rFonts w:hint="default"/>
          <w:color w:val="auto"/>
          <w:lang w:val="en-US" w:eastAsia="zh-CN"/>
        </w:rPr>
        <w:t>本次整合区勘查重新核定矿种为水泥用灰岩，前后勘查界定的矿种类型不一致，以往勘查矿种定位与本次勘查要求存在偏差。</w:t>
      </w:r>
    </w:p>
    <w:p w14:paraId="38A04131">
      <w:pPr>
        <w:pStyle w:val="4"/>
        <w:rPr>
          <w:color w:val="auto"/>
          <w:lang w:val="en-US"/>
        </w:rPr>
      </w:pPr>
      <w:bookmarkStart w:id="60" w:name="_Toc8510"/>
      <w:bookmarkStart w:id="61" w:name="_Toc31923"/>
      <w:bookmarkStart w:id="62" w:name="_Toc13932"/>
      <w:r>
        <w:rPr>
          <w:color w:val="auto"/>
          <w:lang w:val="en-US"/>
        </w:rPr>
        <w:t>2.2</w:t>
      </w:r>
      <w:r>
        <w:rPr>
          <w:color w:val="auto"/>
        </w:rPr>
        <w:t>本次勘查</w:t>
      </w:r>
      <w:r>
        <w:rPr>
          <w:color w:val="auto"/>
          <w:lang w:val="en-US"/>
        </w:rPr>
        <w:t>相关</w:t>
      </w:r>
      <w:r>
        <w:rPr>
          <w:color w:val="auto"/>
        </w:rPr>
        <w:t>法律法规、规范</w:t>
      </w:r>
      <w:r>
        <w:rPr>
          <w:color w:val="auto"/>
          <w:lang w:val="en-US"/>
        </w:rPr>
        <w:t>及资料</w:t>
      </w:r>
      <w:bookmarkEnd w:id="60"/>
      <w:bookmarkEnd w:id="61"/>
      <w:bookmarkEnd w:id="62"/>
    </w:p>
    <w:p w14:paraId="3ED3C6A5">
      <w:pPr>
        <w:ind w:firstLine="560"/>
        <w:rPr>
          <w:color w:val="auto"/>
        </w:rPr>
      </w:pPr>
      <w:r>
        <w:rPr>
          <w:color w:val="auto"/>
        </w:rPr>
        <w:t>（1）相关法律法规及规范性文件</w:t>
      </w:r>
    </w:p>
    <w:p w14:paraId="5597C35F">
      <w:pPr>
        <w:ind w:firstLine="560"/>
        <w:rPr>
          <w:color w:val="auto"/>
        </w:rPr>
      </w:pPr>
      <w:r>
        <w:rPr>
          <w:color w:val="auto"/>
        </w:rPr>
        <w:t>1）《中华人民共和国矿产资源法》；</w:t>
      </w:r>
    </w:p>
    <w:p w14:paraId="72C5FB90">
      <w:pPr>
        <w:ind w:firstLine="560"/>
        <w:rPr>
          <w:color w:val="auto"/>
        </w:rPr>
      </w:pPr>
      <w:r>
        <w:rPr>
          <w:color w:val="auto"/>
        </w:rPr>
        <w:t>2）《中华人民共和国环境保护法》；</w:t>
      </w:r>
    </w:p>
    <w:p w14:paraId="567ED315">
      <w:pPr>
        <w:ind w:firstLine="560"/>
        <w:rPr>
          <w:color w:val="auto"/>
        </w:rPr>
      </w:pPr>
      <w:r>
        <w:rPr>
          <w:color w:val="auto"/>
        </w:rPr>
        <w:t>3）《广西壮族自治区自然资源厅关于加强矿业权管理促进矿业高质量发展的意见》（桂自然资规〔2025〕6号）；</w:t>
      </w:r>
    </w:p>
    <w:p w14:paraId="48705842">
      <w:pPr>
        <w:ind w:firstLine="560"/>
        <w:rPr>
          <w:color w:val="auto"/>
        </w:rPr>
      </w:pPr>
      <w:r>
        <w:rPr>
          <w:color w:val="auto"/>
        </w:rPr>
        <w:t>4）《广西壮族自治区自然资源厅办公室关于做好矿业权管理有关工作的通知》（桂自然资办〔2026〕3号）。</w:t>
      </w:r>
    </w:p>
    <w:p w14:paraId="6C6DD8CD">
      <w:pPr>
        <w:ind w:firstLine="560"/>
        <w:rPr>
          <w:color w:val="auto"/>
        </w:rPr>
      </w:pPr>
      <w:r>
        <w:rPr>
          <w:color w:val="auto"/>
        </w:rPr>
        <w:t>（2）相关规范</w:t>
      </w:r>
    </w:p>
    <w:p w14:paraId="5DA463CF">
      <w:pPr>
        <w:ind w:firstLine="560"/>
        <w:rPr>
          <w:color w:val="auto"/>
        </w:rPr>
      </w:pPr>
      <w:r>
        <w:rPr>
          <w:color w:val="auto"/>
        </w:rPr>
        <w:t>1）《固体矿产勘查原始地质编录规程》（DZ/T 0078-2015）；</w:t>
      </w:r>
    </w:p>
    <w:p w14:paraId="024EB78A">
      <w:pPr>
        <w:ind w:firstLine="560"/>
        <w:rPr>
          <w:color w:val="auto"/>
        </w:rPr>
      </w:pPr>
      <w:r>
        <w:rPr>
          <w:color w:val="auto"/>
        </w:rPr>
        <w:t>2）《固体矿产勘查地质资料综合整理、综合研究技术要求》（DZ/T 0079-2015）；</w:t>
      </w:r>
    </w:p>
    <w:p w14:paraId="30F8CF8C">
      <w:pPr>
        <w:ind w:firstLine="560"/>
        <w:rPr>
          <w:color w:val="auto"/>
        </w:rPr>
      </w:pPr>
      <w:r>
        <w:rPr>
          <w:color w:val="auto"/>
        </w:rPr>
        <w:t>3）《固体矿产勘查工作规范》（GB/T33444-2016）；</w:t>
      </w:r>
    </w:p>
    <w:p w14:paraId="7EEE169E">
      <w:pPr>
        <w:ind w:firstLine="560"/>
        <w:rPr>
          <w:color w:val="auto"/>
        </w:rPr>
      </w:pPr>
      <w:r>
        <w:rPr>
          <w:color w:val="auto"/>
        </w:rPr>
        <w:t>4）《固体矿产地质勘查规范总则》（GB/T 13908-2020）；</w:t>
      </w:r>
    </w:p>
    <w:p w14:paraId="7BAFE120">
      <w:pPr>
        <w:ind w:firstLine="560"/>
        <w:rPr>
          <w:color w:val="auto"/>
        </w:rPr>
      </w:pPr>
      <w:r>
        <w:rPr>
          <w:color w:val="auto"/>
        </w:rPr>
        <w:t>5）《矿产地质勘查规范 建筑用石料类》（DZT 0341-2020）；</w:t>
      </w:r>
    </w:p>
    <w:p w14:paraId="3722D8F0">
      <w:pPr>
        <w:ind w:firstLine="560"/>
        <w:rPr>
          <w:color w:val="auto"/>
        </w:rPr>
      </w:pPr>
      <w:r>
        <w:rPr>
          <w:color w:val="auto"/>
        </w:rPr>
        <w:t>6）《矿产地质勘查规范 石灰岩、水泥配料石料类》（DZ/T 0213-2020）；</w:t>
      </w:r>
    </w:p>
    <w:p w14:paraId="44560A03">
      <w:pPr>
        <w:ind w:firstLine="560"/>
        <w:rPr>
          <w:color w:val="auto"/>
        </w:rPr>
      </w:pPr>
      <w:r>
        <w:rPr>
          <w:color w:val="auto"/>
        </w:rPr>
        <w:t>7）《固体矿产资源储量分类》（GBT 17766-2020）；</w:t>
      </w:r>
    </w:p>
    <w:p w14:paraId="44F7318E">
      <w:pPr>
        <w:ind w:firstLine="560"/>
        <w:rPr>
          <w:color w:val="auto"/>
        </w:rPr>
      </w:pPr>
      <w:r>
        <w:rPr>
          <w:color w:val="auto"/>
        </w:rPr>
        <w:t>8）《矿区水文地质工程地质勘查规范》（GB/T12719-2021）。</w:t>
      </w:r>
    </w:p>
    <w:p w14:paraId="778BAC33">
      <w:pPr>
        <w:ind w:firstLine="560"/>
        <w:rPr>
          <w:color w:val="auto"/>
        </w:rPr>
      </w:pPr>
      <w:r>
        <w:rPr>
          <w:color w:val="auto"/>
        </w:rPr>
        <w:t>（3）收集的相关资料</w:t>
      </w:r>
    </w:p>
    <w:p w14:paraId="448753C7">
      <w:pPr>
        <w:ind w:firstLine="560"/>
        <w:rPr>
          <w:color w:val="auto"/>
        </w:rPr>
      </w:pPr>
      <w:r>
        <w:rPr>
          <w:color w:val="auto"/>
        </w:rPr>
        <w:t>1）《广西上思县思阳镇龙大山矿区北矿段水泥用灰岩矿详查报告》（中国建筑材料工业地质勘查中心广西总队，2009年3月）；</w:t>
      </w:r>
    </w:p>
    <w:p w14:paraId="05BD61BB">
      <w:pPr>
        <w:ind w:firstLine="560"/>
        <w:rPr>
          <w:color w:val="auto"/>
        </w:rPr>
      </w:pPr>
      <w:r>
        <w:rPr>
          <w:color w:val="auto"/>
        </w:rPr>
        <w:t>2）《广西上思县思阳镇龙大山矿区南矿段水泥用灰岩矿详查报告》（中国建筑材料工业地质勘查中心广西总队，2009年3月）；</w:t>
      </w:r>
    </w:p>
    <w:p w14:paraId="28CB74EF">
      <w:pPr>
        <w:ind w:firstLine="560"/>
        <w:rPr>
          <w:color w:val="auto"/>
        </w:rPr>
      </w:pPr>
      <w:r>
        <w:rPr>
          <w:color w:val="auto"/>
        </w:rPr>
        <w:t>3）《广西上思县讲鱼山矿区石灰岩矿资源储量核实报告》广西壮族自治区第三地质队，2018年12月）。</w:t>
      </w:r>
    </w:p>
    <w:p w14:paraId="17186AB3">
      <w:pPr>
        <w:pStyle w:val="4"/>
        <w:rPr>
          <w:color w:val="auto"/>
        </w:rPr>
      </w:pPr>
      <w:bookmarkStart w:id="63" w:name="_Toc26070"/>
      <w:bookmarkStart w:id="64" w:name="_Toc4413"/>
      <w:bookmarkStart w:id="65" w:name="_Toc4204"/>
      <w:r>
        <w:rPr>
          <w:color w:val="auto"/>
        </w:rPr>
        <w:t>2.</w:t>
      </w:r>
      <w:r>
        <w:rPr>
          <w:color w:val="auto"/>
          <w:lang w:val="en-US"/>
        </w:rPr>
        <w:t>3</w:t>
      </w:r>
      <w:r>
        <w:rPr>
          <w:color w:val="auto"/>
        </w:rPr>
        <w:t xml:space="preserve"> 区域地质</w:t>
      </w:r>
      <w:bookmarkEnd w:id="57"/>
      <w:bookmarkEnd w:id="58"/>
      <w:bookmarkEnd w:id="59"/>
      <w:bookmarkEnd w:id="63"/>
      <w:bookmarkEnd w:id="64"/>
      <w:bookmarkEnd w:id="65"/>
    </w:p>
    <w:p w14:paraId="016FE786">
      <w:pPr>
        <w:pStyle w:val="5"/>
        <w:rPr>
          <w:color w:val="auto"/>
        </w:rPr>
      </w:pPr>
      <w:bookmarkStart w:id="66" w:name="_Toc124107389"/>
      <w:r>
        <w:rPr>
          <w:color w:val="auto"/>
        </w:rPr>
        <w:t>2.</w:t>
      </w:r>
      <w:r>
        <w:rPr>
          <w:color w:val="auto"/>
          <w:lang w:val="en-US"/>
        </w:rPr>
        <w:t>3</w:t>
      </w:r>
      <w:r>
        <w:rPr>
          <w:color w:val="auto"/>
        </w:rPr>
        <w:t>.1 区域地层</w:t>
      </w:r>
      <w:bookmarkEnd w:id="66"/>
    </w:p>
    <w:p w14:paraId="0BF65A48">
      <w:pPr>
        <w:ind w:firstLine="560"/>
        <w:rPr>
          <w:color w:val="auto"/>
          <w:szCs w:val="21"/>
        </w:rPr>
      </w:pPr>
      <w:r>
        <w:rPr>
          <w:rFonts w:hint="eastAsia"/>
          <w:color w:val="auto"/>
          <w:szCs w:val="21"/>
          <w:lang w:val="en-US" w:eastAsia="zh-CN"/>
        </w:rPr>
        <w:t>区域上</w:t>
      </w:r>
      <w:r>
        <w:rPr>
          <w:color w:val="auto"/>
          <w:szCs w:val="21"/>
        </w:rPr>
        <w:t>属南华准地台（Ⅰ）钦州残余地槽十万大山断陷带北部</w:t>
      </w:r>
      <w:r>
        <w:rPr>
          <w:rFonts w:hint="eastAsia"/>
          <w:color w:val="auto"/>
          <w:szCs w:val="21"/>
        </w:rPr>
        <w:t>，</w:t>
      </w:r>
      <w:r>
        <w:rPr>
          <w:color w:val="auto"/>
          <w:szCs w:val="21"/>
        </w:rPr>
        <w:t>出露地层有：石炭系</w:t>
      </w:r>
      <w:r>
        <w:rPr>
          <w:color w:val="auto"/>
        </w:rPr>
        <w:t>黄龙组（C</w:t>
      </w:r>
      <w:r>
        <w:rPr>
          <w:color w:val="auto"/>
          <w:vertAlign w:val="subscript"/>
        </w:rPr>
        <w:t>2</w:t>
      </w:r>
      <w:r>
        <w:rPr>
          <w:i/>
          <w:iCs/>
          <w:color w:val="auto"/>
        </w:rPr>
        <w:t>h</w:t>
      </w:r>
      <w:r>
        <w:rPr>
          <w:color w:val="auto"/>
        </w:rPr>
        <w:t>）</w:t>
      </w:r>
      <w:r>
        <w:rPr>
          <w:color w:val="auto"/>
          <w:szCs w:val="21"/>
        </w:rPr>
        <w:t>和石炭系上统至二叠系下统</w:t>
      </w:r>
      <w:r>
        <w:rPr>
          <w:color w:val="auto"/>
        </w:rPr>
        <w:t>马平组（C</w:t>
      </w:r>
      <w:r>
        <w:rPr>
          <w:color w:val="auto"/>
          <w:vertAlign w:val="subscript"/>
        </w:rPr>
        <w:t>2</w:t>
      </w:r>
      <w:r>
        <w:rPr>
          <w:color w:val="auto"/>
        </w:rPr>
        <w:t>P</w:t>
      </w:r>
      <w:r>
        <w:rPr>
          <w:color w:val="auto"/>
          <w:vertAlign w:val="subscript"/>
        </w:rPr>
        <w:t>1</w:t>
      </w:r>
      <w:r>
        <w:rPr>
          <w:i/>
          <w:iCs/>
          <w:color w:val="auto"/>
        </w:rPr>
        <w:t>m</w:t>
      </w:r>
      <w:r>
        <w:rPr>
          <w:color w:val="auto"/>
        </w:rPr>
        <w:t>）</w:t>
      </w:r>
      <w:r>
        <w:rPr>
          <w:color w:val="auto"/>
          <w:szCs w:val="21"/>
        </w:rPr>
        <w:t>；二叠系中统的栖霞统（P</w:t>
      </w:r>
      <w:r>
        <w:rPr>
          <w:color w:val="auto"/>
          <w:szCs w:val="21"/>
          <w:vertAlign w:val="subscript"/>
        </w:rPr>
        <w:t>2</w:t>
      </w:r>
      <w:r>
        <w:rPr>
          <w:i/>
          <w:iCs/>
          <w:color w:val="auto"/>
          <w:szCs w:val="21"/>
        </w:rPr>
        <w:t>q</w:t>
      </w:r>
      <w:r>
        <w:rPr>
          <w:color w:val="auto"/>
          <w:szCs w:val="21"/>
        </w:rPr>
        <w:t>）、茅口统（P</w:t>
      </w:r>
      <w:r>
        <w:rPr>
          <w:color w:val="auto"/>
          <w:szCs w:val="21"/>
          <w:vertAlign w:val="subscript"/>
        </w:rPr>
        <w:t>2</w:t>
      </w:r>
      <w:r>
        <w:rPr>
          <w:i/>
          <w:iCs/>
          <w:color w:val="auto"/>
          <w:szCs w:val="21"/>
        </w:rPr>
        <w:t>m</w:t>
      </w:r>
      <w:r>
        <w:rPr>
          <w:color w:val="auto"/>
          <w:szCs w:val="21"/>
        </w:rPr>
        <w:t>）；三叠系下统罗楼群下组（T</w:t>
      </w:r>
      <w:r>
        <w:rPr>
          <w:color w:val="auto"/>
          <w:szCs w:val="21"/>
          <w:vertAlign w:val="subscript"/>
        </w:rPr>
        <w:t>1</w:t>
      </w:r>
      <w:r>
        <w:rPr>
          <w:i/>
          <w:iCs/>
          <w:color w:val="auto"/>
          <w:szCs w:val="21"/>
        </w:rPr>
        <w:t>l</w:t>
      </w:r>
      <w:r>
        <w:rPr>
          <w:color w:val="auto"/>
          <w:szCs w:val="21"/>
          <w:vertAlign w:val="superscript"/>
        </w:rPr>
        <w:t>1</w:t>
      </w:r>
      <w:r>
        <w:rPr>
          <w:color w:val="auto"/>
          <w:szCs w:val="21"/>
        </w:rPr>
        <w:t>）；侏罗系下统的汪门组（J</w:t>
      </w:r>
      <w:r>
        <w:rPr>
          <w:color w:val="auto"/>
          <w:szCs w:val="21"/>
          <w:vertAlign w:val="subscript"/>
        </w:rPr>
        <w:t>1</w:t>
      </w:r>
      <w:r>
        <w:rPr>
          <w:i/>
          <w:iCs/>
          <w:color w:val="auto"/>
          <w:szCs w:val="21"/>
        </w:rPr>
        <w:t>w</w:t>
      </w:r>
      <w:r>
        <w:rPr>
          <w:color w:val="auto"/>
          <w:szCs w:val="21"/>
        </w:rPr>
        <w:t>）和百姓组下段（J</w:t>
      </w:r>
      <w:r>
        <w:rPr>
          <w:color w:val="auto"/>
          <w:szCs w:val="21"/>
          <w:vertAlign w:val="subscript"/>
        </w:rPr>
        <w:t>1</w:t>
      </w:r>
      <w:r>
        <w:rPr>
          <w:i/>
          <w:iCs/>
          <w:color w:val="auto"/>
          <w:szCs w:val="21"/>
        </w:rPr>
        <w:t>b</w:t>
      </w:r>
      <w:r>
        <w:rPr>
          <w:i/>
          <w:iCs/>
          <w:color w:val="auto"/>
          <w:szCs w:val="21"/>
          <w:vertAlign w:val="superscript"/>
        </w:rPr>
        <w:t>1</w:t>
      </w:r>
      <w:r>
        <w:rPr>
          <w:color w:val="auto"/>
          <w:szCs w:val="21"/>
        </w:rPr>
        <w:t>）、上段（J</w:t>
      </w:r>
      <w:r>
        <w:rPr>
          <w:color w:val="auto"/>
          <w:szCs w:val="21"/>
          <w:vertAlign w:val="subscript"/>
        </w:rPr>
        <w:t>1</w:t>
      </w:r>
      <w:r>
        <w:rPr>
          <w:i/>
          <w:iCs/>
          <w:color w:val="auto"/>
          <w:szCs w:val="21"/>
        </w:rPr>
        <w:t>b</w:t>
      </w:r>
      <w:r>
        <w:rPr>
          <w:i/>
          <w:iCs/>
          <w:color w:val="auto"/>
          <w:szCs w:val="21"/>
          <w:vertAlign w:val="superscript"/>
        </w:rPr>
        <w:t>2</w:t>
      </w:r>
      <w:r>
        <w:rPr>
          <w:color w:val="auto"/>
          <w:szCs w:val="21"/>
        </w:rPr>
        <w:t>）；白垩系下统新隆组（K</w:t>
      </w:r>
      <w:r>
        <w:rPr>
          <w:color w:val="auto"/>
          <w:szCs w:val="21"/>
          <w:vertAlign w:val="subscript"/>
        </w:rPr>
        <w:t>1</w:t>
      </w:r>
      <w:r>
        <w:rPr>
          <w:i/>
          <w:iCs/>
          <w:color w:val="auto"/>
          <w:szCs w:val="21"/>
        </w:rPr>
        <w:t>x</w:t>
      </w:r>
      <w:r>
        <w:rPr>
          <w:color w:val="auto"/>
          <w:szCs w:val="21"/>
        </w:rPr>
        <w:t>）；第三系邕宁群第一段（E</w:t>
      </w:r>
      <w:r>
        <w:rPr>
          <w:color w:val="auto"/>
          <w:szCs w:val="21"/>
          <w:vertAlign w:val="subscript"/>
        </w:rPr>
        <w:t>2</w:t>
      </w:r>
      <w:r>
        <w:rPr>
          <w:color w:val="auto"/>
          <w:szCs w:val="21"/>
        </w:rPr>
        <w:t>-N</w:t>
      </w:r>
      <w:r>
        <w:rPr>
          <w:i/>
          <w:iCs/>
          <w:color w:val="auto"/>
          <w:szCs w:val="21"/>
        </w:rPr>
        <w:t>y</w:t>
      </w:r>
      <w:r>
        <w:rPr>
          <w:i/>
          <w:iCs/>
          <w:color w:val="auto"/>
          <w:szCs w:val="21"/>
          <w:vertAlign w:val="superscript"/>
        </w:rPr>
        <w:t>1</w:t>
      </w:r>
      <w:r>
        <w:rPr>
          <w:color w:val="auto"/>
          <w:szCs w:val="21"/>
        </w:rPr>
        <w:t>）和第二段（E</w:t>
      </w:r>
      <w:r>
        <w:rPr>
          <w:color w:val="auto"/>
          <w:szCs w:val="21"/>
          <w:vertAlign w:val="subscript"/>
        </w:rPr>
        <w:t>2</w:t>
      </w:r>
      <w:r>
        <w:rPr>
          <w:color w:val="auto"/>
          <w:szCs w:val="21"/>
        </w:rPr>
        <w:t>-N</w:t>
      </w:r>
      <w:r>
        <w:rPr>
          <w:i/>
          <w:iCs/>
          <w:color w:val="auto"/>
          <w:szCs w:val="21"/>
        </w:rPr>
        <w:t>y</w:t>
      </w:r>
      <w:r>
        <w:rPr>
          <w:i/>
          <w:iCs/>
          <w:color w:val="auto"/>
          <w:szCs w:val="21"/>
          <w:vertAlign w:val="superscript"/>
        </w:rPr>
        <w:t>2</w:t>
      </w:r>
      <w:r>
        <w:rPr>
          <w:color w:val="auto"/>
          <w:szCs w:val="21"/>
        </w:rPr>
        <w:t>）；第四系全新统（Q</w:t>
      </w:r>
      <w:r>
        <w:rPr>
          <w:i/>
          <w:iCs/>
          <w:color w:val="auto"/>
          <w:szCs w:val="21"/>
        </w:rPr>
        <w:t>h</w:t>
      </w:r>
      <w:r>
        <w:rPr>
          <w:color w:val="auto"/>
          <w:szCs w:val="21"/>
        </w:rPr>
        <w:t>）。现由老到新简述如下：</w:t>
      </w:r>
    </w:p>
    <w:p w14:paraId="5A83EA68">
      <w:pPr>
        <w:ind w:firstLine="560"/>
        <w:rPr>
          <w:color w:val="auto"/>
          <w:szCs w:val="21"/>
        </w:rPr>
      </w:pPr>
      <w:r>
        <w:rPr>
          <w:color w:val="auto"/>
          <w:szCs w:val="21"/>
        </w:rPr>
        <w:t>（1）石炭系（C）</w:t>
      </w:r>
    </w:p>
    <w:p w14:paraId="32D99D60">
      <w:pPr>
        <w:ind w:firstLine="560"/>
        <w:rPr>
          <w:color w:val="auto"/>
        </w:rPr>
      </w:pPr>
      <w:r>
        <w:rPr>
          <w:color w:val="auto"/>
        </w:rPr>
        <w:t>1）黄龙组（C</w:t>
      </w:r>
      <w:r>
        <w:rPr>
          <w:color w:val="auto"/>
          <w:vertAlign w:val="subscript"/>
        </w:rPr>
        <w:t>2</w:t>
      </w:r>
      <w:r>
        <w:rPr>
          <w:i/>
          <w:iCs/>
          <w:color w:val="auto"/>
        </w:rPr>
        <w:t>h</w:t>
      </w:r>
      <w:r>
        <w:rPr>
          <w:color w:val="auto"/>
        </w:rPr>
        <w:t>）</w:t>
      </w:r>
    </w:p>
    <w:p w14:paraId="07224D23">
      <w:pPr>
        <w:ind w:firstLine="560"/>
        <w:rPr>
          <w:color w:val="auto"/>
        </w:rPr>
      </w:pPr>
      <w:r>
        <w:rPr>
          <w:color w:val="auto"/>
        </w:rPr>
        <w:t>岩性为浅灰—灰色厚层状生物碎屑灰岩、生物碎屑泥晶灰岩、白云质灰岩夹白云岩，岩石呈微晶结构，块状构造。厚度数十至200余米。</w:t>
      </w:r>
    </w:p>
    <w:p w14:paraId="43E75D0B">
      <w:pPr>
        <w:ind w:firstLine="560"/>
        <w:rPr>
          <w:color w:val="auto"/>
        </w:rPr>
      </w:pPr>
      <w:r>
        <w:rPr>
          <w:color w:val="auto"/>
        </w:rPr>
        <w:t>2）马平组（C</w:t>
      </w:r>
      <w:r>
        <w:rPr>
          <w:color w:val="auto"/>
          <w:vertAlign w:val="subscript"/>
        </w:rPr>
        <w:t>2</w:t>
      </w:r>
      <w:r>
        <w:rPr>
          <w:color w:val="auto"/>
        </w:rPr>
        <w:t>P</w:t>
      </w:r>
      <w:r>
        <w:rPr>
          <w:color w:val="auto"/>
          <w:vertAlign w:val="subscript"/>
        </w:rPr>
        <w:t>1</w:t>
      </w:r>
      <w:r>
        <w:rPr>
          <w:i/>
          <w:iCs/>
          <w:color w:val="auto"/>
        </w:rPr>
        <w:t>m</w:t>
      </w:r>
      <w:r>
        <w:rPr>
          <w:color w:val="auto"/>
        </w:rPr>
        <w:t>）</w:t>
      </w:r>
    </w:p>
    <w:p w14:paraId="3523A312">
      <w:pPr>
        <w:ind w:firstLine="560"/>
        <w:rPr>
          <w:color w:val="auto"/>
        </w:rPr>
      </w:pPr>
      <w:r>
        <w:rPr>
          <w:color w:val="auto"/>
        </w:rPr>
        <w:t>岩性主要为灰白色厚层状微晶灰岩、生物碎屑灰岩、生物碎屑泥晶灰岩，局部夹白云质灰岩、核形石灰岩、棘屑有孔虫灰岩，局部含燧石团块，产蜓类、牙形石、有孔虫、蜿足类和珊瑚等化石。整合于黄龙组之上。厚282~920m。</w:t>
      </w:r>
    </w:p>
    <w:p w14:paraId="4C7CC273">
      <w:pPr>
        <w:ind w:firstLine="560"/>
        <w:rPr>
          <w:color w:val="auto"/>
          <w:szCs w:val="21"/>
        </w:rPr>
      </w:pPr>
      <w:r>
        <w:rPr>
          <w:color w:val="auto"/>
          <w:szCs w:val="21"/>
        </w:rPr>
        <w:t>（2）二叠系（P）</w:t>
      </w:r>
    </w:p>
    <w:p w14:paraId="2FD347FC">
      <w:pPr>
        <w:ind w:firstLine="560"/>
        <w:rPr>
          <w:color w:val="auto"/>
          <w:szCs w:val="21"/>
        </w:rPr>
      </w:pPr>
      <w:r>
        <w:rPr>
          <w:color w:val="auto"/>
          <w:szCs w:val="21"/>
        </w:rPr>
        <w:t>1）中统栖霞组（P</w:t>
      </w:r>
      <w:r>
        <w:rPr>
          <w:color w:val="auto"/>
          <w:szCs w:val="21"/>
          <w:vertAlign w:val="subscript"/>
        </w:rPr>
        <w:t>2</w:t>
      </w:r>
      <w:r>
        <w:rPr>
          <w:i/>
          <w:iCs/>
          <w:color w:val="auto"/>
          <w:szCs w:val="21"/>
        </w:rPr>
        <w:t>q</w:t>
      </w:r>
      <w:r>
        <w:rPr>
          <w:color w:val="auto"/>
          <w:szCs w:val="21"/>
        </w:rPr>
        <w:t>）：深灰、灰黑色、部分深灰色中薄层～中厚层状灰岩为主，夹含燧石结核灰岩和生物碎石灰岩，局部地区夹少量条带状、团块状白云岩或白云质灰岩，厚196～282m。</w:t>
      </w:r>
    </w:p>
    <w:p w14:paraId="5183B219">
      <w:pPr>
        <w:ind w:firstLine="560"/>
        <w:rPr>
          <w:color w:val="auto"/>
          <w:szCs w:val="21"/>
        </w:rPr>
      </w:pPr>
      <w:r>
        <w:rPr>
          <w:color w:val="auto"/>
        </w:rPr>
        <w:t>2）中</w:t>
      </w:r>
      <w:r>
        <w:rPr>
          <w:color w:val="auto"/>
          <w:szCs w:val="21"/>
        </w:rPr>
        <w:t>统</w:t>
      </w:r>
      <w:r>
        <w:rPr>
          <w:color w:val="auto"/>
        </w:rPr>
        <w:t>茅</w:t>
      </w:r>
      <w:r>
        <w:rPr>
          <w:color w:val="auto"/>
          <w:szCs w:val="21"/>
        </w:rPr>
        <w:t>口组（P</w:t>
      </w:r>
      <w:r>
        <w:rPr>
          <w:color w:val="auto"/>
          <w:szCs w:val="21"/>
          <w:vertAlign w:val="subscript"/>
        </w:rPr>
        <w:t>2</w:t>
      </w:r>
      <w:r>
        <w:rPr>
          <w:i/>
          <w:iCs/>
          <w:color w:val="auto"/>
          <w:szCs w:val="21"/>
        </w:rPr>
        <w:t>m</w:t>
      </w:r>
      <w:r>
        <w:rPr>
          <w:color w:val="auto"/>
          <w:szCs w:val="21"/>
        </w:rPr>
        <w:t>）：灰、灰白色厚层块状灰岩夹中薄层或团块状白云岩、钙质白云岩。部分地区下部为深灰、灰黑色中厚层夹中薄层含燧石结核灰岩夹硅质岩，局部尚夹基性火山岩，厚度187～＞620m。与下伏栖霞阶为整合接触。</w:t>
      </w:r>
    </w:p>
    <w:p w14:paraId="20703A07">
      <w:pPr>
        <w:ind w:firstLine="560"/>
        <w:rPr>
          <w:color w:val="auto"/>
          <w:szCs w:val="21"/>
        </w:rPr>
      </w:pPr>
      <w:r>
        <w:rPr>
          <w:color w:val="auto"/>
          <w:szCs w:val="21"/>
        </w:rPr>
        <w:t>（3）三叠系（T）：</w:t>
      </w:r>
    </w:p>
    <w:p w14:paraId="78E7AEE5">
      <w:pPr>
        <w:ind w:firstLine="560"/>
        <w:rPr>
          <w:color w:val="auto"/>
          <w:szCs w:val="21"/>
        </w:rPr>
      </w:pPr>
      <w:r>
        <w:rPr>
          <w:color w:val="auto"/>
          <w:szCs w:val="21"/>
        </w:rPr>
        <w:t>下统罗楼组下段（T</w:t>
      </w:r>
      <w:r>
        <w:rPr>
          <w:color w:val="auto"/>
          <w:szCs w:val="21"/>
          <w:vertAlign w:val="subscript"/>
        </w:rPr>
        <w:t>1</w:t>
      </w:r>
      <w:r>
        <w:rPr>
          <w:i/>
          <w:iCs/>
          <w:color w:val="auto"/>
          <w:szCs w:val="21"/>
        </w:rPr>
        <w:t>l</w:t>
      </w:r>
      <w:r>
        <w:rPr>
          <w:color w:val="auto"/>
          <w:szCs w:val="21"/>
          <w:vertAlign w:val="superscript"/>
        </w:rPr>
        <w:t>1</w:t>
      </w:r>
      <w:r>
        <w:rPr>
          <w:color w:val="auto"/>
          <w:szCs w:val="21"/>
        </w:rPr>
        <w:t>）：灰绿色薄层状泥岩夹粉砂质泥岩，含植物碎片，底部为灰色含钙粘土质磷块岩呈薄层状、透镜状产于粉砂质泥岩中；中部为灰色中层状含泥长石石英砂岩、泥岩夹薄层含少量细粒岩屑质砂岩；上部黄色泥岩夹粉砂质泥岩，厚度882m。</w:t>
      </w:r>
    </w:p>
    <w:p w14:paraId="54585186">
      <w:pPr>
        <w:ind w:firstLine="560"/>
        <w:rPr>
          <w:color w:val="auto"/>
          <w:szCs w:val="21"/>
        </w:rPr>
      </w:pPr>
      <w:r>
        <w:rPr>
          <w:color w:val="auto"/>
          <w:szCs w:val="21"/>
        </w:rPr>
        <w:t>（4）侏罗系（J）</w:t>
      </w:r>
    </w:p>
    <w:p w14:paraId="4D8F224C">
      <w:pPr>
        <w:ind w:firstLine="560"/>
        <w:rPr>
          <w:color w:val="auto"/>
          <w:szCs w:val="21"/>
        </w:rPr>
      </w:pPr>
      <w:r>
        <w:rPr>
          <w:color w:val="auto"/>
          <w:szCs w:val="21"/>
        </w:rPr>
        <w:t>1）下统汪门组（J</w:t>
      </w:r>
      <w:r>
        <w:rPr>
          <w:color w:val="auto"/>
          <w:szCs w:val="21"/>
          <w:vertAlign w:val="subscript"/>
        </w:rPr>
        <w:t>1</w:t>
      </w:r>
      <w:r>
        <w:rPr>
          <w:i/>
          <w:iCs/>
          <w:color w:val="auto"/>
          <w:szCs w:val="21"/>
        </w:rPr>
        <w:t>w</w:t>
      </w:r>
      <w:r>
        <w:rPr>
          <w:color w:val="auto"/>
          <w:szCs w:val="21"/>
        </w:rPr>
        <w:t>）：底部为酸性熔岩砾石为主，砾石大小不等，分选性差，磨圆较好。中上部为紫红色岩屑质砂岩夹粉砂岩及泥岩，厚度大于400m。</w:t>
      </w:r>
    </w:p>
    <w:p w14:paraId="702ED802">
      <w:pPr>
        <w:ind w:firstLine="560"/>
        <w:rPr>
          <w:color w:val="auto"/>
          <w:szCs w:val="21"/>
        </w:rPr>
      </w:pPr>
      <w:r>
        <w:rPr>
          <w:color w:val="auto"/>
          <w:szCs w:val="21"/>
        </w:rPr>
        <w:t>2）百姓组下段（J</w:t>
      </w:r>
      <w:r>
        <w:rPr>
          <w:color w:val="auto"/>
          <w:szCs w:val="21"/>
          <w:vertAlign w:val="subscript"/>
        </w:rPr>
        <w:t>1</w:t>
      </w:r>
      <w:r>
        <w:rPr>
          <w:i/>
          <w:iCs/>
          <w:color w:val="auto"/>
          <w:szCs w:val="21"/>
        </w:rPr>
        <w:t>b</w:t>
      </w:r>
      <w:r>
        <w:rPr>
          <w:i/>
          <w:iCs/>
          <w:color w:val="auto"/>
          <w:szCs w:val="21"/>
          <w:vertAlign w:val="superscript"/>
        </w:rPr>
        <w:t>1</w:t>
      </w:r>
      <w:r>
        <w:rPr>
          <w:color w:val="auto"/>
          <w:szCs w:val="21"/>
        </w:rPr>
        <w:t>）：下部为紫红色中厚层状细砂岩、岩屑质石英砂岩夹紫红色泥岩；上部为紫红色泥岩夹粉砂岩及细砂岩，顶部为灰白、米黄色中厚层状砂岩夹少量泥岩，厚度一般为300～422m。</w:t>
      </w:r>
    </w:p>
    <w:p w14:paraId="17ABAEA4">
      <w:pPr>
        <w:ind w:firstLine="560"/>
        <w:rPr>
          <w:color w:val="auto"/>
          <w:szCs w:val="21"/>
        </w:rPr>
      </w:pPr>
      <w:r>
        <w:rPr>
          <w:color w:val="auto"/>
          <w:szCs w:val="21"/>
        </w:rPr>
        <w:t>3）百姓组上段（J</w:t>
      </w:r>
      <w:r>
        <w:rPr>
          <w:color w:val="auto"/>
          <w:szCs w:val="21"/>
          <w:vertAlign w:val="subscript"/>
        </w:rPr>
        <w:t>1</w:t>
      </w:r>
      <w:r>
        <w:rPr>
          <w:i/>
          <w:iCs/>
          <w:color w:val="auto"/>
          <w:szCs w:val="21"/>
        </w:rPr>
        <w:t>b</w:t>
      </w:r>
      <w:r>
        <w:rPr>
          <w:i/>
          <w:iCs/>
          <w:color w:val="auto"/>
          <w:szCs w:val="21"/>
          <w:vertAlign w:val="superscript"/>
        </w:rPr>
        <w:t>2</w:t>
      </w:r>
      <w:r>
        <w:rPr>
          <w:color w:val="auto"/>
          <w:szCs w:val="21"/>
        </w:rPr>
        <w:t>）：以紫红色中薄层状泥岩为主，夹泥质粉砂岩及少量泥质细砂岩，厚度330～772m。</w:t>
      </w:r>
    </w:p>
    <w:p w14:paraId="7C19475E">
      <w:pPr>
        <w:ind w:firstLine="560"/>
        <w:rPr>
          <w:color w:val="auto"/>
          <w:szCs w:val="21"/>
        </w:rPr>
      </w:pPr>
      <w:r>
        <w:rPr>
          <w:color w:val="auto"/>
          <w:szCs w:val="21"/>
        </w:rPr>
        <w:t>（5）白垩系（K）</w:t>
      </w:r>
    </w:p>
    <w:p w14:paraId="03088650">
      <w:pPr>
        <w:ind w:firstLine="560"/>
        <w:rPr>
          <w:color w:val="auto"/>
          <w:szCs w:val="21"/>
        </w:rPr>
      </w:pPr>
      <w:r>
        <w:rPr>
          <w:color w:val="auto"/>
          <w:szCs w:val="21"/>
        </w:rPr>
        <w:t>下统新隆组（K</w:t>
      </w:r>
      <w:r>
        <w:rPr>
          <w:color w:val="auto"/>
          <w:szCs w:val="21"/>
          <w:vertAlign w:val="subscript"/>
        </w:rPr>
        <w:t>1</w:t>
      </w:r>
      <w:r>
        <w:rPr>
          <w:i/>
          <w:iCs/>
          <w:color w:val="auto"/>
          <w:szCs w:val="21"/>
        </w:rPr>
        <w:t>x</w:t>
      </w:r>
      <w:r>
        <w:rPr>
          <w:color w:val="auto"/>
          <w:szCs w:val="21"/>
        </w:rPr>
        <w:t>）：下部以浅黄色泥岩、紫红色泥质粉砂岩为主夹砂岩，中部为共同色砂质泥岩、紫红色粉砂岩夹数层层间砾岩，上部为浅黄色中厚层状泥质砂岩、细砂岩与紫红色粉砂岩、黄色泥岩互层，厚度1278m。</w:t>
      </w:r>
    </w:p>
    <w:p w14:paraId="1BB0F957">
      <w:pPr>
        <w:ind w:firstLine="560"/>
        <w:rPr>
          <w:color w:val="auto"/>
          <w:szCs w:val="21"/>
        </w:rPr>
      </w:pPr>
      <w:r>
        <w:rPr>
          <w:color w:val="auto"/>
          <w:szCs w:val="21"/>
        </w:rPr>
        <w:t>（6）第三系邕宁群（E</w:t>
      </w:r>
      <w:r>
        <w:rPr>
          <w:color w:val="auto"/>
          <w:szCs w:val="21"/>
          <w:vertAlign w:val="subscript"/>
        </w:rPr>
        <w:t>2</w:t>
      </w:r>
      <w:r>
        <w:rPr>
          <w:color w:val="auto"/>
          <w:szCs w:val="21"/>
        </w:rPr>
        <w:t>-N</w:t>
      </w:r>
      <w:r>
        <w:rPr>
          <w:i/>
          <w:iCs/>
          <w:color w:val="auto"/>
          <w:szCs w:val="21"/>
        </w:rPr>
        <w:t>y</w:t>
      </w:r>
      <w:r>
        <w:rPr>
          <w:color w:val="auto"/>
          <w:szCs w:val="21"/>
        </w:rPr>
        <w:t>）</w:t>
      </w:r>
    </w:p>
    <w:p w14:paraId="71C60F29">
      <w:pPr>
        <w:ind w:firstLine="560"/>
        <w:rPr>
          <w:szCs w:val="21"/>
        </w:rPr>
      </w:pPr>
      <w:r>
        <w:rPr>
          <w:color w:val="auto"/>
          <w:szCs w:val="21"/>
        </w:rPr>
        <w:t>1）第一段（E</w:t>
      </w:r>
      <w:r>
        <w:rPr>
          <w:color w:val="auto"/>
          <w:szCs w:val="21"/>
          <w:vertAlign w:val="subscript"/>
        </w:rPr>
        <w:t>2</w:t>
      </w:r>
      <w:r>
        <w:rPr>
          <w:color w:val="auto"/>
          <w:szCs w:val="21"/>
        </w:rPr>
        <w:t>-N</w:t>
      </w:r>
      <w:r>
        <w:rPr>
          <w:i/>
          <w:iCs/>
          <w:color w:val="auto"/>
          <w:szCs w:val="21"/>
        </w:rPr>
        <w:t>y</w:t>
      </w:r>
      <w:r>
        <w:rPr>
          <w:i/>
          <w:iCs/>
          <w:color w:val="auto"/>
          <w:szCs w:val="21"/>
          <w:vertAlign w:val="superscript"/>
        </w:rPr>
        <w:t>1</w:t>
      </w:r>
      <w:r>
        <w:rPr>
          <w:color w:val="auto"/>
          <w:szCs w:val="21"/>
        </w:rPr>
        <w:t>）：浅黄褐色、黄灰色厚层状细粒石英砂岩为主，底部为棕色、杂色厚层状砾岩及含砾砂岩，局总含少量炭质页岩，上部夹少量铁砂岩。上思盆地南翼普遍含褐煤层，但北部不含煤。</w:t>
      </w:r>
      <w:r>
        <w:rPr>
          <w:szCs w:val="21"/>
        </w:rPr>
        <w:t>厚度89～382m。</w:t>
      </w:r>
    </w:p>
    <w:p w14:paraId="64883732">
      <w:pPr>
        <w:ind w:firstLine="560"/>
        <w:rPr>
          <w:szCs w:val="21"/>
        </w:rPr>
      </w:pPr>
      <w:r>
        <w:rPr>
          <w:szCs w:val="21"/>
        </w:rPr>
        <w:t>2）第二段（E</w:t>
      </w:r>
      <w:r>
        <w:rPr>
          <w:szCs w:val="21"/>
          <w:vertAlign w:val="subscript"/>
        </w:rPr>
        <w:t>2</w:t>
      </w:r>
      <w:r>
        <w:rPr>
          <w:szCs w:val="21"/>
        </w:rPr>
        <w:t>-N</w:t>
      </w:r>
      <w:r>
        <w:rPr>
          <w:i/>
          <w:iCs/>
          <w:szCs w:val="21"/>
        </w:rPr>
        <w:t>y</w:t>
      </w:r>
      <w:r>
        <w:rPr>
          <w:i/>
          <w:iCs/>
          <w:szCs w:val="21"/>
          <w:vertAlign w:val="superscript"/>
        </w:rPr>
        <w:t>2</w:t>
      </w:r>
      <w:r>
        <w:rPr>
          <w:szCs w:val="21"/>
        </w:rPr>
        <w:t>）：以灰白色薄层状泥岩为主，夹细砂岩或粉砂岩，厚度401～442m。</w:t>
      </w:r>
    </w:p>
    <w:p w14:paraId="760842DD">
      <w:pPr>
        <w:ind w:firstLine="560"/>
        <w:rPr>
          <w:szCs w:val="21"/>
        </w:rPr>
      </w:pPr>
      <w:r>
        <w:rPr>
          <w:szCs w:val="21"/>
        </w:rPr>
        <w:t>（7）第四系（Q）</w:t>
      </w:r>
    </w:p>
    <w:p w14:paraId="118B0E2C">
      <w:pPr>
        <w:ind w:firstLine="560"/>
      </w:pPr>
      <w:r>
        <w:t>全新统（Q</w:t>
      </w:r>
      <w:r>
        <w:rPr>
          <w:i/>
          <w:iCs/>
        </w:rPr>
        <w:t>h</w:t>
      </w:r>
      <w:r>
        <w:t>）：红色亚砂土、砂砾石、砂土，厚度几米至十几米不等。</w:t>
      </w:r>
    </w:p>
    <w:p w14:paraId="74F24323">
      <w:pPr>
        <w:pStyle w:val="5"/>
      </w:pPr>
      <w:bookmarkStart w:id="67" w:name="_Toc124107390"/>
      <w:r>
        <w:t>2.</w:t>
      </w:r>
      <w:r>
        <w:rPr>
          <w:lang w:val="en-US"/>
        </w:rPr>
        <w:t>3</w:t>
      </w:r>
      <w:r>
        <w:t>.2 区域构造</w:t>
      </w:r>
      <w:bookmarkEnd w:id="67"/>
    </w:p>
    <w:p w14:paraId="5BAA08DD">
      <w:pPr>
        <w:ind w:firstLine="560"/>
      </w:pPr>
      <w:r>
        <w:t>区域上，矿区处于一级构造羌塘-扬子-华南板块东南部，二级构造属扬子克拉通，三级构造属滇黔桂被动陆缘，四级构造属十万大山断陷盆地。区域内构造发育，主要构造线方向为近东西向，其次为北东向断裂。</w:t>
      </w:r>
    </w:p>
    <w:p w14:paraId="7BFE1E81">
      <w:pPr>
        <w:ind w:firstLine="560"/>
        <w:rPr>
          <w:szCs w:val="28"/>
        </w:rPr>
      </w:pPr>
      <w:bookmarkStart w:id="68" w:name="_Toc499019077"/>
      <w:r>
        <w:rPr>
          <w:szCs w:val="28"/>
        </w:rPr>
        <w:t>（1）褶皱</w:t>
      </w:r>
      <w:bookmarkEnd w:id="68"/>
    </w:p>
    <w:p w14:paraId="1D75B5E1">
      <w:pPr>
        <w:ind w:firstLine="560"/>
        <w:rPr>
          <w:szCs w:val="28"/>
        </w:rPr>
      </w:pPr>
      <w:r>
        <w:rPr>
          <w:szCs w:val="28"/>
        </w:rPr>
        <w:t>1）六色－三化背斜</w:t>
      </w:r>
    </w:p>
    <w:p w14:paraId="464F184F">
      <w:pPr>
        <w:ind w:firstLine="560"/>
        <w:rPr>
          <w:szCs w:val="28"/>
        </w:rPr>
      </w:pPr>
      <w:r>
        <w:rPr>
          <w:szCs w:val="28"/>
        </w:rPr>
        <w:t>六色－三化背斜位于区域内中部，长约23km，宽约3~5km，轴向近北东东向，北翼地层产状为315°~355°</w:t>
      </w:r>
      <w:r>
        <w:rPr>
          <w:rFonts w:hint="eastAsia" w:ascii="宋体" w:hAnsi="宋体" w:eastAsia="宋体" w:cs="宋体"/>
          <w:szCs w:val="28"/>
        </w:rPr>
        <w:t>∠</w:t>
      </w:r>
      <w:r>
        <w:rPr>
          <w:szCs w:val="28"/>
        </w:rPr>
        <w:t>24°~42°，南翼多被断层破坏，出露不完整。背斜核部地层为茅口组（P</w:t>
      </w:r>
      <w:r>
        <w:rPr>
          <w:szCs w:val="28"/>
          <w:vertAlign w:val="subscript"/>
        </w:rPr>
        <w:t>2</w:t>
      </w:r>
      <w:r>
        <w:rPr>
          <w:i/>
          <w:szCs w:val="28"/>
        </w:rPr>
        <w:t>m</w:t>
      </w:r>
      <w:r>
        <w:rPr>
          <w:szCs w:val="28"/>
        </w:rPr>
        <w:t>）、栖霞组（P</w:t>
      </w:r>
      <w:r>
        <w:rPr>
          <w:szCs w:val="28"/>
          <w:vertAlign w:val="subscript"/>
        </w:rPr>
        <w:t>2</w:t>
      </w:r>
      <w:r>
        <w:rPr>
          <w:i/>
          <w:szCs w:val="28"/>
        </w:rPr>
        <w:t>q</w:t>
      </w:r>
      <w:r>
        <w:rPr>
          <w:szCs w:val="28"/>
        </w:rPr>
        <w:t>）、合山组（P</w:t>
      </w:r>
      <w:r>
        <w:rPr>
          <w:szCs w:val="28"/>
          <w:vertAlign w:val="subscript"/>
        </w:rPr>
        <w:t>3</w:t>
      </w:r>
      <w:r>
        <w:rPr>
          <w:i/>
          <w:szCs w:val="28"/>
        </w:rPr>
        <w:t>h</w:t>
      </w:r>
      <w:r>
        <w:rPr>
          <w:szCs w:val="28"/>
        </w:rPr>
        <w:t>）及马平组（C</w:t>
      </w:r>
      <w:r>
        <w:rPr>
          <w:szCs w:val="28"/>
          <w:vertAlign w:val="subscript"/>
        </w:rPr>
        <w:t>2</w:t>
      </w:r>
      <w:r>
        <w:rPr>
          <w:szCs w:val="28"/>
        </w:rPr>
        <w:t>P</w:t>
      </w:r>
      <w:r>
        <w:rPr>
          <w:szCs w:val="28"/>
          <w:vertAlign w:val="subscript"/>
        </w:rPr>
        <w:t>1</w:t>
      </w:r>
      <w:r>
        <w:rPr>
          <w:i/>
          <w:szCs w:val="28"/>
        </w:rPr>
        <w:t>m</w:t>
      </w:r>
      <w:r>
        <w:rPr>
          <w:szCs w:val="28"/>
        </w:rPr>
        <w:t>）地层，构成矿区石灰岩矿含矿层位。</w:t>
      </w:r>
    </w:p>
    <w:p w14:paraId="35A46978">
      <w:pPr>
        <w:ind w:firstLine="560"/>
        <w:rPr>
          <w:szCs w:val="28"/>
        </w:rPr>
      </w:pPr>
      <w:r>
        <w:rPr>
          <w:szCs w:val="28"/>
        </w:rPr>
        <w:t>2）上思盆地</w:t>
      </w:r>
    </w:p>
    <w:p w14:paraId="585AC834">
      <w:pPr>
        <w:ind w:firstLine="560"/>
        <w:rPr>
          <w:szCs w:val="28"/>
        </w:rPr>
      </w:pPr>
      <w:r>
        <w:rPr>
          <w:szCs w:val="28"/>
        </w:rPr>
        <w:t>上思盆地位于本矿区南部，呈长圆形，轴向近东西向，长大于47 km，宽4~11 km，出露地层为古近系邕宁群（E</w:t>
      </w:r>
      <w:r>
        <w:rPr>
          <w:i/>
          <w:szCs w:val="28"/>
        </w:rPr>
        <w:t>Y</w:t>
      </w:r>
      <w:r>
        <w:rPr>
          <w:szCs w:val="28"/>
        </w:rPr>
        <w:t>）。</w:t>
      </w:r>
    </w:p>
    <w:p w14:paraId="581B7E9E">
      <w:pPr>
        <w:ind w:firstLine="560"/>
        <w:rPr>
          <w:szCs w:val="28"/>
        </w:rPr>
      </w:pPr>
      <w:bookmarkStart w:id="69" w:name="_Toc499019078"/>
      <w:bookmarkStart w:id="70" w:name="_Toc168994883"/>
      <w:bookmarkStart w:id="71" w:name="_Toc243800951"/>
      <w:bookmarkStart w:id="72" w:name="_Toc135903492"/>
      <w:r>
        <w:rPr>
          <w:szCs w:val="28"/>
        </w:rPr>
        <w:t>（2）断裂</w:t>
      </w:r>
      <w:bookmarkEnd w:id="69"/>
      <w:bookmarkEnd w:id="70"/>
      <w:bookmarkEnd w:id="71"/>
      <w:bookmarkEnd w:id="72"/>
    </w:p>
    <w:p w14:paraId="1D51058C">
      <w:pPr>
        <w:ind w:firstLine="560"/>
        <w:rPr>
          <w:spacing w:val="-6"/>
          <w:szCs w:val="28"/>
        </w:rPr>
      </w:pPr>
      <w:r>
        <w:rPr>
          <w:szCs w:val="28"/>
        </w:rPr>
        <w:t>区域内构造发育，主要构造线方向为近东西向，其次为北东向断裂。主要构造有凭祥-南宁断裂、那街断层、六色－三化背斜、上思盆地、南屏-新棠断裂。</w:t>
      </w:r>
    </w:p>
    <w:p w14:paraId="6E5E2D38">
      <w:pPr>
        <w:ind w:firstLine="560"/>
        <w:rPr>
          <w:szCs w:val="28"/>
        </w:rPr>
      </w:pPr>
      <w:r>
        <w:rPr>
          <w:szCs w:val="28"/>
        </w:rPr>
        <w:t>1）凭祥-南宁断裂</w:t>
      </w:r>
    </w:p>
    <w:p w14:paraId="6A4B0D56">
      <w:pPr>
        <w:ind w:firstLine="560"/>
        <w:rPr>
          <w:szCs w:val="28"/>
        </w:rPr>
      </w:pPr>
      <w:r>
        <w:rPr>
          <w:szCs w:val="28"/>
        </w:rPr>
        <w:t>凭祥-南宁断裂位于区域内北西部，断面倾向南东，倾角45°～80°，局部由一系列平行的北东向断裂组成，沿断裂带显示地层缺失，压劈理发育，具平行断面排列的构造透镜体，具糜棱岩化或硅化，两侧地层有牵引拖曳现象，切割地层主要有石炭系、二叠系、三叠系。</w:t>
      </w:r>
    </w:p>
    <w:p w14:paraId="45D35FC1">
      <w:pPr>
        <w:ind w:firstLine="560"/>
        <w:rPr>
          <w:szCs w:val="28"/>
        </w:rPr>
      </w:pPr>
      <w:r>
        <w:rPr>
          <w:szCs w:val="28"/>
        </w:rPr>
        <w:t>2）那街断层</w:t>
      </w:r>
    </w:p>
    <w:p w14:paraId="7670BD3E">
      <w:pPr>
        <w:ind w:firstLine="560"/>
        <w:rPr>
          <w:szCs w:val="28"/>
        </w:rPr>
      </w:pPr>
      <w:r>
        <w:rPr>
          <w:szCs w:val="28"/>
        </w:rPr>
        <w:t>那街断层分布在上思县街北古直～那街一带，倾向168°~175°，倾角60°~85°，长约57km，切断地层有中石炭统、二叠系、三叠系、下侏罗统、下白垩统和古近系，断距350m~550m，为压扭性断层。</w:t>
      </w:r>
    </w:p>
    <w:p w14:paraId="78533957">
      <w:pPr>
        <w:ind w:firstLine="560"/>
        <w:rPr>
          <w:szCs w:val="28"/>
        </w:rPr>
      </w:pPr>
      <w:r>
        <w:rPr>
          <w:szCs w:val="28"/>
        </w:rPr>
        <w:t>（3）南屏-新棠断裂</w:t>
      </w:r>
    </w:p>
    <w:p w14:paraId="4B6B9BCC">
      <w:pPr>
        <w:ind w:firstLine="560"/>
      </w:pPr>
      <w:r>
        <w:rPr>
          <w:szCs w:val="28"/>
        </w:rPr>
        <w:t>位于区域内南东部，走向北东东，在旧州附近与小董断裂归并。</w:t>
      </w:r>
    </w:p>
    <w:p w14:paraId="3CAE9A98">
      <w:pPr>
        <w:spacing w:line="240" w:lineRule="auto"/>
        <w:ind w:firstLine="0" w:firstLineChars="0"/>
        <w:jc w:val="center"/>
        <w:rPr>
          <w:rFonts w:hint="eastAsia"/>
          <w:szCs w:val="28"/>
        </w:rPr>
      </w:pPr>
      <w:r>
        <w:rPr>
          <w:szCs w:val="24"/>
        </w:rPr>
        <mc:AlternateContent>
          <mc:Choice Requires="wps">
            <w:drawing>
              <wp:anchor distT="0" distB="0" distL="114300" distR="114300" simplePos="0" relativeHeight="251663360" behindDoc="0" locked="0" layoutInCell="1" allowOverlap="1">
                <wp:simplePos x="0" y="0"/>
                <wp:positionH relativeFrom="column">
                  <wp:posOffset>2738755</wp:posOffset>
                </wp:positionH>
                <wp:positionV relativeFrom="paragraph">
                  <wp:posOffset>3060700</wp:posOffset>
                </wp:positionV>
                <wp:extent cx="828040" cy="292100"/>
                <wp:effectExtent l="6350" t="191135" r="22860" b="12065"/>
                <wp:wrapNone/>
                <wp:docPr id="65" name="矩形标注 65"/>
                <wp:cNvGraphicFramePr/>
                <a:graphic xmlns:a="http://schemas.openxmlformats.org/drawingml/2006/main">
                  <a:graphicData uri="http://schemas.microsoft.com/office/word/2010/wordprocessingShape">
                    <wps:wsp>
                      <wps:cNvSpPr/>
                      <wps:spPr>
                        <a:xfrm>
                          <a:off x="0" y="0"/>
                          <a:ext cx="828040" cy="292100"/>
                        </a:xfrm>
                        <a:prstGeom prst="wedgeRectCallout">
                          <a:avLst>
                            <a:gd name="adj1" fmla="val -44325"/>
                            <a:gd name="adj2" fmla="val -109782"/>
                          </a:avLst>
                        </a:prstGeom>
                        <a:solidFill>
                          <a:srgbClr val="000080">
                            <a:alpha val="30196"/>
                          </a:srgbClr>
                        </a:solidFill>
                        <a:ln w="12700" cap="flat" cmpd="sng">
                          <a:solidFill>
                            <a:srgbClr val="000000"/>
                          </a:solidFill>
                          <a:prstDash val="solid"/>
                          <a:miter/>
                          <a:headEnd type="none" w="med" len="med"/>
                          <a:tailEnd type="none" w="med" len="med"/>
                        </a:ln>
                      </wps:spPr>
                      <wps:txbx>
                        <w:txbxContent>
                          <w:p w14:paraId="297D3C3C">
                            <w:pPr>
                              <w:ind w:firstLine="0" w:firstLineChars="0"/>
                              <w:rPr>
                                <w:b/>
                                <w:color w:val="FF0000"/>
                                <w:sz w:val="24"/>
                                <w:szCs w:val="24"/>
                              </w:rPr>
                            </w:pPr>
                            <w:r>
                              <w:rPr>
                                <w:rFonts w:hint="eastAsia"/>
                                <w:b/>
                                <w:color w:val="FF0000"/>
                                <w:sz w:val="24"/>
                                <w:szCs w:val="24"/>
                              </w:rPr>
                              <w:t>矿区位置</w:t>
                            </w:r>
                          </w:p>
                        </w:txbxContent>
                      </wps:txbx>
                      <wps:bodyPr wrap="square" upright="1">
                        <a:noAutofit/>
                      </wps:bodyPr>
                    </wps:wsp>
                  </a:graphicData>
                </a:graphic>
              </wp:anchor>
            </w:drawing>
          </mc:Choice>
          <mc:Fallback>
            <w:pict>
              <v:shape id="_x0000_s1026" o:spid="_x0000_s1026" o:spt="61" type="#_x0000_t61" style="position:absolute;left:0pt;margin-left:215.65pt;margin-top:241pt;height:23pt;width:65.2pt;z-index:251663360;mso-width-relative:page;mso-height-relative:page;" fillcolor="#000080" filled="t" stroked="t" coordsize="21600,21600" o:gfxdata="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fpAWk2AAAAAsBAAAPAAAAAAAAAAEAIAAAACIAAABkcnMvZG93bnJldi54bWxQSwECFAAU&#10;AAAACACHTuJA+F1gcWMCAADaBAAADgAAAAAAAAABACAAAAAnAQAAZHJzL2Uyb0RvYy54bWxQSwUG&#10;AAAAAAYABgBZAQAA/AUAAAAA&#10;" adj="1226,-12913">
                <v:fill on="t" opacity="19789f" focussize="0,0"/>
                <v:stroke weight="1pt" color="#000000" joinstyle="miter"/>
                <v:imagedata o:title=""/>
                <o:lock v:ext="edit" aspectratio="f"/>
                <v:textbox>
                  <w:txbxContent>
                    <w:p w14:paraId="297D3C3C">
                      <w:pPr>
                        <w:ind w:firstLine="0" w:firstLineChars="0"/>
                        <w:rPr>
                          <w:b/>
                          <w:color w:val="FF0000"/>
                          <w:sz w:val="24"/>
                          <w:szCs w:val="24"/>
                        </w:rPr>
                      </w:pPr>
                      <w:r>
                        <w:rPr>
                          <w:rFonts w:hint="eastAsia"/>
                          <w:b/>
                          <w:color w:val="FF0000"/>
                          <w:sz w:val="24"/>
                          <w:szCs w:val="24"/>
                        </w:rPr>
                        <w:t>矿区位置</w:t>
                      </w:r>
                    </w:p>
                  </w:txbxContent>
                </v:textbox>
              </v:shape>
            </w:pict>
          </mc:Fallback>
        </mc:AlternateContent>
      </w:r>
      <w:r>
        <w:rPr>
          <w:szCs w:val="24"/>
        </w:rPr>
        <mc:AlternateContent>
          <mc:Choice Requires="wps">
            <w:drawing>
              <wp:anchor distT="0" distB="0" distL="114300" distR="114300" simplePos="0" relativeHeight="251662336" behindDoc="0" locked="0" layoutInCell="1" allowOverlap="1">
                <wp:simplePos x="0" y="0"/>
                <wp:positionH relativeFrom="column">
                  <wp:posOffset>2650490</wp:posOffset>
                </wp:positionH>
                <wp:positionV relativeFrom="paragraph">
                  <wp:posOffset>2774315</wp:posOffset>
                </wp:positionV>
                <wp:extent cx="158750" cy="170815"/>
                <wp:effectExtent l="13335" t="17145" r="18415" b="21590"/>
                <wp:wrapNone/>
                <wp:docPr id="11" name="五角星 11"/>
                <wp:cNvGraphicFramePr/>
                <a:graphic xmlns:a="http://schemas.openxmlformats.org/drawingml/2006/main">
                  <a:graphicData uri="http://schemas.microsoft.com/office/word/2010/wordprocessingShape">
                    <wps:wsp>
                      <wps:cNvSpPr/>
                      <wps:spPr>
                        <a:xfrm>
                          <a:off x="0" y="0"/>
                          <a:ext cx="158750" cy="170815"/>
                        </a:xfrm>
                        <a:prstGeom prst="star5">
                          <a:avLst/>
                        </a:prstGeom>
                        <a:solidFill>
                          <a:srgbClr val="FF0000"/>
                        </a:solidFill>
                        <a:ln w="9525" cap="flat" cmpd="sng">
                          <a:solidFill>
                            <a:srgbClr val="000000"/>
                          </a:solidFill>
                          <a:prstDash val="solid"/>
                          <a:miter/>
                          <a:headEnd type="none" w="med" len="med"/>
                          <a:tailEnd type="none" w="med" len="med"/>
                        </a:ln>
                        <a:effectLst/>
                      </wps:spPr>
                      <wps:txbx>
                        <w:txbxContent>
                          <w:p w14:paraId="4D712EE1">
                            <w:pPr>
                              <w:ind w:firstLine="560"/>
                              <w:jc w:val="center"/>
                              <w:rPr>
                                <w:szCs w:val="24"/>
                              </w:rPr>
                            </w:pPr>
                          </w:p>
                        </w:txbxContent>
                      </wps:txbx>
                      <wps:bodyPr upright="1"/>
                    </wps:wsp>
                  </a:graphicData>
                </a:graphic>
              </wp:anchor>
            </w:drawing>
          </mc:Choice>
          <mc:Fallback>
            <w:pict>
              <v:shape id="_x0000_s1026" o:spid="_x0000_s1026" style="position:absolute;left:0pt;margin-left:208.7pt;margin-top:218.45pt;height:13.45pt;width:12.5pt;z-index:251662336;mso-width-relative:page;mso-height-relative:page;" fillcolor="#FF0000" filled="t" stroked="t" coordsize="158750,170815" o:gfxdata="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SmwBdoAAAALAQAADwAAAAAAAAAB&#10;ACAAAAAiAAAAZHJzL2Rvd25yZXYueG1sUEsBAhQAFAAAAAgAh07iQNRuPWMOAgAAPAQAAA4AAAAA&#10;AAAAAQAgAAAAKQEAAGRycy9lMm9Eb2MueG1sUEsFBgAAAAAGAAYAWQEAAKkFAAAAAA==&#10;" path="m0,65245l60637,65245,79375,0,98112,65245,158749,65245,109693,105569,128431,170814,79375,130490,30318,170814,49056,105569xe">
                <v:path textboxrect="0,0,158750,170815" o:connectlocs="79375,0;0,65245;30318,170814;128431,170814;158749,65245" o:connectangles="247,164,82,82,0"/>
                <v:fill on="t" focussize="0,0"/>
                <v:stroke color="#000000" joinstyle="miter"/>
                <v:imagedata o:title=""/>
                <o:lock v:ext="edit" aspectratio="f"/>
                <v:textbox>
                  <w:txbxContent>
                    <w:p w14:paraId="4D712EE1">
                      <w:pPr>
                        <w:ind w:firstLine="560"/>
                        <w:jc w:val="center"/>
                        <w:rPr>
                          <w:szCs w:val="24"/>
                        </w:rPr>
                      </w:pPr>
                    </w:p>
                  </w:txbxContent>
                </v:textbox>
              </v:shape>
            </w:pict>
          </mc:Fallback>
        </mc:AlternateContent>
      </w:r>
      <w:r>
        <w:drawing>
          <wp:inline distT="0" distB="0" distL="0" distR="0">
            <wp:extent cx="4860290" cy="3838575"/>
            <wp:effectExtent l="0" t="0" r="16510" b="9525"/>
            <wp:docPr id="12" name="图片 12" descr="F:\2广西地质志插图（2017.11）\43-46章  地质构造\图43-1\图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2广西地质志插图（2017.11）\43-46章  地质构造\图43-1\图43-1.JPG"/>
                    <pic:cNvPicPr>
                      <a:picLocks noChangeAspect="1" noChangeArrowheads="1"/>
                    </pic:cNvPicPr>
                  </pic:nvPicPr>
                  <pic:blipFill>
                    <a:blip r:embed="rId16"/>
                    <a:srcRect l="5512" t="6809" r="5512" b="6420"/>
                    <a:stretch>
                      <a:fillRect/>
                    </a:stretch>
                  </pic:blipFill>
                  <pic:spPr>
                    <a:xfrm>
                      <a:off x="0" y="0"/>
                      <a:ext cx="4860290" cy="3838575"/>
                    </a:xfrm>
                    <a:prstGeom prst="rect">
                      <a:avLst/>
                    </a:prstGeom>
                    <a:noFill/>
                    <a:ln w="9525">
                      <a:noFill/>
                      <a:miter lim="800000"/>
                      <a:headEnd/>
                      <a:tailEnd/>
                    </a:ln>
                  </pic:spPr>
                </pic:pic>
              </a:graphicData>
            </a:graphic>
          </wp:inline>
        </w:drawing>
      </w:r>
    </w:p>
    <w:p w14:paraId="41CEBB0B">
      <w:pPr>
        <w:spacing w:line="240" w:lineRule="auto"/>
        <w:ind w:firstLine="0" w:firstLineChars="0"/>
        <w:jc w:val="center"/>
        <w:rPr>
          <w:rFonts w:hint="eastAsia" w:eastAsia="仿宋"/>
          <w:b/>
          <w:bCs/>
          <w:sz w:val="24"/>
          <w:szCs w:val="24"/>
          <w:lang w:val="en-US" w:eastAsia="zh-CN"/>
        </w:rPr>
      </w:pPr>
      <w:r>
        <w:rPr>
          <w:b/>
          <w:bCs/>
          <w:sz w:val="24"/>
          <w:szCs w:val="24"/>
        </w:rPr>
        <w:t>图2-1  广西构造单元划分示意图</w:t>
      </w:r>
      <w:r>
        <w:rPr>
          <w:rFonts w:hint="eastAsia"/>
          <w:b/>
          <w:bCs/>
          <w:sz w:val="24"/>
          <w:szCs w:val="24"/>
          <w:lang w:eastAsia="zh-CN"/>
        </w:rPr>
        <w:t>（</w:t>
      </w:r>
      <w:r>
        <w:rPr>
          <w:rFonts w:hint="eastAsia"/>
          <w:b/>
          <w:bCs/>
          <w:sz w:val="24"/>
          <w:szCs w:val="24"/>
          <w:lang w:val="en-US" w:eastAsia="zh-CN"/>
        </w:rPr>
        <w:t>引用自1:50万广西区域地质志</w:t>
      </w:r>
      <w:r>
        <w:rPr>
          <w:rFonts w:hint="eastAsia"/>
          <w:b/>
          <w:bCs/>
          <w:sz w:val="24"/>
          <w:szCs w:val="24"/>
          <w:lang w:eastAsia="zh-CN"/>
        </w:rPr>
        <w:t>）</w:t>
      </w:r>
    </w:p>
    <w:p w14:paraId="42ABA3F9">
      <w:pPr>
        <w:pStyle w:val="5"/>
        <w:spacing w:before="190" w:beforeLines="50"/>
      </w:pPr>
      <w:bookmarkStart w:id="73" w:name="_Toc89703956"/>
      <w:bookmarkStart w:id="74" w:name="_Toc89003061"/>
      <w:bookmarkStart w:id="75" w:name="_Toc87710802"/>
      <w:bookmarkStart w:id="76" w:name="_Toc65645022"/>
      <w:bookmarkStart w:id="77" w:name="_Toc89858123"/>
      <w:bookmarkStart w:id="78" w:name="_Toc124107391"/>
      <w:bookmarkStart w:id="79" w:name="_Toc87718981"/>
      <w:bookmarkStart w:id="80" w:name="_Toc89684570"/>
      <w:bookmarkStart w:id="81" w:name="_Toc89699034"/>
      <w:bookmarkStart w:id="82" w:name="_Toc68360190"/>
      <w:bookmarkStart w:id="83" w:name="_Toc67712730"/>
      <w:bookmarkStart w:id="84" w:name="_Toc88993446"/>
      <w:bookmarkStart w:id="85" w:name="_Toc89664276"/>
      <w:bookmarkStart w:id="86" w:name="_Toc67717527"/>
      <w:bookmarkStart w:id="87" w:name="_Toc68397054"/>
      <w:bookmarkStart w:id="88" w:name="_Toc69640764"/>
      <w:r>
        <w:t>2.</w:t>
      </w:r>
      <w:r>
        <w:rPr>
          <w:lang w:val="en-US"/>
        </w:rPr>
        <w:t>3</w:t>
      </w:r>
      <w:r>
        <w:t>.3 岩浆岩</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1DC15140">
      <w:pPr>
        <w:ind w:firstLine="560"/>
      </w:pPr>
      <w:bookmarkStart w:id="89" w:name="_Toc124107392"/>
      <w:r>
        <w:rPr>
          <w:szCs w:val="28"/>
        </w:rPr>
        <w:t>区域内北西角出露岩浆岩，主要是北泗组（T</w:t>
      </w:r>
      <w:r>
        <w:rPr>
          <w:szCs w:val="28"/>
          <w:vertAlign w:val="subscript"/>
        </w:rPr>
        <w:t>1</w:t>
      </w:r>
      <w:r>
        <w:rPr>
          <w:i/>
          <w:szCs w:val="28"/>
        </w:rPr>
        <w:t>b</w:t>
      </w:r>
      <w:r>
        <w:rPr>
          <w:szCs w:val="28"/>
        </w:rPr>
        <w:t>）的一套中酸性火山岩，呈东西向带状分布于江州地区南部，岩性主要为：长石石英斑岩、英安斑岩、石英钠长斑岩、凝灰熔岩及凝灰岩等。罗楼组（T</w:t>
      </w:r>
      <w:r>
        <w:rPr>
          <w:szCs w:val="28"/>
          <w:vertAlign w:val="subscript"/>
        </w:rPr>
        <w:t>1</w:t>
      </w:r>
      <w:r>
        <w:rPr>
          <w:i/>
          <w:szCs w:val="28"/>
        </w:rPr>
        <w:t>l</w:t>
      </w:r>
      <w:r>
        <w:rPr>
          <w:szCs w:val="28"/>
        </w:rPr>
        <w:t>）亦有中基性火山岩夹层。在宁明县那小一带小范围出露印支期碎斑状紫苏花岗斑岩。</w:t>
      </w:r>
    </w:p>
    <w:p w14:paraId="311B36E9">
      <w:pPr>
        <w:pStyle w:val="5"/>
      </w:pPr>
      <w:r>
        <w:t>2.</w:t>
      </w:r>
      <w:r>
        <w:rPr>
          <w:lang w:val="en-US"/>
        </w:rPr>
        <w:t>3</w:t>
      </w:r>
      <w:r>
        <w:t>.</w:t>
      </w:r>
      <w:r>
        <w:rPr>
          <w:lang w:val="en-US"/>
        </w:rPr>
        <w:t>4</w:t>
      </w:r>
      <w:r>
        <w:t xml:space="preserve"> 区域矿产</w:t>
      </w:r>
      <w:bookmarkEnd w:id="89"/>
    </w:p>
    <w:p w14:paraId="1D2F833D">
      <w:pPr>
        <w:ind w:firstLine="560"/>
      </w:pPr>
      <w:r>
        <w:t>区内矿产资源丰富，有灰岩、煤、汞、磷、石膏、膨润土等矿种及优质矿泉水。</w:t>
      </w:r>
    </w:p>
    <w:p w14:paraId="0141C3F9">
      <w:pPr>
        <w:pStyle w:val="4"/>
      </w:pPr>
      <w:bookmarkStart w:id="90" w:name="_Toc176773702"/>
      <w:bookmarkStart w:id="91" w:name="_Toc10832"/>
      <w:bookmarkStart w:id="92" w:name="_Toc176901233"/>
      <w:bookmarkStart w:id="93" w:name="_Toc5908"/>
      <w:bookmarkStart w:id="94" w:name="_Toc17268"/>
      <w:bookmarkStart w:id="95" w:name="_Toc20055"/>
      <w:r>
        <w:t>2.</w:t>
      </w:r>
      <w:r>
        <w:rPr>
          <w:lang w:val="en-US"/>
        </w:rPr>
        <w:t>4</w:t>
      </w:r>
      <w:r>
        <w:t xml:space="preserve"> 矿区地质</w:t>
      </w:r>
      <w:bookmarkEnd w:id="90"/>
      <w:bookmarkEnd w:id="91"/>
      <w:bookmarkEnd w:id="92"/>
      <w:bookmarkEnd w:id="93"/>
      <w:bookmarkEnd w:id="94"/>
      <w:bookmarkEnd w:id="95"/>
    </w:p>
    <w:p w14:paraId="59D59E02">
      <w:pPr>
        <w:pStyle w:val="5"/>
      </w:pPr>
      <w:bookmarkStart w:id="96" w:name="_Toc124107395"/>
      <w:bookmarkStart w:id="97" w:name="_Toc101100141"/>
      <w:bookmarkStart w:id="98" w:name="_Toc135491383"/>
      <w:bookmarkStart w:id="99" w:name="_Toc135478861"/>
      <w:bookmarkStart w:id="100" w:name="_Toc178570108"/>
      <w:bookmarkStart w:id="101" w:name="_Toc178652004"/>
      <w:bookmarkStart w:id="102" w:name="_Toc177177630"/>
      <w:bookmarkStart w:id="103" w:name="_Toc166297088"/>
      <w:bookmarkStart w:id="104" w:name="_Toc100552152"/>
      <w:bookmarkStart w:id="105" w:name="_Toc101100053"/>
      <w:bookmarkStart w:id="106" w:name="_Toc101100168"/>
      <w:r>
        <w:t>2.</w:t>
      </w:r>
      <w:r>
        <w:rPr>
          <w:lang w:val="en-US"/>
        </w:rPr>
        <w:t>4</w:t>
      </w:r>
      <w:r>
        <w:t>.1 矿区地质特征</w:t>
      </w:r>
      <w:bookmarkEnd w:id="96"/>
    </w:p>
    <w:p w14:paraId="3A9E24C7">
      <w:pPr>
        <w:pStyle w:val="6"/>
        <w:ind w:firstLine="562"/>
      </w:pPr>
      <w:r>
        <w:rPr>
          <w:lang w:val="en-US"/>
        </w:rPr>
        <w:t xml:space="preserve">2.4.1.1 </w:t>
      </w:r>
      <w:r>
        <w:t>地层</w:t>
      </w:r>
    </w:p>
    <w:bookmarkEnd w:id="97"/>
    <w:bookmarkEnd w:id="98"/>
    <w:bookmarkEnd w:id="99"/>
    <w:bookmarkEnd w:id="100"/>
    <w:bookmarkEnd w:id="101"/>
    <w:bookmarkEnd w:id="102"/>
    <w:bookmarkEnd w:id="103"/>
    <w:bookmarkEnd w:id="104"/>
    <w:bookmarkEnd w:id="105"/>
    <w:bookmarkEnd w:id="106"/>
    <w:p w14:paraId="23A89145">
      <w:pPr>
        <w:ind w:firstLine="560"/>
        <w:rPr>
          <w:szCs w:val="21"/>
        </w:rPr>
      </w:pPr>
      <w:bookmarkStart w:id="107" w:name="_Toc314214561"/>
      <w:bookmarkStart w:id="108" w:name="_Toc143007937"/>
      <w:bookmarkStart w:id="109" w:name="_Toc322539590"/>
      <w:bookmarkStart w:id="110" w:name="_Toc178652005"/>
      <w:bookmarkStart w:id="111" w:name="_Toc243800956"/>
      <w:bookmarkStart w:id="112" w:name="_Toc101100055"/>
      <w:bookmarkStart w:id="113" w:name="_Toc101100170"/>
      <w:bookmarkStart w:id="114" w:name="_Toc261940935"/>
      <w:bookmarkStart w:id="115" w:name="_Toc166297089"/>
      <w:bookmarkStart w:id="116" w:name="_Toc177177631"/>
      <w:bookmarkStart w:id="117" w:name="_Toc135478862"/>
      <w:bookmarkStart w:id="118" w:name="_Toc101100143"/>
      <w:bookmarkStart w:id="119" w:name="_Toc135491384"/>
      <w:bookmarkStart w:id="120" w:name="_Toc168994888"/>
      <w:bookmarkStart w:id="121" w:name="_Toc178570109"/>
      <w:bookmarkStart w:id="122" w:name="_Toc100552154"/>
      <w:r>
        <w:rPr>
          <w:szCs w:val="21"/>
        </w:rPr>
        <w:t>矿区出露地层有：第四系全新统（Q</w:t>
      </w:r>
      <w:r>
        <w:rPr>
          <w:i/>
          <w:iCs/>
          <w:szCs w:val="21"/>
        </w:rPr>
        <w:t>h</w:t>
      </w:r>
      <w:r>
        <w:rPr>
          <w:szCs w:val="21"/>
        </w:rPr>
        <w:t>）、侏罗系下统汪门组（J</w:t>
      </w:r>
      <w:r>
        <w:rPr>
          <w:szCs w:val="21"/>
          <w:vertAlign w:val="subscript"/>
        </w:rPr>
        <w:t>1</w:t>
      </w:r>
      <w:r>
        <w:rPr>
          <w:i/>
          <w:iCs/>
          <w:szCs w:val="21"/>
        </w:rPr>
        <w:t>w</w:t>
      </w:r>
      <w:r>
        <w:rPr>
          <w:szCs w:val="21"/>
        </w:rPr>
        <w:t>）、下三叠统罗楼组下段（T</w:t>
      </w:r>
      <w:r>
        <w:rPr>
          <w:szCs w:val="21"/>
          <w:vertAlign w:val="subscript"/>
        </w:rPr>
        <w:t>1</w:t>
      </w:r>
      <w:r>
        <w:rPr>
          <w:i/>
          <w:iCs/>
          <w:szCs w:val="21"/>
        </w:rPr>
        <w:t>l</w:t>
      </w:r>
      <w:r>
        <w:rPr>
          <w:szCs w:val="21"/>
          <w:vertAlign w:val="superscript"/>
        </w:rPr>
        <w:t>1</w:t>
      </w:r>
      <w:r>
        <w:rPr>
          <w:szCs w:val="21"/>
        </w:rPr>
        <w:t>）、二叠系上统合山组（P</w:t>
      </w:r>
      <w:r>
        <w:rPr>
          <w:szCs w:val="21"/>
          <w:vertAlign w:val="subscript"/>
        </w:rPr>
        <w:t>3</w:t>
      </w:r>
      <w:r>
        <w:rPr>
          <w:i/>
          <w:iCs/>
          <w:szCs w:val="21"/>
        </w:rPr>
        <w:t>h</w:t>
      </w:r>
      <w:r>
        <w:rPr>
          <w:szCs w:val="21"/>
        </w:rPr>
        <w:t>）、二叠系中统茅口组（P</w:t>
      </w:r>
      <w:r>
        <w:rPr>
          <w:szCs w:val="21"/>
          <w:vertAlign w:val="subscript"/>
        </w:rPr>
        <w:t>2</w:t>
      </w:r>
      <w:r>
        <w:rPr>
          <w:i/>
          <w:iCs/>
          <w:szCs w:val="21"/>
        </w:rPr>
        <w:t>m</w:t>
      </w:r>
      <w:r>
        <w:rPr>
          <w:szCs w:val="21"/>
        </w:rPr>
        <w:t>）、二叠系中统栖霞组（P</w:t>
      </w:r>
      <w:r>
        <w:rPr>
          <w:szCs w:val="21"/>
          <w:vertAlign w:val="subscript"/>
        </w:rPr>
        <w:t>2</w:t>
      </w:r>
      <w:r>
        <w:rPr>
          <w:i/>
          <w:iCs/>
          <w:szCs w:val="21"/>
        </w:rPr>
        <w:t>q</w:t>
      </w:r>
      <w:r>
        <w:rPr>
          <w:szCs w:val="21"/>
        </w:rPr>
        <w:t>）、</w:t>
      </w:r>
      <w:r>
        <w:rPr>
          <w:szCs w:val="28"/>
        </w:rPr>
        <w:t>石炭系上统至二叠系下统马平组（C</w:t>
      </w:r>
      <w:r>
        <w:rPr>
          <w:szCs w:val="28"/>
          <w:vertAlign w:val="subscript"/>
        </w:rPr>
        <w:t>2</w:t>
      </w:r>
      <w:r>
        <w:rPr>
          <w:szCs w:val="28"/>
        </w:rPr>
        <w:t>P</w:t>
      </w:r>
      <w:r>
        <w:rPr>
          <w:szCs w:val="28"/>
          <w:vertAlign w:val="subscript"/>
        </w:rPr>
        <w:t>1</w:t>
      </w:r>
      <w:r>
        <w:rPr>
          <w:i/>
          <w:szCs w:val="28"/>
        </w:rPr>
        <w:t>m</w:t>
      </w:r>
      <w:r>
        <w:rPr>
          <w:szCs w:val="28"/>
        </w:rPr>
        <w:t>）、</w:t>
      </w:r>
      <w:r>
        <w:rPr>
          <w:szCs w:val="21"/>
        </w:rPr>
        <w:t>石炭系上统黄龙组（C</w:t>
      </w:r>
      <w:r>
        <w:rPr>
          <w:szCs w:val="21"/>
          <w:vertAlign w:val="subscript"/>
        </w:rPr>
        <w:t>2</w:t>
      </w:r>
      <w:r>
        <w:rPr>
          <w:i/>
          <w:iCs/>
          <w:szCs w:val="21"/>
        </w:rPr>
        <w:t>h</w:t>
      </w:r>
      <w:r>
        <w:rPr>
          <w:szCs w:val="21"/>
        </w:rPr>
        <w:t>）。现由老到新描述如下：</w:t>
      </w:r>
    </w:p>
    <w:p w14:paraId="5AA8A67C">
      <w:pPr>
        <w:ind w:firstLine="560"/>
      </w:pPr>
      <w:r>
        <w:t>（1）石炭系上统黄龙组（C</w:t>
      </w:r>
      <w:r>
        <w:rPr>
          <w:vertAlign w:val="subscript"/>
        </w:rPr>
        <w:t>2</w:t>
      </w:r>
      <w:r>
        <w:rPr>
          <w:i/>
          <w:iCs/>
        </w:rPr>
        <w:t>h</w:t>
      </w:r>
      <w:r>
        <w:t>）：仅分布在矿区东南部，地表多为第四系含砾粘土、砂土层覆盖。岩性由灰～灰白色中厚层状灰岩和少量深灰色灰岩组成，倾向320～355°，倾角40～45°。由东向西逐渐变薄，并尖灭，厚度约60m。</w:t>
      </w:r>
    </w:p>
    <w:p w14:paraId="4E2B2477">
      <w:pPr>
        <w:ind w:firstLine="560"/>
        <w:rPr>
          <w:szCs w:val="21"/>
        </w:rPr>
      </w:pPr>
      <w:r>
        <w:rPr>
          <w:szCs w:val="21"/>
        </w:rPr>
        <w:t>（2）石炭系上统至二叠系下统马平组（C</w:t>
      </w:r>
      <w:r>
        <w:rPr>
          <w:szCs w:val="21"/>
          <w:vertAlign w:val="subscript"/>
        </w:rPr>
        <w:t>2</w:t>
      </w:r>
      <w:r>
        <w:rPr>
          <w:szCs w:val="21"/>
        </w:rPr>
        <w:t>P</w:t>
      </w:r>
      <w:r>
        <w:rPr>
          <w:szCs w:val="21"/>
          <w:vertAlign w:val="subscript"/>
        </w:rPr>
        <w:t>1</w:t>
      </w:r>
      <w:r>
        <w:rPr>
          <w:i/>
          <w:iCs/>
          <w:szCs w:val="21"/>
        </w:rPr>
        <w:t>m</w:t>
      </w:r>
      <w:r>
        <w:rPr>
          <w:szCs w:val="21"/>
        </w:rPr>
        <w:t>）：分布在矿区中~中南部。</w:t>
      </w:r>
      <w:r>
        <w:rPr>
          <w:color w:val="auto"/>
          <w:szCs w:val="21"/>
        </w:rPr>
        <w:t>岩性为</w:t>
      </w:r>
      <w:r>
        <w:rPr>
          <w:rFonts w:hint="eastAsia"/>
          <w:color w:val="auto"/>
          <w:szCs w:val="21"/>
        </w:rPr>
        <w:t>中-厚层状含生物屑微晶灰岩，细-微晶结构，生物碎屑结构，</w:t>
      </w:r>
      <w:r>
        <w:rPr>
          <w:szCs w:val="21"/>
        </w:rPr>
        <w:t>呈单斜层状产出。矿层倾向一般为320～350°，矿层总体倾向约为340°。倾角34～43°，由南向北倾角逐渐变缓，经钻孔揭露，深部倾角变徙。该层底部有薄层状白云岩、云质灰岩或深灰～灰黑色灰岩为该层与</w:t>
      </w:r>
      <w:r>
        <w:t>石炭系上统黄龙组（C</w:t>
      </w:r>
      <w:r>
        <w:rPr>
          <w:vertAlign w:val="subscript"/>
        </w:rPr>
        <w:t>2</w:t>
      </w:r>
      <w:r>
        <w:rPr>
          <w:i/>
          <w:iCs/>
        </w:rPr>
        <w:t>h</w:t>
      </w:r>
      <w:r>
        <w:t>）</w:t>
      </w:r>
      <w:r>
        <w:rPr>
          <w:szCs w:val="21"/>
        </w:rPr>
        <w:t>灰～灰白色灰岩分层标志，与下伏地层呈整合接触关系。该层控制厚度约470m。本层为主矿层。</w:t>
      </w:r>
    </w:p>
    <w:p w14:paraId="3E14BB6B">
      <w:pPr>
        <w:ind w:firstLine="560"/>
        <w:rPr>
          <w:szCs w:val="21"/>
        </w:rPr>
      </w:pPr>
      <w:r>
        <w:rPr>
          <w:szCs w:val="21"/>
        </w:rPr>
        <w:t>（3）二叠系中统栖霞组（P</w:t>
      </w:r>
      <w:r>
        <w:rPr>
          <w:szCs w:val="21"/>
          <w:vertAlign w:val="subscript"/>
        </w:rPr>
        <w:t>2</w:t>
      </w:r>
      <w:r>
        <w:rPr>
          <w:i/>
          <w:iCs/>
          <w:szCs w:val="21"/>
        </w:rPr>
        <w:t>q</w:t>
      </w:r>
      <w:r>
        <w:rPr>
          <w:szCs w:val="21"/>
        </w:rPr>
        <w:t>）：分布在矿区的中北部，呈狭长带状分布，岩性为薄～中层状灰黑色微晶灰岩、细晶灰岩，微晶-细晶结构，含少量生物碎屑，局部夹少量燧石结核或燧石条带。燧石零星稀散分布，分布极不均匀，燧石呈棱角状，大小2~5mm，一般3mm，硅质结核突出风化灰岩表面，较明显。燧石条带宽度一般2~3cm，一般夹在灰岩层理面间。栖霞组底部为一套浅灰色薄层状黄铁矿化的泥岩、灰黄色薄层状硅化泥岩以及褐黄色薄层状褐铁矿化的泥岩、砂岩夹层，夹层厚度30～70cm。该组地层地表出露宽度20～35m，倾向340°～10°，倾角28°～30°。与下伏地层呈整合接触。</w:t>
      </w:r>
    </w:p>
    <w:p w14:paraId="6F9FAA1F">
      <w:pPr>
        <w:ind w:firstLine="560"/>
        <w:rPr>
          <w:szCs w:val="21"/>
        </w:rPr>
      </w:pPr>
      <w:r>
        <w:rPr>
          <w:szCs w:val="21"/>
        </w:rPr>
        <w:t>（4）二叠系中统茅口组（P</w:t>
      </w:r>
      <w:r>
        <w:rPr>
          <w:szCs w:val="21"/>
          <w:vertAlign w:val="subscript"/>
        </w:rPr>
        <w:t>2</w:t>
      </w:r>
      <w:r>
        <w:rPr>
          <w:i/>
          <w:iCs/>
          <w:szCs w:val="21"/>
        </w:rPr>
        <w:t>m</w:t>
      </w:r>
      <w:r>
        <w:rPr>
          <w:szCs w:val="21"/>
        </w:rPr>
        <w:t>）：分布在矿区的中北部，岩性为厚层状灰白色、浅灰色微晶灰岩、亮晶灰岩、生物碎屑灰岩。该组横向和纵向向岩性岩性变化不大，岩石质纯性脆。倾向325°～350°，倾角21°～29°。与下伏地层呈整合接触。</w:t>
      </w:r>
    </w:p>
    <w:p w14:paraId="01B74390">
      <w:pPr>
        <w:ind w:firstLine="560"/>
        <w:rPr>
          <w:szCs w:val="21"/>
        </w:rPr>
      </w:pPr>
      <w:r>
        <w:rPr>
          <w:szCs w:val="21"/>
        </w:rPr>
        <w:t>（5）二叠系上统合山组（P</w:t>
      </w:r>
      <w:r>
        <w:rPr>
          <w:szCs w:val="21"/>
          <w:vertAlign w:val="subscript"/>
        </w:rPr>
        <w:t>3</w:t>
      </w:r>
      <w:r>
        <w:rPr>
          <w:i/>
          <w:iCs/>
          <w:szCs w:val="21"/>
        </w:rPr>
        <w:t>h</w:t>
      </w:r>
      <w:r>
        <w:rPr>
          <w:szCs w:val="21"/>
        </w:rPr>
        <w:t>）：</w:t>
      </w:r>
      <w:r>
        <w:t>分布在矿区北部，岩性为深灰色中厚层状生物屑微晶灰岩、泥质灰岩，底部为灰黄色铁铝土岩、含豆粒泥岩、硅质岩，中下部含炭泥灰岩中夹数层煤层或煤线。与下伏地层呈平行不整合接触。厚48~475m。</w:t>
      </w:r>
    </w:p>
    <w:p w14:paraId="61FF8A22">
      <w:pPr>
        <w:ind w:firstLine="560"/>
        <w:rPr>
          <w:szCs w:val="21"/>
        </w:rPr>
      </w:pPr>
      <w:r>
        <w:rPr>
          <w:szCs w:val="21"/>
        </w:rPr>
        <w:t>（6）下三叠统罗楼组下段（T</w:t>
      </w:r>
      <w:r>
        <w:rPr>
          <w:szCs w:val="21"/>
          <w:vertAlign w:val="subscript"/>
        </w:rPr>
        <w:t>1</w:t>
      </w:r>
      <w:r>
        <w:rPr>
          <w:i/>
          <w:iCs/>
          <w:szCs w:val="21"/>
        </w:rPr>
        <w:t>l</w:t>
      </w:r>
      <w:r>
        <w:rPr>
          <w:szCs w:val="21"/>
          <w:vertAlign w:val="superscript"/>
        </w:rPr>
        <w:t>1</w:t>
      </w:r>
      <w:r>
        <w:rPr>
          <w:szCs w:val="21"/>
        </w:rPr>
        <w:t>）：分布在矿区中～中北部，地表多为第四系残坡积含砾砂土层所覆盖。岩性由黄色、灰～灰绿色薄～中层状泥岩、粉砂岩、粉砂质泥岩、石英砂岩组成，产状为：倾向10～25°，倾角15～25°，厚度大于80m。与下伏地层呈整合接触关系。</w:t>
      </w:r>
    </w:p>
    <w:p w14:paraId="1EE0FAC1">
      <w:pPr>
        <w:ind w:firstLine="560"/>
        <w:rPr>
          <w:szCs w:val="21"/>
        </w:rPr>
      </w:pPr>
      <w:r>
        <w:rPr>
          <w:szCs w:val="21"/>
        </w:rPr>
        <w:t>（7）侏罗系下统汪门组（J</w:t>
      </w:r>
      <w:r>
        <w:rPr>
          <w:szCs w:val="21"/>
          <w:vertAlign w:val="subscript"/>
        </w:rPr>
        <w:t>1</w:t>
      </w:r>
      <w:r>
        <w:rPr>
          <w:i/>
          <w:iCs/>
          <w:szCs w:val="21"/>
        </w:rPr>
        <w:t>w</w:t>
      </w:r>
      <w:r>
        <w:rPr>
          <w:szCs w:val="21"/>
        </w:rPr>
        <w:t>）：分布于矿区南东部，出露面积约0.02km</w:t>
      </w:r>
      <w:r>
        <w:rPr>
          <w:szCs w:val="21"/>
          <w:vertAlign w:val="superscript"/>
        </w:rPr>
        <w:t>2</w:t>
      </w:r>
      <w:r>
        <w:rPr>
          <w:szCs w:val="21"/>
        </w:rPr>
        <w:t>。岩性为紫红色细砂岩、粉砂岩、泥岩，砂质结构、泥质粉砂结构，中-薄层状。该层风化很严重，仅个别位置可以观察到产状，在矿区外围测得产状203°～220°</w:t>
      </w:r>
      <w:r>
        <w:rPr>
          <w:rFonts w:hint="eastAsia" w:ascii="宋体" w:hAnsi="宋体" w:eastAsia="宋体" w:cs="宋体"/>
          <w:szCs w:val="21"/>
        </w:rPr>
        <w:t>∠</w:t>
      </w:r>
      <w:r>
        <w:rPr>
          <w:szCs w:val="21"/>
        </w:rPr>
        <w:t>12～15°，与下伏地层呈角度不整合接触。</w:t>
      </w:r>
    </w:p>
    <w:p w14:paraId="7059BA43">
      <w:pPr>
        <w:ind w:firstLine="560"/>
      </w:pPr>
      <w:r>
        <w:t>（8）第四系全新统（Qh）：主要分布在矿区北部、东部冲沟及低洼处，岩性主要为黄色粘土、含砾砂土。厚0～5m。与下伏地层呈不整合接触关系。</w:t>
      </w:r>
    </w:p>
    <w:p w14:paraId="7E056EA5">
      <w:pPr>
        <w:spacing w:line="240" w:lineRule="auto"/>
        <w:ind w:firstLine="0" w:firstLineChars="0"/>
        <w:jc w:val="center"/>
        <w:rPr>
          <w:szCs w:val="21"/>
        </w:rPr>
      </w:pPr>
      <w:r>
        <w:rPr>
          <w:szCs w:val="21"/>
        </w:rPr>
        <w:drawing>
          <wp:inline distT="0" distB="0" distL="114300" distR="114300">
            <wp:extent cx="5544185" cy="3493135"/>
            <wp:effectExtent l="0" t="0" r="18415" b="12065"/>
            <wp:docPr id="6" name="图片 6" descr="综合柱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综合柱状图"/>
                    <pic:cNvPicPr>
                      <a:picLocks noChangeAspect="1"/>
                    </pic:cNvPicPr>
                  </pic:nvPicPr>
                  <pic:blipFill>
                    <a:blip r:embed="rId17"/>
                    <a:stretch>
                      <a:fillRect/>
                    </a:stretch>
                  </pic:blipFill>
                  <pic:spPr>
                    <a:xfrm>
                      <a:off x="0" y="0"/>
                      <a:ext cx="5544185" cy="3493135"/>
                    </a:xfrm>
                    <a:prstGeom prst="rect">
                      <a:avLst/>
                    </a:prstGeom>
                  </pic:spPr>
                </pic:pic>
              </a:graphicData>
            </a:graphic>
          </wp:inline>
        </w:drawing>
      </w:r>
    </w:p>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14:paraId="54756976">
      <w:pPr>
        <w:ind w:firstLine="0" w:firstLineChars="0"/>
        <w:jc w:val="center"/>
        <w:rPr>
          <w:b/>
          <w:bCs/>
          <w:sz w:val="24"/>
          <w:szCs w:val="24"/>
        </w:rPr>
      </w:pPr>
      <w:bookmarkStart w:id="123" w:name="_Toc77084032"/>
      <w:bookmarkStart w:id="124" w:name="_Toc168994891"/>
      <w:bookmarkStart w:id="125" w:name="_Toc314214564"/>
      <w:bookmarkStart w:id="126" w:name="_Toc143007940"/>
      <w:bookmarkStart w:id="127" w:name="_Toc243800959"/>
      <w:bookmarkStart w:id="128" w:name="_Toc76913684"/>
      <w:bookmarkStart w:id="129" w:name="_Toc322539593"/>
      <w:bookmarkStart w:id="130" w:name="_Toc77068847"/>
      <w:bookmarkStart w:id="131" w:name="_Toc92271878"/>
      <w:bookmarkStart w:id="132" w:name="_Toc92470907"/>
      <w:bookmarkStart w:id="133" w:name="_Toc92070483"/>
      <w:r>
        <w:rPr>
          <w:b/>
          <w:bCs/>
          <w:sz w:val="24"/>
          <w:szCs w:val="24"/>
        </w:rPr>
        <w:t>图2-2  含矿地层综合柱状图</w:t>
      </w:r>
    </w:p>
    <w:p w14:paraId="642ADCE7">
      <w:pPr>
        <w:pStyle w:val="6"/>
        <w:spacing w:before="190" w:beforeLines="50"/>
        <w:ind w:firstLine="562"/>
      </w:pPr>
      <w:r>
        <w:rPr>
          <w:lang w:val="en-US"/>
        </w:rPr>
        <w:t xml:space="preserve">2.4.1.2 </w:t>
      </w:r>
      <w:r>
        <w:t>构造</w:t>
      </w:r>
    </w:p>
    <w:p w14:paraId="3553AA5A">
      <w:pPr>
        <w:ind w:firstLine="560"/>
      </w:pPr>
      <w:bookmarkStart w:id="134" w:name="_Toc499019089"/>
      <w:r>
        <w:t>（1）褶皱</w:t>
      </w:r>
      <w:bookmarkEnd w:id="134"/>
    </w:p>
    <w:p w14:paraId="530DD73E">
      <w:pPr>
        <w:ind w:firstLine="560"/>
      </w:pPr>
      <w:bookmarkStart w:id="135" w:name="_Toc499019090"/>
      <w:bookmarkStart w:id="136" w:name="_Toc92470912"/>
      <w:bookmarkStart w:id="137" w:name="_Toc75320658"/>
      <w:bookmarkStart w:id="138" w:name="_Toc77068852"/>
      <w:bookmarkStart w:id="139" w:name="_Toc74454049"/>
      <w:bookmarkStart w:id="140" w:name="_Toc74473396"/>
      <w:bookmarkStart w:id="141" w:name="_Toc74453653"/>
      <w:bookmarkStart w:id="142" w:name="_Toc243800962"/>
      <w:bookmarkStart w:id="143" w:name="_Toc76785751"/>
      <w:bookmarkStart w:id="144" w:name="_Toc168994894"/>
      <w:bookmarkStart w:id="145" w:name="_Toc74473261"/>
      <w:bookmarkStart w:id="146" w:name="_Toc75321730"/>
      <w:bookmarkStart w:id="147" w:name="_Toc142103203"/>
      <w:bookmarkStart w:id="148" w:name="_Toc92271883"/>
      <w:bookmarkStart w:id="149" w:name="_Toc74453415"/>
      <w:bookmarkStart w:id="150" w:name="_Toc76913689"/>
      <w:bookmarkStart w:id="151" w:name="_Toc92070488"/>
      <w:bookmarkStart w:id="152" w:name="_Toc76264197"/>
      <w:bookmarkStart w:id="153" w:name="_Toc76786276"/>
      <w:bookmarkStart w:id="154" w:name="_Toc76264540"/>
      <w:bookmarkStart w:id="155" w:name="_Toc143007943"/>
      <w:bookmarkStart w:id="156" w:name="_Toc143948631"/>
      <w:bookmarkStart w:id="157" w:name="_Toc76806143"/>
      <w:bookmarkStart w:id="158" w:name="_Toc142102985"/>
      <w:bookmarkStart w:id="159" w:name="_Toc77084037"/>
      <w:r>
        <w:t>本矿区石灰岩地层呈单斜层状产出，产状由南到北逐渐变缓，产状322°～10°</w:t>
      </w:r>
      <w:r>
        <w:rPr>
          <w:rFonts w:hint="eastAsia" w:ascii="宋体" w:hAnsi="宋体" w:eastAsia="宋体" w:cs="宋体"/>
        </w:rPr>
        <w:t>∠</w:t>
      </w:r>
      <w:r>
        <w:t>28°～52°，未见明显的褶皱。</w:t>
      </w:r>
    </w:p>
    <w:p w14:paraId="1B749315">
      <w:pPr>
        <w:ind w:firstLine="560"/>
      </w:pPr>
      <w:r>
        <w:t>（2）断裂</w:t>
      </w:r>
      <w:bookmarkEnd w:id="135"/>
    </w:p>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14:paraId="7E2B5072">
      <w:pPr>
        <w:ind w:firstLine="560"/>
        <w:rPr>
          <w:szCs w:val="21"/>
        </w:rPr>
      </w:pPr>
      <w:r>
        <w:t>矿区共发育</w:t>
      </w:r>
      <w:r>
        <w:rPr>
          <w:szCs w:val="21"/>
        </w:rPr>
        <w:t>有南北向大三化断层（F2）和近东西向断层（F3）。</w:t>
      </w:r>
    </w:p>
    <w:p w14:paraId="72FAEA81">
      <w:pPr>
        <w:ind w:firstLine="560"/>
      </w:pPr>
      <w:r>
        <w:rPr>
          <w:szCs w:val="21"/>
        </w:rPr>
        <w:t>F2断层：为正断层，发育在矿区南部，</w:t>
      </w:r>
      <w:r>
        <w:t>产状大致倾向南西，倾角50°～75°，</w:t>
      </w:r>
      <w:r>
        <w:rPr>
          <w:szCs w:val="21"/>
        </w:rPr>
        <w:t>区内出露长约1.2Km。切断地层有石炭系上统至二叠系下统马平组（C</w:t>
      </w:r>
      <w:r>
        <w:rPr>
          <w:szCs w:val="21"/>
          <w:vertAlign w:val="subscript"/>
        </w:rPr>
        <w:t>2</w:t>
      </w:r>
      <w:r>
        <w:rPr>
          <w:szCs w:val="21"/>
        </w:rPr>
        <w:t>P</w:t>
      </w:r>
      <w:r>
        <w:rPr>
          <w:szCs w:val="21"/>
          <w:vertAlign w:val="subscript"/>
        </w:rPr>
        <w:t>1</w:t>
      </w:r>
      <w:r>
        <w:rPr>
          <w:i/>
          <w:iCs/>
          <w:szCs w:val="21"/>
        </w:rPr>
        <w:t>m</w:t>
      </w:r>
      <w:r>
        <w:rPr>
          <w:szCs w:val="21"/>
        </w:rPr>
        <w:t>）、</w:t>
      </w:r>
      <w:r>
        <w:t>石炭系上统黄龙组（C</w:t>
      </w:r>
      <w:r>
        <w:rPr>
          <w:vertAlign w:val="subscript"/>
        </w:rPr>
        <w:t>2</w:t>
      </w:r>
      <w:r>
        <w:rPr>
          <w:i/>
          <w:iCs/>
        </w:rPr>
        <w:t>h</w:t>
      </w:r>
      <w:r>
        <w:t>）</w:t>
      </w:r>
      <w:r>
        <w:rPr>
          <w:rFonts w:hint="eastAsia"/>
          <w:szCs w:val="21"/>
        </w:rPr>
        <w:t>、</w:t>
      </w:r>
      <w:r>
        <w:rPr>
          <w:szCs w:val="21"/>
        </w:rPr>
        <w:t>下侏罗统汪门组（J</w:t>
      </w:r>
      <w:r>
        <w:rPr>
          <w:szCs w:val="21"/>
          <w:vertAlign w:val="subscript"/>
        </w:rPr>
        <w:t>1</w:t>
      </w:r>
      <w:r>
        <w:rPr>
          <w:i/>
          <w:iCs/>
          <w:szCs w:val="21"/>
        </w:rPr>
        <w:t>w</w:t>
      </w:r>
      <w:r>
        <w:rPr>
          <w:szCs w:val="21"/>
        </w:rPr>
        <w:t>）和第四系更新统（Q</w:t>
      </w:r>
      <w:r>
        <w:rPr>
          <w:i/>
          <w:iCs/>
          <w:szCs w:val="21"/>
        </w:rPr>
        <w:t>h</w:t>
      </w:r>
      <w:r>
        <w:rPr>
          <w:szCs w:val="21"/>
        </w:rPr>
        <w:t>）。</w:t>
      </w:r>
      <w:r>
        <w:t>破碎带宽度3～6m，断层构造角砾岩呈灰黄、褐黄色，呈碎裂状，角砾成分主要为灰岩、细砂岩、泥岩，大小1～4cm不等，大者可达8cm，灰岩重结晶现象明显，充填胶结物为钙铁质、泥质及硅质，胶结较密实。</w:t>
      </w:r>
    </w:p>
    <w:p w14:paraId="36442F92">
      <w:pPr>
        <w:ind w:firstLine="560"/>
      </w:pPr>
      <w:r>
        <w:rPr>
          <w:szCs w:val="21"/>
        </w:rPr>
        <w:t>F3断层：为平移断层，发育在矿区西部，断层面弯曲直立，西盘向南平移30～70m。地表表现为一沟谷，断层长大于600m，往北为更新统（Q</w:t>
      </w:r>
      <w:r>
        <w:rPr>
          <w:i/>
          <w:iCs/>
          <w:szCs w:val="21"/>
        </w:rPr>
        <w:t>h）</w:t>
      </w:r>
      <w:r>
        <w:rPr>
          <w:szCs w:val="21"/>
        </w:rPr>
        <w:t>覆盖。</w:t>
      </w:r>
    </w:p>
    <w:p w14:paraId="2C589E9E">
      <w:pPr>
        <w:pStyle w:val="6"/>
        <w:ind w:firstLine="562"/>
      </w:pPr>
      <w:r>
        <w:rPr>
          <w:lang w:val="en-US"/>
        </w:rPr>
        <w:t xml:space="preserve">2.4.1.3 </w:t>
      </w:r>
      <w:r>
        <w:t>岩浆岩</w:t>
      </w:r>
    </w:p>
    <w:bookmarkEnd w:id="123"/>
    <w:bookmarkEnd w:id="124"/>
    <w:bookmarkEnd w:id="125"/>
    <w:bookmarkEnd w:id="126"/>
    <w:bookmarkEnd w:id="127"/>
    <w:bookmarkEnd w:id="128"/>
    <w:bookmarkEnd w:id="129"/>
    <w:bookmarkEnd w:id="130"/>
    <w:bookmarkEnd w:id="131"/>
    <w:bookmarkEnd w:id="132"/>
    <w:bookmarkEnd w:id="133"/>
    <w:p w14:paraId="35EE4769">
      <w:pPr>
        <w:ind w:firstLine="560"/>
        <w:rPr>
          <w:szCs w:val="28"/>
        </w:rPr>
      </w:pPr>
      <w:r>
        <w:t>矿区目前未见岩浆岩、变质岩出露。</w:t>
      </w:r>
    </w:p>
    <w:p w14:paraId="629FCFA7">
      <w:pPr>
        <w:pStyle w:val="5"/>
      </w:pPr>
      <w:bookmarkStart w:id="160" w:name="_Toc40381574"/>
      <w:bookmarkStart w:id="161" w:name="_Toc525717768"/>
      <w:bookmarkStart w:id="162" w:name="_Toc525662945"/>
      <w:bookmarkStart w:id="163" w:name="_Toc17578"/>
      <w:bookmarkStart w:id="164" w:name="_Toc124107396"/>
      <w:bookmarkStart w:id="165" w:name="_Toc525718452"/>
      <w:bookmarkStart w:id="166" w:name="_Toc525662698"/>
      <w:r>
        <w:t>2.</w:t>
      </w:r>
      <w:r>
        <w:rPr>
          <w:lang w:val="en-US"/>
        </w:rPr>
        <w:t>4</w:t>
      </w:r>
      <w:r>
        <w:t>.2 矿体地质特征</w:t>
      </w:r>
      <w:bookmarkEnd w:id="160"/>
      <w:bookmarkEnd w:id="161"/>
      <w:bookmarkEnd w:id="162"/>
      <w:bookmarkEnd w:id="163"/>
      <w:bookmarkEnd w:id="164"/>
      <w:bookmarkEnd w:id="165"/>
      <w:bookmarkEnd w:id="166"/>
    </w:p>
    <w:p w14:paraId="443AA015">
      <w:pPr>
        <w:pStyle w:val="6"/>
        <w:ind w:firstLine="562"/>
        <w:rPr>
          <w:lang w:val="en-US"/>
        </w:rPr>
      </w:pPr>
      <w:r>
        <w:rPr>
          <w:lang w:val="en-US"/>
        </w:rPr>
        <w:t xml:space="preserve">2.4.2.1 </w:t>
      </w:r>
      <w:r>
        <w:t>矿</w:t>
      </w:r>
      <w:r>
        <w:rPr>
          <w:lang w:val="en-US"/>
        </w:rPr>
        <w:t>层特征</w:t>
      </w:r>
    </w:p>
    <w:p w14:paraId="193B6F44">
      <w:pPr>
        <w:ind w:firstLine="560"/>
        <w:rPr>
          <w:szCs w:val="21"/>
        </w:rPr>
      </w:pPr>
      <w:bookmarkStart w:id="167" w:name="_Toc410248224"/>
      <w:r>
        <w:rPr>
          <w:szCs w:val="21"/>
        </w:rPr>
        <w:t>根据已收集资料查明，矿层裸露地表，呈单斜层状产出，矿区内共发现3个单矿层，在平面上呈东西向展布。由北自南编号分别为</w:t>
      </w:r>
      <w:r>
        <w:rPr>
          <w:rFonts w:hint="eastAsia" w:ascii="宋体" w:hAnsi="宋体" w:eastAsia="宋体" w:cs="宋体"/>
          <w:szCs w:val="21"/>
        </w:rPr>
        <w:t>①</w:t>
      </w:r>
      <w:r>
        <w:rPr>
          <w:szCs w:val="21"/>
        </w:rPr>
        <w:t>、</w:t>
      </w:r>
      <w:r>
        <w:rPr>
          <w:rFonts w:hint="eastAsia" w:ascii="宋体" w:hAnsi="宋体" w:eastAsia="宋体" w:cs="宋体"/>
          <w:szCs w:val="21"/>
        </w:rPr>
        <w:t>②</w:t>
      </w:r>
      <w:r>
        <w:rPr>
          <w:szCs w:val="21"/>
        </w:rPr>
        <w:t>、</w:t>
      </w:r>
      <w:r>
        <w:rPr>
          <w:rFonts w:hint="eastAsia" w:ascii="宋体" w:hAnsi="宋体" w:eastAsia="宋体" w:cs="宋体"/>
          <w:szCs w:val="21"/>
        </w:rPr>
        <w:t>③</w:t>
      </w:r>
      <w:r>
        <w:rPr>
          <w:szCs w:val="21"/>
        </w:rPr>
        <w:t>，分别连续赋存于P</w:t>
      </w:r>
      <w:r>
        <w:rPr>
          <w:szCs w:val="21"/>
          <w:vertAlign w:val="subscript"/>
        </w:rPr>
        <w:t>2</w:t>
      </w:r>
      <w:r>
        <w:rPr>
          <w:i/>
          <w:iCs/>
          <w:szCs w:val="21"/>
        </w:rPr>
        <w:t>m</w:t>
      </w:r>
      <w:r>
        <w:rPr>
          <w:szCs w:val="21"/>
        </w:rPr>
        <w:t>、P</w:t>
      </w:r>
      <w:r>
        <w:rPr>
          <w:szCs w:val="21"/>
          <w:vertAlign w:val="subscript"/>
        </w:rPr>
        <w:t>2</w:t>
      </w:r>
      <w:r>
        <w:rPr>
          <w:i/>
          <w:iCs/>
          <w:szCs w:val="21"/>
        </w:rPr>
        <w:t>q</w:t>
      </w:r>
      <w:r>
        <w:rPr>
          <w:szCs w:val="21"/>
        </w:rPr>
        <w:t>、C</w:t>
      </w:r>
      <w:r>
        <w:rPr>
          <w:szCs w:val="21"/>
          <w:vertAlign w:val="subscript"/>
        </w:rPr>
        <w:t>2</w:t>
      </w:r>
      <w:r>
        <w:rPr>
          <w:szCs w:val="21"/>
        </w:rPr>
        <w:t>P</w:t>
      </w:r>
      <w:r>
        <w:rPr>
          <w:szCs w:val="21"/>
          <w:vertAlign w:val="subscript"/>
        </w:rPr>
        <w:t>1</w:t>
      </w:r>
      <w:r>
        <w:rPr>
          <w:i/>
          <w:iCs/>
          <w:szCs w:val="21"/>
        </w:rPr>
        <w:t>m</w:t>
      </w:r>
      <w:r>
        <w:rPr>
          <w:szCs w:val="21"/>
        </w:rPr>
        <w:t>地层中，分述如下：</w:t>
      </w:r>
    </w:p>
    <w:p w14:paraId="02A7C434">
      <w:pPr>
        <w:ind w:firstLine="560"/>
        <w:rPr>
          <w:szCs w:val="28"/>
        </w:rPr>
      </w:pPr>
      <w:r>
        <w:rPr>
          <w:rFonts w:hint="eastAsia" w:ascii="宋体" w:hAnsi="宋体" w:eastAsia="宋体" w:cs="宋体"/>
          <w:szCs w:val="28"/>
        </w:rPr>
        <w:t>①</w:t>
      </w:r>
      <w:r>
        <w:rPr>
          <w:szCs w:val="28"/>
        </w:rPr>
        <w:t>号矿层：赋存于P</w:t>
      </w:r>
      <w:r>
        <w:rPr>
          <w:szCs w:val="28"/>
          <w:vertAlign w:val="subscript"/>
        </w:rPr>
        <w:t>2</w:t>
      </w:r>
      <w:r>
        <w:rPr>
          <w:i/>
          <w:iCs/>
          <w:szCs w:val="28"/>
        </w:rPr>
        <w:t>m</w:t>
      </w:r>
      <w:r>
        <w:rPr>
          <w:szCs w:val="28"/>
        </w:rPr>
        <w:t>地层中，由灰、灰白色厚层～块状灰岩组成。分布在矿区中～中北部，呈单斜层状产出。矿层分布的标高最低372m，最高486.00m，产状与地层产状基本一致，较稳定，倾向318～358°，倾角30～26°。东西长约1000m，南北宽250～520m。根据历史详查资料，该层在04线附近裂隙较发育，裂隙一般都被土黄色、红黄色粘土所充填，裂隙一般延伸0.3～10m不等，一般延伸4m。矿层厚度沿倾向方向在04、00、03线分别为143.16m、156.34、262.58m，平均184.58m。说明03厚度较厚，00线稍薄；沿倾向方向由地表至深部厚度变化不大。该矿层质量较好，没有发现夹石。</w:t>
      </w:r>
    </w:p>
    <w:p w14:paraId="5FBD0646">
      <w:pPr>
        <w:ind w:firstLine="560"/>
        <w:rPr>
          <w:szCs w:val="21"/>
        </w:rPr>
      </w:pPr>
      <w:r>
        <w:rPr>
          <w:rFonts w:hint="eastAsia" w:ascii="宋体" w:hAnsi="宋体" w:eastAsia="宋体" w:cs="宋体"/>
          <w:szCs w:val="21"/>
        </w:rPr>
        <w:t>②</w:t>
      </w:r>
      <w:r>
        <w:rPr>
          <w:szCs w:val="21"/>
        </w:rPr>
        <w:t>号矿层：赋存于P</w:t>
      </w:r>
      <w:r>
        <w:rPr>
          <w:szCs w:val="21"/>
          <w:vertAlign w:val="subscript"/>
        </w:rPr>
        <w:t>2</w:t>
      </w:r>
      <w:r>
        <w:rPr>
          <w:i/>
          <w:iCs/>
          <w:szCs w:val="21"/>
        </w:rPr>
        <w:t>q</w:t>
      </w:r>
      <w:r>
        <w:rPr>
          <w:szCs w:val="21"/>
        </w:rPr>
        <w:t>地层中，由深灰、灰黑色薄～中层状夹含燧石结核灰岩和少量含硅质白云岩、云质灰岩组成。分布在矿区中部，呈单斜层状产出。矿层分布的标高最低372m，最高506m，产状与地层产状基本一致，倾向325～350°，倾角28～33°。该层</w:t>
      </w:r>
      <w:r>
        <w:rPr>
          <w:szCs w:val="28"/>
        </w:rPr>
        <w:t>与</w:t>
      </w:r>
      <w:r>
        <w:rPr>
          <w:szCs w:val="21"/>
        </w:rPr>
        <w:t>C</w:t>
      </w:r>
      <w:r>
        <w:rPr>
          <w:szCs w:val="21"/>
          <w:vertAlign w:val="subscript"/>
        </w:rPr>
        <w:t>2</w:t>
      </w:r>
      <w:r>
        <w:rPr>
          <w:szCs w:val="21"/>
        </w:rPr>
        <w:t>P</w:t>
      </w:r>
      <w:r>
        <w:rPr>
          <w:szCs w:val="21"/>
          <w:vertAlign w:val="subscript"/>
        </w:rPr>
        <w:t>1</w:t>
      </w:r>
      <w:r>
        <w:rPr>
          <w:i/>
          <w:iCs/>
          <w:szCs w:val="21"/>
        </w:rPr>
        <w:t>m</w:t>
      </w:r>
      <w:r>
        <w:rPr>
          <w:szCs w:val="28"/>
        </w:rPr>
        <w:t>、P</w:t>
      </w:r>
      <w:r>
        <w:rPr>
          <w:szCs w:val="28"/>
          <w:vertAlign w:val="subscript"/>
        </w:rPr>
        <w:t>2</w:t>
      </w:r>
      <w:r>
        <w:rPr>
          <w:i/>
          <w:iCs/>
          <w:szCs w:val="28"/>
        </w:rPr>
        <w:t>m</w:t>
      </w:r>
      <w:r>
        <w:rPr>
          <w:szCs w:val="21"/>
        </w:rPr>
        <w:t>较纯灰岩的接触带易产生溶洞，但在340标高以上一般规模都不大。矿层东西长约1400m，南北宽25～65m。</w:t>
      </w:r>
      <w:r>
        <w:rPr>
          <w:szCs w:val="28"/>
        </w:rPr>
        <w:t>根据历史详查资料，</w:t>
      </w:r>
      <w:r>
        <w:rPr>
          <w:szCs w:val="21"/>
        </w:rPr>
        <w:t>厚度沿倾向方向在04、00、03线分别为26.7m、8.80m、0m，平均厚度14.77m说明矿层在倾向方向厚度变化较大。矿层在倾向方向由地表至深部，厚度变化不大。矿层地表中燧石质由西向东逐渐减少，而白云质却逐渐增多；经钻孔揭露由地表向深部燧石结核的含量逐渐减少，白云质逐渐增多。本矿层发现1个夹石为M1夹石。</w:t>
      </w:r>
    </w:p>
    <w:p w14:paraId="2C01DD7C">
      <w:pPr>
        <w:ind w:firstLine="560"/>
        <w:jc w:val="left"/>
        <w:rPr>
          <w:sz w:val="24"/>
        </w:rPr>
      </w:pPr>
      <w:r>
        <w:rPr>
          <w:rFonts w:hint="eastAsia" w:ascii="宋体" w:hAnsi="宋体" w:eastAsia="宋体" w:cs="宋体"/>
          <w:szCs w:val="21"/>
        </w:rPr>
        <w:t>③</w:t>
      </w:r>
      <w:r>
        <w:rPr>
          <w:szCs w:val="21"/>
        </w:rPr>
        <w:t>号矿层：赋存于C</w:t>
      </w:r>
      <w:r>
        <w:rPr>
          <w:szCs w:val="21"/>
          <w:vertAlign w:val="subscript"/>
        </w:rPr>
        <w:t>2</w:t>
      </w:r>
      <w:r>
        <w:rPr>
          <w:szCs w:val="21"/>
        </w:rPr>
        <w:t>P</w:t>
      </w:r>
      <w:r>
        <w:rPr>
          <w:szCs w:val="21"/>
          <w:vertAlign w:val="subscript"/>
        </w:rPr>
        <w:t>1</w:t>
      </w:r>
      <w:r>
        <w:rPr>
          <w:i/>
          <w:iCs/>
          <w:szCs w:val="21"/>
        </w:rPr>
        <w:t>m</w:t>
      </w:r>
      <w:r>
        <w:rPr>
          <w:szCs w:val="21"/>
        </w:rPr>
        <w:t>地层中，为浅灰、灰白、灰色厚层～块状灰岩。分布在矿区中～中南部，呈单斜层状产出，矿层分布的标高最低372m,最高506.8m，产状与地层产状基本一致，倾向为320～350°，倾角42～34°，一般为340</w:t>
      </w:r>
      <w:r>
        <w:rPr>
          <w:rFonts w:hint="eastAsia" w:ascii="宋体" w:hAnsi="宋体" w:eastAsia="宋体" w:cs="宋体"/>
          <w:szCs w:val="21"/>
        </w:rPr>
        <w:t>∠</w:t>
      </w:r>
      <w:r>
        <w:rPr>
          <w:szCs w:val="21"/>
        </w:rPr>
        <w:t>38。矿层底部倾角较陡，中上部较缓，向北向南产状逐渐变陡。矿层东西长约1300m，南北宽约680m。</w:t>
      </w:r>
      <w:r>
        <w:rPr>
          <w:szCs w:val="28"/>
        </w:rPr>
        <w:t>根据历史详查资料，</w:t>
      </w:r>
      <w:r>
        <w:rPr>
          <w:szCs w:val="21"/>
        </w:rPr>
        <w:t>厚度沿倾向方向在04、00、03线分别为11.00m、257.09m、147.55m，平均厚度138.55。矿层沿倾向方向由地表至深部厚度变化也不大。矿体内含少量白云岩、云质灰岩，以团块状和透镜体为主，规模较小。本矿层发现3个夹石，分别为M2、M3、M4夹石。</w:t>
      </w:r>
    </w:p>
    <w:p w14:paraId="41F8C8EB">
      <w:pPr>
        <w:pStyle w:val="6"/>
        <w:ind w:firstLine="562"/>
      </w:pPr>
      <w:r>
        <w:rPr>
          <w:lang w:val="en-US"/>
        </w:rPr>
        <w:t xml:space="preserve">2.4.2.2 </w:t>
      </w:r>
      <w:r>
        <w:t>矿石质量特征</w:t>
      </w:r>
    </w:p>
    <w:bookmarkEnd w:id="167"/>
    <w:p w14:paraId="4A7CB909">
      <w:pPr>
        <w:ind w:firstLine="560"/>
        <w:rPr>
          <w:szCs w:val="21"/>
        </w:rPr>
      </w:pPr>
      <w:bookmarkStart w:id="168" w:name="_Toc410248225"/>
      <w:r>
        <w:rPr>
          <w:bCs/>
          <w:szCs w:val="28"/>
        </w:rPr>
        <w:t>根据收集区内石灰岩矿及调查资料，</w:t>
      </w:r>
      <w:r>
        <w:rPr>
          <w:szCs w:val="21"/>
        </w:rPr>
        <w:t>矿石浅灰白、灰～浅灰黑色，亮泥晶、含生物碎屑亮泥晶结构，块状构造，含少量细小方解石脉，局部见有炭泥质胶结或含有少量硅质。矿石主要矿物成分为方解石，次为白云石。矿物成分含量：方解石86～99%，白云石2～4%，褐铁矿0～2%，炭泥质0～8%，燧石质0～6%。结构成分：泥晶基质72～89%，亮晶胶结物2～20%，生物碎屑0～12%。方解石无色透明，呈他形粒状，正中突起，具高级白干涉色，粒径0.13～0.98mm；白云石无色透明，呈半自形～自形菱面体，粒径0.16～0.28mm；炭泥质在方解石中局部富集，分布于方解石表面；褐铁矿呈粉尘状不圴匀分布。生物碎屑有腕足、介形虫、层孔虫、筵类和海百合等。泥晶基质主要由粒径＜0.01mm的方解石组成，亮晶胶结物由粒径0.012～0.42mm的方解石和白云石组成。</w:t>
      </w:r>
    </w:p>
    <w:p w14:paraId="4AA2059F">
      <w:pPr>
        <w:ind w:firstLine="560"/>
        <w:rPr>
          <w:kern w:val="0"/>
          <w:szCs w:val="28"/>
        </w:rPr>
      </w:pPr>
      <w:r>
        <w:rPr>
          <w:bCs/>
          <w:szCs w:val="28"/>
        </w:rPr>
        <w:t>根据已收集详查报告中</w:t>
      </w:r>
      <w:r>
        <w:rPr>
          <w:szCs w:val="21"/>
        </w:rPr>
        <w:t>矿石化学成分分析结果可知：CaO34.41～55.60%，平均54.78%；MgO0.16～15.66 %，平均0.54%；SiO</w:t>
      </w:r>
      <w:r>
        <w:rPr>
          <w:szCs w:val="21"/>
          <w:vertAlign w:val="subscript"/>
        </w:rPr>
        <w:t>2</w:t>
      </w:r>
      <w:r>
        <w:rPr>
          <w:szCs w:val="21"/>
        </w:rPr>
        <w:t>0.16～0.49%，平均0.33%；Al</w:t>
      </w:r>
      <w:r>
        <w:rPr>
          <w:szCs w:val="21"/>
          <w:vertAlign w:val="subscript"/>
        </w:rPr>
        <w:t>2</w:t>
      </w:r>
      <w:r>
        <w:rPr>
          <w:szCs w:val="21"/>
        </w:rPr>
        <w:t>O</w:t>
      </w:r>
      <w:r>
        <w:rPr>
          <w:szCs w:val="21"/>
          <w:vertAlign w:val="subscript"/>
        </w:rPr>
        <w:t>3</w:t>
      </w:r>
      <w:r>
        <w:rPr>
          <w:szCs w:val="21"/>
        </w:rPr>
        <w:t>0.011～0.24%，平均0.09%；Fe</w:t>
      </w:r>
      <w:r>
        <w:rPr>
          <w:szCs w:val="21"/>
          <w:vertAlign w:val="subscript"/>
        </w:rPr>
        <w:t>2</w:t>
      </w:r>
      <w:r>
        <w:rPr>
          <w:szCs w:val="21"/>
        </w:rPr>
        <w:t>O</w:t>
      </w:r>
      <w:r>
        <w:rPr>
          <w:szCs w:val="21"/>
          <w:vertAlign w:val="subscript"/>
        </w:rPr>
        <w:t>3</w:t>
      </w:r>
      <w:r>
        <w:rPr>
          <w:szCs w:val="21"/>
        </w:rPr>
        <w:t>0.031～0.145%，平均0.07%；K</w:t>
      </w:r>
      <w:r>
        <w:rPr>
          <w:szCs w:val="21"/>
          <w:vertAlign w:val="subscript"/>
        </w:rPr>
        <w:t>2</w:t>
      </w:r>
      <w:r>
        <w:rPr>
          <w:szCs w:val="21"/>
        </w:rPr>
        <w:t>O＜0.0005～0.06%，平均0.015%；Na</w:t>
      </w:r>
      <w:r>
        <w:rPr>
          <w:szCs w:val="21"/>
          <w:vertAlign w:val="subscript"/>
        </w:rPr>
        <w:t>2</w:t>
      </w:r>
      <w:r>
        <w:rPr>
          <w:szCs w:val="21"/>
        </w:rPr>
        <w:t>O＜0.0005～0.01495%，平均0.0058%；SO</w:t>
      </w:r>
      <w:r>
        <w:rPr>
          <w:szCs w:val="21"/>
          <w:vertAlign w:val="subscript"/>
        </w:rPr>
        <w:t>3</w:t>
      </w:r>
      <w:r>
        <w:rPr>
          <w:szCs w:val="21"/>
        </w:rPr>
        <w:t>0.015～0.061%，平均0.041%；TiO</w:t>
      </w:r>
      <w:r>
        <w:rPr>
          <w:szCs w:val="21"/>
          <w:vertAlign w:val="subscript"/>
        </w:rPr>
        <w:t>2</w:t>
      </w:r>
      <w:r>
        <w:rPr>
          <w:szCs w:val="21"/>
        </w:rPr>
        <w:t>0.012～0.12%，平均0.083%；P</w:t>
      </w:r>
      <w:r>
        <w:rPr>
          <w:szCs w:val="21"/>
          <w:vertAlign w:val="subscript"/>
        </w:rPr>
        <w:t>2</w:t>
      </w:r>
      <w:r>
        <w:rPr>
          <w:szCs w:val="21"/>
        </w:rPr>
        <w:t>O</w:t>
      </w:r>
      <w:r>
        <w:rPr>
          <w:szCs w:val="21"/>
          <w:vertAlign w:val="subscript"/>
        </w:rPr>
        <w:t>5</w:t>
      </w:r>
      <w:r>
        <w:rPr>
          <w:szCs w:val="21"/>
        </w:rPr>
        <w:t>0.0059～0.0245%，平均0.011%；Mn</w:t>
      </w:r>
      <w:r>
        <w:rPr>
          <w:szCs w:val="21"/>
          <w:vertAlign w:val="subscript"/>
        </w:rPr>
        <w:t>3</w:t>
      </w:r>
      <w:r>
        <w:rPr>
          <w:szCs w:val="21"/>
        </w:rPr>
        <w:t>O</w:t>
      </w:r>
      <w:r>
        <w:rPr>
          <w:szCs w:val="21"/>
          <w:vertAlign w:val="subscript"/>
        </w:rPr>
        <w:t>4</w:t>
      </w:r>
      <w:r>
        <w:rPr>
          <w:szCs w:val="21"/>
        </w:rPr>
        <w:t>0.00505～0.021%，平均0.0136%；Cl</w:t>
      </w:r>
      <w:r>
        <w:rPr>
          <w:szCs w:val="21"/>
          <w:vertAlign w:val="superscript"/>
        </w:rPr>
        <w:t>-</w:t>
      </w:r>
      <w:r>
        <w:rPr>
          <w:szCs w:val="21"/>
        </w:rPr>
        <w:t>0.0034～0.0048%，平均0.0040%；LOI43.125～43.76%，平均43.48%。矿石有益组分和有害组分的含量均符合矿床工业指标的质量要求。</w:t>
      </w:r>
    </w:p>
    <w:p w14:paraId="23CFFE4B">
      <w:pPr>
        <w:pStyle w:val="6"/>
        <w:ind w:firstLine="562"/>
      </w:pPr>
      <w:bookmarkStart w:id="169" w:name="_Toc208403036"/>
      <w:bookmarkStart w:id="170" w:name="_Toc154663246"/>
      <w:bookmarkStart w:id="171" w:name="_Toc207168270"/>
      <w:bookmarkStart w:id="172" w:name="_Toc50717385"/>
      <w:bookmarkStart w:id="173" w:name="_Toc154663616"/>
      <w:bookmarkStart w:id="174" w:name="_Toc207168378"/>
      <w:bookmarkStart w:id="175" w:name="_Toc154663459"/>
      <w:bookmarkStart w:id="176" w:name="_Toc206908186"/>
      <w:bookmarkStart w:id="177" w:name="_Toc25979"/>
      <w:r>
        <w:rPr>
          <w:lang w:val="en-US"/>
        </w:rPr>
        <w:t xml:space="preserve">2.4.2.3 </w:t>
      </w:r>
      <w:r>
        <w:t>矿层围岩和夹石</w:t>
      </w:r>
      <w:bookmarkEnd w:id="169"/>
      <w:bookmarkEnd w:id="170"/>
      <w:bookmarkEnd w:id="171"/>
      <w:bookmarkEnd w:id="172"/>
      <w:bookmarkEnd w:id="173"/>
      <w:bookmarkEnd w:id="174"/>
      <w:bookmarkEnd w:id="175"/>
      <w:bookmarkEnd w:id="176"/>
      <w:bookmarkEnd w:id="177"/>
    </w:p>
    <w:p w14:paraId="7176A135">
      <w:pPr>
        <w:ind w:firstLine="560"/>
        <w:rPr>
          <w:szCs w:val="21"/>
        </w:rPr>
      </w:pPr>
      <w:r>
        <w:rPr>
          <w:szCs w:val="21"/>
        </w:rPr>
        <w:t>（1）顶板</w:t>
      </w:r>
    </w:p>
    <w:p w14:paraId="6D1C5373">
      <w:pPr>
        <w:ind w:firstLine="560"/>
        <w:rPr>
          <w:szCs w:val="21"/>
        </w:rPr>
      </w:pPr>
      <w:bookmarkStart w:id="178" w:name="_Toc78471500"/>
      <w:r>
        <w:rPr>
          <w:szCs w:val="21"/>
        </w:rPr>
        <w:t>矿层顶板为P</w:t>
      </w:r>
      <w:r>
        <w:rPr>
          <w:szCs w:val="21"/>
          <w:vertAlign w:val="subscript"/>
        </w:rPr>
        <w:t>2</w:t>
      </w:r>
      <w:r>
        <w:rPr>
          <w:i/>
          <w:iCs/>
          <w:szCs w:val="21"/>
        </w:rPr>
        <w:t>m</w:t>
      </w:r>
      <w:r>
        <w:rPr>
          <w:szCs w:val="21"/>
        </w:rPr>
        <w:t>地层的上部层位，岩性为灰色亮泥晶灰岩，因控制程度低圈为顶板和P</w:t>
      </w:r>
      <w:r>
        <w:rPr>
          <w:szCs w:val="21"/>
          <w:vertAlign w:val="subscript"/>
        </w:rPr>
        <w:t>2</w:t>
      </w:r>
      <w:r>
        <w:rPr>
          <w:szCs w:val="21"/>
        </w:rPr>
        <w:t>地层的下部层位，岩性为黄红、土黄色薄层状含粉砂质泥岩夹硅质岩和浅灰绿色薄层状泥岩为主。</w:t>
      </w:r>
    </w:p>
    <w:bookmarkEnd w:id="178"/>
    <w:p w14:paraId="615A3745">
      <w:pPr>
        <w:ind w:firstLine="560"/>
        <w:rPr>
          <w:szCs w:val="21"/>
        </w:rPr>
      </w:pPr>
      <w:r>
        <w:rPr>
          <w:szCs w:val="21"/>
        </w:rPr>
        <w:t>（2）底板</w:t>
      </w:r>
    </w:p>
    <w:p w14:paraId="47948464">
      <w:pPr>
        <w:ind w:firstLine="560"/>
        <w:rPr>
          <w:szCs w:val="21"/>
        </w:rPr>
      </w:pPr>
      <w:r>
        <w:rPr>
          <w:szCs w:val="21"/>
        </w:rPr>
        <w:t>矿层的底板为C</w:t>
      </w:r>
      <w:r>
        <w:rPr>
          <w:szCs w:val="21"/>
          <w:vertAlign w:val="subscript"/>
        </w:rPr>
        <w:t>2</w:t>
      </w:r>
      <w:r>
        <w:rPr>
          <w:szCs w:val="21"/>
        </w:rPr>
        <w:t>P</w:t>
      </w:r>
      <w:r>
        <w:rPr>
          <w:szCs w:val="21"/>
          <w:vertAlign w:val="subscript"/>
        </w:rPr>
        <w:t>1</w:t>
      </w:r>
      <w:r>
        <w:rPr>
          <w:i/>
          <w:iCs/>
          <w:szCs w:val="21"/>
        </w:rPr>
        <w:t>m</w:t>
      </w:r>
      <w:r>
        <w:rPr>
          <w:szCs w:val="21"/>
        </w:rPr>
        <w:t>地层的下部层位，岩性为浅灰～灰亮泥晶灰岩，因矿段划分定了本矿段的底板。</w:t>
      </w:r>
    </w:p>
    <w:p w14:paraId="797DDD6A">
      <w:pPr>
        <w:ind w:firstLine="560"/>
        <w:rPr>
          <w:szCs w:val="21"/>
        </w:rPr>
      </w:pPr>
      <w:r>
        <w:rPr>
          <w:szCs w:val="21"/>
        </w:rPr>
        <w:t>（3）围岩</w:t>
      </w:r>
    </w:p>
    <w:p w14:paraId="07E5F288">
      <w:pPr>
        <w:ind w:firstLine="560"/>
        <w:rPr>
          <w:szCs w:val="21"/>
        </w:rPr>
      </w:pPr>
      <w:r>
        <w:rPr>
          <w:szCs w:val="21"/>
        </w:rPr>
        <w:t>矿层围岩与含矿层位岩石相同，为石炭至二叠系马平组（C</w:t>
      </w:r>
      <w:r>
        <w:rPr>
          <w:szCs w:val="21"/>
          <w:vertAlign w:val="subscript"/>
        </w:rPr>
        <w:t>2</w:t>
      </w:r>
      <w:r>
        <w:rPr>
          <w:szCs w:val="21"/>
        </w:rPr>
        <w:t>P</w:t>
      </w:r>
      <w:r>
        <w:rPr>
          <w:szCs w:val="21"/>
          <w:vertAlign w:val="subscript"/>
        </w:rPr>
        <w:t>1</w:t>
      </w:r>
      <w:r>
        <w:rPr>
          <w:i/>
          <w:iCs/>
          <w:szCs w:val="21"/>
        </w:rPr>
        <w:t>m</w:t>
      </w:r>
      <w:r>
        <w:rPr>
          <w:szCs w:val="21"/>
        </w:rPr>
        <w:t>）浅灰、灰白、灰色厚层～块状灰岩及二叠系中统茅口组（P</w:t>
      </w:r>
      <w:r>
        <w:rPr>
          <w:szCs w:val="21"/>
          <w:vertAlign w:val="subscript"/>
        </w:rPr>
        <w:t>2</w:t>
      </w:r>
      <w:r>
        <w:rPr>
          <w:i/>
          <w:iCs/>
          <w:szCs w:val="21"/>
        </w:rPr>
        <w:t>m</w:t>
      </w:r>
      <w:r>
        <w:rPr>
          <w:szCs w:val="21"/>
        </w:rPr>
        <w:t>）薄～中层状灰黑色微晶灰岩、细晶灰岩。</w:t>
      </w:r>
    </w:p>
    <w:p w14:paraId="377D91CD">
      <w:pPr>
        <w:ind w:firstLine="560"/>
        <w:rPr>
          <w:szCs w:val="21"/>
        </w:rPr>
      </w:pPr>
      <w:r>
        <w:rPr>
          <w:szCs w:val="21"/>
        </w:rPr>
        <w:t>（4）覆盖层</w:t>
      </w:r>
    </w:p>
    <w:p w14:paraId="3278DF7E">
      <w:pPr>
        <w:ind w:firstLine="560"/>
        <w:rPr>
          <w:szCs w:val="21"/>
        </w:rPr>
      </w:pPr>
      <w:r>
        <w:rPr>
          <w:szCs w:val="21"/>
        </w:rPr>
        <w:t>地表覆盖层由第四系（Q</w:t>
      </w:r>
      <w:r>
        <w:rPr>
          <w:i/>
          <w:iCs/>
          <w:szCs w:val="21"/>
        </w:rPr>
        <w:t>h</w:t>
      </w:r>
      <w:r>
        <w:rPr>
          <w:szCs w:val="21"/>
        </w:rPr>
        <w:t>）黄褐色粉砂质粘土、含砾砂土组成，砾石为主要为砂岩、石英砂岩砾。主要分布在矿区中岩溶洼地处，厚0～5m左右。化学成分：SiO</w:t>
      </w:r>
      <w:r>
        <w:rPr>
          <w:szCs w:val="21"/>
          <w:vertAlign w:val="subscript"/>
        </w:rPr>
        <w:t>2</w:t>
      </w:r>
      <w:r>
        <w:rPr>
          <w:szCs w:val="21"/>
        </w:rPr>
        <w:t>48.30～65.64%,平均58.92%；Al</w:t>
      </w:r>
      <w:r>
        <w:rPr>
          <w:szCs w:val="21"/>
          <w:vertAlign w:val="subscript"/>
        </w:rPr>
        <w:t>2</w:t>
      </w:r>
      <w:r>
        <w:rPr>
          <w:szCs w:val="21"/>
        </w:rPr>
        <w:t>O</w:t>
      </w:r>
      <w:r>
        <w:rPr>
          <w:szCs w:val="21"/>
          <w:vertAlign w:val="subscript"/>
        </w:rPr>
        <w:t>3</w:t>
      </w:r>
      <w:r>
        <w:rPr>
          <w:szCs w:val="21"/>
        </w:rPr>
        <w:t>16.28～26.46%,平均19.09%；Fe</w:t>
      </w:r>
      <w:r>
        <w:rPr>
          <w:szCs w:val="21"/>
          <w:vertAlign w:val="subscript"/>
        </w:rPr>
        <w:t>2</w:t>
      </w:r>
      <w:r>
        <w:rPr>
          <w:szCs w:val="21"/>
        </w:rPr>
        <w:t>O</w:t>
      </w:r>
      <w:r>
        <w:rPr>
          <w:szCs w:val="21"/>
          <w:vertAlign w:val="subscript"/>
        </w:rPr>
        <w:t>3</w:t>
      </w:r>
      <w:r>
        <w:rPr>
          <w:szCs w:val="21"/>
        </w:rPr>
        <w:t>6.53～11.20%,平均8.54%；K</w:t>
      </w:r>
      <w:r>
        <w:rPr>
          <w:szCs w:val="21"/>
          <w:vertAlign w:val="subscript"/>
        </w:rPr>
        <w:t>2</w:t>
      </w:r>
      <w:r>
        <w:rPr>
          <w:szCs w:val="21"/>
        </w:rPr>
        <w:t>O0.33～3.34%,平均1.42%；Na</w:t>
      </w:r>
      <w:r>
        <w:rPr>
          <w:szCs w:val="21"/>
          <w:vertAlign w:val="subscript"/>
        </w:rPr>
        <w:t>2</w:t>
      </w:r>
      <w:r>
        <w:rPr>
          <w:szCs w:val="21"/>
        </w:rPr>
        <w:t>O0.12～0.15%,平均0.13%。</w:t>
      </w:r>
    </w:p>
    <w:p w14:paraId="4831DFFB">
      <w:pPr>
        <w:ind w:firstLine="560"/>
        <w:rPr>
          <w:szCs w:val="21"/>
        </w:rPr>
      </w:pPr>
      <w:r>
        <w:rPr>
          <w:szCs w:val="21"/>
        </w:rPr>
        <w:t>（5）夹石</w:t>
      </w:r>
    </w:p>
    <w:p w14:paraId="14E745BA">
      <w:pPr>
        <w:ind w:firstLine="560"/>
      </w:pPr>
      <w:r>
        <w:t>根据已收集的详查资料结合现场踏勘，矿层内共发现剔除夹石4个，</w:t>
      </w:r>
      <w:r>
        <w:rPr>
          <w:rFonts w:hint="eastAsia" w:ascii="宋体" w:hAnsi="宋体" w:eastAsia="宋体" w:cs="宋体"/>
        </w:rPr>
        <w:t>②</w:t>
      </w:r>
      <w:r>
        <w:t>号矿层内1个，</w:t>
      </w:r>
      <w:r>
        <w:rPr>
          <w:rFonts w:hint="eastAsia" w:ascii="宋体" w:hAnsi="宋体" w:eastAsia="宋体" w:cs="宋体"/>
        </w:rPr>
        <w:t>③</w:t>
      </w:r>
      <w:r>
        <w:t>号矿层内3个，特征如下：</w:t>
      </w:r>
    </w:p>
    <w:p w14:paraId="669DFA7C">
      <w:pPr>
        <w:ind w:firstLine="560"/>
        <w:rPr>
          <w:szCs w:val="21"/>
        </w:rPr>
      </w:pPr>
      <w:r>
        <w:rPr>
          <w:szCs w:val="21"/>
        </w:rPr>
        <w:t>M1夹石：在</w:t>
      </w:r>
      <w:r>
        <w:rPr>
          <w:rFonts w:hint="eastAsia" w:ascii="宋体" w:hAnsi="宋体" w:eastAsia="宋体" w:cs="宋体"/>
          <w:szCs w:val="21"/>
        </w:rPr>
        <w:t>②</w:t>
      </w:r>
      <w:r>
        <w:rPr>
          <w:szCs w:val="21"/>
        </w:rPr>
        <w:t>号矿层内。出露地表，P</w:t>
      </w:r>
      <w:r>
        <w:rPr>
          <w:szCs w:val="21"/>
          <w:vertAlign w:val="subscript"/>
        </w:rPr>
        <w:t>2</w:t>
      </w:r>
      <w:r>
        <w:rPr>
          <w:i/>
          <w:iCs/>
          <w:szCs w:val="21"/>
        </w:rPr>
        <w:t>q</w:t>
      </w:r>
      <w:r>
        <w:rPr>
          <w:szCs w:val="21"/>
        </w:rPr>
        <w:t>地层中含燧石结核灰岩，总长约1200m，厚2～23m，呈长条带的似层状。该层03线附近合为一个整体，在04～03线之间分叉为2个部分，2个分枝分别为P</w:t>
      </w:r>
      <w:r>
        <w:rPr>
          <w:szCs w:val="21"/>
          <w:vertAlign w:val="subscript"/>
        </w:rPr>
        <w:t>2</w:t>
      </w:r>
      <w:r>
        <w:rPr>
          <w:i/>
          <w:iCs/>
          <w:szCs w:val="21"/>
        </w:rPr>
        <w:t>q</w:t>
      </w:r>
      <w:r>
        <w:rPr>
          <w:szCs w:val="21"/>
        </w:rPr>
        <w:t>含燧石结核灰岩与C</w:t>
      </w:r>
      <w:r>
        <w:rPr>
          <w:szCs w:val="21"/>
          <w:vertAlign w:val="subscript"/>
        </w:rPr>
        <w:t>2</w:t>
      </w:r>
      <w:r>
        <w:rPr>
          <w:szCs w:val="21"/>
        </w:rPr>
        <w:t>P</w:t>
      </w:r>
      <w:r>
        <w:rPr>
          <w:szCs w:val="21"/>
          <w:vertAlign w:val="subscript"/>
        </w:rPr>
        <w:t>1</w:t>
      </w:r>
      <w:r>
        <w:rPr>
          <w:i/>
          <w:iCs/>
          <w:szCs w:val="21"/>
        </w:rPr>
        <w:t>m</w:t>
      </w:r>
      <w:r>
        <w:rPr>
          <w:szCs w:val="21"/>
        </w:rPr>
        <w:t>和P</w:t>
      </w:r>
      <w:r>
        <w:rPr>
          <w:szCs w:val="21"/>
          <w:vertAlign w:val="subscript"/>
        </w:rPr>
        <w:t>2</w:t>
      </w:r>
      <w:r>
        <w:rPr>
          <w:i/>
          <w:iCs/>
          <w:szCs w:val="21"/>
        </w:rPr>
        <w:t>m</w:t>
      </w:r>
      <w:r>
        <w:rPr>
          <w:szCs w:val="21"/>
        </w:rPr>
        <w:t>灰岩的结合部，因</w:t>
      </w:r>
      <w:r>
        <w:rPr>
          <w:i/>
          <w:iCs/>
          <w:szCs w:val="21"/>
        </w:rPr>
        <w:t>f</w:t>
      </w:r>
      <w:r>
        <w:rPr>
          <w:szCs w:val="21"/>
        </w:rPr>
        <w:t xml:space="preserve"> SiO</w:t>
      </w:r>
      <w:r>
        <w:rPr>
          <w:szCs w:val="21"/>
          <w:vertAlign w:val="subscript"/>
        </w:rPr>
        <w:t>2</w:t>
      </w:r>
      <w:r>
        <w:rPr>
          <w:szCs w:val="21"/>
        </w:rPr>
        <w:t>含量大于4%定为夹石。该层在03线最大，在04线逐渐减小，并有逐渐尖灭的趋势。由西向东、由地表向深部为燧石结核含量逐渐减小。化学成分：</w:t>
      </w:r>
      <w:r>
        <w:rPr>
          <w:i/>
          <w:iCs/>
          <w:szCs w:val="21"/>
        </w:rPr>
        <w:t xml:space="preserve">f </w:t>
      </w:r>
      <w:r>
        <w:rPr>
          <w:szCs w:val="21"/>
        </w:rPr>
        <w:t>SiO</w:t>
      </w:r>
      <w:r>
        <w:rPr>
          <w:szCs w:val="21"/>
          <w:vertAlign w:val="subscript"/>
        </w:rPr>
        <w:t>2</w:t>
      </w:r>
      <w:r>
        <w:rPr>
          <w:szCs w:val="21"/>
        </w:rPr>
        <w:t xml:space="preserve"> 4.19～11.73%，CaO 47.84～51.39%，MgO 0.27～0.87%。</w:t>
      </w:r>
    </w:p>
    <w:p w14:paraId="33C8263A">
      <w:pPr>
        <w:ind w:firstLine="560"/>
      </w:pPr>
      <w:r>
        <w:t>M2在</w:t>
      </w:r>
      <w:r>
        <w:rPr>
          <w:rFonts w:hint="eastAsia" w:ascii="宋体" w:hAnsi="宋体" w:eastAsia="宋体" w:cs="宋体"/>
        </w:rPr>
        <w:t>③</w:t>
      </w:r>
      <w:r>
        <w:t>号矿层内。位于00～03线之间，出露地表。东西长约250m，南北宽约0～35厚0～8m。总体形态为透镜体状，为灰色钙质砂、紫红色砂岩，地表呈风化～半风化状，植被较发育。</w:t>
      </w:r>
    </w:p>
    <w:p w14:paraId="6552CDC5">
      <w:pPr>
        <w:ind w:firstLine="560"/>
        <w:rPr>
          <w:szCs w:val="21"/>
        </w:rPr>
      </w:pPr>
      <w:r>
        <w:rPr>
          <w:szCs w:val="21"/>
        </w:rPr>
        <w:t>M3在</w:t>
      </w:r>
      <w:r>
        <w:rPr>
          <w:rFonts w:hint="eastAsia" w:ascii="宋体" w:hAnsi="宋体" w:eastAsia="宋体" w:cs="宋体"/>
          <w:szCs w:val="21"/>
        </w:rPr>
        <w:t>③</w:t>
      </w:r>
      <w:r>
        <w:rPr>
          <w:szCs w:val="21"/>
        </w:rPr>
        <w:t>号矿层内。位于03线，出露地表。东西长约240m，南北宽约0～8厚0～5m。总体形态为透镜体状，向东、西两侧尖灭，并向深部尖灭。岩性为灰色钙质砂、紫红色砂岩，地表呈风化～半风化状，植被较发育。化学成分SiO</w:t>
      </w:r>
      <w:r>
        <w:rPr>
          <w:szCs w:val="21"/>
          <w:vertAlign w:val="subscript"/>
        </w:rPr>
        <w:t>2</w:t>
      </w:r>
      <w:r>
        <w:rPr>
          <w:szCs w:val="21"/>
        </w:rPr>
        <w:t xml:space="preserve"> 57.62～87.67%，Al</w:t>
      </w:r>
      <w:r>
        <w:rPr>
          <w:szCs w:val="21"/>
          <w:vertAlign w:val="subscript"/>
        </w:rPr>
        <w:t>2</w:t>
      </w:r>
      <w:r>
        <w:rPr>
          <w:szCs w:val="21"/>
        </w:rPr>
        <w:t>O</w:t>
      </w:r>
      <w:r>
        <w:rPr>
          <w:szCs w:val="21"/>
          <w:vertAlign w:val="subscript"/>
        </w:rPr>
        <w:t>3</w:t>
      </w:r>
      <w:r>
        <w:rPr>
          <w:szCs w:val="21"/>
        </w:rPr>
        <w:t xml:space="preserve"> 4.34～19.45%，Fe</w:t>
      </w:r>
      <w:r>
        <w:rPr>
          <w:szCs w:val="21"/>
          <w:vertAlign w:val="subscript"/>
        </w:rPr>
        <w:t>2</w:t>
      </w:r>
      <w:r>
        <w:rPr>
          <w:szCs w:val="21"/>
        </w:rPr>
        <w:t>O</w:t>
      </w:r>
      <w:r>
        <w:rPr>
          <w:szCs w:val="21"/>
          <w:vertAlign w:val="subscript"/>
        </w:rPr>
        <w:t>3</w:t>
      </w:r>
      <w:r>
        <w:rPr>
          <w:szCs w:val="21"/>
        </w:rPr>
        <w:t xml:space="preserve"> 1.65～11.02%，K</w:t>
      </w:r>
      <w:r>
        <w:rPr>
          <w:szCs w:val="21"/>
          <w:vertAlign w:val="subscript"/>
        </w:rPr>
        <w:t>2</w:t>
      </w:r>
      <w:r>
        <w:rPr>
          <w:szCs w:val="21"/>
        </w:rPr>
        <w:t>O 0.25%，Na</w:t>
      </w:r>
      <w:r>
        <w:rPr>
          <w:szCs w:val="21"/>
          <w:vertAlign w:val="subscript"/>
        </w:rPr>
        <w:t>2</w:t>
      </w:r>
      <w:r>
        <w:rPr>
          <w:szCs w:val="21"/>
        </w:rPr>
        <w:t>O 0.027%。</w:t>
      </w:r>
    </w:p>
    <w:p w14:paraId="3ABE35F9">
      <w:pPr>
        <w:ind w:firstLine="560"/>
        <w:rPr>
          <w:szCs w:val="21"/>
        </w:rPr>
      </w:pPr>
      <w:r>
        <w:rPr>
          <w:szCs w:val="21"/>
        </w:rPr>
        <w:t>M4在</w:t>
      </w:r>
      <w:r>
        <w:rPr>
          <w:rFonts w:hint="eastAsia" w:ascii="宋体" w:hAnsi="宋体" w:eastAsia="宋体" w:cs="宋体"/>
          <w:szCs w:val="21"/>
        </w:rPr>
        <w:t>③</w:t>
      </w:r>
      <w:r>
        <w:rPr>
          <w:szCs w:val="21"/>
        </w:rPr>
        <w:t>号矿层内。紫红色砂岩、灰色钙质砂岩、泥灰岩，未出露地表，位于03线ZK503钻孔内，厚7.88m，呈透镜体状，向东、西及浅部逐渐尖灭。化学成分：SiO</w:t>
      </w:r>
      <w:r>
        <w:rPr>
          <w:szCs w:val="21"/>
          <w:vertAlign w:val="subscript"/>
        </w:rPr>
        <w:t>2</w:t>
      </w:r>
      <w:r>
        <w:rPr>
          <w:szCs w:val="21"/>
        </w:rPr>
        <w:t xml:space="preserve"> 18.66</w:t>
      </w:r>
      <w:r>
        <w:rPr>
          <w:szCs w:val="21"/>
          <w:vertAlign w:val="subscript"/>
        </w:rPr>
        <w:t xml:space="preserve"> </w:t>
      </w:r>
      <w:r>
        <w:rPr>
          <w:szCs w:val="21"/>
        </w:rPr>
        <w:t>～25.89%，Al</w:t>
      </w:r>
      <w:r>
        <w:rPr>
          <w:szCs w:val="21"/>
          <w:vertAlign w:val="subscript"/>
        </w:rPr>
        <w:t>2</w:t>
      </w:r>
      <w:r>
        <w:rPr>
          <w:szCs w:val="21"/>
        </w:rPr>
        <w:t>O</w:t>
      </w:r>
      <w:r>
        <w:rPr>
          <w:szCs w:val="21"/>
          <w:vertAlign w:val="subscript"/>
        </w:rPr>
        <w:t>3</w:t>
      </w:r>
      <w:r>
        <w:rPr>
          <w:szCs w:val="21"/>
        </w:rPr>
        <w:t xml:space="preserve"> 31.65～39.68%，Fe</w:t>
      </w:r>
      <w:r>
        <w:rPr>
          <w:szCs w:val="21"/>
          <w:vertAlign w:val="subscript"/>
        </w:rPr>
        <w:t>2</w:t>
      </w:r>
      <w:r>
        <w:rPr>
          <w:szCs w:val="21"/>
        </w:rPr>
        <w:t>O</w:t>
      </w:r>
      <w:r>
        <w:rPr>
          <w:szCs w:val="21"/>
          <w:vertAlign w:val="subscript"/>
        </w:rPr>
        <w:t>3</w:t>
      </w:r>
      <w:r>
        <w:rPr>
          <w:szCs w:val="21"/>
        </w:rPr>
        <w:t xml:space="preserve"> 5.66～11.49%，K</w:t>
      </w:r>
      <w:r>
        <w:rPr>
          <w:szCs w:val="21"/>
          <w:vertAlign w:val="subscript"/>
        </w:rPr>
        <w:t>2</w:t>
      </w:r>
      <w:r>
        <w:rPr>
          <w:szCs w:val="21"/>
        </w:rPr>
        <w:t>O 0.11～0.18%，Na</w:t>
      </w:r>
      <w:r>
        <w:rPr>
          <w:szCs w:val="21"/>
          <w:vertAlign w:val="subscript"/>
        </w:rPr>
        <w:t>2</w:t>
      </w:r>
      <w:r>
        <w:rPr>
          <w:szCs w:val="21"/>
        </w:rPr>
        <w:t>O 0.062～0.11%。</w:t>
      </w:r>
    </w:p>
    <w:p w14:paraId="4A35F95C">
      <w:pPr>
        <w:ind w:firstLine="560"/>
        <w:rPr>
          <w:szCs w:val="21"/>
        </w:rPr>
      </w:pPr>
      <w:r>
        <w:rPr>
          <w:szCs w:val="21"/>
        </w:rPr>
        <w:t>矿层内尚有少数厚度小于2m或8m段平均未超工业指标要求的不剔除夹石，岩性以云质灰岩、硅质灰岩、泥灰岩为主，部分为白云岩。</w:t>
      </w:r>
    </w:p>
    <w:p w14:paraId="738F15A7">
      <w:pPr>
        <w:pStyle w:val="6"/>
        <w:ind w:firstLine="562"/>
      </w:pPr>
      <w:bookmarkStart w:id="179" w:name="_Toc8174"/>
      <w:r>
        <w:rPr>
          <w:lang w:val="en-US"/>
        </w:rPr>
        <w:t xml:space="preserve">2.4.2.4 </w:t>
      </w:r>
      <w:r>
        <w:t>岩溶特征</w:t>
      </w:r>
      <w:bookmarkEnd w:id="179"/>
    </w:p>
    <w:p w14:paraId="6410074C">
      <w:pPr>
        <w:ind w:firstLine="560"/>
        <w:rPr>
          <w:szCs w:val="21"/>
        </w:rPr>
      </w:pPr>
      <w:r>
        <w:rPr>
          <w:bCs/>
          <w:szCs w:val="28"/>
        </w:rPr>
        <w:t>根据以往地质资料可知，</w:t>
      </w:r>
      <w:r>
        <w:rPr>
          <w:szCs w:val="21"/>
        </w:rPr>
        <w:t>矿区内地表岩溶主要表现为岩溶裂隙、漏斗和溶洞。岩溶裂隙多沿岩层层面或节理裂隙面发育，在地表张开，延深部自行闭合。在地表发现有多个凹陷漏斗，呈不规则环形状，少部分漏斗堆积有含砾砂土或粘土，厚度为0～3m左右。无积水，裂隙较发育，岩层尚保持完整，未被破坏。在04号勘探线东部发现R1和R2两个溶洞：R1弄怀岩，位于04线以西，发育在P</w:t>
      </w:r>
      <w:r>
        <w:rPr>
          <w:szCs w:val="21"/>
          <w:vertAlign w:val="subscript"/>
        </w:rPr>
        <w:t>2</w:t>
      </w:r>
      <w:r>
        <w:rPr>
          <w:i/>
          <w:iCs/>
          <w:szCs w:val="21"/>
        </w:rPr>
        <w:t>q</w:t>
      </w:r>
      <w:r>
        <w:rPr>
          <w:szCs w:val="21"/>
        </w:rPr>
        <w:t>含少量燧石结核灰岩和C</w:t>
      </w:r>
      <w:r>
        <w:rPr>
          <w:szCs w:val="21"/>
          <w:vertAlign w:val="subscript"/>
        </w:rPr>
        <w:t>2</w:t>
      </w:r>
      <w:r>
        <w:rPr>
          <w:szCs w:val="21"/>
        </w:rPr>
        <w:t>P</w:t>
      </w:r>
      <w:r>
        <w:rPr>
          <w:szCs w:val="21"/>
          <w:vertAlign w:val="subscript"/>
        </w:rPr>
        <w:t>1</w:t>
      </w:r>
      <w:r>
        <w:rPr>
          <w:i/>
          <w:iCs/>
          <w:szCs w:val="21"/>
        </w:rPr>
        <w:t>m</w:t>
      </w:r>
      <w:r>
        <w:rPr>
          <w:szCs w:val="21"/>
        </w:rPr>
        <w:t>较纯灰岩的结合部，标高约300 m，走向为总体东西向，洞口宽约15m，高约10m。其规模较大，在最低开采标高340m以下，但也要在开采过程中要注意其变化情况，并要采取一定的措施。溶洞总体向西微向下延伸，洞深数里，内有积水。秋冬水涸，秋季雨季向外排水。持火把，照电筒可入。窄处如走廊，宽处似厅堂。钟乳垂挂，光怪陆离。R2发育在C</w:t>
      </w:r>
      <w:r>
        <w:rPr>
          <w:szCs w:val="21"/>
          <w:vertAlign w:val="subscript"/>
        </w:rPr>
        <w:t>2</w:t>
      </w:r>
      <w:r>
        <w:rPr>
          <w:szCs w:val="21"/>
        </w:rPr>
        <w:t>P</w:t>
      </w:r>
      <w:r>
        <w:rPr>
          <w:szCs w:val="21"/>
          <w:vertAlign w:val="subscript"/>
        </w:rPr>
        <w:t>1</w:t>
      </w:r>
      <w:r>
        <w:rPr>
          <w:i/>
          <w:iCs/>
          <w:szCs w:val="21"/>
        </w:rPr>
        <w:t>m</w:t>
      </w:r>
      <w:r>
        <w:rPr>
          <w:szCs w:val="21"/>
        </w:rPr>
        <w:t>灰岩，规模较小。位于04线原详查钻孔ZK105西北侧约30m位置，标高约440m，洞口宽约10m，高约3.6m，走向为300°，在延深约5m后走向变为230°，再延深约10m后走向变为北西向，走向为东西向，延深约30m。</w:t>
      </w:r>
    </w:p>
    <w:p w14:paraId="2C26B76D">
      <w:pPr>
        <w:pStyle w:val="6"/>
        <w:ind w:firstLine="562"/>
      </w:pPr>
      <w:bookmarkStart w:id="180" w:name="_Toc13871"/>
      <w:r>
        <w:rPr>
          <w:lang w:val="en-US"/>
        </w:rPr>
        <w:t xml:space="preserve">2.4.2.5 </w:t>
      </w:r>
      <w:r>
        <w:t>矿床成因</w:t>
      </w:r>
      <w:bookmarkEnd w:id="180"/>
    </w:p>
    <w:p w14:paraId="46E3DBAE">
      <w:pPr>
        <w:widowControl/>
        <w:ind w:firstLine="560"/>
        <w:rPr>
          <w:szCs w:val="28"/>
        </w:rPr>
      </w:pPr>
      <w:r>
        <w:rPr>
          <w:szCs w:val="21"/>
        </w:rPr>
        <w:t>P</w:t>
      </w:r>
      <w:r>
        <w:rPr>
          <w:szCs w:val="21"/>
          <w:vertAlign w:val="subscript"/>
        </w:rPr>
        <w:t>2</w:t>
      </w:r>
      <w:r>
        <w:rPr>
          <w:i/>
          <w:iCs/>
          <w:szCs w:val="21"/>
        </w:rPr>
        <w:t>m</w:t>
      </w:r>
      <w:r>
        <w:rPr>
          <w:szCs w:val="21"/>
        </w:rPr>
        <w:t>、P</w:t>
      </w:r>
      <w:r>
        <w:rPr>
          <w:szCs w:val="21"/>
          <w:vertAlign w:val="subscript"/>
        </w:rPr>
        <w:t>2</w:t>
      </w:r>
      <w:r>
        <w:rPr>
          <w:i/>
          <w:iCs/>
          <w:szCs w:val="21"/>
        </w:rPr>
        <w:t>q</w:t>
      </w:r>
      <w:r>
        <w:rPr>
          <w:szCs w:val="21"/>
        </w:rPr>
        <w:t>、C</w:t>
      </w:r>
      <w:r>
        <w:rPr>
          <w:szCs w:val="21"/>
          <w:vertAlign w:val="subscript"/>
        </w:rPr>
        <w:t>2</w:t>
      </w:r>
      <w:r>
        <w:rPr>
          <w:szCs w:val="21"/>
        </w:rPr>
        <w:t>P</w:t>
      </w:r>
      <w:r>
        <w:rPr>
          <w:szCs w:val="21"/>
          <w:vertAlign w:val="subscript"/>
        </w:rPr>
        <w:t>1</w:t>
      </w:r>
      <w:r>
        <w:rPr>
          <w:i/>
          <w:iCs/>
          <w:szCs w:val="21"/>
        </w:rPr>
        <w:t>m</w:t>
      </w:r>
      <w:r>
        <w:rPr>
          <w:szCs w:val="21"/>
        </w:rPr>
        <w:t>碳酸盐主要是生物化学成因，属陆台型浅海相碳酸盐建造。分布于上思盆地内，该相的最大特点是灰白、浅灰、深灰色含化石较少，灰色含生物碎屑较发育，古生物化石较丰富。矿区的岩石以为灰白～灰色、深灰色泥晶灰岩为主夹少量的灰色白云岩、含云质灰岩、深灰～灰黑色含少量燧石结核泥晶灰岩和生物碎屑灰岩。岩石的结构组分中，泥晶含量64～99%，亮晶含量2～23%，生物碎屑含量1～18%，生物碎屑有藻类、海百合茎、有孔虫等。据此，认为该矿床为陆台型浅海相生物化学成因沉积碳酸盐矿床。</w:t>
      </w:r>
    </w:p>
    <w:bookmarkEnd w:id="168"/>
    <w:p w14:paraId="370C51E0">
      <w:pPr>
        <w:pStyle w:val="5"/>
      </w:pPr>
      <w:bookmarkStart w:id="181" w:name="_Toc40381575"/>
      <w:bookmarkStart w:id="182" w:name="_Toc525718453"/>
      <w:bookmarkStart w:id="183" w:name="_Toc525717769"/>
      <w:bookmarkStart w:id="184" w:name="_Toc525662946"/>
      <w:bookmarkStart w:id="185" w:name="_Toc124107397"/>
      <w:bookmarkStart w:id="186" w:name="_Toc525662699"/>
      <w:r>
        <w:t>2.</w:t>
      </w:r>
      <w:r>
        <w:rPr>
          <w:lang w:val="en-US"/>
        </w:rPr>
        <w:t>4</w:t>
      </w:r>
      <w:r>
        <w:t>.3 矿床开采技术条件</w:t>
      </w:r>
      <w:bookmarkEnd w:id="181"/>
      <w:bookmarkEnd w:id="182"/>
      <w:bookmarkEnd w:id="183"/>
      <w:bookmarkEnd w:id="184"/>
      <w:bookmarkEnd w:id="185"/>
      <w:bookmarkEnd w:id="186"/>
    </w:p>
    <w:p w14:paraId="1E4E52D1">
      <w:pPr>
        <w:pStyle w:val="6"/>
        <w:ind w:firstLine="562"/>
        <w:rPr>
          <w:lang w:val="en-US"/>
        </w:rPr>
      </w:pPr>
      <w:bookmarkStart w:id="187" w:name="_Toc108783998"/>
      <w:r>
        <w:rPr>
          <w:lang w:val="en-US"/>
        </w:rPr>
        <w:t xml:space="preserve">2.4.3.1 </w:t>
      </w:r>
      <w:r>
        <w:t>水文地质</w:t>
      </w:r>
      <w:bookmarkEnd w:id="187"/>
      <w:r>
        <w:rPr>
          <w:lang w:val="en-US"/>
        </w:rPr>
        <w:t>条件</w:t>
      </w:r>
    </w:p>
    <w:p w14:paraId="095B2C75">
      <w:pPr>
        <w:ind w:firstLine="560"/>
      </w:pPr>
      <w:r>
        <w:t>（1）水文地质单元及地表水体</w:t>
      </w:r>
    </w:p>
    <w:p w14:paraId="1B8D4A79">
      <w:pPr>
        <w:ind w:firstLine="560"/>
      </w:pPr>
      <w:r>
        <w:t>矿区区域上归属于上思盆地水文地质单元，具体位于上思盆地水文地质单元东北部，即明江次一级水文地质单元。区域内地表水主要明江和矿区北部一泉水1和少量的水沟、小型水库和池塘等水系。</w:t>
      </w:r>
    </w:p>
    <w:p w14:paraId="799AC081">
      <w:pPr>
        <w:ind w:firstLine="560"/>
      </w:pPr>
      <w:r>
        <w:t>明江：从矿的距矿区约7km的南部流过，平均流量19.67m</w:t>
      </w:r>
      <w:r>
        <w:rPr>
          <w:vertAlign w:val="superscript"/>
        </w:rPr>
        <w:t>3</w:t>
      </w:r>
      <w:r>
        <w:t>/s。</w:t>
      </w:r>
    </w:p>
    <w:p w14:paraId="1DA43194">
      <w:pPr>
        <w:ind w:firstLine="560"/>
      </w:pPr>
      <w:r>
        <w:t>泉水1：位于矿区北部，产生于下三叠统罗楼群下组（T</w:t>
      </w:r>
      <w:r>
        <w:rPr>
          <w:vertAlign w:val="subscript"/>
        </w:rPr>
        <w:t>1</w:t>
      </w:r>
      <w:r>
        <w:rPr>
          <w:i/>
          <w:iCs/>
        </w:rPr>
        <w:t>l</w:t>
      </w:r>
      <w:r>
        <w:rPr>
          <w:vertAlign w:val="superscript"/>
        </w:rPr>
        <w:t>1</w:t>
      </w:r>
      <w:r>
        <w:t>）的砂岩中，涌水量0.1～0.5l/s，常年不断流。雨水期涌水量是枯水期的8～15倍。最后汇入矿区外围东北的池塘。</w:t>
      </w:r>
    </w:p>
    <w:p w14:paraId="61C9C157">
      <w:pPr>
        <w:ind w:firstLine="560"/>
      </w:pPr>
      <w:r>
        <w:t>矿区东南部外围各见有小溪一段，最后汇入明江。小溪宽1～4m，一般流量20m</w:t>
      </w:r>
      <w:r>
        <w:rPr>
          <w:vertAlign w:val="superscript"/>
        </w:rPr>
        <w:t>3</w:t>
      </w:r>
      <w:r>
        <w:t>/h,枯水期断流或水量明显减少，一般水位340m以下，历年最高洪水位低于340m，位于最低可采标高以下。山脚低洼处分布2个池塘，面积10～1000m</w:t>
      </w:r>
      <w:r>
        <w:rPr>
          <w:vertAlign w:val="superscript"/>
        </w:rPr>
        <w:t>2</w:t>
      </w:r>
      <w:r>
        <w:t>不等，水平面标高一般位于340m以下，雨水期由大气降水供给，枯水期则由岩溶裂隙水涌出或渗入补济。</w:t>
      </w:r>
    </w:p>
    <w:p w14:paraId="06E1CB0B">
      <w:pPr>
        <w:ind w:firstLine="560"/>
      </w:pPr>
      <w:r>
        <w:t>矿区附近为明江补给径流区，矿区附近区域地表水、地下水总体均向明江排泄，地下水整体向由北向南径流排泄汇入明江。</w:t>
      </w:r>
    </w:p>
    <w:p w14:paraId="2BDD2ADE">
      <w:pPr>
        <w:ind w:firstLine="560"/>
      </w:pPr>
      <w:r>
        <w:t>（2）含水岩组空间分布及其水文地质特征</w:t>
      </w:r>
    </w:p>
    <w:p w14:paraId="2C2625FC">
      <w:pPr>
        <w:ind w:firstLine="560"/>
      </w:pPr>
      <w:r>
        <w:t>矿区含水岩组主要分为三类：碳酸盐岩类溶蚀裂隙含水岩组、松散岩类孔隙含水岩组和碎屑岩类孔隙裂隙含水岩组。</w:t>
      </w:r>
    </w:p>
    <w:p w14:paraId="1523CD05">
      <w:pPr>
        <w:ind w:firstLine="560"/>
      </w:pPr>
      <w:r>
        <w:t>1）碳酸盐岩类溶蚀裂隙含水岩组</w:t>
      </w:r>
    </w:p>
    <w:p w14:paraId="32157253">
      <w:pPr>
        <w:pageBreakBefore w:val="0"/>
        <w:wordWrap/>
        <w:topLinePunct w:val="0"/>
        <w:bidi w:val="0"/>
        <w:adjustRightInd w:val="0"/>
        <w:snapToGrid w:val="0"/>
        <w:ind w:firstLine="560"/>
        <w:rPr>
          <w:color w:val="0000FF"/>
        </w:rPr>
      </w:pPr>
      <w:r>
        <w:rPr>
          <w:color w:val="0000FF"/>
        </w:rPr>
        <w:t>碳酸盐岩类溶蚀裂隙</w:t>
      </w:r>
      <w:r>
        <w:rPr>
          <w:rFonts w:hint="eastAsia"/>
          <w:color w:val="0000FF"/>
          <w:lang w:val="en-US" w:eastAsia="zh-CN"/>
        </w:rPr>
        <w:t>水</w:t>
      </w:r>
      <w:r>
        <w:rPr>
          <w:color w:val="0000FF"/>
        </w:rPr>
        <w:t>分布于石炭系上统黄龙组（C</w:t>
      </w:r>
      <w:r>
        <w:rPr>
          <w:color w:val="0000FF"/>
          <w:vertAlign w:val="subscript"/>
        </w:rPr>
        <w:t>2</w:t>
      </w:r>
      <w:r>
        <w:rPr>
          <w:i/>
          <w:iCs/>
          <w:color w:val="0000FF"/>
        </w:rPr>
        <w:t>h</w:t>
      </w:r>
      <w:r>
        <w:rPr>
          <w:color w:val="0000FF"/>
        </w:rPr>
        <w:t>）和石炭系</w:t>
      </w:r>
      <w:r>
        <w:rPr>
          <w:rFonts w:hint="eastAsia"/>
          <w:color w:val="0000FF"/>
          <w:lang w:val="en-US" w:eastAsia="zh-CN"/>
        </w:rPr>
        <w:t>上统</w:t>
      </w:r>
      <w:r>
        <w:rPr>
          <w:color w:val="0000FF"/>
        </w:rPr>
        <w:t>至二叠系</w:t>
      </w:r>
      <w:r>
        <w:rPr>
          <w:rFonts w:hint="eastAsia"/>
          <w:color w:val="0000FF"/>
          <w:lang w:val="en-US" w:eastAsia="zh-CN"/>
        </w:rPr>
        <w:t>下统</w:t>
      </w:r>
      <w:r>
        <w:rPr>
          <w:color w:val="0000FF"/>
        </w:rPr>
        <w:t>马平组（</w:t>
      </w:r>
      <w:r>
        <w:rPr>
          <w:color w:val="0000FF"/>
          <w:szCs w:val="21"/>
        </w:rPr>
        <w:t>C</w:t>
      </w:r>
      <w:r>
        <w:rPr>
          <w:color w:val="0000FF"/>
          <w:szCs w:val="21"/>
          <w:vertAlign w:val="subscript"/>
        </w:rPr>
        <w:t>2</w:t>
      </w:r>
      <w:r>
        <w:rPr>
          <w:color w:val="0000FF"/>
          <w:szCs w:val="21"/>
        </w:rPr>
        <w:t>P</w:t>
      </w:r>
      <w:r>
        <w:rPr>
          <w:rFonts w:hint="eastAsia"/>
          <w:color w:val="0000FF"/>
          <w:szCs w:val="21"/>
          <w:vertAlign w:val="subscript"/>
          <w:lang w:val="en-US" w:eastAsia="zh-CN"/>
        </w:rPr>
        <w:t>1</w:t>
      </w:r>
      <w:r>
        <w:rPr>
          <w:i/>
          <w:iCs/>
          <w:color w:val="0000FF"/>
          <w:szCs w:val="21"/>
        </w:rPr>
        <w:t>m</w:t>
      </w:r>
      <w:r>
        <w:rPr>
          <w:color w:val="0000FF"/>
        </w:rPr>
        <w:t>），二叠系下统的栖霞组（P</w:t>
      </w:r>
      <w:r>
        <w:rPr>
          <w:color w:val="0000FF"/>
          <w:vertAlign w:val="subscript"/>
        </w:rPr>
        <w:t>2</w:t>
      </w:r>
      <w:r>
        <w:rPr>
          <w:i/>
          <w:iCs/>
          <w:color w:val="0000FF"/>
        </w:rPr>
        <w:t>q</w:t>
      </w:r>
      <w:r>
        <w:rPr>
          <w:color w:val="0000FF"/>
        </w:rPr>
        <w:t>）和茅口组（P</w:t>
      </w:r>
      <w:r>
        <w:rPr>
          <w:color w:val="0000FF"/>
          <w:vertAlign w:val="subscript"/>
        </w:rPr>
        <w:t>2</w:t>
      </w:r>
      <w:r>
        <w:rPr>
          <w:i/>
          <w:iCs/>
          <w:color w:val="0000FF"/>
        </w:rPr>
        <w:t>m</w:t>
      </w:r>
      <w:r>
        <w:rPr>
          <w:color w:val="0000FF"/>
        </w:rPr>
        <w:t>）的岩层中</w:t>
      </w:r>
      <w:r>
        <w:rPr>
          <w:rFonts w:hint="eastAsia"/>
          <w:color w:val="0000FF"/>
          <w:lang w:eastAsia="zh-CN"/>
        </w:rPr>
        <w:t>。</w:t>
      </w:r>
      <w:r>
        <w:rPr>
          <w:rFonts w:hint="eastAsia"/>
          <w:color w:val="0000FF"/>
          <w:lang w:val="en-US" w:eastAsia="zh-CN"/>
        </w:rPr>
        <w:t>该含水岩组</w:t>
      </w:r>
      <w:r>
        <w:rPr>
          <w:color w:val="0000FF"/>
        </w:rPr>
        <w:t>岩性为</w:t>
      </w:r>
      <w:r>
        <w:rPr>
          <w:color w:val="0000FF"/>
          <w:szCs w:val="21"/>
        </w:rPr>
        <w:t>厚层状灰白色、浅灰色微晶灰岩、亮晶灰岩、生物碎屑灰岩</w:t>
      </w:r>
      <w:r>
        <w:rPr>
          <w:rFonts w:hint="eastAsia"/>
          <w:color w:val="0000FF"/>
          <w:szCs w:val="21"/>
          <w:lang w:eastAsia="zh-CN"/>
        </w:rPr>
        <w:t>，</w:t>
      </w:r>
      <w:r>
        <w:rPr>
          <w:color w:val="0000FF"/>
        </w:rPr>
        <w:t>属中～富含水层</w:t>
      </w:r>
      <w:r>
        <w:rPr>
          <w:rFonts w:hint="eastAsia"/>
          <w:color w:val="0000FF"/>
          <w:lang w:eastAsia="zh-CN"/>
        </w:rPr>
        <w:t>，</w:t>
      </w:r>
      <w:r>
        <w:rPr>
          <w:rFonts w:hint="eastAsia"/>
          <w:color w:val="0000FF"/>
          <w:lang w:val="en-US" w:eastAsia="zh-CN"/>
        </w:rPr>
        <w:t>溶蚀裂隙</w:t>
      </w:r>
      <w:r>
        <w:rPr>
          <w:color w:val="0000FF"/>
        </w:rPr>
        <w:t>水主要靠大气降水补给，经裂隙流入岩层中，并经裂隙从泉点和溶洞排泄。</w:t>
      </w:r>
    </w:p>
    <w:p w14:paraId="6F63E427">
      <w:pPr>
        <w:ind w:firstLine="560"/>
      </w:pPr>
      <w:r>
        <w:t>2）松散岩类孔隙含水岩组</w:t>
      </w:r>
    </w:p>
    <w:p w14:paraId="193279BF">
      <w:pPr>
        <w:ind w:firstLine="560"/>
      </w:pPr>
      <w:r>
        <w:t>位于山脚低洼处的粘土、含砾粘土层中，含水量极小，属弱含水层。主要由大气降水补给并从地势较低的水沟排出。其水位在340m可采标高之下，对矿床开采无影响。</w:t>
      </w:r>
    </w:p>
    <w:p w14:paraId="781267E4">
      <w:pPr>
        <w:ind w:firstLine="560"/>
      </w:pPr>
      <w:r>
        <w:t>3）碎屑岩类孔隙裂隙含水岩组</w:t>
      </w:r>
    </w:p>
    <w:p w14:paraId="6922A00D">
      <w:pPr>
        <w:ind w:firstLine="560"/>
        <w:rPr>
          <w:szCs w:val="28"/>
        </w:rPr>
      </w:pPr>
      <w:r>
        <w:t>位于西北角和南部的二叠系合山组（P</w:t>
      </w:r>
      <w:r>
        <w:rPr>
          <w:vertAlign w:val="subscript"/>
        </w:rPr>
        <w:t>3</w:t>
      </w:r>
      <w:r>
        <w:rPr>
          <w:i/>
          <w:iCs/>
        </w:rPr>
        <w:t>h</w:t>
      </w:r>
      <w:r>
        <w:t>）、下三叠统罗楼群下组（T</w:t>
      </w:r>
      <w:r>
        <w:rPr>
          <w:vertAlign w:val="subscript"/>
        </w:rPr>
        <w:t>1</w:t>
      </w:r>
      <w:r>
        <w:rPr>
          <w:i/>
          <w:iCs/>
        </w:rPr>
        <w:t>l</w:t>
      </w:r>
      <w:r>
        <w:rPr>
          <w:vertAlign w:val="superscript"/>
        </w:rPr>
        <w:t>1</w:t>
      </w:r>
      <w:r>
        <w:t>）、下侏罗统汪门组（J</w:t>
      </w:r>
      <w:r>
        <w:rPr>
          <w:vertAlign w:val="subscript"/>
        </w:rPr>
        <w:t>1</w:t>
      </w:r>
      <w:r>
        <w:rPr>
          <w:i/>
          <w:iCs/>
        </w:rPr>
        <w:t>w</w:t>
      </w:r>
      <w:r>
        <w:t>），岩性主要为砂岩、硅质岩、页岩、泥质页岩的岩层中，有一泉水，涌水量约0.43l/s，属中等含水层，主要由大气降水补给并从地势较低的水沟或泉点排出，形成水塘。其水位在340m左右，对矿床开采影响不大。</w:t>
      </w:r>
    </w:p>
    <w:p w14:paraId="12376F19">
      <w:pPr>
        <w:ind w:firstLine="560"/>
      </w:pPr>
      <w:r>
        <w:t>（3）地下水补给、径流、排泄特征</w:t>
      </w:r>
    </w:p>
    <w:p w14:paraId="1C135F23">
      <w:pPr>
        <w:ind w:firstLine="560"/>
      </w:pPr>
      <w:r>
        <w:t>矿区地下水类型有三类：松散岩类孔隙水、碳酸盐岩类岩溶裂隙水和碎屑岩类孔隙裂隙水。</w:t>
      </w:r>
    </w:p>
    <w:p w14:paraId="2167C3BB">
      <w:pPr>
        <w:ind w:firstLine="560"/>
      </w:pPr>
      <w:r>
        <w:t>孔隙水主要赋存于上覆第四系的残坡积层孔隙中，主要接受大气降雨的渗入补给，孔隙水沿残坡积层中的孔隙渗流，向低洼地方排泄，流程较短，部分下渗补给下伏碳酸盐岩类溶蚀裂隙水和碎屑岩类孔隙裂隙水，受季节影响明显，加上其结构松散，储水能力差，排泄条件较好。</w:t>
      </w:r>
    </w:p>
    <w:p w14:paraId="7AE90890">
      <w:pPr>
        <w:ind w:firstLine="560"/>
      </w:pPr>
      <w:r>
        <w:t>碳酸盐岩类岩溶裂隙水几乎覆盖整个矿区范围，岩溶区地下水直接接受降雨补给，亦接受上层松散岩类孔隙水补给，通过岩体的构造裂隙和溶蚀裂隙、溶洞等通道径流，以泉形式排泄出露于地表。</w:t>
      </w:r>
    </w:p>
    <w:p w14:paraId="3A0D5AC8">
      <w:pPr>
        <w:ind w:firstLine="560"/>
      </w:pPr>
      <w:r>
        <w:t>碎屑岩类孔隙裂隙水主要分布于矿区外围西北侧和南侧，大气降水为主要补给来源，沿岩石孔隙裂隙渗流，向低洼地方排泄。</w:t>
      </w:r>
    </w:p>
    <w:p w14:paraId="47648AA3">
      <w:pPr>
        <w:ind w:firstLine="560"/>
        <w:rPr>
          <w:color w:val="auto"/>
        </w:rPr>
      </w:pPr>
      <w:r>
        <w:rPr>
          <w:color w:val="auto"/>
        </w:rPr>
        <w:t>矿山采用露天开采，矿区第四系盖层厚度较小，矿区内及周边无地表水体，矿区充水主要为大气降水及矿体顶板充水，但由于目前露天采场直接充水含水层的富水性、补给边界、地下水位标高等不清晰，因此将水文地质条件定为中等。</w:t>
      </w:r>
    </w:p>
    <w:p w14:paraId="38FCFB2F">
      <w:pPr>
        <w:pStyle w:val="6"/>
        <w:ind w:firstLine="562"/>
      </w:pPr>
      <w:bookmarkStart w:id="188" w:name="_Toc108783999"/>
      <w:r>
        <w:rPr>
          <w:lang w:val="en-US"/>
        </w:rPr>
        <w:t xml:space="preserve">2.4.3.2 </w:t>
      </w:r>
      <w:r>
        <w:t>工程地质条件</w:t>
      </w:r>
      <w:bookmarkEnd w:id="188"/>
    </w:p>
    <w:p w14:paraId="20CD27D6">
      <w:pPr>
        <w:ind w:firstLine="560"/>
        <w:rPr>
          <w:color w:val="auto"/>
          <w:szCs w:val="28"/>
        </w:rPr>
      </w:pPr>
      <w:r>
        <w:t>矿区</w:t>
      </w:r>
      <w:r>
        <w:rPr>
          <w:szCs w:val="28"/>
        </w:rPr>
        <w:t>岩土体按岩性、岩土物理力学性质和组合关系，可分为碳酸盐岩岩组和碎屑岩岩组两个工程地质岩组。碳酸盐岩岩组区出露地层为</w:t>
      </w:r>
      <w:r>
        <w:t>石炭系上统黄龙组（C</w:t>
      </w:r>
      <w:r>
        <w:rPr>
          <w:vertAlign w:val="subscript"/>
        </w:rPr>
        <w:t>2</w:t>
      </w:r>
      <w:r>
        <w:rPr>
          <w:i/>
          <w:iCs/>
        </w:rPr>
        <w:t>h</w:t>
      </w:r>
      <w:r>
        <w:t>）、石炭系上统至二叠系下统马平组（</w:t>
      </w:r>
      <w:r>
        <w:rPr>
          <w:szCs w:val="21"/>
        </w:rPr>
        <w:t>C</w:t>
      </w:r>
      <w:r>
        <w:rPr>
          <w:szCs w:val="21"/>
          <w:vertAlign w:val="subscript"/>
        </w:rPr>
        <w:t>2</w:t>
      </w:r>
      <w:r>
        <w:rPr>
          <w:szCs w:val="21"/>
        </w:rPr>
        <w:t>P</w:t>
      </w:r>
      <w:r>
        <w:rPr>
          <w:szCs w:val="21"/>
          <w:vertAlign w:val="subscript"/>
        </w:rPr>
        <w:t>1</w:t>
      </w:r>
      <w:r>
        <w:rPr>
          <w:i/>
          <w:iCs/>
          <w:szCs w:val="21"/>
        </w:rPr>
        <w:t>m</w:t>
      </w:r>
      <w:r>
        <w:t>）、</w:t>
      </w:r>
      <w:r>
        <w:rPr>
          <w:szCs w:val="28"/>
        </w:rPr>
        <w:t>二叠系栖霞组（P</w:t>
      </w:r>
      <w:r>
        <w:rPr>
          <w:szCs w:val="28"/>
          <w:vertAlign w:val="subscript"/>
        </w:rPr>
        <w:t>2</w:t>
      </w:r>
      <w:r>
        <w:rPr>
          <w:i/>
          <w:szCs w:val="28"/>
        </w:rPr>
        <w:t>q</w:t>
      </w:r>
      <w:r>
        <w:rPr>
          <w:szCs w:val="28"/>
        </w:rPr>
        <w:t>）、茅口组（P</w:t>
      </w:r>
      <w:r>
        <w:rPr>
          <w:szCs w:val="28"/>
          <w:vertAlign w:val="subscript"/>
        </w:rPr>
        <w:t>2</w:t>
      </w:r>
      <w:r>
        <w:rPr>
          <w:i/>
          <w:szCs w:val="28"/>
        </w:rPr>
        <w:t>m</w:t>
      </w:r>
      <w:r>
        <w:rPr>
          <w:szCs w:val="28"/>
        </w:rPr>
        <w:t>）、合山组</w:t>
      </w:r>
      <w:r>
        <w:rPr>
          <w:bCs/>
          <w:szCs w:val="28"/>
        </w:rPr>
        <w:t>（P</w:t>
      </w:r>
      <w:r>
        <w:rPr>
          <w:bCs/>
          <w:szCs w:val="28"/>
          <w:vertAlign w:val="subscript"/>
        </w:rPr>
        <w:t>3</w:t>
      </w:r>
      <w:r>
        <w:rPr>
          <w:bCs/>
          <w:i/>
          <w:iCs/>
          <w:szCs w:val="28"/>
        </w:rPr>
        <w:t>h</w:t>
      </w:r>
      <w:r>
        <w:rPr>
          <w:bCs/>
          <w:szCs w:val="28"/>
        </w:rPr>
        <w:t>）</w:t>
      </w:r>
      <w:r>
        <w:rPr>
          <w:szCs w:val="28"/>
        </w:rPr>
        <w:t>，岩性为灰岩、生物屑微晶灰岩、泥质灰岩、硅质泥岩等；碎屑岩岩组为</w:t>
      </w:r>
      <w:r>
        <w:rPr>
          <w:szCs w:val="21"/>
        </w:rPr>
        <w:t>下三叠统罗楼组下段（T</w:t>
      </w:r>
      <w:r>
        <w:rPr>
          <w:szCs w:val="21"/>
          <w:vertAlign w:val="subscript"/>
        </w:rPr>
        <w:t>1</w:t>
      </w:r>
      <w:r>
        <w:rPr>
          <w:i/>
          <w:iCs/>
          <w:szCs w:val="21"/>
        </w:rPr>
        <w:t>ll</w:t>
      </w:r>
      <w:r>
        <w:rPr>
          <w:i/>
          <w:iCs/>
          <w:szCs w:val="21"/>
          <w:vertAlign w:val="superscript"/>
        </w:rPr>
        <w:t>a</w:t>
      </w:r>
      <w:r>
        <w:rPr>
          <w:szCs w:val="21"/>
        </w:rPr>
        <w:t>）、</w:t>
      </w:r>
      <w:r>
        <w:rPr>
          <w:color w:val="auto"/>
          <w:szCs w:val="28"/>
        </w:rPr>
        <w:t>侏罗系汪门组（J</w:t>
      </w:r>
      <w:r>
        <w:rPr>
          <w:color w:val="auto"/>
          <w:szCs w:val="28"/>
          <w:vertAlign w:val="subscript"/>
        </w:rPr>
        <w:t>1</w:t>
      </w:r>
      <w:r>
        <w:rPr>
          <w:i/>
          <w:color w:val="auto"/>
          <w:szCs w:val="28"/>
        </w:rPr>
        <w:t>w</w:t>
      </w:r>
      <w:r>
        <w:rPr>
          <w:color w:val="auto"/>
          <w:szCs w:val="28"/>
        </w:rPr>
        <w:t>）的泥岩、泥质粉砂岩等。</w:t>
      </w:r>
    </w:p>
    <w:p w14:paraId="562F9CD2">
      <w:pPr>
        <w:ind w:firstLine="560"/>
        <w:rPr>
          <w:color w:val="auto"/>
          <w:szCs w:val="28"/>
        </w:rPr>
      </w:pPr>
      <w:r>
        <w:rPr>
          <w:color w:val="auto"/>
          <w:szCs w:val="28"/>
        </w:rPr>
        <w:t>矿山经过历史开采现已形成较不规则的台阶边坡和道路边坡，边坡岩性主要为</w:t>
      </w:r>
      <w:r>
        <w:rPr>
          <w:rFonts w:hint="eastAsia"/>
          <w:color w:val="auto"/>
          <w:szCs w:val="28"/>
          <w:lang w:val="en-US" w:eastAsia="zh-CN"/>
        </w:rPr>
        <w:t>灰岩</w:t>
      </w:r>
      <w:r>
        <w:rPr>
          <w:color w:val="auto"/>
          <w:szCs w:val="28"/>
        </w:rPr>
        <w:t>，单级边坡高度约9~</w:t>
      </w:r>
      <w:r>
        <w:rPr>
          <w:rFonts w:hint="eastAsia"/>
          <w:color w:val="auto"/>
          <w:szCs w:val="28"/>
          <w:lang w:val="en-US" w:eastAsia="zh-CN"/>
        </w:rPr>
        <w:t>70</w:t>
      </w:r>
      <w:r>
        <w:rPr>
          <w:color w:val="auto"/>
          <w:szCs w:val="28"/>
        </w:rPr>
        <w:t>m，边坡角度约12~25°。根据现场踏勘分析，目前边坡处于稳定状态，无滑坡崩塌迹象。</w:t>
      </w:r>
    </w:p>
    <w:p w14:paraId="4E529D06">
      <w:pPr>
        <w:ind w:firstLine="560"/>
      </w:pPr>
      <w:r>
        <w:t>矿区地势为中低山地貌，矿体基本裸露地表，自然坡度较陡，局部形成陡壁，但仍处于稳定状态。矿层为层状，单斜构造,形态单一。矿石致密块状构造，岩石较坚硬，据地表初步判断，岩石质量尚好，岩体完整性一般。初步判断矿床工程地质属中等类型。</w:t>
      </w:r>
    </w:p>
    <w:p w14:paraId="2A88F34E">
      <w:pPr>
        <w:pStyle w:val="6"/>
        <w:ind w:firstLine="562"/>
      </w:pPr>
      <w:bookmarkStart w:id="189" w:name="_Toc108784000"/>
      <w:r>
        <w:rPr>
          <w:lang w:val="en-US"/>
        </w:rPr>
        <w:t xml:space="preserve">2.4.3.3 </w:t>
      </w:r>
      <w:r>
        <w:t>环境地质条件</w:t>
      </w:r>
      <w:bookmarkEnd w:id="189"/>
    </w:p>
    <w:p w14:paraId="56D6CC5C">
      <w:pPr>
        <w:ind w:firstLine="560"/>
      </w:pPr>
      <w:r>
        <w:t>区域构造位置处于南华活动带右江褶皱系十万大山断陷带北部，区内构造发育，主要构造线方向为近东西向，其次为北东向断裂。主要构造有那街断层、六色</w:t>
      </w:r>
      <w:r>
        <w:rPr>
          <w:rFonts w:hint="eastAsia"/>
          <w:lang w:val="en-US" w:eastAsia="zh-CN"/>
        </w:rPr>
        <w:t>-</w:t>
      </w:r>
      <w:r>
        <w:t>三化背斜、上思盆地、南屏-新棠断裂等，第四纪以来未见新构造活动迹象。</w:t>
      </w:r>
    </w:p>
    <w:p w14:paraId="72B0FABF">
      <w:pPr>
        <w:ind w:firstLine="560"/>
      </w:pPr>
      <w:r>
        <w:t>根据《上思县志》及《广西地震志》，矿区所处的上思县县城一带无震级大于3.0级的地震纪录，矿区近50年来未见有地震发生的记录。据《中国地震动参数区划图》（GB/T18306-2015），上思县属于地震烈度Ⅵ度区，峰值加速度为0.05g，反应谱特征周期0.35s。一般不会产生破坏性地震。矿区内土层不存在地震液化的问题，区域地层稳定。</w:t>
      </w:r>
    </w:p>
    <w:p w14:paraId="656C48FB">
      <w:pPr>
        <w:ind w:firstLine="560"/>
      </w:pPr>
      <w:r>
        <w:t>矿区内除石灰岩矿石外，无其它有开采价值的矿产资源，无文物古迹分布，也不具有风景名胜开发价值，附近无自然保护区及军事设施。由于矿山露天开采破坏地貌景观严重，矿区峰丛地貌岩质山坡度大于30°，危岩较发育、有高边坡。因此，初步判断矿区地质环境质量中等。</w:t>
      </w:r>
    </w:p>
    <w:p w14:paraId="6B7E2DFD">
      <w:pPr>
        <w:pStyle w:val="6"/>
        <w:ind w:firstLine="562"/>
      </w:pPr>
      <w:bookmarkStart w:id="190" w:name="_TOC_250005"/>
      <w:bookmarkEnd w:id="190"/>
      <w:r>
        <w:rPr>
          <w:lang w:val="en-US"/>
        </w:rPr>
        <w:t xml:space="preserve">2.4.3.4 </w:t>
      </w:r>
      <w:r>
        <w:t>矿床开采技术条件小结</w:t>
      </w:r>
    </w:p>
    <w:p w14:paraId="145710D5">
      <w:pPr>
        <w:ind w:firstLine="560"/>
      </w:pPr>
      <w:r>
        <w:t>综合现阶段所收集资料，根据《矿区水文地质工程地质勘查规范》（GB/T12719-2021）勘查类型划分标准，暂定矿床开采技术条件属水文地质条件</w:t>
      </w:r>
      <w:r>
        <w:rPr>
          <w:rFonts w:hint="eastAsia"/>
        </w:rPr>
        <w:t>中等，</w:t>
      </w:r>
      <w:r>
        <w:t>工程地质条件中等</w:t>
      </w:r>
      <w:r>
        <w:rPr>
          <w:rFonts w:hint="eastAsia"/>
        </w:rPr>
        <w:t>，</w:t>
      </w:r>
      <w:r>
        <w:t>地质环境质量中等类型矿床。</w:t>
      </w:r>
    </w:p>
    <w:p w14:paraId="32E4A5D5">
      <w:pPr>
        <w:ind w:firstLine="560"/>
        <w:rPr>
          <w:rFonts w:eastAsia="仿宋_GB2312"/>
        </w:rPr>
      </w:pPr>
    </w:p>
    <w:p w14:paraId="39F05F29">
      <w:pPr>
        <w:ind w:firstLine="560"/>
        <w:rPr>
          <w:rFonts w:eastAsia="仿宋_GB2312"/>
        </w:rPr>
        <w:sectPr>
          <w:pgSz w:w="11906" w:h="16838"/>
          <w:pgMar w:top="1418" w:right="1418" w:bottom="1418" w:left="1418" w:header="851" w:footer="992" w:gutter="0"/>
          <w:cols w:space="720" w:num="1"/>
          <w:docGrid w:type="lines" w:linePitch="381" w:charSpace="0"/>
        </w:sectPr>
      </w:pPr>
    </w:p>
    <w:p w14:paraId="2373EC73">
      <w:pPr>
        <w:pStyle w:val="3"/>
      </w:pPr>
      <w:bookmarkStart w:id="191" w:name="_Toc22982"/>
      <w:bookmarkStart w:id="192" w:name="_Toc176901234"/>
      <w:bookmarkStart w:id="193" w:name="_Toc28982"/>
      <w:bookmarkStart w:id="194" w:name="_Toc124107398"/>
      <w:bookmarkStart w:id="195" w:name="_Toc18461"/>
      <w:bookmarkStart w:id="196" w:name="_Toc15645"/>
      <w:bookmarkStart w:id="197" w:name="_Toc11394"/>
      <w:r>
        <w:t>3 勘查工作部署</w:t>
      </w:r>
      <w:bookmarkEnd w:id="191"/>
      <w:bookmarkEnd w:id="192"/>
      <w:bookmarkEnd w:id="193"/>
      <w:bookmarkEnd w:id="194"/>
      <w:bookmarkEnd w:id="195"/>
      <w:bookmarkEnd w:id="196"/>
      <w:bookmarkEnd w:id="197"/>
    </w:p>
    <w:p w14:paraId="15EE85AC">
      <w:pPr>
        <w:pStyle w:val="4"/>
      </w:pPr>
      <w:bookmarkStart w:id="198" w:name="_Toc124107399"/>
      <w:bookmarkStart w:id="199" w:name="_Toc17032"/>
      <w:bookmarkStart w:id="200" w:name="_Toc176901235"/>
      <w:bookmarkStart w:id="201" w:name="_Toc1107"/>
      <w:bookmarkStart w:id="202" w:name="_Toc25490"/>
      <w:bookmarkStart w:id="203" w:name="_Toc5926"/>
      <w:r>
        <w:t>3.1 总体部署原则</w:t>
      </w:r>
      <w:bookmarkEnd w:id="198"/>
      <w:bookmarkEnd w:id="199"/>
      <w:bookmarkEnd w:id="200"/>
      <w:bookmarkEnd w:id="201"/>
      <w:bookmarkEnd w:id="202"/>
      <w:bookmarkEnd w:id="203"/>
    </w:p>
    <w:p w14:paraId="073B19D1">
      <w:pPr>
        <w:ind w:firstLine="560"/>
        <w:rPr>
          <w:kern w:val="0"/>
          <w:szCs w:val="28"/>
        </w:rPr>
      </w:pPr>
      <w:r>
        <w:rPr>
          <w:kern w:val="0"/>
          <w:szCs w:val="28"/>
        </w:rPr>
        <w:t>严格按照《固体矿产地质勘查规范总则》（GB/T 13908-2020）、《固体矿产勘查工作规范》（GB/T33444-2016）、《固体矿产勘查原始地质编录规程》（DZ/T 0078-2015）、《矿产地质勘查规范 石灰岩、水泥配料石料类》（DZ/T 0213-2020）、《固体矿产勘查地质资料综合整理、综合研究技术要求》（DZ/T 0079-2015）、《矿区水文地质工程地质勘查规范》</w:t>
      </w:r>
      <w:r>
        <w:t>（GB/T12719-2021）</w:t>
      </w:r>
      <w:r>
        <w:rPr>
          <w:szCs w:val="28"/>
        </w:rPr>
        <w:t>、</w:t>
      </w:r>
      <w:r>
        <w:rPr>
          <w:kern w:val="0"/>
          <w:szCs w:val="28"/>
        </w:rPr>
        <w:t>《固体矿产资源储量分类》（GBT 17766-2020）等规范及要求，对华润水泥（上思）有限公司龙大山矿区水泥用灰岩矿整合区开展详查工作。</w:t>
      </w:r>
    </w:p>
    <w:p w14:paraId="759979F8">
      <w:pPr>
        <w:pStyle w:val="5"/>
      </w:pPr>
      <w:r>
        <w:t>3.1.1 工作思路</w:t>
      </w:r>
    </w:p>
    <w:p w14:paraId="1A5DDA80">
      <w:pPr>
        <w:ind w:firstLine="560"/>
        <w:rPr>
          <w:color w:val="auto"/>
          <w:szCs w:val="28"/>
        </w:rPr>
      </w:pPr>
      <w:r>
        <w:rPr>
          <w:kern w:val="0"/>
          <w:szCs w:val="28"/>
        </w:rPr>
        <w:t>系统收集以往成果资料，重点收集与矿区同一矿床类型的成果报告，进行类比研究。</w:t>
      </w:r>
      <w:r>
        <w:rPr>
          <w:szCs w:val="28"/>
        </w:rPr>
        <w:t>首先通过开展1:2000地形测量，精确绘制矿区地形图；然后开展1:2000地质测量，基本查明矿区地层、岩性、构造及矿体分布特征，同时开展1:5000专项水工环地质调查工作；最后根据地质测量成果及岩层矿体分布情况，采用钻探工程对矿层进行揭露控制，并系统采集各类样品进行测试分析，开展概略研究及估算矿体资源量，最终完成矿区灰岩矿产资源评价工作，</w:t>
      </w:r>
      <w:r>
        <w:rPr>
          <w:color w:val="auto"/>
          <w:kern w:val="0"/>
          <w:szCs w:val="28"/>
        </w:rPr>
        <w:t>编制《</w:t>
      </w:r>
      <w:r>
        <w:rPr>
          <w:color w:val="auto"/>
        </w:rPr>
        <w:t>广西上思县龙大山-讲鱼山矿区水泥用灰岩矿核实报告</w:t>
      </w:r>
      <w:r>
        <w:rPr>
          <w:color w:val="auto"/>
          <w:kern w:val="0"/>
          <w:szCs w:val="28"/>
        </w:rPr>
        <w:t>》</w:t>
      </w:r>
      <w:r>
        <w:rPr>
          <w:color w:val="auto"/>
          <w:szCs w:val="28"/>
        </w:rPr>
        <w:t>。</w:t>
      </w:r>
    </w:p>
    <w:p w14:paraId="4D1C6B19">
      <w:pPr>
        <w:pStyle w:val="5"/>
      </w:pPr>
      <w:r>
        <w:t>3.1.2 工作部署原则</w:t>
      </w:r>
    </w:p>
    <w:p w14:paraId="2DC469E8">
      <w:pPr>
        <w:ind w:firstLine="560"/>
      </w:pPr>
      <w:r>
        <w:t>（1）坚持绿色勘查，环境保护优先。</w:t>
      </w:r>
    </w:p>
    <w:p w14:paraId="22318CC6">
      <w:pPr>
        <w:ind w:firstLine="560"/>
      </w:pPr>
      <w:r>
        <w:t>（2）标准性原则：执行相关的国家标准和行业标准、经济性原则，实现勘查目的原则。</w:t>
      </w:r>
    </w:p>
    <w:p w14:paraId="17358D54">
      <w:pPr>
        <w:ind w:firstLine="560"/>
      </w:pPr>
      <w:r>
        <w:t>（3）一般应遵循由浅入深、由稀到密、由已知到未知，区域展开、点面结合、重点突破，地质填图先行的原则。</w:t>
      </w:r>
    </w:p>
    <w:p w14:paraId="4D71C6B6">
      <w:pPr>
        <w:ind w:firstLine="560"/>
      </w:pPr>
      <w:r>
        <w:t>（4）在合理确定勘查类型和综合研究工程间距的基础上，根据矿床类型、物性条件、地形条件和生态环境条件选择适当、有效的勘查方法和手段。</w:t>
      </w:r>
    </w:p>
    <w:p w14:paraId="6D4C29DE">
      <w:pPr>
        <w:ind w:firstLine="560"/>
        <w:rPr>
          <w:color w:val="auto"/>
        </w:rPr>
      </w:pPr>
      <w:r>
        <w:rPr>
          <w:color w:val="auto"/>
        </w:rPr>
        <w:t>（5）水工环勘探原则：通过水工环地质测量工作，详细查明地表上及深部水工环地质情况，详细查明矿床的开采技术条件。矿区水文地质勘察需统筹地下水、地表水、大气降水，系统开展水文地质测绘、钻孔水文编录等基础工作，搭配物探与适配抽水试验，综合查明矿区水文地质条件与充水要素。勘探钻孔宜布设剖面，完整控制地下水补给径流排泄全段、开采流场变化及导水通道，揭穿主要含水层与含水构造。群孔抽水主孔置于富水、强径流带，观测孔结合勘查资料、试验目标、涌水量方案布设，可利用已有钻孔、水露头监测。针对垂向非均质巨厚含水层，大降深疏干试验时必须分层观测水位，分析垂向水位梯度变化规律。</w:t>
      </w:r>
    </w:p>
    <w:p w14:paraId="3ACB13A4">
      <w:pPr>
        <w:ind w:firstLine="560"/>
      </w:pPr>
      <w:r>
        <w:t>（6）依据《矿产资源综合勘查评价规范》(</w:t>
      </w:r>
      <w:r>
        <w:rPr>
          <w:szCs w:val="28"/>
        </w:rPr>
        <w:t>GB/T25283-2023</w:t>
      </w:r>
      <w:r>
        <w:t>)、《矿区水文地质工程地质勘探规范》（GB/T12719-2021）、《固体矿产地质勘查工作规范》（GB/T 33444-2016）的原则和要求，统筹安排综合勘查、综合评价工作。</w:t>
      </w:r>
    </w:p>
    <w:p w14:paraId="1ACA9561">
      <w:pPr>
        <w:ind w:firstLine="560"/>
      </w:pPr>
      <w:r>
        <w:t>（7）勘查工程的总体布署采用勘探线形式，勘探线尽可能垂直矿层走向方向，同时要兼顾地形变化，尽可能利用地形对矿层进行控制。本次工作沿161°方向布设4条勘探线，由北至东依次编号为</w:t>
      </w:r>
      <w:r>
        <w:rPr>
          <w:rFonts w:hint="eastAsia"/>
          <w:lang w:val="en-US" w:eastAsia="zh-CN"/>
        </w:rPr>
        <w:t>1</w:t>
      </w:r>
      <w:r>
        <w:t>、</w:t>
      </w:r>
      <w:r>
        <w:rPr>
          <w:rFonts w:hint="eastAsia"/>
          <w:lang w:val="en-US" w:eastAsia="zh-CN"/>
        </w:rPr>
        <w:t>3</w:t>
      </w:r>
      <w:r>
        <w:t>、</w:t>
      </w:r>
      <w:r>
        <w:rPr>
          <w:rFonts w:hint="eastAsia"/>
          <w:lang w:val="en-US" w:eastAsia="zh-CN"/>
        </w:rPr>
        <w:t>5</w:t>
      </w:r>
      <w:r>
        <w:t>、</w:t>
      </w:r>
      <w:r>
        <w:rPr>
          <w:rFonts w:hint="eastAsia"/>
          <w:lang w:val="en-US" w:eastAsia="zh-CN"/>
        </w:rPr>
        <w:t>7</w:t>
      </w:r>
      <w:r>
        <w:t>号勘探线。</w:t>
      </w:r>
    </w:p>
    <w:p w14:paraId="3211809E">
      <w:pPr>
        <w:pStyle w:val="4"/>
      </w:pPr>
      <w:bookmarkStart w:id="204" w:name="_Toc176773705"/>
      <w:bookmarkStart w:id="205" w:name="_Toc32517"/>
      <w:bookmarkStart w:id="206" w:name="_Toc22342"/>
      <w:bookmarkStart w:id="207" w:name="_Toc176901236"/>
      <w:bookmarkStart w:id="208" w:name="_Toc7727"/>
      <w:bookmarkStart w:id="209" w:name="_Toc8446"/>
      <w:r>
        <w:t>3.2 勘查工作方法选择</w:t>
      </w:r>
      <w:bookmarkEnd w:id="204"/>
      <w:bookmarkEnd w:id="205"/>
      <w:bookmarkEnd w:id="206"/>
      <w:bookmarkEnd w:id="207"/>
      <w:bookmarkEnd w:id="208"/>
      <w:bookmarkEnd w:id="209"/>
    </w:p>
    <w:p w14:paraId="22635FCA">
      <w:pPr>
        <w:ind w:firstLine="560"/>
        <w:rPr>
          <w:snapToGrid w:val="0"/>
          <w:szCs w:val="28"/>
        </w:rPr>
      </w:pPr>
      <w:r>
        <w:rPr>
          <w:snapToGrid w:val="0"/>
          <w:szCs w:val="28"/>
        </w:rPr>
        <w:t>根据矿区矿床地质和矿体形态分布特征，参照</w:t>
      </w:r>
      <w:r>
        <w:rPr>
          <w:kern w:val="0"/>
          <w:szCs w:val="28"/>
        </w:rPr>
        <w:t>《矿产地质勘查规范 石灰岩、水泥配料石料类》（DZ/T 0213-2020）的相关规定</w:t>
      </w:r>
      <w:r>
        <w:rPr>
          <w:snapToGrid w:val="0"/>
          <w:szCs w:val="28"/>
        </w:rPr>
        <w:t>，结合以往石灰岩矿的勘查经验，本次勘查工作选用1:2000地形测量、1:2000地质测量、1:50000区域水文地质测量、1:5000矿区专项水、工、环地质测量、钻探、采样化验分析等工作，基本可以查明矿区地层、构造、岩浆岩特征；基本可以查明矿区内矿体的数量、赋存部位、岩性特征、分布范围；基本可以查明矿体规模、形态、内部结构、厚度及其变化特点，确定矿体的连续性；基本可以查明矿石的物质成分、结构构造、矿石类型；详细查明矿区水文地质、工程地质、环境地质等开采技术条件；满足矿区灰岩矿体资源量估算的要求。勘查手段的选择比较合理。</w:t>
      </w:r>
    </w:p>
    <w:p w14:paraId="035423E2">
      <w:pPr>
        <w:pStyle w:val="4"/>
      </w:pPr>
      <w:bookmarkStart w:id="210" w:name="_Toc3125"/>
      <w:bookmarkStart w:id="211" w:name="_Toc176901238"/>
      <w:bookmarkStart w:id="212" w:name="_Toc5201"/>
      <w:bookmarkStart w:id="213" w:name="_Toc21000"/>
      <w:bookmarkStart w:id="214" w:name="_Toc124107400"/>
      <w:bookmarkStart w:id="215" w:name="_Toc23199"/>
      <w:r>
        <w:t>3.</w:t>
      </w:r>
      <w:r>
        <w:rPr>
          <w:lang w:val="en-US"/>
        </w:rPr>
        <w:t>3</w:t>
      </w:r>
      <w:r>
        <w:t xml:space="preserve"> 矿床勘查类型及勘查工程间距的确定</w:t>
      </w:r>
      <w:bookmarkEnd w:id="210"/>
      <w:bookmarkEnd w:id="211"/>
      <w:bookmarkEnd w:id="212"/>
      <w:bookmarkEnd w:id="213"/>
      <w:bookmarkEnd w:id="214"/>
      <w:bookmarkEnd w:id="215"/>
    </w:p>
    <w:p w14:paraId="05DD8A4A">
      <w:pPr>
        <w:ind w:firstLine="560"/>
        <w:rPr>
          <w:color w:val="auto"/>
        </w:rPr>
      </w:pPr>
      <w:r>
        <w:rPr>
          <w:color w:val="auto"/>
        </w:rPr>
        <w:t>（1）历史勘查工程间距的确定</w:t>
      </w:r>
    </w:p>
    <w:p w14:paraId="2FC01C88">
      <w:pPr>
        <w:ind w:firstLine="560"/>
        <w:rPr>
          <w:color w:val="auto"/>
        </w:rPr>
      </w:pPr>
      <w:r>
        <w:rPr>
          <w:color w:val="auto"/>
        </w:rPr>
        <w:t>根据收集资料显示，2009年和2018年针对本矿区进行的详查，所确定的勘查类型都为Ⅰ类型，控制的工程间距为400×400m。勘探工程对矿层的控制已达到各资源/储量分类的要求，所采用的工程间距合理，达到了预期的地质目地。</w:t>
      </w:r>
    </w:p>
    <w:p w14:paraId="040DCBCA">
      <w:pPr>
        <w:ind w:firstLine="560"/>
      </w:pPr>
      <w:r>
        <w:t>（2）本次勘查工程间距的确定</w:t>
      </w:r>
    </w:p>
    <w:p w14:paraId="1F3DF534">
      <w:pPr>
        <w:ind w:firstLine="560"/>
      </w:pPr>
      <w:r>
        <w:t>矿床规模属大型，参照历史详查成果资料及踏勘结果，矿石质量稳定，含少量不连续夹层，矿石内部结构复杂程度属简单；矿体连续且厚度变化小，矿体厚度稳定程度属稳定；矿体呈单斜，产状变化小，无较大断层切割矿体，构造复杂程度属简单；矿区内没有较大岩脉、岩株分布，岩浆岩发育程度属不发育；按《矿产地质勘查规范 石灰岩、水泥配料类》</w:t>
      </w:r>
      <w:r>
        <w:rPr>
          <w:color w:val="auto"/>
        </w:rPr>
        <w:t>（DZ/T0213-2020）</w:t>
      </w:r>
      <w:r>
        <w:t>，矿床勘查类型划分暂定为Ⅰ类型，控制的工程间距暂定为400×400m，实施过程中若地质条件有重大变化，工程布置应作相应调整。</w:t>
      </w:r>
    </w:p>
    <w:p w14:paraId="3A3AC197">
      <w:pPr>
        <w:pStyle w:val="4"/>
      </w:pPr>
      <w:bookmarkStart w:id="216" w:name="_Toc124107401"/>
      <w:bookmarkStart w:id="217" w:name="_Toc21327"/>
      <w:bookmarkStart w:id="218" w:name="_Toc8171"/>
      <w:bookmarkStart w:id="219" w:name="_Toc13790"/>
      <w:bookmarkStart w:id="220" w:name="_Toc176901239"/>
      <w:bookmarkStart w:id="221" w:name="_Toc19185"/>
      <w:bookmarkStart w:id="222" w:name="_Toc176901240"/>
      <w:bookmarkStart w:id="223" w:name="_Toc6485"/>
      <w:bookmarkStart w:id="224" w:name="_Toc124107402"/>
      <w:bookmarkStart w:id="225" w:name="_Toc21084"/>
      <w:bookmarkStart w:id="226" w:name="_Toc18039"/>
      <w:r>
        <w:t>3.</w:t>
      </w:r>
      <w:r>
        <w:rPr>
          <w:lang w:val="en-US"/>
        </w:rPr>
        <w:t>4</w:t>
      </w:r>
      <w:r>
        <w:t xml:space="preserve"> </w:t>
      </w:r>
      <w:bookmarkEnd w:id="216"/>
      <w:r>
        <w:t>勘查工程布置</w:t>
      </w:r>
      <w:bookmarkEnd w:id="217"/>
      <w:bookmarkEnd w:id="218"/>
      <w:bookmarkEnd w:id="219"/>
      <w:bookmarkEnd w:id="220"/>
      <w:bookmarkEnd w:id="221"/>
    </w:p>
    <w:p w14:paraId="6E4A9B8D">
      <w:pPr>
        <w:ind w:firstLine="560"/>
      </w:pPr>
      <w:r>
        <w:t>以由点到面、重点突破、由浅入深的原则，分阶段安排地质工作。根据本区以往地质工作程度低的现状，充分利用相邻同类型矿床勘查成果，收集相关地质资料，开展综合研究类比，拟采用地形测量、地质填图、钻探、采样化验的综合勘查方法开展详查工作。工程布置如下：</w:t>
      </w:r>
    </w:p>
    <w:p w14:paraId="6C6FEDCC">
      <w:pPr>
        <w:ind w:firstLine="562"/>
        <w:rPr>
          <w:b/>
          <w:kern w:val="0"/>
          <w:szCs w:val="28"/>
        </w:rPr>
      </w:pPr>
    </w:p>
    <w:p w14:paraId="286B6204">
      <w:pPr>
        <w:ind w:firstLine="562"/>
        <w:rPr>
          <w:b/>
          <w:sz w:val="24"/>
          <w:szCs w:val="24"/>
        </w:rPr>
      </w:pPr>
      <w:r>
        <w:rPr>
          <w:b/>
          <w:kern w:val="0"/>
          <w:szCs w:val="28"/>
        </w:rPr>
        <w:t>（1）第一阶段</w:t>
      </w:r>
    </w:p>
    <w:p w14:paraId="5494B070">
      <w:pPr>
        <w:ind w:firstLine="560"/>
      </w:pPr>
      <w:r>
        <w:t>全面搜集矿区及周边已有的地质、矿产资料，对搜集到的所有资料进行综合研究，初步了解矿区及周边出露地层岩性、构造特征、矿体特征及矿产分布情况，编制详查实施方案。</w:t>
      </w:r>
    </w:p>
    <w:p w14:paraId="671C7C15">
      <w:pPr>
        <w:ind w:firstLine="562"/>
        <w:rPr>
          <w:b/>
          <w:kern w:val="0"/>
          <w:szCs w:val="28"/>
        </w:rPr>
      </w:pPr>
      <w:r>
        <w:rPr>
          <w:b/>
          <w:kern w:val="0"/>
          <w:szCs w:val="28"/>
        </w:rPr>
        <w:t>（2）第二阶段</w:t>
      </w:r>
    </w:p>
    <w:p w14:paraId="63674ED0">
      <w:pPr>
        <w:ind w:firstLine="560"/>
        <w:rPr>
          <w:szCs w:val="28"/>
        </w:rPr>
      </w:pPr>
      <w:bookmarkStart w:id="227" w:name="_Toc37714385"/>
      <w:bookmarkStart w:id="228" w:name="_Toc37344674"/>
      <w:bookmarkStart w:id="229" w:name="_Toc37714383"/>
      <w:r>
        <w:rPr>
          <w:szCs w:val="28"/>
        </w:rPr>
        <w:t>1）1:2000地形测量</w:t>
      </w:r>
      <w:bookmarkEnd w:id="227"/>
      <w:bookmarkEnd w:id="228"/>
    </w:p>
    <w:p w14:paraId="12F23E1F">
      <w:pPr>
        <w:ind w:firstLine="560"/>
        <w:rPr>
          <w:szCs w:val="28"/>
        </w:rPr>
      </w:pPr>
      <w:r>
        <w:rPr>
          <w:szCs w:val="28"/>
        </w:rPr>
        <w:t>测量面积包括整个矿区及外扩300m范围，面积约3.0km</w:t>
      </w:r>
      <w:r>
        <w:rPr>
          <w:szCs w:val="28"/>
          <w:vertAlign w:val="superscript"/>
        </w:rPr>
        <w:t>2</w:t>
      </w:r>
      <w:r>
        <w:rPr>
          <w:szCs w:val="28"/>
        </w:rPr>
        <w:t>，最终提交1:2000地形图。设计工作量3.0km</w:t>
      </w:r>
      <w:r>
        <w:rPr>
          <w:szCs w:val="28"/>
          <w:vertAlign w:val="superscript"/>
        </w:rPr>
        <w:t>2</w:t>
      </w:r>
      <w:r>
        <w:rPr>
          <w:szCs w:val="28"/>
        </w:rPr>
        <w:t>。</w:t>
      </w:r>
    </w:p>
    <w:bookmarkEnd w:id="229"/>
    <w:p w14:paraId="4B4C551D">
      <w:pPr>
        <w:ind w:firstLine="560"/>
        <w:rPr>
          <w:szCs w:val="28"/>
        </w:rPr>
      </w:pPr>
      <w:bookmarkStart w:id="230" w:name="_Toc37714387"/>
      <w:bookmarkStart w:id="231" w:name="_Toc37344677"/>
      <w:r>
        <w:rPr>
          <w:szCs w:val="28"/>
        </w:rPr>
        <w:t>2）1:2000地质</w:t>
      </w:r>
      <w:bookmarkEnd w:id="230"/>
      <w:bookmarkEnd w:id="231"/>
      <w:r>
        <w:rPr>
          <w:szCs w:val="28"/>
        </w:rPr>
        <w:t>测量</w:t>
      </w:r>
    </w:p>
    <w:p w14:paraId="390D8693">
      <w:pPr>
        <w:ind w:firstLine="560"/>
        <w:rPr>
          <w:spacing w:val="-2"/>
          <w:szCs w:val="28"/>
        </w:rPr>
      </w:pPr>
      <w:r>
        <w:rPr>
          <w:szCs w:val="28"/>
        </w:rPr>
        <w:t>测量面积包括整个矿区及外围，通过1:2000地质测量，</w:t>
      </w:r>
      <w:r>
        <w:rPr>
          <w:spacing w:val="-2"/>
          <w:szCs w:val="28"/>
        </w:rPr>
        <w:t>基本查明</w:t>
      </w:r>
      <w:r>
        <w:t>矿区</w:t>
      </w:r>
      <w:r>
        <w:rPr>
          <w:spacing w:val="-2"/>
          <w:szCs w:val="28"/>
        </w:rPr>
        <w:t>地质、构造特征及其对矿体的控制情况，以及主要矿体形态、产状、大小和矿石质量，基本确定矿体的连续性。</w:t>
      </w:r>
      <w:r>
        <w:rPr>
          <w:szCs w:val="28"/>
        </w:rPr>
        <w:t>设计工作量1.36km</w:t>
      </w:r>
      <w:r>
        <w:rPr>
          <w:szCs w:val="28"/>
          <w:vertAlign w:val="superscript"/>
        </w:rPr>
        <w:t>2</w:t>
      </w:r>
      <w:r>
        <w:rPr>
          <w:szCs w:val="28"/>
        </w:rPr>
        <w:t>。</w:t>
      </w:r>
    </w:p>
    <w:p w14:paraId="0C9DFCC9">
      <w:pPr>
        <w:ind w:firstLine="560"/>
        <w:rPr>
          <w:szCs w:val="28"/>
        </w:rPr>
      </w:pPr>
      <w:r>
        <w:rPr>
          <w:szCs w:val="28"/>
        </w:rPr>
        <w:t>3）开展水工环地质工作</w:t>
      </w:r>
    </w:p>
    <w:p w14:paraId="24F5A8D5">
      <w:pPr>
        <w:ind w:firstLine="560"/>
        <w:rPr>
          <w:color w:val="auto"/>
          <w:sz w:val="24"/>
          <w:szCs w:val="28"/>
        </w:rPr>
      </w:pPr>
      <w:r>
        <w:rPr>
          <w:szCs w:val="28"/>
        </w:rPr>
        <w:t>设计工作量1:50000区域水文地质调查</w:t>
      </w:r>
      <w:r>
        <w:rPr>
          <w:rFonts w:hint="eastAsia"/>
          <w:color w:val="0000FF"/>
          <w:szCs w:val="28"/>
          <w:lang w:val="en-US" w:eastAsia="zh-CN"/>
        </w:rPr>
        <w:t>80</w:t>
      </w:r>
      <w:r>
        <w:rPr>
          <w:color w:val="0000FF"/>
          <w:szCs w:val="28"/>
        </w:rPr>
        <w:t>km</w:t>
      </w:r>
      <w:r>
        <w:rPr>
          <w:color w:val="0000FF"/>
          <w:szCs w:val="28"/>
          <w:vertAlign w:val="superscript"/>
        </w:rPr>
        <w:t>2</w:t>
      </w:r>
      <w:r>
        <w:rPr>
          <w:szCs w:val="28"/>
        </w:rPr>
        <w:t>；</w:t>
      </w:r>
      <w:r>
        <w:rPr>
          <w:color w:val="auto"/>
          <w:szCs w:val="28"/>
        </w:rPr>
        <w:t>1:5000专项水文、工程、环境地质测量各8.0km</w:t>
      </w:r>
      <w:r>
        <w:rPr>
          <w:color w:val="auto"/>
          <w:szCs w:val="28"/>
          <w:vertAlign w:val="superscript"/>
        </w:rPr>
        <w:t>2</w:t>
      </w:r>
      <w:r>
        <w:rPr>
          <w:color w:val="auto"/>
          <w:szCs w:val="28"/>
        </w:rPr>
        <w:t>。</w:t>
      </w:r>
    </w:p>
    <w:p w14:paraId="5008D040">
      <w:pPr>
        <w:ind w:firstLine="560"/>
        <w:rPr>
          <w:color w:val="auto"/>
          <w:szCs w:val="28"/>
        </w:rPr>
      </w:pPr>
      <w:r>
        <w:rPr>
          <w:color w:val="auto"/>
          <w:szCs w:val="28"/>
        </w:rPr>
        <w:t>4）钻探工程</w:t>
      </w:r>
    </w:p>
    <w:p w14:paraId="7ACF5351">
      <w:pPr>
        <w:ind w:firstLine="560"/>
        <w:rPr>
          <w:szCs w:val="28"/>
          <w:lang w:val="zh-CN"/>
        </w:rPr>
      </w:pPr>
      <w:r>
        <w:rPr>
          <w:color w:val="auto"/>
          <w:szCs w:val="28"/>
          <w:lang w:val="zh-CN"/>
        </w:rPr>
        <w:t>在前期工作成果的基础上，</w:t>
      </w:r>
      <w:r>
        <w:rPr>
          <w:color w:val="auto"/>
          <w:szCs w:val="28"/>
        </w:rPr>
        <w:t>结合历史详查已完工钻孔，</w:t>
      </w:r>
      <w:r>
        <w:rPr>
          <w:color w:val="auto"/>
          <w:szCs w:val="28"/>
          <w:lang w:val="zh-CN"/>
        </w:rPr>
        <w:t>对矿体施工钻探工程，按控制的工程间距</w:t>
      </w:r>
      <w:r>
        <w:rPr>
          <w:color w:val="auto"/>
          <w:szCs w:val="28"/>
        </w:rPr>
        <w:t>400×400m</w:t>
      </w:r>
      <w:r>
        <w:rPr>
          <w:color w:val="auto"/>
          <w:szCs w:val="28"/>
          <w:lang w:val="zh-CN"/>
        </w:rPr>
        <w:t>，深部揭露到+</w:t>
      </w:r>
      <w:r>
        <w:rPr>
          <w:color w:val="auto"/>
          <w:szCs w:val="28"/>
        </w:rPr>
        <w:t>372</w:t>
      </w:r>
      <w:r>
        <w:rPr>
          <w:color w:val="auto"/>
          <w:szCs w:val="28"/>
          <w:lang w:val="zh-CN"/>
        </w:rPr>
        <w:t>m标高以</w:t>
      </w:r>
      <w:r>
        <w:rPr>
          <w:color w:val="auto"/>
          <w:szCs w:val="28"/>
        </w:rPr>
        <w:t>上</w:t>
      </w:r>
      <w:r>
        <w:rPr>
          <w:color w:val="auto"/>
          <w:szCs w:val="28"/>
          <w:lang w:val="zh-CN"/>
        </w:rPr>
        <w:t>的矿体</w:t>
      </w:r>
      <w:r>
        <w:rPr>
          <w:color w:val="auto"/>
          <w:szCs w:val="28"/>
        </w:rPr>
        <w:t>，设计钻孔9个，</w:t>
      </w:r>
      <w:r>
        <w:rPr>
          <w:bCs/>
          <w:color w:val="auto"/>
          <w:szCs w:val="28"/>
        </w:rPr>
        <w:t>钻孔均为直孔，采用φ110mm孔径开孔，以不小于φ75mm孔径钻进至终孔。</w:t>
      </w:r>
      <w:r>
        <w:rPr>
          <w:color w:val="0000FF"/>
          <w:szCs w:val="28"/>
        </w:rPr>
        <w:t>设计钻探工作量为1</w:t>
      </w:r>
      <w:r>
        <w:rPr>
          <w:rFonts w:hint="eastAsia"/>
          <w:color w:val="0000FF"/>
          <w:szCs w:val="28"/>
          <w:lang w:val="en-US" w:eastAsia="zh-CN"/>
        </w:rPr>
        <w:t>322</w:t>
      </w:r>
      <w:r>
        <w:rPr>
          <w:color w:val="0000FF"/>
          <w:szCs w:val="28"/>
        </w:rPr>
        <w:t>m。</w:t>
      </w:r>
      <w:r>
        <w:rPr>
          <w:szCs w:val="28"/>
        </w:rPr>
        <w:t>钻孔设计见表3-3</w:t>
      </w:r>
      <w:r>
        <w:rPr>
          <w:szCs w:val="28"/>
          <w:lang w:val="zh-CN"/>
        </w:rPr>
        <w:t>。</w:t>
      </w:r>
    </w:p>
    <w:p w14:paraId="16C74C70">
      <w:pPr>
        <w:autoSpaceDE w:val="0"/>
        <w:autoSpaceDN w:val="0"/>
        <w:spacing w:line="240" w:lineRule="auto"/>
        <w:ind w:firstLine="482"/>
        <w:jc w:val="center"/>
        <w:rPr>
          <w:b/>
          <w:bCs/>
          <w:sz w:val="24"/>
          <w:szCs w:val="24"/>
        </w:rPr>
      </w:pPr>
      <w:r>
        <w:rPr>
          <w:b/>
          <w:bCs/>
          <w:sz w:val="24"/>
          <w:szCs w:val="24"/>
        </w:rPr>
        <w:t>表3-1  矿区设计钻孔一览表</w:t>
      </w:r>
    </w:p>
    <w:tbl>
      <w:tblPr>
        <w:tblStyle w:val="32"/>
        <w:tblW w:w="50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1247"/>
        <w:gridCol w:w="1606"/>
        <w:gridCol w:w="1743"/>
        <w:gridCol w:w="1047"/>
        <w:gridCol w:w="795"/>
        <w:gridCol w:w="923"/>
        <w:gridCol w:w="963"/>
      </w:tblGrid>
      <w:tr w14:paraId="446F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blHeader/>
          <w:jc w:val="center"/>
        </w:trPr>
        <w:tc>
          <w:tcPr>
            <w:tcW w:w="546" w:type="pct"/>
            <w:vMerge w:val="restart"/>
            <w:vAlign w:val="center"/>
          </w:tcPr>
          <w:p w14:paraId="3EAEB19A">
            <w:pPr>
              <w:widowControl/>
              <w:spacing w:line="240" w:lineRule="auto"/>
              <w:ind w:firstLine="0" w:firstLineChars="0"/>
              <w:jc w:val="center"/>
              <w:rPr>
                <w:kern w:val="0"/>
                <w:sz w:val="24"/>
                <w:szCs w:val="24"/>
              </w:rPr>
            </w:pPr>
            <w:r>
              <w:rPr>
                <w:kern w:val="0"/>
                <w:sz w:val="24"/>
                <w:szCs w:val="24"/>
              </w:rPr>
              <w:t>勘探线编号</w:t>
            </w:r>
          </w:p>
        </w:tc>
        <w:tc>
          <w:tcPr>
            <w:tcW w:w="667" w:type="pct"/>
            <w:vMerge w:val="restart"/>
            <w:vAlign w:val="center"/>
          </w:tcPr>
          <w:p w14:paraId="42B4B5DF">
            <w:pPr>
              <w:widowControl/>
              <w:spacing w:line="240" w:lineRule="auto"/>
              <w:ind w:firstLine="0" w:firstLineChars="0"/>
              <w:jc w:val="center"/>
              <w:rPr>
                <w:kern w:val="0"/>
                <w:sz w:val="24"/>
                <w:szCs w:val="24"/>
              </w:rPr>
            </w:pPr>
            <w:r>
              <w:rPr>
                <w:kern w:val="0"/>
                <w:sz w:val="24"/>
                <w:szCs w:val="24"/>
              </w:rPr>
              <w:t>钻孔编号</w:t>
            </w:r>
          </w:p>
        </w:tc>
        <w:tc>
          <w:tcPr>
            <w:tcW w:w="1791" w:type="pct"/>
            <w:gridSpan w:val="2"/>
            <w:vAlign w:val="center"/>
          </w:tcPr>
          <w:p w14:paraId="0C11FDC4">
            <w:pPr>
              <w:spacing w:line="240" w:lineRule="auto"/>
              <w:ind w:firstLine="0" w:firstLineChars="0"/>
              <w:jc w:val="center"/>
              <w:rPr>
                <w:kern w:val="0"/>
                <w:sz w:val="24"/>
                <w:szCs w:val="24"/>
              </w:rPr>
            </w:pPr>
            <w:r>
              <w:rPr>
                <w:kern w:val="0"/>
                <w:sz w:val="24"/>
                <w:szCs w:val="24"/>
              </w:rPr>
              <w:t>2000国家大地坐标系</w:t>
            </w:r>
          </w:p>
        </w:tc>
        <w:tc>
          <w:tcPr>
            <w:tcW w:w="560" w:type="pct"/>
            <w:vMerge w:val="restart"/>
            <w:vAlign w:val="center"/>
          </w:tcPr>
          <w:p w14:paraId="6370F858">
            <w:pPr>
              <w:spacing w:line="240" w:lineRule="auto"/>
              <w:ind w:firstLine="0" w:firstLineChars="0"/>
              <w:jc w:val="center"/>
              <w:rPr>
                <w:kern w:val="0"/>
                <w:sz w:val="24"/>
                <w:szCs w:val="24"/>
              </w:rPr>
            </w:pPr>
            <w:r>
              <w:rPr>
                <w:kern w:val="0"/>
                <w:sz w:val="24"/>
                <w:szCs w:val="24"/>
              </w:rPr>
              <w:t>设计孔深(m)</w:t>
            </w:r>
          </w:p>
        </w:tc>
        <w:tc>
          <w:tcPr>
            <w:tcW w:w="425" w:type="pct"/>
            <w:vMerge w:val="restart"/>
            <w:vAlign w:val="center"/>
          </w:tcPr>
          <w:p w14:paraId="4B6A95BE">
            <w:pPr>
              <w:widowControl/>
              <w:spacing w:line="240" w:lineRule="auto"/>
              <w:ind w:firstLine="0" w:firstLineChars="0"/>
              <w:jc w:val="center"/>
              <w:rPr>
                <w:kern w:val="0"/>
                <w:sz w:val="24"/>
                <w:szCs w:val="24"/>
              </w:rPr>
            </w:pPr>
            <w:r>
              <w:rPr>
                <w:kern w:val="0"/>
                <w:sz w:val="24"/>
                <w:szCs w:val="24"/>
              </w:rPr>
              <w:t>钻孔性质</w:t>
            </w:r>
          </w:p>
        </w:tc>
        <w:tc>
          <w:tcPr>
            <w:tcW w:w="493" w:type="pct"/>
            <w:vMerge w:val="restart"/>
            <w:vAlign w:val="center"/>
          </w:tcPr>
          <w:p w14:paraId="1E1C8534">
            <w:pPr>
              <w:widowControl/>
              <w:spacing w:line="240" w:lineRule="auto"/>
              <w:ind w:firstLine="0" w:firstLineChars="0"/>
              <w:jc w:val="center"/>
              <w:rPr>
                <w:kern w:val="0"/>
                <w:sz w:val="24"/>
                <w:szCs w:val="24"/>
              </w:rPr>
            </w:pPr>
            <w:r>
              <w:rPr>
                <w:kern w:val="0"/>
                <w:sz w:val="24"/>
                <w:szCs w:val="24"/>
              </w:rPr>
              <w:t>施工</w:t>
            </w:r>
          </w:p>
          <w:p w14:paraId="1BC92D01">
            <w:pPr>
              <w:widowControl/>
              <w:spacing w:line="240" w:lineRule="auto"/>
              <w:ind w:firstLine="0" w:firstLineChars="0"/>
              <w:jc w:val="center"/>
              <w:rPr>
                <w:kern w:val="0"/>
                <w:sz w:val="24"/>
                <w:szCs w:val="24"/>
              </w:rPr>
            </w:pPr>
            <w:r>
              <w:rPr>
                <w:kern w:val="0"/>
                <w:sz w:val="24"/>
                <w:szCs w:val="24"/>
              </w:rPr>
              <w:t>次序</w:t>
            </w:r>
          </w:p>
        </w:tc>
        <w:tc>
          <w:tcPr>
            <w:tcW w:w="515" w:type="pct"/>
            <w:vMerge w:val="restart"/>
            <w:vAlign w:val="center"/>
          </w:tcPr>
          <w:p w14:paraId="30536008">
            <w:pPr>
              <w:widowControl/>
              <w:spacing w:line="240" w:lineRule="auto"/>
              <w:ind w:firstLine="0" w:firstLineChars="0"/>
              <w:jc w:val="center"/>
              <w:rPr>
                <w:kern w:val="0"/>
                <w:sz w:val="24"/>
                <w:szCs w:val="24"/>
              </w:rPr>
            </w:pPr>
            <w:r>
              <w:rPr>
                <w:kern w:val="0"/>
                <w:sz w:val="24"/>
                <w:szCs w:val="24"/>
              </w:rPr>
              <w:t>备注</w:t>
            </w:r>
          </w:p>
        </w:tc>
      </w:tr>
      <w:tr w14:paraId="5841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blHeader/>
          <w:jc w:val="center"/>
        </w:trPr>
        <w:tc>
          <w:tcPr>
            <w:tcW w:w="546" w:type="pct"/>
            <w:vMerge w:val="continue"/>
            <w:vAlign w:val="center"/>
          </w:tcPr>
          <w:p w14:paraId="6FBA67C8">
            <w:pPr>
              <w:widowControl/>
              <w:spacing w:line="240" w:lineRule="auto"/>
              <w:ind w:firstLine="0" w:firstLineChars="0"/>
              <w:jc w:val="center"/>
              <w:rPr>
                <w:kern w:val="0"/>
                <w:sz w:val="24"/>
                <w:szCs w:val="24"/>
              </w:rPr>
            </w:pPr>
          </w:p>
        </w:tc>
        <w:tc>
          <w:tcPr>
            <w:tcW w:w="667" w:type="pct"/>
            <w:vMerge w:val="continue"/>
            <w:vAlign w:val="center"/>
          </w:tcPr>
          <w:p w14:paraId="07F7EC14">
            <w:pPr>
              <w:widowControl/>
              <w:spacing w:line="240" w:lineRule="auto"/>
              <w:ind w:firstLine="0" w:firstLineChars="0"/>
              <w:jc w:val="center"/>
              <w:rPr>
                <w:kern w:val="0"/>
                <w:sz w:val="24"/>
                <w:szCs w:val="24"/>
              </w:rPr>
            </w:pPr>
          </w:p>
        </w:tc>
        <w:tc>
          <w:tcPr>
            <w:tcW w:w="859" w:type="pct"/>
            <w:vAlign w:val="center"/>
          </w:tcPr>
          <w:p w14:paraId="22739F8B">
            <w:pPr>
              <w:spacing w:line="240" w:lineRule="auto"/>
              <w:ind w:firstLine="0" w:firstLineChars="0"/>
              <w:jc w:val="center"/>
              <w:rPr>
                <w:kern w:val="0"/>
                <w:sz w:val="24"/>
                <w:szCs w:val="24"/>
              </w:rPr>
            </w:pPr>
            <w:r>
              <w:rPr>
                <w:kern w:val="0"/>
                <w:sz w:val="24"/>
                <w:szCs w:val="24"/>
              </w:rPr>
              <w:t>X</w:t>
            </w:r>
          </w:p>
        </w:tc>
        <w:tc>
          <w:tcPr>
            <w:tcW w:w="932" w:type="pct"/>
            <w:vAlign w:val="center"/>
          </w:tcPr>
          <w:p w14:paraId="1A4C5D85">
            <w:pPr>
              <w:spacing w:line="240" w:lineRule="auto"/>
              <w:ind w:firstLine="0" w:firstLineChars="0"/>
              <w:jc w:val="center"/>
              <w:rPr>
                <w:kern w:val="0"/>
                <w:sz w:val="24"/>
                <w:szCs w:val="24"/>
              </w:rPr>
            </w:pPr>
            <w:r>
              <w:rPr>
                <w:kern w:val="0"/>
                <w:sz w:val="24"/>
                <w:szCs w:val="24"/>
              </w:rPr>
              <w:t>Y</w:t>
            </w:r>
          </w:p>
        </w:tc>
        <w:tc>
          <w:tcPr>
            <w:tcW w:w="560" w:type="pct"/>
            <w:vMerge w:val="continue"/>
            <w:vAlign w:val="center"/>
          </w:tcPr>
          <w:p w14:paraId="0D13BF47">
            <w:pPr>
              <w:spacing w:line="240" w:lineRule="auto"/>
              <w:ind w:firstLine="0" w:firstLineChars="0"/>
              <w:jc w:val="center"/>
              <w:rPr>
                <w:kern w:val="0"/>
                <w:sz w:val="24"/>
                <w:szCs w:val="24"/>
              </w:rPr>
            </w:pPr>
          </w:p>
        </w:tc>
        <w:tc>
          <w:tcPr>
            <w:tcW w:w="425" w:type="pct"/>
            <w:vMerge w:val="continue"/>
            <w:vAlign w:val="center"/>
          </w:tcPr>
          <w:p w14:paraId="443B7E24">
            <w:pPr>
              <w:widowControl/>
              <w:spacing w:line="240" w:lineRule="auto"/>
              <w:ind w:firstLine="0" w:firstLineChars="0"/>
              <w:jc w:val="center"/>
              <w:rPr>
                <w:kern w:val="0"/>
                <w:sz w:val="24"/>
                <w:szCs w:val="24"/>
              </w:rPr>
            </w:pPr>
          </w:p>
        </w:tc>
        <w:tc>
          <w:tcPr>
            <w:tcW w:w="493" w:type="pct"/>
            <w:vMerge w:val="continue"/>
            <w:vAlign w:val="center"/>
          </w:tcPr>
          <w:p w14:paraId="5E95CC05">
            <w:pPr>
              <w:widowControl/>
              <w:spacing w:line="240" w:lineRule="auto"/>
              <w:ind w:firstLine="0" w:firstLineChars="0"/>
              <w:jc w:val="center"/>
              <w:rPr>
                <w:kern w:val="0"/>
                <w:sz w:val="24"/>
                <w:szCs w:val="24"/>
              </w:rPr>
            </w:pPr>
          </w:p>
        </w:tc>
        <w:tc>
          <w:tcPr>
            <w:tcW w:w="515" w:type="pct"/>
            <w:vMerge w:val="continue"/>
            <w:vAlign w:val="center"/>
          </w:tcPr>
          <w:p w14:paraId="307AE52D">
            <w:pPr>
              <w:widowControl/>
              <w:spacing w:line="240" w:lineRule="auto"/>
              <w:ind w:firstLine="0" w:firstLineChars="0"/>
              <w:jc w:val="center"/>
              <w:rPr>
                <w:kern w:val="0"/>
                <w:sz w:val="24"/>
                <w:szCs w:val="24"/>
              </w:rPr>
            </w:pPr>
          </w:p>
        </w:tc>
      </w:tr>
      <w:tr w14:paraId="086B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546" w:type="pct"/>
            <w:vMerge w:val="restart"/>
            <w:shd w:val="clear" w:color="auto" w:fill="auto"/>
            <w:vAlign w:val="center"/>
          </w:tcPr>
          <w:p w14:paraId="4314D89A">
            <w:pPr>
              <w:spacing w:line="240" w:lineRule="auto"/>
              <w:ind w:firstLine="0" w:firstLineChars="0"/>
              <w:jc w:val="center"/>
              <w:rPr>
                <w:rFonts w:hint="eastAsia" w:eastAsia="仿宋"/>
                <w:kern w:val="0"/>
                <w:sz w:val="24"/>
                <w:szCs w:val="24"/>
                <w:lang w:val="en-US" w:eastAsia="zh-CN"/>
              </w:rPr>
            </w:pPr>
            <w:r>
              <w:rPr>
                <w:rFonts w:hint="eastAsia"/>
                <w:kern w:val="0"/>
                <w:sz w:val="24"/>
                <w:szCs w:val="24"/>
                <w:lang w:val="en-US" w:eastAsia="zh-CN"/>
              </w:rPr>
              <w:t>1</w:t>
            </w:r>
          </w:p>
        </w:tc>
        <w:tc>
          <w:tcPr>
            <w:tcW w:w="667" w:type="pct"/>
            <w:shd w:val="clear" w:color="auto" w:fill="auto"/>
            <w:vAlign w:val="center"/>
          </w:tcPr>
          <w:p w14:paraId="6BBA5D12">
            <w:pPr>
              <w:widowControl/>
              <w:spacing w:line="240" w:lineRule="auto"/>
              <w:ind w:firstLine="0" w:firstLineChars="0"/>
              <w:jc w:val="center"/>
              <w:rPr>
                <w:rFonts w:hint="eastAsia" w:ascii="Times New Roman" w:hAnsi="Times New Roman" w:eastAsia="仿宋" w:cs="Times New Roman"/>
                <w:kern w:val="0"/>
                <w:sz w:val="24"/>
                <w:szCs w:val="24"/>
                <w:lang w:val="en-US" w:eastAsia="zh-CN" w:bidi="ar-SA"/>
              </w:rPr>
            </w:pPr>
            <w:r>
              <w:rPr>
                <w:kern w:val="0"/>
                <w:sz w:val="24"/>
                <w:szCs w:val="24"/>
              </w:rPr>
              <w:t>ZK</w:t>
            </w:r>
            <w:r>
              <w:rPr>
                <w:rFonts w:hint="eastAsia"/>
                <w:kern w:val="0"/>
                <w:sz w:val="24"/>
                <w:szCs w:val="24"/>
                <w:lang w:val="en-US" w:eastAsia="zh-CN"/>
              </w:rPr>
              <w:t>1</w:t>
            </w:r>
            <w:r>
              <w:rPr>
                <w:kern w:val="0"/>
                <w:sz w:val="24"/>
                <w:szCs w:val="24"/>
              </w:rPr>
              <w:t>0</w:t>
            </w:r>
            <w:r>
              <w:rPr>
                <w:rFonts w:hint="eastAsia"/>
                <w:kern w:val="0"/>
                <w:sz w:val="24"/>
                <w:szCs w:val="24"/>
                <w:lang w:val="en-US" w:eastAsia="zh-CN"/>
              </w:rPr>
              <w:t>4</w:t>
            </w:r>
          </w:p>
        </w:tc>
        <w:tc>
          <w:tcPr>
            <w:tcW w:w="859" w:type="pct"/>
            <w:shd w:val="clear" w:color="auto" w:fill="auto"/>
            <w:vAlign w:val="center"/>
          </w:tcPr>
          <w:p w14:paraId="6D39447B">
            <w:pPr>
              <w:spacing w:line="240" w:lineRule="auto"/>
              <w:ind w:firstLine="0" w:firstLineChars="0"/>
              <w:jc w:val="center"/>
              <w:rPr>
                <w:rFonts w:ascii="Times New Roman" w:hAnsi="Times New Roman" w:eastAsia="仿宋" w:cs="Times New Roman"/>
                <w:kern w:val="0"/>
                <w:sz w:val="24"/>
                <w:szCs w:val="24"/>
                <w:lang w:val="en-US" w:eastAsia="zh-CN" w:bidi="ar-SA"/>
              </w:rPr>
            </w:pPr>
            <w:r>
              <w:rPr>
                <w:kern w:val="0"/>
                <w:sz w:val="24"/>
                <w:szCs w:val="24"/>
              </w:rPr>
              <w:t>2454609.05</w:t>
            </w:r>
          </w:p>
        </w:tc>
        <w:tc>
          <w:tcPr>
            <w:tcW w:w="932" w:type="pct"/>
            <w:shd w:val="clear" w:color="auto" w:fill="auto"/>
            <w:vAlign w:val="center"/>
          </w:tcPr>
          <w:p w14:paraId="5827EF10">
            <w:pPr>
              <w:spacing w:line="240" w:lineRule="auto"/>
              <w:ind w:firstLine="0" w:firstLineChars="0"/>
              <w:jc w:val="center"/>
              <w:rPr>
                <w:rFonts w:ascii="Times New Roman" w:hAnsi="Times New Roman" w:eastAsia="仿宋" w:cs="Times New Roman"/>
                <w:kern w:val="0"/>
                <w:sz w:val="24"/>
                <w:szCs w:val="24"/>
                <w:lang w:val="en-US" w:eastAsia="zh-CN" w:bidi="ar-SA"/>
              </w:rPr>
            </w:pPr>
            <w:r>
              <w:rPr>
                <w:kern w:val="0"/>
                <w:sz w:val="24"/>
                <w:szCs w:val="24"/>
              </w:rPr>
              <w:t>36492271.82</w:t>
            </w:r>
          </w:p>
        </w:tc>
        <w:tc>
          <w:tcPr>
            <w:tcW w:w="560" w:type="pct"/>
            <w:shd w:val="clear" w:color="auto" w:fill="auto"/>
            <w:vAlign w:val="center"/>
          </w:tcPr>
          <w:p w14:paraId="7AB5C69C">
            <w:pPr>
              <w:spacing w:line="240" w:lineRule="auto"/>
              <w:ind w:firstLine="0" w:firstLineChars="0"/>
              <w:jc w:val="center"/>
              <w:rPr>
                <w:rFonts w:ascii="Times New Roman" w:hAnsi="Times New Roman" w:eastAsia="仿宋" w:cs="Times New Roman"/>
                <w:kern w:val="0"/>
                <w:sz w:val="24"/>
                <w:szCs w:val="24"/>
                <w:lang w:val="en-US" w:eastAsia="zh-CN" w:bidi="ar-SA"/>
              </w:rPr>
            </w:pPr>
            <w:r>
              <w:rPr>
                <w:kern w:val="0"/>
                <w:sz w:val="24"/>
                <w:szCs w:val="24"/>
              </w:rPr>
              <w:t>127</w:t>
            </w:r>
          </w:p>
        </w:tc>
        <w:tc>
          <w:tcPr>
            <w:tcW w:w="425" w:type="pct"/>
            <w:shd w:val="clear" w:color="auto" w:fill="auto"/>
            <w:vAlign w:val="center"/>
          </w:tcPr>
          <w:p w14:paraId="33E7411A">
            <w:pPr>
              <w:spacing w:line="240" w:lineRule="auto"/>
              <w:ind w:firstLine="0" w:firstLineChars="0"/>
              <w:jc w:val="center"/>
              <w:rPr>
                <w:rFonts w:ascii="Times New Roman" w:hAnsi="Times New Roman" w:eastAsia="仿宋" w:cs="Times New Roman"/>
                <w:kern w:val="2"/>
                <w:sz w:val="24"/>
                <w:szCs w:val="24"/>
                <w:lang w:val="en-US" w:eastAsia="zh-CN" w:bidi="ar-SA"/>
              </w:rPr>
            </w:pPr>
            <w:r>
              <w:rPr>
                <w:kern w:val="0"/>
                <w:sz w:val="24"/>
                <w:szCs w:val="24"/>
              </w:rPr>
              <w:t>直孔</w:t>
            </w:r>
          </w:p>
        </w:tc>
        <w:tc>
          <w:tcPr>
            <w:tcW w:w="493" w:type="pct"/>
            <w:shd w:val="clear" w:color="auto" w:fill="auto"/>
            <w:vAlign w:val="center"/>
          </w:tcPr>
          <w:p w14:paraId="41D9B846">
            <w:pPr>
              <w:widowControl/>
              <w:spacing w:line="240" w:lineRule="auto"/>
              <w:ind w:firstLine="0" w:firstLineChars="0"/>
              <w:jc w:val="center"/>
              <w:rPr>
                <w:rFonts w:ascii="Times New Roman" w:hAnsi="Times New Roman" w:eastAsia="仿宋" w:cs="Times New Roman"/>
                <w:kern w:val="0"/>
                <w:sz w:val="24"/>
                <w:szCs w:val="24"/>
                <w:lang w:val="en-US" w:eastAsia="zh-CN" w:bidi="ar-SA"/>
              </w:rPr>
            </w:pPr>
            <w:r>
              <w:rPr>
                <w:kern w:val="0"/>
                <w:sz w:val="24"/>
                <w:szCs w:val="24"/>
              </w:rPr>
              <w:t>3</w:t>
            </w:r>
          </w:p>
        </w:tc>
        <w:tc>
          <w:tcPr>
            <w:tcW w:w="515" w:type="pct"/>
            <w:shd w:val="clear" w:color="auto" w:fill="auto"/>
            <w:vAlign w:val="center"/>
          </w:tcPr>
          <w:p w14:paraId="5074D3AE">
            <w:pPr>
              <w:widowControl/>
              <w:spacing w:line="240" w:lineRule="auto"/>
              <w:ind w:firstLine="0" w:firstLineChars="0"/>
              <w:jc w:val="center"/>
              <w:rPr>
                <w:rFonts w:ascii="Times New Roman" w:hAnsi="Times New Roman" w:eastAsia="仿宋" w:cs="Times New Roman"/>
                <w:kern w:val="0"/>
                <w:sz w:val="24"/>
                <w:szCs w:val="24"/>
                <w:lang w:val="en-US" w:eastAsia="zh-CN" w:bidi="ar-SA"/>
              </w:rPr>
            </w:pPr>
          </w:p>
        </w:tc>
      </w:tr>
      <w:tr w14:paraId="1296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546" w:type="pct"/>
            <w:vMerge w:val="continue"/>
            <w:vAlign w:val="center"/>
          </w:tcPr>
          <w:p w14:paraId="40719E2D">
            <w:pPr>
              <w:widowControl/>
              <w:spacing w:line="240" w:lineRule="auto"/>
              <w:ind w:firstLine="0" w:firstLineChars="0"/>
              <w:jc w:val="center"/>
              <w:rPr>
                <w:kern w:val="0"/>
                <w:sz w:val="24"/>
                <w:szCs w:val="24"/>
              </w:rPr>
            </w:pPr>
          </w:p>
        </w:tc>
        <w:tc>
          <w:tcPr>
            <w:tcW w:w="667" w:type="pct"/>
            <w:shd w:val="clear" w:color="auto" w:fill="auto"/>
            <w:vAlign w:val="center"/>
          </w:tcPr>
          <w:p w14:paraId="1609DB35">
            <w:pPr>
              <w:widowControl/>
              <w:spacing w:line="240" w:lineRule="auto"/>
              <w:ind w:firstLine="0" w:firstLineChars="0"/>
              <w:jc w:val="center"/>
              <w:rPr>
                <w:rFonts w:hint="default" w:ascii="Times New Roman" w:hAnsi="Times New Roman" w:eastAsia="仿宋" w:cs="Times New Roman"/>
                <w:kern w:val="0"/>
                <w:sz w:val="24"/>
                <w:szCs w:val="24"/>
                <w:lang w:val="en-US" w:eastAsia="zh-CN" w:bidi="ar-SA"/>
              </w:rPr>
            </w:pPr>
            <w:r>
              <w:rPr>
                <w:kern w:val="0"/>
                <w:sz w:val="24"/>
                <w:szCs w:val="24"/>
              </w:rPr>
              <w:t>ZK</w:t>
            </w:r>
            <w:r>
              <w:rPr>
                <w:rFonts w:hint="eastAsia"/>
                <w:kern w:val="0"/>
                <w:sz w:val="24"/>
                <w:szCs w:val="24"/>
                <w:lang w:val="en-US" w:eastAsia="zh-CN"/>
              </w:rPr>
              <w:t>106</w:t>
            </w:r>
          </w:p>
        </w:tc>
        <w:tc>
          <w:tcPr>
            <w:tcW w:w="859" w:type="pct"/>
            <w:shd w:val="clear" w:color="auto" w:fill="auto"/>
            <w:vAlign w:val="center"/>
          </w:tcPr>
          <w:p w14:paraId="780B1A34">
            <w:pPr>
              <w:widowControl/>
              <w:spacing w:line="240" w:lineRule="auto"/>
              <w:ind w:firstLine="0" w:firstLineChars="0"/>
              <w:jc w:val="center"/>
              <w:rPr>
                <w:rFonts w:ascii="Times New Roman" w:hAnsi="Times New Roman" w:eastAsia="仿宋" w:cs="Times New Roman"/>
                <w:kern w:val="0"/>
                <w:sz w:val="24"/>
                <w:szCs w:val="24"/>
                <w:lang w:val="en-US" w:eastAsia="zh-CN" w:bidi="ar-SA"/>
              </w:rPr>
            </w:pPr>
            <w:r>
              <w:rPr>
                <w:kern w:val="0"/>
                <w:sz w:val="24"/>
                <w:szCs w:val="24"/>
              </w:rPr>
              <w:t>2454272.26</w:t>
            </w:r>
          </w:p>
        </w:tc>
        <w:tc>
          <w:tcPr>
            <w:tcW w:w="932" w:type="pct"/>
            <w:shd w:val="clear" w:color="auto" w:fill="auto"/>
            <w:vAlign w:val="center"/>
          </w:tcPr>
          <w:p w14:paraId="012E492F">
            <w:pPr>
              <w:widowControl/>
              <w:spacing w:line="240" w:lineRule="auto"/>
              <w:ind w:firstLine="0" w:firstLineChars="0"/>
              <w:jc w:val="center"/>
              <w:rPr>
                <w:rFonts w:ascii="Times New Roman" w:hAnsi="Times New Roman" w:eastAsia="仿宋" w:cs="Times New Roman"/>
                <w:kern w:val="0"/>
                <w:sz w:val="24"/>
                <w:szCs w:val="24"/>
                <w:lang w:val="en-US" w:eastAsia="zh-CN" w:bidi="ar-SA"/>
              </w:rPr>
            </w:pPr>
            <w:r>
              <w:rPr>
                <w:kern w:val="0"/>
                <w:sz w:val="24"/>
                <w:szCs w:val="24"/>
              </w:rPr>
              <w:t>36492389.30</w:t>
            </w:r>
          </w:p>
        </w:tc>
        <w:tc>
          <w:tcPr>
            <w:tcW w:w="560" w:type="pct"/>
            <w:shd w:val="clear" w:color="auto" w:fill="auto"/>
            <w:vAlign w:val="center"/>
          </w:tcPr>
          <w:p w14:paraId="775348BE">
            <w:pPr>
              <w:spacing w:line="240" w:lineRule="auto"/>
              <w:ind w:firstLine="0" w:firstLineChars="0"/>
              <w:jc w:val="center"/>
              <w:rPr>
                <w:rFonts w:ascii="Times New Roman" w:hAnsi="Times New Roman" w:eastAsia="仿宋" w:cs="Times New Roman"/>
                <w:kern w:val="0"/>
                <w:sz w:val="24"/>
                <w:szCs w:val="24"/>
                <w:lang w:val="en-US" w:eastAsia="zh-CN" w:bidi="ar-SA"/>
              </w:rPr>
            </w:pPr>
            <w:r>
              <w:rPr>
                <w:kern w:val="0"/>
                <w:sz w:val="24"/>
                <w:szCs w:val="24"/>
              </w:rPr>
              <w:t>36</w:t>
            </w:r>
          </w:p>
        </w:tc>
        <w:tc>
          <w:tcPr>
            <w:tcW w:w="425" w:type="pct"/>
            <w:shd w:val="clear" w:color="auto" w:fill="auto"/>
            <w:vAlign w:val="center"/>
          </w:tcPr>
          <w:p w14:paraId="40A806AD">
            <w:pPr>
              <w:spacing w:line="240" w:lineRule="auto"/>
              <w:ind w:firstLine="0" w:firstLineChars="0"/>
              <w:jc w:val="center"/>
              <w:rPr>
                <w:rFonts w:ascii="Times New Roman" w:hAnsi="Times New Roman" w:eastAsia="仿宋" w:cs="Times New Roman"/>
                <w:kern w:val="2"/>
                <w:sz w:val="24"/>
                <w:szCs w:val="24"/>
                <w:lang w:val="en-US" w:eastAsia="zh-CN" w:bidi="ar-SA"/>
              </w:rPr>
            </w:pPr>
            <w:r>
              <w:rPr>
                <w:kern w:val="0"/>
                <w:sz w:val="24"/>
                <w:szCs w:val="24"/>
              </w:rPr>
              <w:t>直孔</w:t>
            </w:r>
          </w:p>
        </w:tc>
        <w:tc>
          <w:tcPr>
            <w:tcW w:w="493" w:type="pct"/>
            <w:shd w:val="clear" w:color="auto" w:fill="auto"/>
            <w:vAlign w:val="center"/>
          </w:tcPr>
          <w:p w14:paraId="23C7FE85">
            <w:pPr>
              <w:widowControl/>
              <w:spacing w:line="240" w:lineRule="auto"/>
              <w:ind w:firstLine="0" w:firstLineChars="0"/>
              <w:jc w:val="center"/>
              <w:rPr>
                <w:rFonts w:ascii="Times New Roman" w:hAnsi="Times New Roman" w:eastAsia="仿宋" w:cs="Times New Roman"/>
                <w:kern w:val="0"/>
                <w:sz w:val="24"/>
                <w:szCs w:val="24"/>
                <w:lang w:val="en-US" w:eastAsia="zh-CN" w:bidi="ar-SA"/>
              </w:rPr>
            </w:pPr>
            <w:r>
              <w:rPr>
                <w:kern w:val="0"/>
                <w:sz w:val="24"/>
                <w:szCs w:val="24"/>
              </w:rPr>
              <w:t>8</w:t>
            </w:r>
          </w:p>
        </w:tc>
        <w:tc>
          <w:tcPr>
            <w:tcW w:w="515" w:type="pct"/>
            <w:shd w:val="clear" w:color="auto" w:fill="auto"/>
            <w:vAlign w:val="center"/>
          </w:tcPr>
          <w:p w14:paraId="6472EB2E">
            <w:pPr>
              <w:widowControl/>
              <w:spacing w:line="240" w:lineRule="auto"/>
              <w:ind w:firstLine="0" w:firstLineChars="0"/>
              <w:jc w:val="center"/>
              <w:rPr>
                <w:rFonts w:ascii="Times New Roman" w:hAnsi="Times New Roman" w:eastAsia="仿宋" w:cs="Times New Roman"/>
                <w:kern w:val="0"/>
                <w:sz w:val="24"/>
                <w:szCs w:val="24"/>
                <w:lang w:val="en-US" w:eastAsia="zh-CN" w:bidi="ar-SA"/>
              </w:rPr>
            </w:pPr>
          </w:p>
        </w:tc>
      </w:tr>
      <w:tr w14:paraId="412D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546" w:type="pct"/>
            <w:vMerge w:val="restart"/>
            <w:vAlign w:val="center"/>
          </w:tcPr>
          <w:p w14:paraId="3195EDF2">
            <w:pPr>
              <w:widowControl/>
              <w:spacing w:line="240" w:lineRule="auto"/>
              <w:ind w:firstLine="0" w:firstLineChars="0"/>
              <w:jc w:val="center"/>
              <w:rPr>
                <w:rFonts w:hint="default" w:eastAsia="仿宋"/>
                <w:kern w:val="0"/>
                <w:sz w:val="24"/>
                <w:szCs w:val="24"/>
                <w:lang w:val="en-US" w:eastAsia="zh-CN"/>
              </w:rPr>
            </w:pPr>
            <w:r>
              <w:rPr>
                <w:rFonts w:hint="eastAsia"/>
                <w:kern w:val="0"/>
                <w:sz w:val="24"/>
                <w:szCs w:val="24"/>
                <w:lang w:val="en-US" w:eastAsia="zh-CN"/>
              </w:rPr>
              <w:t>3</w:t>
            </w:r>
          </w:p>
        </w:tc>
        <w:tc>
          <w:tcPr>
            <w:tcW w:w="667" w:type="pct"/>
            <w:vAlign w:val="center"/>
          </w:tcPr>
          <w:p w14:paraId="1672E35B">
            <w:pPr>
              <w:widowControl/>
              <w:spacing w:line="240" w:lineRule="auto"/>
              <w:ind w:firstLine="0" w:firstLineChars="0"/>
              <w:jc w:val="center"/>
              <w:rPr>
                <w:rFonts w:hint="default" w:eastAsia="仿宋"/>
                <w:kern w:val="0"/>
                <w:sz w:val="24"/>
                <w:szCs w:val="24"/>
                <w:lang w:val="en-US" w:eastAsia="zh-CN"/>
              </w:rPr>
            </w:pPr>
            <w:r>
              <w:rPr>
                <w:kern w:val="0"/>
                <w:sz w:val="24"/>
                <w:szCs w:val="24"/>
              </w:rPr>
              <w:t>ZK</w:t>
            </w:r>
            <w:r>
              <w:rPr>
                <w:rFonts w:hint="eastAsia"/>
                <w:kern w:val="0"/>
                <w:sz w:val="24"/>
                <w:szCs w:val="24"/>
                <w:lang w:val="en-US" w:eastAsia="zh-CN"/>
              </w:rPr>
              <w:t>306</w:t>
            </w:r>
          </w:p>
        </w:tc>
        <w:tc>
          <w:tcPr>
            <w:tcW w:w="859" w:type="pct"/>
            <w:vAlign w:val="center"/>
          </w:tcPr>
          <w:p w14:paraId="67BEB991">
            <w:pPr>
              <w:spacing w:line="240" w:lineRule="auto"/>
              <w:ind w:firstLine="0" w:firstLineChars="0"/>
              <w:jc w:val="center"/>
              <w:rPr>
                <w:kern w:val="0"/>
                <w:sz w:val="24"/>
                <w:szCs w:val="24"/>
              </w:rPr>
            </w:pPr>
            <w:r>
              <w:rPr>
                <w:kern w:val="0"/>
                <w:sz w:val="24"/>
                <w:szCs w:val="24"/>
              </w:rPr>
              <w:t>2454421.82</w:t>
            </w:r>
          </w:p>
        </w:tc>
        <w:tc>
          <w:tcPr>
            <w:tcW w:w="932" w:type="pct"/>
            <w:vAlign w:val="center"/>
          </w:tcPr>
          <w:p w14:paraId="4C44D826">
            <w:pPr>
              <w:spacing w:line="240" w:lineRule="auto"/>
              <w:ind w:firstLine="0" w:firstLineChars="0"/>
              <w:jc w:val="center"/>
              <w:rPr>
                <w:kern w:val="0"/>
                <w:sz w:val="24"/>
                <w:szCs w:val="24"/>
              </w:rPr>
            </w:pPr>
            <w:r>
              <w:rPr>
                <w:kern w:val="0"/>
                <w:sz w:val="24"/>
                <w:szCs w:val="24"/>
              </w:rPr>
              <w:t>36491913.18</w:t>
            </w:r>
          </w:p>
        </w:tc>
        <w:tc>
          <w:tcPr>
            <w:tcW w:w="560" w:type="pct"/>
            <w:vAlign w:val="center"/>
          </w:tcPr>
          <w:p w14:paraId="65E17581">
            <w:pPr>
              <w:spacing w:line="240" w:lineRule="auto"/>
              <w:ind w:firstLine="0" w:firstLineChars="0"/>
              <w:jc w:val="center"/>
              <w:rPr>
                <w:kern w:val="0"/>
                <w:sz w:val="24"/>
                <w:szCs w:val="24"/>
              </w:rPr>
            </w:pPr>
            <w:r>
              <w:rPr>
                <w:kern w:val="0"/>
                <w:sz w:val="24"/>
                <w:szCs w:val="24"/>
              </w:rPr>
              <w:t>214</w:t>
            </w:r>
          </w:p>
        </w:tc>
        <w:tc>
          <w:tcPr>
            <w:tcW w:w="425" w:type="pct"/>
            <w:vAlign w:val="center"/>
          </w:tcPr>
          <w:p w14:paraId="361D8506">
            <w:pPr>
              <w:widowControl/>
              <w:spacing w:line="240" w:lineRule="auto"/>
              <w:ind w:firstLine="0" w:firstLineChars="0"/>
              <w:jc w:val="center"/>
              <w:rPr>
                <w:kern w:val="0"/>
                <w:sz w:val="24"/>
                <w:szCs w:val="24"/>
              </w:rPr>
            </w:pPr>
            <w:r>
              <w:rPr>
                <w:kern w:val="0"/>
                <w:sz w:val="24"/>
                <w:szCs w:val="24"/>
              </w:rPr>
              <w:t>直孔</w:t>
            </w:r>
          </w:p>
        </w:tc>
        <w:tc>
          <w:tcPr>
            <w:tcW w:w="493" w:type="pct"/>
            <w:vAlign w:val="center"/>
          </w:tcPr>
          <w:p w14:paraId="4F27F08E">
            <w:pPr>
              <w:widowControl/>
              <w:spacing w:line="240" w:lineRule="auto"/>
              <w:ind w:firstLine="0" w:firstLineChars="0"/>
              <w:jc w:val="center"/>
              <w:rPr>
                <w:kern w:val="0"/>
                <w:sz w:val="24"/>
                <w:szCs w:val="24"/>
              </w:rPr>
            </w:pPr>
            <w:r>
              <w:rPr>
                <w:kern w:val="0"/>
                <w:sz w:val="24"/>
                <w:szCs w:val="24"/>
              </w:rPr>
              <w:t>1</w:t>
            </w:r>
          </w:p>
        </w:tc>
        <w:tc>
          <w:tcPr>
            <w:tcW w:w="515" w:type="pct"/>
            <w:vAlign w:val="center"/>
          </w:tcPr>
          <w:p w14:paraId="7389EB02">
            <w:pPr>
              <w:widowControl/>
              <w:spacing w:line="240" w:lineRule="auto"/>
              <w:ind w:firstLine="0" w:firstLineChars="0"/>
              <w:jc w:val="center"/>
              <w:rPr>
                <w:rFonts w:hint="default" w:eastAsia="仿宋"/>
                <w:kern w:val="0"/>
                <w:sz w:val="24"/>
                <w:szCs w:val="24"/>
                <w:lang w:val="en-US" w:eastAsia="zh-CN"/>
              </w:rPr>
            </w:pPr>
            <w:r>
              <w:rPr>
                <w:rFonts w:hint="eastAsia"/>
                <w:kern w:val="0"/>
                <w:sz w:val="24"/>
                <w:szCs w:val="24"/>
                <w:lang w:val="en-US" w:eastAsia="zh-CN"/>
              </w:rPr>
              <w:t>水文孔</w:t>
            </w:r>
          </w:p>
        </w:tc>
      </w:tr>
      <w:tr w14:paraId="367A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546" w:type="pct"/>
            <w:vMerge w:val="continue"/>
            <w:vAlign w:val="center"/>
          </w:tcPr>
          <w:p w14:paraId="65FFCCC0">
            <w:pPr>
              <w:widowControl/>
              <w:spacing w:line="240" w:lineRule="auto"/>
              <w:ind w:firstLine="0" w:firstLineChars="0"/>
              <w:jc w:val="center"/>
              <w:rPr>
                <w:kern w:val="0"/>
                <w:sz w:val="24"/>
                <w:szCs w:val="24"/>
              </w:rPr>
            </w:pPr>
          </w:p>
        </w:tc>
        <w:tc>
          <w:tcPr>
            <w:tcW w:w="667" w:type="pct"/>
            <w:vAlign w:val="center"/>
          </w:tcPr>
          <w:p w14:paraId="59DA235A">
            <w:pPr>
              <w:widowControl/>
              <w:spacing w:line="240" w:lineRule="auto"/>
              <w:ind w:firstLine="0" w:firstLineChars="0"/>
              <w:jc w:val="center"/>
              <w:rPr>
                <w:rFonts w:hint="default" w:eastAsia="仿宋"/>
                <w:kern w:val="0"/>
                <w:sz w:val="24"/>
                <w:szCs w:val="24"/>
                <w:lang w:val="en-US" w:eastAsia="zh-CN"/>
              </w:rPr>
            </w:pPr>
            <w:r>
              <w:rPr>
                <w:kern w:val="0"/>
                <w:sz w:val="24"/>
                <w:szCs w:val="24"/>
              </w:rPr>
              <w:t>ZK</w:t>
            </w:r>
            <w:r>
              <w:rPr>
                <w:rFonts w:hint="eastAsia"/>
                <w:kern w:val="0"/>
                <w:sz w:val="24"/>
                <w:szCs w:val="24"/>
                <w:lang w:val="en-US" w:eastAsia="zh-CN"/>
              </w:rPr>
              <w:t>307</w:t>
            </w:r>
          </w:p>
        </w:tc>
        <w:tc>
          <w:tcPr>
            <w:tcW w:w="859" w:type="pct"/>
            <w:vAlign w:val="center"/>
          </w:tcPr>
          <w:p w14:paraId="3AFF8B6D">
            <w:pPr>
              <w:spacing w:line="240" w:lineRule="auto"/>
              <w:ind w:firstLine="0" w:firstLineChars="0"/>
              <w:jc w:val="center"/>
              <w:rPr>
                <w:kern w:val="0"/>
                <w:sz w:val="24"/>
                <w:szCs w:val="24"/>
              </w:rPr>
            </w:pPr>
            <w:r>
              <w:rPr>
                <w:kern w:val="0"/>
                <w:sz w:val="24"/>
                <w:szCs w:val="24"/>
              </w:rPr>
              <w:t>2454209.40</w:t>
            </w:r>
          </w:p>
        </w:tc>
        <w:tc>
          <w:tcPr>
            <w:tcW w:w="932" w:type="pct"/>
            <w:vAlign w:val="center"/>
          </w:tcPr>
          <w:p w14:paraId="3F828EFE">
            <w:pPr>
              <w:spacing w:line="240" w:lineRule="auto"/>
              <w:ind w:firstLine="0" w:firstLineChars="0"/>
              <w:jc w:val="center"/>
              <w:rPr>
                <w:kern w:val="0"/>
                <w:sz w:val="24"/>
                <w:szCs w:val="24"/>
              </w:rPr>
            </w:pPr>
            <w:r>
              <w:rPr>
                <w:kern w:val="0"/>
                <w:sz w:val="24"/>
                <w:szCs w:val="24"/>
              </w:rPr>
              <w:t>36491987.24</w:t>
            </w:r>
          </w:p>
        </w:tc>
        <w:tc>
          <w:tcPr>
            <w:tcW w:w="560" w:type="pct"/>
            <w:vAlign w:val="center"/>
          </w:tcPr>
          <w:p w14:paraId="08DD5EA6">
            <w:pPr>
              <w:spacing w:line="240" w:lineRule="auto"/>
              <w:ind w:firstLine="0" w:firstLineChars="0"/>
              <w:jc w:val="center"/>
              <w:rPr>
                <w:rFonts w:hint="default" w:eastAsia="仿宋"/>
                <w:kern w:val="0"/>
                <w:sz w:val="24"/>
                <w:szCs w:val="24"/>
                <w:lang w:val="en-US" w:eastAsia="zh-CN"/>
              </w:rPr>
            </w:pPr>
            <w:r>
              <w:rPr>
                <w:rFonts w:hint="eastAsia"/>
                <w:kern w:val="0"/>
                <w:sz w:val="24"/>
                <w:szCs w:val="24"/>
                <w:lang w:val="en-US" w:eastAsia="zh-CN"/>
              </w:rPr>
              <w:t>103</w:t>
            </w:r>
          </w:p>
        </w:tc>
        <w:tc>
          <w:tcPr>
            <w:tcW w:w="425" w:type="pct"/>
            <w:vAlign w:val="center"/>
          </w:tcPr>
          <w:p w14:paraId="27B12257">
            <w:pPr>
              <w:widowControl/>
              <w:spacing w:line="240" w:lineRule="auto"/>
              <w:ind w:firstLine="0" w:firstLineChars="0"/>
              <w:jc w:val="center"/>
              <w:rPr>
                <w:kern w:val="0"/>
                <w:sz w:val="24"/>
                <w:szCs w:val="24"/>
              </w:rPr>
            </w:pPr>
            <w:r>
              <w:rPr>
                <w:kern w:val="0"/>
                <w:sz w:val="24"/>
                <w:szCs w:val="24"/>
              </w:rPr>
              <w:t>直孔</w:t>
            </w:r>
          </w:p>
        </w:tc>
        <w:tc>
          <w:tcPr>
            <w:tcW w:w="493" w:type="pct"/>
            <w:vAlign w:val="center"/>
          </w:tcPr>
          <w:p w14:paraId="0F0B1640">
            <w:pPr>
              <w:widowControl/>
              <w:spacing w:line="240" w:lineRule="auto"/>
              <w:ind w:firstLine="0" w:firstLineChars="0"/>
              <w:jc w:val="center"/>
              <w:rPr>
                <w:kern w:val="0"/>
                <w:sz w:val="24"/>
                <w:szCs w:val="24"/>
              </w:rPr>
            </w:pPr>
            <w:r>
              <w:rPr>
                <w:kern w:val="0"/>
                <w:sz w:val="24"/>
                <w:szCs w:val="24"/>
              </w:rPr>
              <w:t>6</w:t>
            </w:r>
          </w:p>
        </w:tc>
        <w:tc>
          <w:tcPr>
            <w:tcW w:w="515" w:type="pct"/>
            <w:vAlign w:val="center"/>
          </w:tcPr>
          <w:p w14:paraId="60E7A7C8">
            <w:pPr>
              <w:widowControl/>
              <w:spacing w:line="240" w:lineRule="auto"/>
              <w:ind w:firstLine="0" w:firstLineChars="0"/>
              <w:jc w:val="center"/>
              <w:rPr>
                <w:kern w:val="0"/>
                <w:sz w:val="24"/>
                <w:szCs w:val="24"/>
              </w:rPr>
            </w:pPr>
          </w:p>
        </w:tc>
      </w:tr>
      <w:tr w14:paraId="610C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pct"/>
            <w:vMerge w:val="restart"/>
            <w:vAlign w:val="center"/>
          </w:tcPr>
          <w:p w14:paraId="3B582CBB">
            <w:pPr>
              <w:spacing w:line="240" w:lineRule="auto"/>
              <w:ind w:firstLine="0" w:firstLineChars="0"/>
              <w:jc w:val="center"/>
              <w:rPr>
                <w:rFonts w:hint="eastAsia" w:eastAsia="仿宋"/>
                <w:kern w:val="0"/>
                <w:sz w:val="24"/>
                <w:szCs w:val="24"/>
                <w:lang w:val="en-US" w:eastAsia="zh-CN"/>
              </w:rPr>
            </w:pPr>
            <w:r>
              <w:rPr>
                <w:rFonts w:hint="eastAsia"/>
                <w:kern w:val="0"/>
                <w:sz w:val="24"/>
                <w:szCs w:val="24"/>
                <w:lang w:val="en-US" w:eastAsia="zh-CN"/>
              </w:rPr>
              <w:t>5</w:t>
            </w:r>
          </w:p>
        </w:tc>
        <w:tc>
          <w:tcPr>
            <w:tcW w:w="667" w:type="pct"/>
            <w:vAlign w:val="center"/>
          </w:tcPr>
          <w:p w14:paraId="454079F0">
            <w:pPr>
              <w:widowControl/>
              <w:spacing w:line="240" w:lineRule="auto"/>
              <w:ind w:firstLine="0" w:firstLineChars="0"/>
              <w:jc w:val="center"/>
              <w:rPr>
                <w:rFonts w:hint="default" w:eastAsia="仿宋"/>
                <w:kern w:val="0"/>
                <w:sz w:val="24"/>
                <w:szCs w:val="24"/>
                <w:lang w:val="en-US" w:eastAsia="zh-CN"/>
              </w:rPr>
            </w:pPr>
            <w:r>
              <w:rPr>
                <w:kern w:val="0"/>
                <w:sz w:val="24"/>
                <w:szCs w:val="24"/>
              </w:rPr>
              <w:t>ZK</w:t>
            </w:r>
            <w:r>
              <w:rPr>
                <w:rFonts w:hint="eastAsia"/>
                <w:kern w:val="0"/>
                <w:sz w:val="24"/>
                <w:szCs w:val="24"/>
                <w:lang w:val="en-US" w:eastAsia="zh-CN"/>
              </w:rPr>
              <w:t>502</w:t>
            </w:r>
          </w:p>
        </w:tc>
        <w:tc>
          <w:tcPr>
            <w:tcW w:w="859" w:type="pct"/>
            <w:vAlign w:val="center"/>
          </w:tcPr>
          <w:p w14:paraId="68289A0E">
            <w:pPr>
              <w:widowControl/>
              <w:spacing w:line="240" w:lineRule="auto"/>
              <w:ind w:firstLine="0" w:firstLineChars="0"/>
              <w:jc w:val="center"/>
              <w:rPr>
                <w:kern w:val="0"/>
                <w:sz w:val="24"/>
                <w:szCs w:val="24"/>
              </w:rPr>
            </w:pPr>
            <w:r>
              <w:rPr>
                <w:kern w:val="0"/>
                <w:sz w:val="24"/>
                <w:szCs w:val="24"/>
              </w:rPr>
              <w:t>2454808.14</w:t>
            </w:r>
          </w:p>
        </w:tc>
        <w:tc>
          <w:tcPr>
            <w:tcW w:w="932" w:type="pct"/>
            <w:vAlign w:val="center"/>
          </w:tcPr>
          <w:p w14:paraId="68412D57">
            <w:pPr>
              <w:widowControl/>
              <w:spacing w:line="240" w:lineRule="auto"/>
              <w:ind w:firstLine="0" w:firstLineChars="0"/>
              <w:jc w:val="center"/>
              <w:rPr>
                <w:kern w:val="0"/>
                <w:sz w:val="24"/>
                <w:szCs w:val="24"/>
              </w:rPr>
            </w:pPr>
            <w:r>
              <w:rPr>
                <w:kern w:val="0"/>
                <w:sz w:val="24"/>
                <w:szCs w:val="24"/>
              </w:rPr>
              <w:t>36491354.88</w:t>
            </w:r>
          </w:p>
        </w:tc>
        <w:tc>
          <w:tcPr>
            <w:tcW w:w="560" w:type="pct"/>
            <w:vAlign w:val="center"/>
          </w:tcPr>
          <w:p w14:paraId="6F13D479">
            <w:pPr>
              <w:widowControl/>
              <w:spacing w:line="240" w:lineRule="auto"/>
              <w:ind w:firstLine="0" w:firstLineChars="0"/>
              <w:jc w:val="center"/>
              <w:rPr>
                <w:kern w:val="0"/>
                <w:sz w:val="24"/>
                <w:szCs w:val="24"/>
              </w:rPr>
            </w:pPr>
            <w:r>
              <w:rPr>
                <w:kern w:val="0"/>
                <w:sz w:val="24"/>
                <w:szCs w:val="24"/>
              </w:rPr>
              <w:t>154</w:t>
            </w:r>
          </w:p>
        </w:tc>
        <w:tc>
          <w:tcPr>
            <w:tcW w:w="425" w:type="pct"/>
            <w:vAlign w:val="center"/>
          </w:tcPr>
          <w:p w14:paraId="1393D0A5">
            <w:pPr>
              <w:spacing w:line="240" w:lineRule="auto"/>
              <w:ind w:firstLine="0" w:firstLineChars="0"/>
              <w:jc w:val="center"/>
              <w:rPr>
                <w:sz w:val="24"/>
                <w:szCs w:val="24"/>
              </w:rPr>
            </w:pPr>
            <w:r>
              <w:rPr>
                <w:kern w:val="0"/>
                <w:sz w:val="24"/>
                <w:szCs w:val="24"/>
              </w:rPr>
              <w:t>直孔</w:t>
            </w:r>
          </w:p>
        </w:tc>
        <w:tc>
          <w:tcPr>
            <w:tcW w:w="493" w:type="pct"/>
            <w:vAlign w:val="center"/>
          </w:tcPr>
          <w:p w14:paraId="4EB45533">
            <w:pPr>
              <w:widowControl/>
              <w:spacing w:line="240" w:lineRule="auto"/>
              <w:ind w:firstLine="0" w:firstLineChars="0"/>
              <w:jc w:val="center"/>
              <w:rPr>
                <w:kern w:val="0"/>
                <w:sz w:val="24"/>
                <w:szCs w:val="24"/>
              </w:rPr>
            </w:pPr>
            <w:r>
              <w:rPr>
                <w:kern w:val="0"/>
                <w:sz w:val="24"/>
                <w:szCs w:val="24"/>
              </w:rPr>
              <w:t>4</w:t>
            </w:r>
          </w:p>
        </w:tc>
        <w:tc>
          <w:tcPr>
            <w:tcW w:w="515" w:type="pct"/>
            <w:vAlign w:val="center"/>
          </w:tcPr>
          <w:p w14:paraId="6A7CBACF">
            <w:pPr>
              <w:widowControl/>
              <w:spacing w:line="240" w:lineRule="auto"/>
              <w:ind w:firstLine="0" w:firstLineChars="0"/>
              <w:jc w:val="center"/>
              <w:rPr>
                <w:kern w:val="0"/>
                <w:sz w:val="24"/>
                <w:szCs w:val="24"/>
              </w:rPr>
            </w:pPr>
            <w:r>
              <w:rPr>
                <w:kern w:val="0"/>
                <w:sz w:val="24"/>
                <w:szCs w:val="24"/>
              </w:rPr>
              <w:t>水文孔</w:t>
            </w:r>
          </w:p>
        </w:tc>
      </w:tr>
      <w:tr w14:paraId="3281E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546" w:type="pct"/>
            <w:vMerge w:val="continue"/>
            <w:vAlign w:val="center"/>
          </w:tcPr>
          <w:p w14:paraId="4BBFD9FF">
            <w:pPr>
              <w:spacing w:line="240" w:lineRule="auto"/>
              <w:ind w:firstLine="0" w:firstLineChars="0"/>
              <w:jc w:val="center"/>
              <w:rPr>
                <w:kern w:val="0"/>
                <w:sz w:val="24"/>
                <w:szCs w:val="24"/>
              </w:rPr>
            </w:pPr>
          </w:p>
        </w:tc>
        <w:tc>
          <w:tcPr>
            <w:tcW w:w="667" w:type="pct"/>
            <w:vAlign w:val="center"/>
          </w:tcPr>
          <w:p w14:paraId="0E22ED9E">
            <w:pPr>
              <w:widowControl/>
              <w:spacing w:line="240" w:lineRule="auto"/>
              <w:ind w:firstLine="0" w:firstLineChars="0"/>
              <w:jc w:val="center"/>
              <w:rPr>
                <w:rFonts w:hint="default" w:eastAsia="仿宋"/>
                <w:kern w:val="0"/>
                <w:sz w:val="24"/>
                <w:szCs w:val="24"/>
                <w:lang w:val="en-US" w:eastAsia="zh-CN"/>
              </w:rPr>
            </w:pPr>
            <w:r>
              <w:rPr>
                <w:kern w:val="0"/>
                <w:sz w:val="24"/>
                <w:szCs w:val="24"/>
              </w:rPr>
              <w:t>ZK</w:t>
            </w:r>
            <w:r>
              <w:rPr>
                <w:rFonts w:hint="eastAsia"/>
                <w:kern w:val="0"/>
                <w:sz w:val="24"/>
                <w:szCs w:val="24"/>
                <w:lang w:val="en-US" w:eastAsia="zh-CN"/>
              </w:rPr>
              <w:t>504</w:t>
            </w:r>
          </w:p>
        </w:tc>
        <w:tc>
          <w:tcPr>
            <w:tcW w:w="859" w:type="pct"/>
            <w:vAlign w:val="center"/>
          </w:tcPr>
          <w:p w14:paraId="095528B5">
            <w:pPr>
              <w:widowControl/>
              <w:spacing w:line="240" w:lineRule="auto"/>
              <w:ind w:firstLine="0" w:firstLineChars="0"/>
              <w:jc w:val="center"/>
              <w:rPr>
                <w:kern w:val="0"/>
                <w:sz w:val="24"/>
                <w:szCs w:val="24"/>
              </w:rPr>
            </w:pPr>
            <w:r>
              <w:rPr>
                <w:kern w:val="0"/>
                <w:sz w:val="24"/>
                <w:szCs w:val="24"/>
              </w:rPr>
              <w:t>2454498.69</w:t>
            </w:r>
          </w:p>
        </w:tc>
        <w:tc>
          <w:tcPr>
            <w:tcW w:w="932" w:type="pct"/>
            <w:vAlign w:val="center"/>
          </w:tcPr>
          <w:p w14:paraId="328C4404">
            <w:pPr>
              <w:widowControl/>
              <w:spacing w:line="240" w:lineRule="auto"/>
              <w:ind w:firstLine="0" w:firstLineChars="0"/>
              <w:jc w:val="center"/>
              <w:rPr>
                <w:kern w:val="0"/>
                <w:sz w:val="24"/>
                <w:szCs w:val="24"/>
              </w:rPr>
            </w:pPr>
            <w:r>
              <w:rPr>
                <w:kern w:val="0"/>
                <w:sz w:val="24"/>
                <w:szCs w:val="24"/>
              </w:rPr>
              <w:t>36491462.74</w:t>
            </w:r>
          </w:p>
        </w:tc>
        <w:tc>
          <w:tcPr>
            <w:tcW w:w="560" w:type="pct"/>
            <w:vAlign w:val="center"/>
          </w:tcPr>
          <w:p w14:paraId="317C59CF">
            <w:pPr>
              <w:widowControl/>
              <w:spacing w:line="240" w:lineRule="auto"/>
              <w:ind w:firstLine="0" w:firstLineChars="0"/>
              <w:jc w:val="center"/>
              <w:rPr>
                <w:kern w:val="0"/>
                <w:sz w:val="24"/>
                <w:szCs w:val="24"/>
              </w:rPr>
            </w:pPr>
            <w:r>
              <w:rPr>
                <w:kern w:val="0"/>
                <w:sz w:val="24"/>
                <w:szCs w:val="24"/>
              </w:rPr>
              <w:t>122</w:t>
            </w:r>
          </w:p>
        </w:tc>
        <w:tc>
          <w:tcPr>
            <w:tcW w:w="425" w:type="pct"/>
            <w:vAlign w:val="center"/>
          </w:tcPr>
          <w:p w14:paraId="230C74BF">
            <w:pPr>
              <w:spacing w:line="240" w:lineRule="auto"/>
              <w:ind w:firstLine="0" w:firstLineChars="0"/>
              <w:jc w:val="center"/>
              <w:rPr>
                <w:sz w:val="24"/>
                <w:szCs w:val="24"/>
              </w:rPr>
            </w:pPr>
            <w:r>
              <w:rPr>
                <w:kern w:val="0"/>
                <w:sz w:val="24"/>
                <w:szCs w:val="24"/>
              </w:rPr>
              <w:t>直孔</w:t>
            </w:r>
          </w:p>
        </w:tc>
        <w:tc>
          <w:tcPr>
            <w:tcW w:w="493" w:type="pct"/>
            <w:vAlign w:val="center"/>
          </w:tcPr>
          <w:p w14:paraId="22A922BF">
            <w:pPr>
              <w:widowControl/>
              <w:spacing w:line="240" w:lineRule="auto"/>
              <w:ind w:firstLine="0" w:firstLineChars="0"/>
              <w:jc w:val="center"/>
              <w:rPr>
                <w:kern w:val="0"/>
                <w:sz w:val="24"/>
                <w:szCs w:val="24"/>
              </w:rPr>
            </w:pPr>
            <w:r>
              <w:rPr>
                <w:kern w:val="0"/>
                <w:sz w:val="24"/>
                <w:szCs w:val="24"/>
              </w:rPr>
              <w:t>9</w:t>
            </w:r>
          </w:p>
        </w:tc>
        <w:tc>
          <w:tcPr>
            <w:tcW w:w="515" w:type="pct"/>
            <w:vAlign w:val="center"/>
          </w:tcPr>
          <w:p w14:paraId="2E3237BB">
            <w:pPr>
              <w:widowControl/>
              <w:spacing w:line="240" w:lineRule="auto"/>
              <w:ind w:firstLine="0" w:firstLineChars="0"/>
              <w:jc w:val="center"/>
              <w:rPr>
                <w:kern w:val="0"/>
                <w:sz w:val="24"/>
                <w:szCs w:val="24"/>
              </w:rPr>
            </w:pPr>
          </w:p>
        </w:tc>
      </w:tr>
      <w:tr w14:paraId="12D5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546" w:type="pct"/>
            <w:vMerge w:val="continue"/>
            <w:vAlign w:val="center"/>
          </w:tcPr>
          <w:p w14:paraId="68F5E07E">
            <w:pPr>
              <w:spacing w:line="240" w:lineRule="auto"/>
              <w:ind w:firstLine="0" w:firstLineChars="0"/>
              <w:jc w:val="center"/>
              <w:rPr>
                <w:kern w:val="0"/>
                <w:sz w:val="24"/>
                <w:szCs w:val="24"/>
              </w:rPr>
            </w:pPr>
          </w:p>
        </w:tc>
        <w:tc>
          <w:tcPr>
            <w:tcW w:w="667" w:type="pct"/>
            <w:vAlign w:val="center"/>
          </w:tcPr>
          <w:p w14:paraId="4FEAB300">
            <w:pPr>
              <w:widowControl/>
              <w:spacing w:line="240" w:lineRule="auto"/>
              <w:ind w:firstLine="0" w:firstLineChars="0"/>
              <w:jc w:val="center"/>
              <w:rPr>
                <w:rFonts w:hint="default" w:eastAsia="仿宋"/>
                <w:kern w:val="0"/>
                <w:sz w:val="24"/>
                <w:szCs w:val="24"/>
                <w:lang w:val="en-US" w:eastAsia="zh-CN"/>
              </w:rPr>
            </w:pPr>
            <w:r>
              <w:rPr>
                <w:kern w:val="0"/>
                <w:sz w:val="24"/>
                <w:szCs w:val="24"/>
              </w:rPr>
              <w:t>ZK</w:t>
            </w:r>
            <w:r>
              <w:rPr>
                <w:rFonts w:hint="eastAsia"/>
                <w:kern w:val="0"/>
                <w:sz w:val="24"/>
                <w:szCs w:val="24"/>
                <w:lang w:val="en-US" w:eastAsia="zh-CN"/>
              </w:rPr>
              <w:t>506</w:t>
            </w:r>
          </w:p>
        </w:tc>
        <w:tc>
          <w:tcPr>
            <w:tcW w:w="859" w:type="pct"/>
            <w:vAlign w:val="center"/>
          </w:tcPr>
          <w:p w14:paraId="59BDFEB5">
            <w:pPr>
              <w:widowControl/>
              <w:spacing w:line="240" w:lineRule="auto"/>
              <w:ind w:firstLine="0" w:firstLineChars="0"/>
              <w:jc w:val="center"/>
              <w:rPr>
                <w:kern w:val="0"/>
                <w:sz w:val="24"/>
                <w:szCs w:val="24"/>
              </w:rPr>
            </w:pPr>
            <w:r>
              <w:rPr>
                <w:kern w:val="0"/>
                <w:sz w:val="24"/>
                <w:szCs w:val="24"/>
              </w:rPr>
              <w:t>2454288.93</w:t>
            </w:r>
          </w:p>
        </w:tc>
        <w:tc>
          <w:tcPr>
            <w:tcW w:w="932" w:type="pct"/>
            <w:vAlign w:val="center"/>
          </w:tcPr>
          <w:p w14:paraId="6E08AFFC">
            <w:pPr>
              <w:widowControl/>
              <w:spacing w:line="240" w:lineRule="auto"/>
              <w:ind w:firstLine="0" w:firstLineChars="0"/>
              <w:jc w:val="center"/>
              <w:rPr>
                <w:kern w:val="0"/>
                <w:sz w:val="24"/>
                <w:szCs w:val="24"/>
              </w:rPr>
            </w:pPr>
            <w:r>
              <w:rPr>
                <w:kern w:val="0"/>
                <w:sz w:val="24"/>
                <w:szCs w:val="24"/>
              </w:rPr>
              <w:t>36491535.85</w:t>
            </w:r>
          </w:p>
        </w:tc>
        <w:tc>
          <w:tcPr>
            <w:tcW w:w="560" w:type="pct"/>
            <w:vAlign w:val="center"/>
          </w:tcPr>
          <w:p w14:paraId="1C8FD627">
            <w:pPr>
              <w:widowControl/>
              <w:spacing w:line="240" w:lineRule="auto"/>
              <w:ind w:firstLine="0" w:firstLineChars="0"/>
              <w:jc w:val="center"/>
              <w:rPr>
                <w:rFonts w:hint="default" w:eastAsia="仿宋"/>
                <w:kern w:val="0"/>
                <w:sz w:val="24"/>
                <w:szCs w:val="24"/>
                <w:lang w:val="en-US" w:eastAsia="zh-CN"/>
              </w:rPr>
            </w:pPr>
            <w:r>
              <w:rPr>
                <w:rFonts w:hint="eastAsia"/>
                <w:kern w:val="0"/>
                <w:sz w:val="24"/>
                <w:szCs w:val="24"/>
                <w:lang w:val="en-US" w:eastAsia="zh-CN"/>
              </w:rPr>
              <w:t>103</w:t>
            </w:r>
          </w:p>
        </w:tc>
        <w:tc>
          <w:tcPr>
            <w:tcW w:w="425" w:type="pct"/>
            <w:vAlign w:val="center"/>
          </w:tcPr>
          <w:p w14:paraId="6880F271">
            <w:pPr>
              <w:spacing w:line="240" w:lineRule="auto"/>
              <w:ind w:firstLine="0" w:firstLineChars="0"/>
              <w:jc w:val="center"/>
              <w:rPr>
                <w:kern w:val="0"/>
                <w:sz w:val="24"/>
                <w:szCs w:val="24"/>
              </w:rPr>
            </w:pPr>
            <w:r>
              <w:rPr>
                <w:kern w:val="0"/>
                <w:sz w:val="24"/>
                <w:szCs w:val="24"/>
              </w:rPr>
              <w:t>直孔</w:t>
            </w:r>
          </w:p>
        </w:tc>
        <w:tc>
          <w:tcPr>
            <w:tcW w:w="493" w:type="pct"/>
            <w:vAlign w:val="center"/>
          </w:tcPr>
          <w:p w14:paraId="6B6195DA">
            <w:pPr>
              <w:widowControl/>
              <w:spacing w:line="240" w:lineRule="auto"/>
              <w:ind w:firstLine="0" w:firstLineChars="0"/>
              <w:jc w:val="center"/>
              <w:rPr>
                <w:kern w:val="0"/>
                <w:sz w:val="24"/>
                <w:szCs w:val="24"/>
              </w:rPr>
            </w:pPr>
            <w:r>
              <w:rPr>
                <w:kern w:val="0"/>
                <w:sz w:val="24"/>
                <w:szCs w:val="24"/>
              </w:rPr>
              <w:t>5</w:t>
            </w:r>
          </w:p>
        </w:tc>
        <w:tc>
          <w:tcPr>
            <w:tcW w:w="515" w:type="pct"/>
            <w:vAlign w:val="center"/>
          </w:tcPr>
          <w:p w14:paraId="5F54BF3E">
            <w:pPr>
              <w:widowControl/>
              <w:spacing w:line="240" w:lineRule="auto"/>
              <w:ind w:firstLine="0" w:firstLineChars="0"/>
              <w:jc w:val="center"/>
              <w:rPr>
                <w:kern w:val="0"/>
                <w:sz w:val="24"/>
                <w:szCs w:val="24"/>
              </w:rPr>
            </w:pPr>
          </w:p>
        </w:tc>
      </w:tr>
      <w:tr w14:paraId="366E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546" w:type="pct"/>
            <w:vMerge w:val="restart"/>
            <w:vAlign w:val="center"/>
          </w:tcPr>
          <w:p w14:paraId="334E906A">
            <w:pPr>
              <w:widowControl/>
              <w:spacing w:line="240" w:lineRule="auto"/>
              <w:ind w:firstLine="0" w:firstLineChars="0"/>
              <w:jc w:val="center"/>
              <w:rPr>
                <w:rFonts w:hint="eastAsia" w:eastAsia="仿宋"/>
                <w:kern w:val="0"/>
                <w:sz w:val="24"/>
                <w:szCs w:val="24"/>
                <w:lang w:val="en-US" w:eastAsia="zh-CN"/>
              </w:rPr>
            </w:pPr>
            <w:r>
              <w:rPr>
                <w:rFonts w:hint="eastAsia"/>
                <w:kern w:val="0"/>
                <w:sz w:val="24"/>
                <w:szCs w:val="24"/>
                <w:lang w:val="en-US" w:eastAsia="zh-CN"/>
              </w:rPr>
              <w:t>7</w:t>
            </w:r>
          </w:p>
        </w:tc>
        <w:tc>
          <w:tcPr>
            <w:tcW w:w="667" w:type="pct"/>
            <w:vAlign w:val="center"/>
          </w:tcPr>
          <w:p w14:paraId="142DF6DD">
            <w:pPr>
              <w:widowControl/>
              <w:spacing w:line="240" w:lineRule="auto"/>
              <w:ind w:firstLine="0" w:firstLineChars="0"/>
              <w:jc w:val="center"/>
              <w:rPr>
                <w:rFonts w:hint="eastAsia" w:eastAsia="仿宋"/>
                <w:kern w:val="0"/>
                <w:sz w:val="24"/>
                <w:szCs w:val="24"/>
                <w:lang w:val="en-US" w:eastAsia="zh-CN"/>
              </w:rPr>
            </w:pPr>
            <w:r>
              <w:rPr>
                <w:kern w:val="0"/>
                <w:sz w:val="24"/>
                <w:szCs w:val="24"/>
              </w:rPr>
              <w:t>ZK70</w:t>
            </w:r>
            <w:r>
              <w:rPr>
                <w:rFonts w:hint="eastAsia"/>
                <w:kern w:val="0"/>
                <w:sz w:val="24"/>
                <w:szCs w:val="24"/>
                <w:lang w:val="en-US" w:eastAsia="zh-CN"/>
              </w:rPr>
              <w:t>1</w:t>
            </w:r>
          </w:p>
        </w:tc>
        <w:tc>
          <w:tcPr>
            <w:tcW w:w="859" w:type="pct"/>
            <w:vAlign w:val="center"/>
          </w:tcPr>
          <w:p w14:paraId="5CA4EAC1">
            <w:pPr>
              <w:spacing w:line="240" w:lineRule="auto"/>
              <w:ind w:firstLine="0" w:firstLineChars="0"/>
              <w:jc w:val="center"/>
              <w:rPr>
                <w:sz w:val="24"/>
                <w:szCs w:val="24"/>
              </w:rPr>
            </w:pPr>
            <w:r>
              <w:rPr>
                <w:sz w:val="24"/>
                <w:szCs w:val="24"/>
              </w:rPr>
              <w:t>2454622.17</w:t>
            </w:r>
          </w:p>
        </w:tc>
        <w:tc>
          <w:tcPr>
            <w:tcW w:w="932" w:type="pct"/>
            <w:vAlign w:val="center"/>
          </w:tcPr>
          <w:p w14:paraId="5C577C4A">
            <w:pPr>
              <w:spacing w:line="240" w:lineRule="auto"/>
              <w:ind w:firstLine="0" w:firstLineChars="0"/>
              <w:jc w:val="center"/>
              <w:rPr>
                <w:sz w:val="24"/>
                <w:szCs w:val="24"/>
              </w:rPr>
            </w:pPr>
            <w:r>
              <w:rPr>
                <w:sz w:val="24"/>
                <w:szCs w:val="24"/>
              </w:rPr>
              <w:t>36491006.34</w:t>
            </w:r>
          </w:p>
        </w:tc>
        <w:tc>
          <w:tcPr>
            <w:tcW w:w="560" w:type="pct"/>
            <w:vAlign w:val="center"/>
          </w:tcPr>
          <w:p w14:paraId="745DD7EE">
            <w:pPr>
              <w:widowControl/>
              <w:spacing w:line="240" w:lineRule="auto"/>
              <w:ind w:firstLine="0" w:firstLineChars="0"/>
              <w:jc w:val="center"/>
              <w:rPr>
                <w:kern w:val="0"/>
                <w:sz w:val="24"/>
                <w:szCs w:val="24"/>
              </w:rPr>
            </w:pPr>
            <w:r>
              <w:rPr>
                <w:kern w:val="0"/>
                <w:sz w:val="24"/>
                <w:szCs w:val="24"/>
              </w:rPr>
              <w:t>394</w:t>
            </w:r>
          </w:p>
        </w:tc>
        <w:tc>
          <w:tcPr>
            <w:tcW w:w="425" w:type="pct"/>
            <w:vAlign w:val="center"/>
          </w:tcPr>
          <w:p w14:paraId="4D4825F6">
            <w:pPr>
              <w:spacing w:line="240" w:lineRule="auto"/>
              <w:ind w:firstLine="0" w:firstLineChars="0"/>
              <w:jc w:val="center"/>
              <w:rPr>
                <w:sz w:val="24"/>
                <w:szCs w:val="24"/>
              </w:rPr>
            </w:pPr>
            <w:r>
              <w:rPr>
                <w:kern w:val="0"/>
                <w:sz w:val="24"/>
                <w:szCs w:val="24"/>
              </w:rPr>
              <w:t>直孔</w:t>
            </w:r>
          </w:p>
        </w:tc>
        <w:tc>
          <w:tcPr>
            <w:tcW w:w="493" w:type="pct"/>
            <w:vAlign w:val="center"/>
          </w:tcPr>
          <w:p w14:paraId="36F2DEAD">
            <w:pPr>
              <w:widowControl/>
              <w:spacing w:line="240" w:lineRule="auto"/>
              <w:ind w:firstLine="0" w:firstLineChars="0"/>
              <w:jc w:val="center"/>
              <w:rPr>
                <w:kern w:val="0"/>
                <w:sz w:val="24"/>
                <w:szCs w:val="24"/>
              </w:rPr>
            </w:pPr>
            <w:r>
              <w:rPr>
                <w:kern w:val="0"/>
                <w:sz w:val="24"/>
                <w:szCs w:val="24"/>
              </w:rPr>
              <w:t>2</w:t>
            </w:r>
          </w:p>
        </w:tc>
        <w:tc>
          <w:tcPr>
            <w:tcW w:w="515" w:type="pct"/>
            <w:vAlign w:val="center"/>
          </w:tcPr>
          <w:p w14:paraId="493474E5">
            <w:pPr>
              <w:widowControl/>
              <w:spacing w:line="240" w:lineRule="auto"/>
              <w:ind w:firstLine="0" w:firstLineChars="0"/>
              <w:jc w:val="center"/>
              <w:rPr>
                <w:kern w:val="0"/>
                <w:sz w:val="24"/>
                <w:szCs w:val="24"/>
              </w:rPr>
            </w:pPr>
          </w:p>
        </w:tc>
      </w:tr>
      <w:tr w14:paraId="2C27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546" w:type="pct"/>
            <w:vMerge w:val="continue"/>
            <w:vAlign w:val="center"/>
          </w:tcPr>
          <w:p w14:paraId="2A123753">
            <w:pPr>
              <w:widowControl/>
              <w:spacing w:line="240" w:lineRule="auto"/>
              <w:ind w:firstLine="0" w:firstLineChars="0"/>
              <w:jc w:val="center"/>
              <w:rPr>
                <w:kern w:val="0"/>
                <w:sz w:val="24"/>
                <w:szCs w:val="24"/>
              </w:rPr>
            </w:pPr>
          </w:p>
        </w:tc>
        <w:tc>
          <w:tcPr>
            <w:tcW w:w="667" w:type="pct"/>
            <w:vAlign w:val="center"/>
          </w:tcPr>
          <w:p w14:paraId="212A9A5C">
            <w:pPr>
              <w:widowControl/>
              <w:spacing w:line="240" w:lineRule="auto"/>
              <w:ind w:firstLine="0" w:firstLineChars="0"/>
              <w:jc w:val="center"/>
              <w:rPr>
                <w:rFonts w:hint="eastAsia" w:eastAsia="仿宋"/>
                <w:kern w:val="0"/>
                <w:sz w:val="24"/>
                <w:szCs w:val="24"/>
                <w:lang w:val="en-US" w:eastAsia="zh-CN"/>
              </w:rPr>
            </w:pPr>
            <w:r>
              <w:rPr>
                <w:kern w:val="0"/>
                <w:sz w:val="24"/>
                <w:szCs w:val="24"/>
              </w:rPr>
              <w:t>ZK70</w:t>
            </w:r>
            <w:r>
              <w:rPr>
                <w:rFonts w:hint="eastAsia"/>
                <w:kern w:val="0"/>
                <w:sz w:val="24"/>
                <w:szCs w:val="24"/>
                <w:lang w:val="en-US" w:eastAsia="zh-CN"/>
              </w:rPr>
              <w:t>2</w:t>
            </w:r>
          </w:p>
        </w:tc>
        <w:tc>
          <w:tcPr>
            <w:tcW w:w="859" w:type="pct"/>
            <w:vAlign w:val="center"/>
          </w:tcPr>
          <w:p w14:paraId="50F3AE47">
            <w:pPr>
              <w:spacing w:line="240" w:lineRule="auto"/>
              <w:ind w:firstLine="0" w:firstLineChars="0"/>
              <w:jc w:val="center"/>
              <w:rPr>
                <w:sz w:val="24"/>
                <w:szCs w:val="24"/>
              </w:rPr>
            </w:pPr>
            <w:r>
              <w:rPr>
                <w:sz w:val="24"/>
                <w:szCs w:val="24"/>
              </w:rPr>
              <w:t>2454233.07</w:t>
            </w:r>
          </w:p>
        </w:tc>
        <w:tc>
          <w:tcPr>
            <w:tcW w:w="932" w:type="pct"/>
            <w:vAlign w:val="center"/>
          </w:tcPr>
          <w:p w14:paraId="224A1521">
            <w:pPr>
              <w:spacing w:line="240" w:lineRule="auto"/>
              <w:ind w:firstLine="0" w:firstLineChars="0"/>
              <w:jc w:val="center"/>
              <w:rPr>
                <w:sz w:val="24"/>
                <w:szCs w:val="24"/>
              </w:rPr>
            </w:pPr>
            <w:r>
              <w:rPr>
                <w:sz w:val="24"/>
                <w:szCs w:val="24"/>
              </w:rPr>
              <w:t>36491141.78</w:t>
            </w:r>
          </w:p>
        </w:tc>
        <w:tc>
          <w:tcPr>
            <w:tcW w:w="560" w:type="pct"/>
            <w:vAlign w:val="center"/>
          </w:tcPr>
          <w:p w14:paraId="7EFDD003">
            <w:pPr>
              <w:widowControl/>
              <w:spacing w:line="240" w:lineRule="auto"/>
              <w:ind w:firstLine="0" w:firstLineChars="0"/>
              <w:jc w:val="center"/>
              <w:rPr>
                <w:kern w:val="0"/>
                <w:sz w:val="24"/>
                <w:szCs w:val="24"/>
              </w:rPr>
            </w:pPr>
            <w:r>
              <w:rPr>
                <w:kern w:val="0"/>
                <w:sz w:val="24"/>
                <w:szCs w:val="24"/>
              </w:rPr>
              <w:t>69</w:t>
            </w:r>
          </w:p>
        </w:tc>
        <w:tc>
          <w:tcPr>
            <w:tcW w:w="425" w:type="pct"/>
            <w:vAlign w:val="center"/>
          </w:tcPr>
          <w:p w14:paraId="54622D8D">
            <w:pPr>
              <w:spacing w:line="240" w:lineRule="auto"/>
              <w:ind w:firstLine="0" w:firstLineChars="0"/>
              <w:jc w:val="center"/>
              <w:rPr>
                <w:sz w:val="24"/>
                <w:szCs w:val="24"/>
              </w:rPr>
            </w:pPr>
            <w:r>
              <w:rPr>
                <w:kern w:val="0"/>
                <w:sz w:val="24"/>
                <w:szCs w:val="24"/>
              </w:rPr>
              <w:t>直孔</w:t>
            </w:r>
          </w:p>
        </w:tc>
        <w:tc>
          <w:tcPr>
            <w:tcW w:w="493" w:type="pct"/>
            <w:vAlign w:val="center"/>
          </w:tcPr>
          <w:p w14:paraId="009F5D94">
            <w:pPr>
              <w:widowControl/>
              <w:spacing w:line="240" w:lineRule="auto"/>
              <w:ind w:firstLine="0" w:firstLineChars="0"/>
              <w:jc w:val="center"/>
              <w:rPr>
                <w:kern w:val="0"/>
                <w:sz w:val="24"/>
                <w:szCs w:val="24"/>
              </w:rPr>
            </w:pPr>
            <w:r>
              <w:rPr>
                <w:kern w:val="0"/>
                <w:sz w:val="24"/>
                <w:szCs w:val="24"/>
              </w:rPr>
              <w:t>7</w:t>
            </w:r>
          </w:p>
        </w:tc>
        <w:tc>
          <w:tcPr>
            <w:tcW w:w="515" w:type="pct"/>
            <w:vAlign w:val="center"/>
          </w:tcPr>
          <w:p w14:paraId="5FB5B63C">
            <w:pPr>
              <w:widowControl/>
              <w:spacing w:line="240" w:lineRule="auto"/>
              <w:ind w:firstLine="0" w:firstLineChars="0"/>
              <w:jc w:val="center"/>
              <w:rPr>
                <w:kern w:val="0"/>
                <w:sz w:val="24"/>
                <w:szCs w:val="24"/>
              </w:rPr>
            </w:pPr>
          </w:p>
        </w:tc>
      </w:tr>
    </w:tbl>
    <w:p w14:paraId="48B0955A">
      <w:pPr>
        <w:keepNext w:val="0"/>
        <w:keepLines w:val="0"/>
        <w:pageBreakBefore w:val="0"/>
        <w:widowControl w:val="0"/>
        <w:kinsoku/>
        <w:wordWrap/>
        <w:overflowPunct/>
        <w:topLinePunct w:val="0"/>
        <w:autoSpaceDE/>
        <w:autoSpaceDN/>
        <w:bidi w:val="0"/>
        <w:adjustRightInd w:val="0"/>
        <w:snapToGrid w:val="0"/>
        <w:spacing w:before="192" w:beforeLines="50"/>
        <w:ind w:firstLine="560"/>
        <w:textAlignment w:val="auto"/>
        <w:rPr>
          <w:color w:val="0000FF"/>
        </w:rPr>
      </w:pPr>
      <w:r>
        <w:rPr>
          <w:color w:val="0000FF"/>
        </w:rPr>
        <w:t>5）剥土工程</w:t>
      </w:r>
    </w:p>
    <w:p w14:paraId="6E59405F">
      <w:pPr>
        <w:ind w:firstLine="560"/>
        <w:rPr>
          <w:color w:val="0000FF"/>
        </w:rPr>
      </w:pPr>
      <w:r>
        <w:rPr>
          <w:color w:val="0000FF"/>
          <w:lang w:val="zh-CN"/>
        </w:rPr>
        <w:t>在前期工作成果的基础上，对矿体施工</w:t>
      </w:r>
      <w:r>
        <w:rPr>
          <w:color w:val="0000FF"/>
        </w:rPr>
        <w:t>剥土</w:t>
      </w:r>
      <w:r>
        <w:rPr>
          <w:color w:val="0000FF"/>
          <w:lang w:val="zh-CN"/>
        </w:rPr>
        <w:t>工程</w:t>
      </w:r>
      <w:r>
        <w:rPr>
          <w:color w:val="0000FF"/>
        </w:rPr>
        <w:t>，设计剥土工程6个。</w:t>
      </w:r>
    </w:p>
    <w:p w14:paraId="4DFD4C07">
      <w:pPr>
        <w:spacing w:line="240" w:lineRule="auto"/>
        <w:ind w:firstLine="0" w:firstLineChars="0"/>
        <w:jc w:val="center"/>
        <w:rPr>
          <w:b/>
          <w:bCs/>
          <w:sz w:val="24"/>
          <w:szCs w:val="24"/>
        </w:rPr>
      </w:pPr>
      <w:r>
        <w:rPr>
          <w:b/>
          <w:bCs/>
          <w:sz w:val="24"/>
          <w:szCs w:val="24"/>
        </w:rPr>
        <w:t>表3-2  剥土工程布置一览表</w:t>
      </w:r>
    </w:p>
    <w:tbl>
      <w:tblPr>
        <w:tblStyle w:val="32"/>
        <w:tblW w:w="7563" w:type="dxa"/>
        <w:jc w:val="center"/>
        <w:tblLayout w:type="fixed"/>
        <w:tblCellMar>
          <w:top w:w="0" w:type="dxa"/>
          <w:left w:w="108" w:type="dxa"/>
          <w:bottom w:w="0" w:type="dxa"/>
          <w:right w:w="108" w:type="dxa"/>
        </w:tblCellMar>
      </w:tblPr>
      <w:tblGrid>
        <w:gridCol w:w="1097"/>
        <w:gridCol w:w="1560"/>
        <w:gridCol w:w="1476"/>
        <w:gridCol w:w="992"/>
        <w:gridCol w:w="1304"/>
        <w:gridCol w:w="1134"/>
      </w:tblGrid>
      <w:tr w14:paraId="1B4A8CF7">
        <w:tblPrEx>
          <w:tblCellMar>
            <w:top w:w="0" w:type="dxa"/>
            <w:left w:w="108" w:type="dxa"/>
            <w:bottom w:w="0" w:type="dxa"/>
            <w:right w:w="108" w:type="dxa"/>
          </w:tblCellMar>
        </w:tblPrEx>
        <w:trPr>
          <w:trHeight w:val="375" w:hRule="atLeast"/>
          <w:tblHeader/>
          <w:jc w:val="center"/>
        </w:trPr>
        <w:tc>
          <w:tcPr>
            <w:tcW w:w="109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AB75AA1">
            <w:pPr>
              <w:widowControl/>
              <w:spacing w:line="240" w:lineRule="auto"/>
              <w:ind w:firstLine="0" w:firstLineChars="0"/>
              <w:jc w:val="center"/>
              <w:rPr>
                <w:kern w:val="0"/>
                <w:sz w:val="24"/>
                <w:szCs w:val="24"/>
              </w:rPr>
            </w:pPr>
            <w:r>
              <w:rPr>
                <w:kern w:val="0"/>
                <w:sz w:val="24"/>
                <w:szCs w:val="24"/>
              </w:rPr>
              <w:t>工程</w:t>
            </w:r>
          </w:p>
          <w:p w14:paraId="69A50CDA">
            <w:pPr>
              <w:widowControl/>
              <w:spacing w:line="240" w:lineRule="auto"/>
              <w:ind w:firstLine="0" w:firstLineChars="0"/>
              <w:jc w:val="center"/>
              <w:rPr>
                <w:kern w:val="0"/>
                <w:sz w:val="24"/>
                <w:szCs w:val="24"/>
              </w:rPr>
            </w:pPr>
            <w:r>
              <w:rPr>
                <w:kern w:val="0"/>
                <w:sz w:val="24"/>
                <w:szCs w:val="24"/>
              </w:rPr>
              <w:t>编号</w:t>
            </w:r>
          </w:p>
        </w:tc>
        <w:tc>
          <w:tcPr>
            <w:tcW w:w="3036" w:type="dxa"/>
            <w:gridSpan w:val="2"/>
            <w:tcBorders>
              <w:top w:val="single" w:color="auto" w:sz="4" w:space="0"/>
              <w:left w:val="nil"/>
              <w:bottom w:val="single" w:color="auto" w:sz="4" w:space="0"/>
              <w:right w:val="single" w:color="auto" w:sz="4" w:space="0"/>
            </w:tcBorders>
            <w:shd w:val="clear" w:color="auto" w:fill="auto"/>
            <w:noWrap/>
            <w:vAlign w:val="center"/>
          </w:tcPr>
          <w:p w14:paraId="055AE98A">
            <w:pPr>
              <w:widowControl/>
              <w:spacing w:line="240" w:lineRule="auto"/>
              <w:ind w:firstLine="0" w:firstLineChars="0"/>
              <w:jc w:val="center"/>
              <w:rPr>
                <w:kern w:val="0"/>
                <w:sz w:val="24"/>
                <w:szCs w:val="24"/>
              </w:rPr>
            </w:pPr>
            <w:r>
              <w:rPr>
                <w:kern w:val="0"/>
                <w:sz w:val="24"/>
                <w:szCs w:val="24"/>
              </w:rPr>
              <w:t>工程坐标（2000）</w:t>
            </w:r>
          </w:p>
        </w:tc>
        <w:tc>
          <w:tcPr>
            <w:tcW w:w="992" w:type="dxa"/>
            <w:vMerge w:val="restart"/>
            <w:tcBorders>
              <w:top w:val="single" w:color="auto" w:sz="4" w:space="0"/>
              <w:left w:val="nil"/>
              <w:right w:val="single" w:color="auto" w:sz="4" w:space="0"/>
            </w:tcBorders>
            <w:shd w:val="clear" w:color="auto" w:fill="auto"/>
            <w:noWrap/>
            <w:vAlign w:val="center"/>
          </w:tcPr>
          <w:p w14:paraId="35A64315">
            <w:pPr>
              <w:widowControl/>
              <w:spacing w:line="240" w:lineRule="auto"/>
              <w:ind w:firstLine="0" w:firstLineChars="0"/>
              <w:jc w:val="center"/>
              <w:rPr>
                <w:kern w:val="0"/>
                <w:sz w:val="24"/>
                <w:szCs w:val="24"/>
              </w:rPr>
            </w:pPr>
            <w:r>
              <w:rPr>
                <w:kern w:val="0"/>
                <w:sz w:val="24"/>
                <w:szCs w:val="24"/>
              </w:rPr>
              <w:t>长度（m）</w:t>
            </w:r>
          </w:p>
        </w:tc>
        <w:tc>
          <w:tcPr>
            <w:tcW w:w="1304" w:type="dxa"/>
            <w:vMerge w:val="restart"/>
            <w:tcBorders>
              <w:top w:val="single" w:color="auto" w:sz="4" w:space="0"/>
              <w:left w:val="nil"/>
              <w:right w:val="single" w:color="auto" w:sz="4" w:space="0"/>
            </w:tcBorders>
            <w:shd w:val="clear" w:color="auto" w:fill="auto"/>
            <w:noWrap/>
            <w:vAlign w:val="center"/>
          </w:tcPr>
          <w:p w14:paraId="68DE6BF0">
            <w:pPr>
              <w:widowControl/>
              <w:spacing w:line="240" w:lineRule="auto"/>
              <w:ind w:firstLine="0" w:firstLineChars="0"/>
              <w:jc w:val="center"/>
              <w:rPr>
                <w:kern w:val="0"/>
                <w:sz w:val="24"/>
                <w:szCs w:val="24"/>
              </w:rPr>
            </w:pPr>
            <w:r>
              <w:rPr>
                <w:kern w:val="0"/>
                <w:sz w:val="24"/>
                <w:szCs w:val="24"/>
              </w:rPr>
              <w:t>累计工作量（m</w:t>
            </w:r>
            <w:r>
              <w:rPr>
                <w:kern w:val="0"/>
                <w:sz w:val="24"/>
                <w:szCs w:val="24"/>
                <w:vertAlign w:val="superscript"/>
              </w:rPr>
              <w:t>3</w:t>
            </w:r>
            <w:r>
              <w:rPr>
                <w:kern w:val="0"/>
                <w:sz w:val="24"/>
                <w:szCs w:val="24"/>
              </w:rPr>
              <w:t>）</w:t>
            </w:r>
          </w:p>
        </w:tc>
        <w:tc>
          <w:tcPr>
            <w:tcW w:w="1134" w:type="dxa"/>
            <w:vMerge w:val="restart"/>
            <w:tcBorders>
              <w:top w:val="single" w:color="auto" w:sz="4" w:space="0"/>
              <w:left w:val="nil"/>
              <w:right w:val="single" w:color="auto" w:sz="4" w:space="0"/>
            </w:tcBorders>
            <w:shd w:val="clear" w:color="auto" w:fill="auto"/>
            <w:noWrap/>
            <w:vAlign w:val="center"/>
          </w:tcPr>
          <w:p w14:paraId="54C6B7C6">
            <w:pPr>
              <w:widowControl/>
              <w:spacing w:line="240" w:lineRule="auto"/>
              <w:ind w:firstLine="0" w:firstLineChars="0"/>
              <w:jc w:val="center"/>
              <w:rPr>
                <w:kern w:val="0"/>
                <w:sz w:val="24"/>
                <w:szCs w:val="24"/>
              </w:rPr>
            </w:pPr>
            <w:r>
              <w:rPr>
                <w:kern w:val="0"/>
                <w:sz w:val="24"/>
                <w:szCs w:val="24"/>
              </w:rPr>
              <w:t>备注</w:t>
            </w:r>
          </w:p>
        </w:tc>
      </w:tr>
      <w:tr w14:paraId="7D7844BD">
        <w:tblPrEx>
          <w:tblCellMar>
            <w:top w:w="0" w:type="dxa"/>
            <w:left w:w="108" w:type="dxa"/>
            <w:bottom w:w="0" w:type="dxa"/>
            <w:right w:w="108" w:type="dxa"/>
          </w:tblCellMar>
        </w:tblPrEx>
        <w:trPr>
          <w:trHeight w:val="435" w:hRule="atLeast"/>
          <w:tblHeader/>
          <w:jc w:val="center"/>
        </w:trPr>
        <w:tc>
          <w:tcPr>
            <w:tcW w:w="1097" w:type="dxa"/>
            <w:vMerge w:val="continue"/>
            <w:tcBorders>
              <w:top w:val="single" w:color="auto" w:sz="4" w:space="0"/>
              <w:left w:val="single" w:color="auto" w:sz="4" w:space="0"/>
              <w:bottom w:val="single" w:color="auto" w:sz="4" w:space="0"/>
              <w:right w:val="single" w:color="auto" w:sz="4" w:space="0"/>
            </w:tcBorders>
            <w:vAlign w:val="center"/>
          </w:tcPr>
          <w:p w14:paraId="1FE006CD">
            <w:pPr>
              <w:widowControl/>
              <w:spacing w:line="240" w:lineRule="auto"/>
              <w:ind w:firstLine="0" w:firstLineChars="0"/>
              <w:jc w:val="left"/>
              <w:rPr>
                <w:kern w:val="0"/>
                <w:sz w:val="24"/>
                <w:szCs w:val="24"/>
              </w:rPr>
            </w:pPr>
          </w:p>
        </w:tc>
        <w:tc>
          <w:tcPr>
            <w:tcW w:w="1560" w:type="dxa"/>
            <w:tcBorders>
              <w:top w:val="nil"/>
              <w:left w:val="nil"/>
              <w:bottom w:val="single" w:color="auto" w:sz="4" w:space="0"/>
              <w:right w:val="single" w:color="auto" w:sz="4" w:space="0"/>
            </w:tcBorders>
            <w:shd w:val="clear" w:color="auto" w:fill="auto"/>
            <w:noWrap/>
            <w:vAlign w:val="center"/>
          </w:tcPr>
          <w:p w14:paraId="42EAEC08">
            <w:pPr>
              <w:widowControl/>
              <w:spacing w:line="240" w:lineRule="auto"/>
              <w:ind w:firstLine="0" w:firstLineChars="0"/>
              <w:jc w:val="center"/>
              <w:rPr>
                <w:kern w:val="0"/>
                <w:sz w:val="24"/>
                <w:szCs w:val="24"/>
              </w:rPr>
            </w:pPr>
            <w:r>
              <w:rPr>
                <w:kern w:val="0"/>
                <w:sz w:val="24"/>
                <w:szCs w:val="24"/>
              </w:rPr>
              <w:t>X</w:t>
            </w:r>
          </w:p>
        </w:tc>
        <w:tc>
          <w:tcPr>
            <w:tcW w:w="1476" w:type="dxa"/>
            <w:tcBorders>
              <w:top w:val="nil"/>
              <w:left w:val="nil"/>
              <w:bottom w:val="single" w:color="auto" w:sz="4" w:space="0"/>
              <w:right w:val="single" w:color="auto" w:sz="4" w:space="0"/>
            </w:tcBorders>
            <w:shd w:val="clear" w:color="auto" w:fill="auto"/>
            <w:noWrap/>
            <w:vAlign w:val="center"/>
          </w:tcPr>
          <w:p w14:paraId="62B869CA">
            <w:pPr>
              <w:widowControl/>
              <w:spacing w:line="240" w:lineRule="auto"/>
              <w:ind w:firstLine="0" w:firstLineChars="0"/>
              <w:jc w:val="center"/>
              <w:rPr>
                <w:kern w:val="0"/>
                <w:sz w:val="24"/>
                <w:szCs w:val="24"/>
              </w:rPr>
            </w:pPr>
            <w:r>
              <w:rPr>
                <w:kern w:val="0"/>
                <w:sz w:val="24"/>
                <w:szCs w:val="24"/>
              </w:rPr>
              <w:t>Y</w:t>
            </w:r>
          </w:p>
        </w:tc>
        <w:tc>
          <w:tcPr>
            <w:tcW w:w="992" w:type="dxa"/>
            <w:vMerge w:val="continue"/>
            <w:tcBorders>
              <w:left w:val="nil"/>
              <w:bottom w:val="single" w:color="auto" w:sz="4" w:space="0"/>
              <w:right w:val="single" w:color="auto" w:sz="4" w:space="0"/>
            </w:tcBorders>
            <w:shd w:val="clear" w:color="auto" w:fill="auto"/>
            <w:noWrap/>
            <w:vAlign w:val="center"/>
          </w:tcPr>
          <w:p w14:paraId="5CCD8DAE">
            <w:pPr>
              <w:widowControl/>
              <w:spacing w:line="240" w:lineRule="auto"/>
              <w:ind w:firstLine="0" w:firstLineChars="0"/>
              <w:jc w:val="center"/>
              <w:rPr>
                <w:kern w:val="0"/>
                <w:sz w:val="24"/>
                <w:szCs w:val="24"/>
              </w:rPr>
            </w:pPr>
          </w:p>
        </w:tc>
        <w:tc>
          <w:tcPr>
            <w:tcW w:w="1304" w:type="dxa"/>
            <w:vMerge w:val="continue"/>
            <w:tcBorders>
              <w:left w:val="nil"/>
              <w:bottom w:val="single" w:color="auto" w:sz="4" w:space="0"/>
              <w:right w:val="single" w:color="auto" w:sz="4" w:space="0"/>
            </w:tcBorders>
            <w:shd w:val="clear" w:color="auto" w:fill="auto"/>
            <w:noWrap/>
            <w:vAlign w:val="center"/>
          </w:tcPr>
          <w:p w14:paraId="0309B0AE">
            <w:pPr>
              <w:widowControl/>
              <w:spacing w:line="240" w:lineRule="auto"/>
              <w:ind w:firstLine="0" w:firstLineChars="0"/>
              <w:jc w:val="center"/>
              <w:rPr>
                <w:kern w:val="0"/>
                <w:sz w:val="24"/>
                <w:szCs w:val="24"/>
              </w:rPr>
            </w:pPr>
          </w:p>
        </w:tc>
        <w:tc>
          <w:tcPr>
            <w:tcW w:w="1134" w:type="dxa"/>
            <w:vMerge w:val="continue"/>
            <w:tcBorders>
              <w:left w:val="nil"/>
              <w:bottom w:val="single" w:color="auto" w:sz="4" w:space="0"/>
              <w:right w:val="single" w:color="auto" w:sz="4" w:space="0"/>
            </w:tcBorders>
            <w:shd w:val="clear" w:color="auto" w:fill="auto"/>
            <w:noWrap/>
            <w:vAlign w:val="center"/>
          </w:tcPr>
          <w:p w14:paraId="495BDAE1">
            <w:pPr>
              <w:widowControl/>
              <w:spacing w:line="240" w:lineRule="auto"/>
              <w:ind w:firstLine="0" w:firstLineChars="0"/>
              <w:rPr>
                <w:kern w:val="0"/>
                <w:sz w:val="24"/>
                <w:szCs w:val="24"/>
              </w:rPr>
            </w:pPr>
          </w:p>
        </w:tc>
      </w:tr>
      <w:tr w14:paraId="6B8A0E08">
        <w:tblPrEx>
          <w:tblCellMar>
            <w:top w:w="0" w:type="dxa"/>
            <w:left w:w="108" w:type="dxa"/>
            <w:bottom w:w="0" w:type="dxa"/>
            <w:right w:w="108" w:type="dxa"/>
          </w:tblCellMar>
        </w:tblPrEx>
        <w:trPr>
          <w:trHeight w:val="375" w:hRule="atLeast"/>
          <w:jc w:val="center"/>
        </w:trPr>
        <w:tc>
          <w:tcPr>
            <w:tcW w:w="1097" w:type="dxa"/>
            <w:vMerge w:val="restart"/>
            <w:tcBorders>
              <w:top w:val="nil"/>
              <w:left w:val="single" w:color="auto" w:sz="4" w:space="0"/>
              <w:right w:val="single" w:color="auto" w:sz="4" w:space="0"/>
            </w:tcBorders>
            <w:shd w:val="clear" w:color="auto" w:fill="auto"/>
            <w:noWrap/>
            <w:vAlign w:val="center"/>
          </w:tcPr>
          <w:p w14:paraId="3752A950">
            <w:pPr>
              <w:widowControl/>
              <w:spacing w:line="240" w:lineRule="auto"/>
              <w:ind w:firstLine="0" w:firstLineChars="0"/>
              <w:jc w:val="center"/>
              <w:rPr>
                <w:rFonts w:ascii="Times New Roman" w:hAnsi="Times New Roman" w:eastAsia="仿宋" w:cs="Times New Roman"/>
                <w:kern w:val="0"/>
                <w:sz w:val="24"/>
                <w:szCs w:val="24"/>
                <w:lang w:val="en-US" w:eastAsia="zh-CN" w:bidi="ar-SA"/>
              </w:rPr>
            </w:pPr>
            <w:r>
              <w:rPr>
                <w:kern w:val="0"/>
                <w:sz w:val="24"/>
                <w:szCs w:val="24"/>
              </w:rPr>
              <w:t>BT</w:t>
            </w:r>
            <w:r>
              <w:rPr>
                <w:rFonts w:hint="eastAsia"/>
                <w:kern w:val="0"/>
                <w:sz w:val="24"/>
                <w:szCs w:val="24"/>
                <w:lang w:val="en-US" w:eastAsia="zh-CN"/>
              </w:rPr>
              <w:t>1</w:t>
            </w:r>
            <w:r>
              <w:rPr>
                <w:kern w:val="0"/>
                <w:sz w:val="24"/>
                <w:szCs w:val="24"/>
              </w:rPr>
              <w:t>01</w:t>
            </w:r>
          </w:p>
        </w:tc>
        <w:tc>
          <w:tcPr>
            <w:tcW w:w="1560" w:type="dxa"/>
            <w:tcBorders>
              <w:top w:val="nil"/>
              <w:left w:val="nil"/>
              <w:bottom w:val="single" w:color="auto" w:sz="4" w:space="0"/>
              <w:right w:val="single" w:color="auto" w:sz="4" w:space="0"/>
            </w:tcBorders>
            <w:shd w:val="clear" w:color="auto" w:fill="auto"/>
            <w:noWrap/>
            <w:vAlign w:val="center"/>
          </w:tcPr>
          <w:p w14:paraId="5ED3EA06">
            <w:pPr>
              <w:spacing w:line="240" w:lineRule="auto"/>
              <w:ind w:firstLine="0" w:firstLineChars="0"/>
              <w:jc w:val="center"/>
              <w:rPr>
                <w:rFonts w:ascii="Times New Roman" w:hAnsi="Times New Roman" w:eastAsia="仿宋" w:cs="Times New Roman"/>
                <w:kern w:val="0"/>
                <w:sz w:val="24"/>
                <w:szCs w:val="24"/>
                <w:lang w:val="en-US" w:eastAsia="zh-CN" w:bidi="ar-SA"/>
              </w:rPr>
            </w:pPr>
            <w:r>
              <w:rPr>
                <w:kern w:val="0"/>
                <w:sz w:val="24"/>
                <w:szCs w:val="24"/>
              </w:rPr>
              <w:t>2455000.00</w:t>
            </w:r>
          </w:p>
        </w:tc>
        <w:tc>
          <w:tcPr>
            <w:tcW w:w="1476" w:type="dxa"/>
            <w:tcBorders>
              <w:top w:val="nil"/>
              <w:left w:val="nil"/>
              <w:bottom w:val="single" w:color="auto" w:sz="4" w:space="0"/>
              <w:right w:val="single" w:color="auto" w:sz="4" w:space="0"/>
            </w:tcBorders>
            <w:shd w:val="clear" w:color="auto" w:fill="auto"/>
            <w:noWrap/>
            <w:vAlign w:val="center"/>
          </w:tcPr>
          <w:p w14:paraId="676A259D">
            <w:pPr>
              <w:spacing w:line="240" w:lineRule="auto"/>
              <w:ind w:firstLine="0" w:firstLineChars="0"/>
              <w:jc w:val="center"/>
              <w:rPr>
                <w:rFonts w:ascii="Times New Roman" w:hAnsi="Times New Roman" w:eastAsia="仿宋" w:cs="Times New Roman"/>
                <w:kern w:val="0"/>
                <w:sz w:val="24"/>
                <w:szCs w:val="24"/>
                <w:lang w:val="en-US" w:eastAsia="zh-CN" w:bidi="ar-SA"/>
              </w:rPr>
            </w:pPr>
            <w:r>
              <w:rPr>
                <w:kern w:val="0"/>
                <w:sz w:val="24"/>
                <w:szCs w:val="24"/>
              </w:rPr>
              <w:t>36492135.56</w:t>
            </w:r>
          </w:p>
        </w:tc>
        <w:tc>
          <w:tcPr>
            <w:tcW w:w="992" w:type="dxa"/>
            <w:vMerge w:val="restart"/>
            <w:tcBorders>
              <w:top w:val="nil"/>
              <w:left w:val="single" w:color="auto" w:sz="4" w:space="0"/>
              <w:right w:val="single" w:color="auto" w:sz="4" w:space="0"/>
            </w:tcBorders>
            <w:shd w:val="clear" w:color="auto" w:fill="auto"/>
            <w:noWrap/>
            <w:vAlign w:val="center"/>
          </w:tcPr>
          <w:p w14:paraId="17E380DE">
            <w:pPr>
              <w:widowControl/>
              <w:spacing w:line="240" w:lineRule="auto"/>
              <w:ind w:firstLine="0" w:firstLineChars="0"/>
              <w:jc w:val="center"/>
              <w:rPr>
                <w:rFonts w:hint="default" w:eastAsia="仿宋"/>
                <w:kern w:val="0"/>
                <w:sz w:val="24"/>
                <w:szCs w:val="24"/>
                <w:lang w:val="en-US" w:eastAsia="zh-CN"/>
              </w:rPr>
            </w:pPr>
            <w:r>
              <w:rPr>
                <w:rFonts w:hint="eastAsia"/>
                <w:kern w:val="0"/>
                <w:sz w:val="24"/>
                <w:szCs w:val="24"/>
                <w:lang w:val="en-US" w:eastAsia="zh-CN"/>
              </w:rPr>
              <w:t>883</w:t>
            </w:r>
          </w:p>
        </w:tc>
        <w:tc>
          <w:tcPr>
            <w:tcW w:w="1304" w:type="dxa"/>
            <w:tcBorders>
              <w:top w:val="nil"/>
              <w:left w:val="single" w:color="auto" w:sz="4" w:space="0"/>
              <w:right w:val="single" w:color="auto" w:sz="4" w:space="0"/>
            </w:tcBorders>
            <w:shd w:val="clear" w:color="auto" w:fill="auto"/>
            <w:noWrap/>
            <w:vAlign w:val="center"/>
          </w:tcPr>
          <w:p w14:paraId="2645CE15">
            <w:pPr>
              <w:widowControl/>
              <w:spacing w:line="240" w:lineRule="auto"/>
              <w:ind w:firstLine="0" w:firstLineChars="0"/>
              <w:jc w:val="center"/>
              <w:rPr>
                <w:kern w:val="0"/>
                <w:sz w:val="24"/>
                <w:szCs w:val="24"/>
              </w:rPr>
            </w:pPr>
          </w:p>
        </w:tc>
        <w:tc>
          <w:tcPr>
            <w:tcW w:w="1134" w:type="dxa"/>
            <w:tcBorders>
              <w:top w:val="nil"/>
              <w:left w:val="nil"/>
              <w:bottom w:val="single" w:color="auto" w:sz="4" w:space="0"/>
              <w:right w:val="single" w:color="auto" w:sz="4" w:space="0"/>
            </w:tcBorders>
            <w:shd w:val="clear" w:color="auto" w:fill="auto"/>
            <w:noWrap/>
            <w:vAlign w:val="center"/>
          </w:tcPr>
          <w:p w14:paraId="378700C0">
            <w:pPr>
              <w:widowControl/>
              <w:spacing w:line="240" w:lineRule="auto"/>
              <w:ind w:firstLine="0" w:firstLineChars="0"/>
              <w:jc w:val="center"/>
              <w:rPr>
                <w:rFonts w:ascii="Times New Roman" w:hAnsi="Times New Roman" w:eastAsia="仿宋" w:cs="Times New Roman"/>
                <w:kern w:val="0"/>
                <w:sz w:val="24"/>
                <w:szCs w:val="24"/>
                <w:lang w:val="en-US" w:eastAsia="zh-CN" w:bidi="ar-SA"/>
              </w:rPr>
            </w:pPr>
            <w:r>
              <w:rPr>
                <w:kern w:val="0"/>
                <w:sz w:val="24"/>
                <w:szCs w:val="24"/>
              </w:rPr>
              <w:t>起点</w:t>
            </w:r>
          </w:p>
        </w:tc>
      </w:tr>
      <w:tr w14:paraId="1D8D21C7">
        <w:tblPrEx>
          <w:tblCellMar>
            <w:top w:w="0" w:type="dxa"/>
            <w:left w:w="108" w:type="dxa"/>
            <w:bottom w:w="0" w:type="dxa"/>
            <w:right w:w="108" w:type="dxa"/>
          </w:tblCellMar>
        </w:tblPrEx>
        <w:trPr>
          <w:trHeight w:val="375" w:hRule="atLeast"/>
          <w:jc w:val="center"/>
        </w:trPr>
        <w:tc>
          <w:tcPr>
            <w:tcW w:w="1097" w:type="dxa"/>
            <w:vMerge w:val="continue"/>
            <w:tcBorders>
              <w:left w:val="single" w:color="auto" w:sz="4" w:space="0"/>
              <w:bottom w:val="single" w:color="auto" w:sz="4" w:space="0"/>
              <w:right w:val="single" w:color="auto" w:sz="4" w:space="0"/>
            </w:tcBorders>
            <w:shd w:val="clear" w:color="auto" w:fill="auto"/>
            <w:noWrap/>
            <w:vAlign w:val="center"/>
          </w:tcPr>
          <w:p w14:paraId="09C64E2A">
            <w:pPr>
              <w:widowControl/>
              <w:spacing w:line="240" w:lineRule="auto"/>
              <w:ind w:firstLine="0" w:firstLineChars="0"/>
              <w:jc w:val="center"/>
              <w:rPr>
                <w:kern w:val="0"/>
                <w:sz w:val="24"/>
                <w:szCs w:val="24"/>
              </w:rPr>
            </w:pPr>
          </w:p>
        </w:tc>
        <w:tc>
          <w:tcPr>
            <w:tcW w:w="1560" w:type="dxa"/>
            <w:tcBorders>
              <w:top w:val="nil"/>
              <w:left w:val="nil"/>
              <w:bottom w:val="single" w:color="auto" w:sz="4" w:space="0"/>
              <w:right w:val="single" w:color="auto" w:sz="4" w:space="0"/>
            </w:tcBorders>
            <w:shd w:val="clear" w:color="auto" w:fill="auto"/>
            <w:noWrap/>
            <w:vAlign w:val="center"/>
          </w:tcPr>
          <w:p w14:paraId="0BD7F1CA">
            <w:pPr>
              <w:widowControl/>
              <w:spacing w:line="240" w:lineRule="auto"/>
              <w:ind w:firstLine="0" w:firstLineChars="0"/>
              <w:jc w:val="center"/>
              <w:rPr>
                <w:rFonts w:ascii="Times New Roman" w:hAnsi="Times New Roman" w:eastAsia="仿宋" w:cs="Times New Roman"/>
                <w:kern w:val="0"/>
                <w:sz w:val="24"/>
                <w:szCs w:val="24"/>
                <w:lang w:val="en-US" w:eastAsia="zh-CN" w:bidi="ar-SA"/>
              </w:rPr>
            </w:pPr>
            <w:r>
              <w:rPr>
                <w:kern w:val="0"/>
                <w:sz w:val="24"/>
                <w:szCs w:val="24"/>
              </w:rPr>
              <w:t>2454218.97</w:t>
            </w:r>
          </w:p>
        </w:tc>
        <w:tc>
          <w:tcPr>
            <w:tcW w:w="1476" w:type="dxa"/>
            <w:tcBorders>
              <w:top w:val="nil"/>
              <w:left w:val="nil"/>
              <w:bottom w:val="single" w:color="auto" w:sz="4" w:space="0"/>
              <w:right w:val="single" w:color="auto" w:sz="4" w:space="0"/>
            </w:tcBorders>
            <w:shd w:val="clear" w:color="auto" w:fill="auto"/>
            <w:noWrap/>
            <w:vAlign w:val="center"/>
          </w:tcPr>
          <w:p w14:paraId="264292BE">
            <w:pPr>
              <w:widowControl/>
              <w:spacing w:line="240" w:lineRule="auto"/>
              <w:ind w:firstLine="0" w:firstLineChars="0"/>
              <w:jc w:val="center"/>
              <w:rPr>
                <w:rFonts w:ascii="Times New Roman" w:hAnsi="Times New Roman" w:eastAsia="仿宋" w:cs="Times New Roman"/>
                <w:kern w:val="0"/>
                <w:sz w:val="24"/>
                <w:szCs w:val="24"/>
                <w:lang w:val="en-US" w:eastAsia="zh-CN" w:bidi="ar-SA"/>
              </w:rPr>
            </w:pPr>
            <w:r>
              <w:rPr>
                <w:kern w:val="0"/>
                <w:sz w:val="24"/>
                <w:szCs w:val="24"/>
              </w:rPr>
              <w:t>36492407.76</w:t>
            </w:r>
          </w:p>
        </w:tc>
        <w:tc>
          <w:tcPr>
            <w:tcW w:w="992" w:type="dxa"/>
            <w:vMerge w:val="continue"/>
            <w:tcBorders>
              <w:left w:val="single" w:color="auto" w:sz="4" w:space="0"/>
              <w:bottom w:val="single" w:color="auto" w:sz="4" w:space="0"/>
              <w:right w:val="single" w:color="auto" w:sz="4" w:space="0"/>
            </w:tcBorders>
            <w:shd w:val="clear" w:color="auto" w:fill="auto"/>
            <w:noWrap/>
            <w:vAlign w:val="center"/>
          </w:tcPr>
          <w:p w14:paraId="35D2EB65">
            <w:pPr>
              <w:widowControl/>
              <w:spacing w:line="240" w:lineRule="auto"/>
              <w:ind w:firstLine="0" w:firstLineChars="0"/>
              <w:jc w:val="center"/>
              <w:rPr>
                <w:kern w:val="0"/>
                <w:sz w:val="24"/>
                <w:szCs w:val="24"/>
              </w:rPr>
            </w:pPr>
          </w:p>
        </w:tc>
        <w:tc>
          <w:tcPr>
            <w:tcW w:w="1304" w:type="dxa"/>
            <w:tcBorders>
              <w:top w:val="nil"/>
              <w:left w:val="single" w:color="auto" w:sz="4" w:space="0"/>
              <w:right w:val="single" w:color="auto" w:sz="4" w:space="0"/>
            </w:tcBorders>
            <w:shd w:val="clear" w:color="auto" w:fill="auto"/>
            <w:noWrap/>
            <w:vAlign w:val="center"/>
          </w:tcPr>
          <w:p w14:paraId="68F50479">
            <w:pPr>
              <w:widowControl/>
              <w:spacing w:line="240" w:lineRule="auto"/>
              <w:ind w:firstLine="0" w:firstLineChars="0"/>
              <w:jc w:val="center"/>
              <w:rPr>
                <w:kern w:val="0"/>
                <w:sz w:val="24"/>
                <w:szCs w:val="24"/>
              </w:rPr>
            </w:pPr>
          </w:p>
        </w:tc>
        <w:tc>
          <w:tcPr>
            <w:tcW w:w="1134" w:type="dxa"/>
            <w:tcBorders>
              <w:top w:val="nil"/>
              <w:left w:val="nil"/>
              <w:bottom w:val="single" w:color="auto" w:sz="4" w:space="0"/>
              <w:right w:val="single" w:color="auto" w:sz="4" w:space="0"/>
            </w:tcBorders>
            <w:shd w:val="clear" w:color="auto" w:fill="auto"/>
            <w:noWrap/>
            <w:vAlign w:val="bottom"/>
          </w:tcPr>
          <w:p w14:paraId="6991B5E8">
            <w:pPr>
              <w:widowControl/>
              <w:spacing w:line="240" w:lineRule="auto"/>
              <w:ind w:firstLine="0" w:firstLineChars="0"/>
              <w:jc w:val="center"/>
              <w:rPr>
                <w:rFonts w:ascii="Times New Roman" w:hAnsi="Times New Roman" w:eastAsia="仿宋" w:cs="Times New Roman"/>
                <w:kern w:val="0"/>
                <w:sz w:val="24"/>
                <w:szCs w:val="24"/>
                <w:lang w:val="en-US" w:eastAsia="zh-CN" w:bidi="ar-SA"/>
              </w:rPr>
            </w:pPr>
            <w:r>
              <w:rPr>
                <w:kern w:val="0"/>
                <w:sz w:val="24"/>
                <w:szCs w:val="24"/>
              </w:rPr>
              <w:t>终点</w:t>
            </w:r>
          </w:p>
        </w:tc>
      </w:tr>
      <w:tr w14:paraId="51E5DE3B">
        <w:tblPrEx>
          <w:tblCellMar>
            <w:top w:w="0" w:type="dxa"/>
            <w:left w:w="108" w:type="dxa"/>
            <w:bottom w:w="0" w:type="dxa"/>
            <w:right w:w="108" w:type="dxa"/>
          </w:tblCellMar>
        </w:tblPrEx>
        <w:trPr>
          <w:trHeight w:val="375" w:hRule="atLeast"/>
          <w:jc w:val="center"/>
        </w:trPr>
        <w:tc>
          <w:tcPr>
            <w:tcW w:w="1097" w:type="dxa"/>
            <w:vMerge w:val="restart"/>
            <w:tcBorders>
              <w:top w:val="nil"/>
              <w:left w:val="single" w:color="auto" w:sz="4" w:space="0"/>
              <w:bottom w:val="single" w:color="auto" w:sz="4" w:space="0"/>
              <w:right w:val="single" w:color="auto" w:sz="4" w:space="0"/>
            </w:tcBorders>
            <w:shd w:val="clear" w:color="auto" w:fill="auto"/>
            <w:noWrap/>
            <w:vAlign w:val="center"/>
          </w:tcPr>
          <w:p w14:paraId="57C7AE37">
            <w:pPr>
              <w:widowControl/>
              <w:spacing w:line="240" w:lineRule="auto"/>
              <w:ind w:firstLine="0" w:firstLineChars="0"/>
              <w:jc w:val="center"/>
              <w:rPr>
                <w:kern w:val="0"/>
                <w:sz w:val="24"/>
                <w:szCs w:val="24"/>
              </w:rPr>
            </w:pPr>
            <w:r>
              <w:rPr>
                <w:kern w:val="0"/>
                <w:sz w:val="24"/>
                <w:szCs w:val="24"/>
              </w:rPr>
              <w:t>BT</w:t>
            </w:r>
            <w:r>
              <w:rPr>
                <w:rFonts w:hint="eastAsia"/>
                <w:kern w:val="0"/>
                <w:sz w:val="24"/>
                <w:szCs w:val="24"/>
                <w:lang w:val="en-US" w:eastAsia="zh-CN"/>
              </w:rPr>
              <w:t>3</w:t>
            </w:r>
            <w:r>
              <w:rPr>
                <w:kern w:val="0"/>
                <w:sz w:val="24"/>
                <w:szCs w:val="24"/>
              </w:rPr>
              <w:t>01</w:t>
            </w:r>
          </w:p>
        </w:tc>
        <w:tc>
          <w:tcPr>
            <w:tcW w:w="1560" w:type="dxa"/>
            <w:tcBorders>
              <w:top w:val="nil"/>
              <w:left w:val="nil"/>
              <w:bottom w:val="single" w:color="auto" w:sz="4" w:space="0"/>
              <w:right w:val="single" w:color="auto" w:sz="4" w:space="0"/>
            </w:tcBorders>
            <w:shd w:val="clear" w:color="auto" w:fill="auto"/>
            <w:noWrap/>
            <w:vAlign w:val="center"/>
          </w:tcPr>
          <w:p w14:paraId="27E60903">
            <w:pPr>
              <w:widowControl/>
              <w:spacing w:line="240" w:lineRule="auto"/>
              <w:ind w:firstLine="0" w:firstLineChars="0"/>
              <w:jc w:val="center"/>
              <w:rPr>
                <w:kern w:val="0"/>
                <w:sz w:val="24"/>
                <w:szCs w:val="24"/>
              </w:rPr>
            </w:pPr>
            <w:r>
              <w:rPr>
                <w:kern w:val="0"/>
                <w:sz w:val="24"/>
                <w:szCs w:val="24"/>
              </w:rPr>
              <w:t>2455289.95</w:t>
            </w:r>
          </w:p>
        </w:tc>
        <w:tc>
          <w:tcPr>
            <w:tcW w:w="1476" w:type="dxa"/>
            <w:tcBorders>
              <w:top w:val="nil"/>
              <w:left w:val="nil"/>
              <w:bottom w:val="single" w:color="auto" w:sz="4" w:space="0"/>
              <w:right w:val="single" w:color="auto" w:sz="4" w:space="0"/>
            </w:tcBorders>
            <w:shd w:val="clear" w:color="auto" w:fill="auto"/>
            <w:noWrap/>
            <w:vAlign w:val="center"/>
          </w:tcPr>
          <w:p w14:paraId="30A4FDE6">
            <w:pPr>
              <w:widowControl/>
              <w:spacing w:line="240" w:lineRule="auto"/>
              <w:ind w:firstLine="0" w:firstLineChars="0"/>
              <w:jc w:val="center"/>
              <w:rPr>
                <w:kern w:val="0"/>
                <w:sz w:val="24"/>
                <w:szCs w:val="24"/>
              </w:rPr>
            </w:pPr>
            <w:r>
              <w:rPr>
                <w:kern w:val="0"/>
                <w:sz w:val="24"/>
                <w:szCs w:val="24"/>
              </w:rPr>
              <w:t>36491610.23</w:t>
            </w:r>
          </w:p>
        </w:tc>
        <w:tc>
          <w:tcPr>
            <w:tcW w:w="992" w:type="dxa"/>
            <w:vMerge w:val="restart"/>
            <w:tcBorders>
              <w:top w:val="nil"/>
              <w:left w:val="single" w:color="auto" w:sz="4" w:space="0"/>
              <w:bottom w:val="single" w:color="auto" w:sz="4" w:space="0"/>
              <w:right w:val="single" w:color="auto" w:sz="4" w:space="0"/>
            </w:tcBorders>
            <w:shd w:val="clear" w:color="auto" w:fill="auto"/>
            <w:noWrap/>
            <w:vAlign w:val="center"/>
          </w:tcPr>
          <w:p w14:paraId="5C464A22">
            <w:pPr>
              <w:widowControl/>
              <w:spacing w:line="240" w:lineRule="auto"/>
              <w:ind w:firstLine="0" w:firstLineChars="0"/>
              <w:jc w:val="center"/>
              <w:rPr>
                <w:kern w:val="0"/>
                <w:sz w:val="24"/>
                <w:szCs w:val="24"/>
              </w:rPr>
            </w:pPr>
            <w:r>
              <w:rPr>
                <w:kern w:val="0"/>
                <w:sz w:val="24"/>
                <w:szCs w:val="24"/>
              </w:rPr>
              <w:t>1271</w:t>
            </w:r>
          </w:p>
        </w:tc>
        <w:tc>
          <w:tcPr>
            <w:tcW w:w="1304" w:type="dxa"/>
            <w:vMerge w:val="restart"/>
            <w:tcBorders>
              <w:top w:val="nil"/>
              <w:left w:val="single" w:color="auto" w:sz="4" w:space="0"/>
              <w:right w:val="single" w:color="auto" w:sz="4" w:space="0"/>
            </w:tcBorders>
            <w:shd w:val="clear" w:color="auto" w:fill="auto"/>
            <w:noWrap/>
            <w:vAlign w:val="center"/>
          </w:tcPr>
          <w:p w14:paraId="08030B10">
            <w:pPr>
              <w:widowControl/>
              <w:spacing w:line="240" w:lineRule="auto"/>
              <w:ind w:firstLine="0" w:firstLineChars="0"/>
              <w:jc w:val="center"/>
              <w:rPr>
                <w:kern w:val="0"/>
                <w:sz w:val="24"/>
                <w:szCs w:val="24"/>
              </w:rPr>
            </w:pPr>
            <w:r>
              <w:rPr>
                <w:kern w:val="0"/>
                <w:sz w:val="24"/>
                <w:szCs w:val="24"/>
              </w:rPr>
              <w:t>2000</w:t>
            </w:r>
          </w:p>
        </w:tc>
        <w:tc>
          <w:tcPr>
            <w:tcW w:w="1134" w:type="dxa"/>
            <w:tcBorders>
              <w:top w:val="nil"/>
              <w:left w:val="nil"/>
              <w:bottom w:val="single" w:color="auto" w:sz="4" w:space="0"/>
              <w:right w:val="single" w:color="auto" w:sz="4" w:space="0"/>
            </w:tcBorders>
            <w:shd w:val="clear" w:color="auto" w:fill="auto"/>
            <w:noWrap/>
            <w:vAlign w:val="center"/>
          </w:tcPr>
          <w:p w14:paraId="5AA63BB8">
            <w:pPr>
              <w:widowControl/>
              <w:spacing w:line="240" w:lineRule="auto"/>
              <w:ind w:firstLine="0" w:firstLineChars="0"/>
              <w:jc w:val="center"/>
              <w:rPr>
                <w:kern w:val="0"/>
                <w:sz w:val="24"/>
                <w:szCs w:val="24"/>
              </w:rPr>
            </w:pPr>
            <w:r>
              <w:rPr>
                <w:kern w:val="0"/>
                <w:sz w:val="24"/>
                <w:szCs w:val="24"/>
              </w:rPr>
              <w:t>起点</w:t>
            </w:r>
          </w:p>
        </w:tc>
      </w:tr>
      <w:tr w14:paraId="7BBFD258">
        <w:tblPrEx>
          <w:tblCellMar>
            <w:top w:w="0" w:type="dxa"/>
            <w:left w:w="108" w:type="dxa"/>
            <w:bottom w:w="0" w:type="dxa"/>
            <w:right w:w="108" w:type="dxa"/>
          </w:tblCellMar>
        </w:tblPrEx>
        <w:trPr>
          <w:trHeight w:val="375" w:hRule="atLeast"/>
          <w:jc w:val="center"/>
        </w:trPr>
        <w:tc>
          <w:tcPr>
            <w:tcW w:w="1097" w:type="dxa"/>
            <w:vMerge w:val="continue"/>
            <w:tcBorders>
              <w:top w:val="nil"/>
              <w:left w:val="single" w:color="auto" w:sz="4" w:space="0"/>
              <w:bottom w:val="single" w:color="auto" w:sz="4" w:space="0"/>
              <w:right w:val="single" w:color="auto" w:sz="4" w:space="0"/>
            </w:tcBorders>
            <w:vAlign w:val="center"/>
          </w:tcPr>
          <w:p w14:paraId="50116CDD">
            <w:pPr>
              <w:widowControl/>
              <w:spacing w:line="240" w:lineRule="auto"/>
              <w:ind w:firstLine="0" w:firstLineChars="0"/>
              <w:jc w:val="left"/>
              <w:rPr>
                <w:kern w:val="0"/>
                <w:sz w:val="24"/>
                <w:szCs w:val="24"/>
              </w:rPr>
            </w:pPr>
          </w:p>
        </w:tc>
        <w:tc>
          <w:tcPr>
            <w:tcW w:w="1560" w:type="dxa"/>
            <w:tcBorders>
              <w:top w:val="nil"/>
              <w:left w:val="nil"/>
              <w:bottom w:val="single" w:color="auto" w:sz="4" w:space="0"/>
              <w:right w:val="single" w:color="auto" w:sz="4" w:space="0"/>
            </w:tcBorders>
            <w:shd w:val="clear" w:color="auto" w:fill="auto"/>
            <w:noWrap/>
            <w:vAlign w:val="center"/>
          </w:tcPr>
          <w:p w14:paraId="63F99A22">
            <w:pPr>
              <w:widowControl/>
              <w:spacing w:line="240" w:lineRule="auto"/>
              <w:ind w:firstLine="0" w:firstLineChars="0"/>
              <w:jc w:val="center"/>
              <w:rPr>
                <w:kern w:val="0"/>
                <w:sz w:val="24"/>
                <w:szCs w:val="24"/>
              </w:rPr>
            </w:pPr>
            <w:r>
              <w:rPr>
                <w:kern w:val="0"/>
                <w:sz w:val="24"/>
                <w:szCs w:val="24"/>
              </w:rPr>
              <w:t>2454142.52</w:t>
            </w:r>
          </w:p>
        </w:tc>
        <w:tc>
          <w:tcPr>
            <w:tcW w:w="1476" w:type="dxa"/>
            <w:tcBorders>
              <w:top w:val="nil"/>
              <w:left w:val="nil"/>
              <w:bottom w:val="single" w:color="auto" w:sz="4" w:space="0"/>
              <w:right w:val="single" w:color="auto" w:sz="4" w:space="0"/>
            </w:tcBorders>
            <w:shd w:val="clear" w:color="auto" w:fill="auto"/>
            <w:noWrap/>
            <w:vAlign w:val="center"/>
          </w:tcPr>
          <w:p w14:paraId="4E94AC49">
            <w:pPr>
              <w:widowControl/>
              <w:spacing w:line="240" w:lineRule="auto"/>
              <w:ind w:firstLine="0" w:firstLineChars="0"/>
              <w:jc w:val="center"/>
              <w:rPr>
                <w:kern w:val="0"/>
                <w:sz w:val="24"/>
                <w:szCs w:val="24"/>
              </w:rPr>
            </w:pPr>
            <w:r>
              <w:rPr>
                <w:kern w:val="0"/>
                <w:sz w:val="24"/>
                <w:szCs w:val="24"/>
              </w:rPr>
              <w:t>36492010.27</w:t>
            </w:r>
          </w:p>
        </w:tc>
        <w:tc>
          <w:tcPr>
            <w:tcW w:w="992" w:type="dxa"/>
            <w:vMerge w:val="continue"/>
            <w:tcBorders>
              <w:top w:val="nil"/>
              <w:left w:val="single" w:color="auto" w:sz="4" w:space="0"/>
              <w:bottom w:val="single" w:color="auto" w:sz="4" w:space="0"/>
              <w:right w:val="single" w:color="auto" w:sz="4" w:space="0"/>
            </w:tcBorders>
            <w:vAlign w:val="center"/>
          </w:tcPr>
          <w:p w14:paraId="38A3767E">
            <w:pPr>
              <w:widowControl/>
              <w:spacing w:line="240" w:lineRule="auto"/>
              <w:ind w:firstLine="0" w:firstLineChars="0"/>
              <w:jc w:val="left"/>
              <w:rPr>
                <w:kern w:val="0"/>
                <w:sz w:val="24"/>
                <w:szCs w:val="24"/>
              </w:rPr>
            </w:pPr>
          </w:p>
        </w:tc>
        <w:tc>
          <w:tcPr>
            <w:tcW w:w="1304" w:type="dxa"/>
            <w:vMerge w:val="continue"/>
            <w:tcBorders>
              <w:left w:val="single" w:color="auto" w:sz="4" w:space="0"/>
              <w:right w:val="single" w:color="auto" w:sz="4" w:space="0"/>
            </w:tcBorders>
            <w:vAlign w:val="center"/>
          </w:tcPr>
          <w:p w14:paraId="725E9793">
            <w:pPr>
              <w:widowControl/>
              <w:spacing w:line="240" w:lineRule="auto"/>
              <w:ind w:firstLine="0" w:firstLineChars="0"/>
              <w:jc w:val="left"/>
              <w:rPr>
                <w:kern w:val="0"/>
                <w:sz w:val="24"/>
                <w:szCs w:val="24"/>
              </w:rPr>
            </w:pPr>
          </w:p>
        </w:tc>
        <w:tc>
          <w:tcPr>
            <w:tcW w:w="1134" w:type="dxa"/>
            <w:tcBorders>
              <w:top w:val="nil"/>
              <w:left w:val="nil"/>
              <w:bottom w:val="single" w:color="auto" w:sz="4" w:space="0"/>
              <w:right w:val="single" w:color="auto" w:sz="4" w:space="0"/>
            </w:tcBorders>
            <w:shd w:val="clear" w:color="auto" w:fill="auto"/>
            <w:noWrap/>
            <w:vAlign w:val="bottom"/>
          </w:tcPr>
          <w:p w14:paraId="0E8784FD">
            <w:pPr>
              <w:widowControl/>
              <w:spacing w:line="240" w:lineRule="auto"/>
              <w:ind w:firstLine="0" w:firstLineChars="0"/>
              <w:jc w:val="center"/>
              <w:rPr>
                <w:kern w:val="0"/>
                <w:sz w:val="24"/>
                <w:szCs w:val="24"/>
              </w:rPr>
            </w:pPr>
            <w:r>
              <w:rPr>
                <w:kern w:val="0"/>
                <w:sz w:val="24"/>
                <w:szCs w:val="24"/>
              </w:rPr>
              <w:t>终点</w:t>
            </w:r>
          </w:p>
        </w:tc>
      </w:tr>
      <w:tr w14:paraId="6E466C7C">
        <w:tblPrEx>
          <w:tblCellMar>
            <w:top w:w="0" w:type="dxa"/>
            <w:left w:w="108" w:type="dxa"/>
            <w:bottom w:w="0" w:type="dxa"/>
            <w:right w:w="108" w:type="dxa"/>
          </w:tblCellMar>
        </w:tblPrEx>
        <w:trPr>
          <w:trHeight w:val="375" w:hRule="atLeast"/>
          <w:jc w:val="center"/>
        </w:trPr>
        <w:tc>
          <w:tcPr>
            <w:tcW w:w="1097" w:type="dxa"/>
            <w:vMerge w:val="restart"/>
            <w:tcBorders>
              <w:top w:val="nil"/>
              <w:left w:val="single" w:color="auto" w:sz="4" w:space="0"/>
              <w:bottom w:val="single" w:color="auto" w:sz="4" w:space="0"/>
              <w:right w:val="single" w:color="auto" w:sz="4" w:space="0"/>
            </w:tcBorders>
            <w:shd w:val="clear" w:color="auto" w:fill="auto"/>
            <w:noWrap/>
            <w:vAlign w:val="center"/>
          </w:tcPr>
          <w:p w14:paraId="3DE7F25B">
            <w:pPr>
              <w:widowControl/>
              <w:spacing w:line="240" w:lineRule="auto"/>
              <w:ind w:firstLine="0" w:firstLineChars="0"/>
              <w:jc w:val="center"/>
              <w:rPr>
                <w:kern w:val="0"/>
                <w:sz w:val="24"/>
                <w:szCs w:val="24"/>
              </w:rPr>
            </w:pPr>
            <w:r>
              <w:rPr>
                <w:kern w:val="0"/>
                <w:sz w:val="24"/>
                <w:szCs w:val="24"/>
              </w:rPr>
              <w:t>BT</w:t>
            </w:r>
            <w:r>
              <w:rPr>
                <w:rFonts w:hint="eastAsia"/>
                <w:kern w:val="0"/>
                <w:sz w:val="24"/>
                <w:szCs w:val="24"/>
                <w:lang w:val="en-US" w:eastAsia="zh-CN"/>
              </w:rPr>
              <w:t>5</w:t>
            </w:r>
            <w:r>
              <w:rPr>
                <w:kern w:val="0"/>
                <w:sz w:val="24"/>
                <w:szCs w:val="24"/>
              </w:rPr>
              <w:t>01</w:t>
            </w:r>
          </w:p>
        </w:tc>
        <w:tc>
          <w:tcPr>
            <w:tcW w:w="1560" w:type="dxa"/>
            <w:tcBorders>
              <w:top w:val="nil"/>
              <w:left w:val="nil"/>
              <w:bottom w:val="single" w:color="auto" w:sz="4" w:space="0"/>
              <w:right w:val="single" w:color="auto" w:sz="4" w:space="0"/>
            </w:tcBorders>
            <w:shd w:val="clear" w:color="auto" w:fill="auto"/>
            <w:noWrap/>
            <w:vAlign w:val="center"/>
          </w:tcPr>
          <w:p w14:paraId="5F67EEF4">
            <w:pPr>
              <w:widowControl/>
              <w:spacing w:line="240" w:lineRule="auto"/>
              <w:ind w:firstLine="0" w:firstLineChars="0"/>
              <w:jc w:val="center"/>
              <w:rPr>
                <w:kern w:val="0"/>
                <w:sz w:val="24"/>
                <w:szCs w:val="24"/>
              </w:rPr>
            </w:pPr>
            <w:r>
              <w:rPr>
                <w:kern w:val="0"/>
                <w:sz w:val="24"/>
                <w:szCs w:val="24"/>
              </w:rPr>
              <w:t>2455156.58</w:t>
            </w:r>
          </w:p>
        </w:tc>
        <w:tc>
          <w:tcPr>
            <w:tcW w:w="1476" w:type="dxa"/>
            <w:tcBorders>
              <w:top w:val="nil"/>
              <w:left w:val="nil"/>
              <w:bottom w:val="single" w:color="auto" w:sz="4" w:space="0"/>
              <w:right w:val="single" w:color="auto" w:sz="4" w:space="0"/>
            </w:tcBorders>
            <w:shd w:val="clear" w:color="auto" w:fill="auto"/>
            <w:noWrap/>
            <w:vAlign w:val="center"/>
          </w:tcPr>
          <w:p w14:paraId="25E6B77F">
            <w:pPr>
              <w:widowControl/>
              <w:spacing w:line="240" w:lineRule="auto"/>
              <w:ind w:firstLine="0" w:firstLineChars="0"/>
              <w:jc w:val="center"/>
              <w:rPr>
                <w:kern w:val="0"/>
                <w:sz w:val="24"/>
                <w:szCs w:val="24"/>
              </w:rPr>
            </w:pPr>
            <w:r>
              <w:rPr>
                <w:kern w:val="0"/>
                <w:sz w:val="24"/>
                <w:szCs w:val="24"/>
              </w:rPr>
              <w:t>36491233.44</w:t>
            </w:r>
          </w:p>
        </w:tc>
        <w:tc>
          <w:tcPr>
            <w:tcW w:w="992" w:type="dxa"/>
            <w:vMerge w:val="restart"/>
            <w:tcBorders>
              <w:top w:val="nil"/>
              <w:left w:val="single" w:color="auto" w:sz="4" w:space="0"/>
              <w:bottom w:val="single" w:color="auto" w:sz="4" w:space="0"/>
              <w:right w:val="single" w:color="auto" w:sz="4" w:space="0"/>
            </w:tcBorders>
            <w:shd w:val="clear" w:color="auto" w:fill="auto"/>
            <w:noWrap/>
            <w:vAlign w:val="center"/>
          </w:tcPr>
          <w:p w14:paraId="2BECFF51">
            <w:pPr>
              <w:widowControl/>
              <w:spacing w:line="240" w:lineRule="auto"/>
              <w:ind w:firstLine="0" w:firstLineChars="0"/>
              <w:jc w:val="center"/>
              <w:rPr>
                <w:kern w:val="0"/>
                <w:sz w:val="24"/>
                <w:szCs w:val="24"/>
              </w:rPr>
            </w:pPr>
            <w:r>
              <w:rPr>
                <w:kern w:val="0"/>
                <w:sz w:val="24"/>
                <w:szCs w:val="24"/>
              </w:rPr>
              <w:t>1128</w:t>
            </w:r>
          </w:p>
        </w:tc>
        <w:tc>
          <w:tcPr>
            <w:tcW w:w="1304" w:type="dxa"/>
            <w:vMerge w:val="continue"/>
            <w:tcBorders>
              <w:left w:val="single" w:color="auto" w:sz="4" w:space="0"/>
              <w:right w:val="single" w:color="auto" w:sz="4" w:space="0"/>
            </w:tcBorders>
            <w:shd w:val="clear" w:color="auto" w:fill="auto"/>
            <w:noWrap/>
            <w:vAlign w:val="center"/>
          </w:tcPr>
          <w:p w14:paraId="408B5D40">
            <w:pPr>
              <w:widowControl/>
              <w:spacing w:line="240" w:lineRule="auto"/>
              <w:ind w:firstLine="0" w:firstLineChars="0"/>
              <w:jc w:val="center"/>
              <w:rPr>
                <w:kern w:val="0"/>
                <w:sz w:val="24"/>
                <w:szCs w:val="24"/>
              </w:rPr>
            </w:pPr>
          </w:p>
        </w:tc>
        <w:tc>
          <w:tcPr>
            <w:tcW w:w="1134" w:type="dxa"/>
            <w:tcBorders>
              <w:top w:val="nil"/>
              <w:left w:val="nil"/>
              <w:bottom w:val="single" w:color="auto" w:sz="4" w:space="0"/>
              <w:right w:val="single" w:color="auto" w:sz="4" w:space="0"/>
            </w:tcBorders>
            <w:shd w:val="clear" w:color="auto" w:fill="auto"/>
            <w:noWrap/>
            <w:vAlign w:val="center"/>
          </w:tcPr>
          <w:p w14:paraId="3469B64E">
            <w:pPr>
              <w:widowControl/>
              <w:spacing w:line="240" w:lineRule="auto"/>
              <w:ind w:firstLine="0" w:firstLineChars="0"/>
              <w:jc w:val="center"/>
              <w:rPr>
                <w:kern w:val="0"/>
                <w:sz w:val="24"/>
                <w:szCs w:val="24"/>
              </w:rPr>
            </w:pPr>
            <w:r>
              <w:rPr>
                <w:kern w:val="0"/>
                <w:sz w:val="24"/>
                <w:szCs w:val="24"/>
              </w:rPr>
              <w:t>起点</w:t>
            </w:r>
          </w:p>
        </w:tc>
      </w:tr>
      <w:tr w14:paraId="3C56C66D">
        <w:tblPrEx>
          <w:tblCellMar>
            <w:top w:w="0" w:type="dxa"/>
            <w:left w:w="108" w:type="dxa"/>
            <w:bottom w:w="0" w:type="dxa"/>
            <w:right w:w="108" w:type="dxa"/>
          </w:tblCellMar>
        </w:tblPrEx>
        <w:trPr>
          <w:trHeight w:val="375" w:hRule="atLeast"/>
          <w:jc w:val="center"/>
        </w:trPr>
        <w:tc>
          <w:tcPr>
            <w:tcW w:w="1097" w:type="dxa"/>
            <w:vMerge w:val="continue"/>
            <w:tcBorders>
              <w:top w:val="nil"/>
              <w:left w:val="single" w:color="auto" w:sz="4" w:space="0"/>
              <w:bottom w:val="single" w:color="auto" w:sz="4" w:space="0"/>
              <w:right w:val="single" w:color="auto" w:sz="4" w:space="0"/>
            </w:tcBorders>
            <w:vAlign w:val="center"/>
          </w:tcPr>
          <w:p w14:paraId="2A95762E">
            <w:pPr>
              <w:widowControl/>
              <w:spacing w:line="240" w:lineRule="auto"/>
              <w:ind w:firstLine="0" w:firstLineChars="0"/>
              <w:jc w:val="left"/>
              <w:rPr>
                <w:kern w:val="0"/>
                <w:sz w:val="24"/>
                <w:szCs w:val="24"/>
              </w:rPr>
            </w:pPr>
          </w:p>
        </w:tc>
        <w:tc>
          <w:tcPr>
            <w:tcW w:w="1560" w:type="dxa"/>
            <w:tcBorders>
              <w:top w:val="nil"/>
              <w:left w:val="nil"/>
              <w:bottom w:val="single" w:color="auto" w:sz="4" w:space="0"/>
              <w:right w:val="single" w:color="auto" w:sz="4" w:space="0"/>
            </w:tcBorders>
            <w:shd w:val="clear" w:color="auto" w:fill="auto"/>
            <w:noWrap/>
            <w:vAlign w:val="center"/>
          </w:tcPr>
          <w:p w14:paraId="3B021587">
            <w:pPr>
              <w:widowControl/>
              <w:spacing w:line="240" w:lineRule="auto"/>
              <w:ind w:firstLine="0" w:firstLineChars="0"/>
              <w:jc w:val="center"/>
              <w:rPr>
                <w:kern w:val="0"/>
                <w:sz w:val="24"/>
                <w:szCs w:val="24"/>
              </w:rPr>
            </w:pPr>
            <w:r>
              <w:rPr>
                <w:kern w:val="0"/>
                <w:sz w:val="24"/>
                <w:szCs w:val="24"/>
              </w:rPr>
              <w:t>2454133.92</w:t>
            </w:r>
          </w:p>
        </w:tc>
        <w:tc>
          <w:tcPr>
            <w:tcW w:w="1476" w:type="dxa"/>
            <w:tcBorders>
              <w:top w:val="nil"/>
              <w:left w:val="nil"/>
              <w:bottom w:val="single" w:color="auto" w:sz="4" w:space="0"/>
              <w:right w:val="single" w:color="auto" w:sz="4" w:space="0"/>
            </w:tcBorders>
            <w:shd w:val="clear" w:color="auto" w:fill="auto"/>
            <w:noWrap/>
            <w:vAlign w:val="center"/>
          </w:tcPr>
          <w:p w14:paraId="76DE6F8D">
            <w:pPr>
              <w:widowControl/>
              <w:spacing w:line="240" w:lineRule="auto"/>
              <w:ind w:firstLine="0" w:firstLineChars="0"/>
              <w:jc w:val="center"/>
              <w:rPr>
                <w:kern w:val="0"/>
                <w:sz w:val="24"/>
                <w:szCs w:val="24"/>
              </w:rPr>
            </w:pPr>
            <w:r>
              <w:rPr>
                <w:kern w:val="0"/>
                <w:sz w:val="24"/>
                <w:szCs w:val="24"/>
              </w:rPr>
              <w:t>36491589.88</w:t>
            </w:r>
          </w:p>
        </w:tc>
        <w:tc>
          <w:tcPr>
            <w:tcW w:w="992" w:type="dxa"/>
            <w:vMerge w:val="continue"/>
            <w:tcBorders>
              <w:top w:val="nil"/>
              <w:left w:val="single" w:color="auto" w:sz="4" w:space="0"/>
              <w:bottom w:val="single" w:color="auto" w:sz="4" w:space="0"/>
              <w:right w:val="single" w:color="auto" w:sz="4" w:space="0"/>
            </w:tcBorders>
            <w:vAlign w:val="center"/>
          </w:tcPr>
          <w:p w14:paraId="17A69674">
            <w:pPr>
              <w:widowControl/>
              <w:spacing w:line="240" w:lineRule="auto"/>
              <w:ind w:firstLine="0" w:firstLineChars="0"/>
              <w:jc w:val="left"/>
              <w:rPr>
                <w:kern w:val="0"/>
                <w:sz w:val="24"/>
                <w:szCs w:val="24"/>
              </w:rPr>
            </w:pPr>
          </w:p>
        </w:tc>
        <w:tc>
          <w:tcPr>
            <w:tcW w:w="1304" w:type="dxa"/>
            <w:vMerge w:val="continue"/>
            <w:tcBorders>
              <w:left w:val="single" w:color="auto" w:sz="4" w:space="0"/>
              <w:right w:val="single" w:color="auto" w:sz="4" w:space="0"/>
            </w:tcBorders>
            <w:vAlign w:val="center"/>
          </w:tcPr>
          <w:p w14:paraId="47A2E4D0">
            <w:pPr>
              <w:widowControl/>
              <w:spacing w:line="240" w:lineRule="auto"/>
              <w:ind w:firstLine="0" w:firstLineChars="0"/>
              <w:jc w:val="left"/>
              <w:rPr>
                <w:kern w:val="0"/>
                <w:sz w:val="24"/>
                <w:szCs w:val="24"/>
              </w:rPr>
            </w:pPr>
          </w:p>
        </w:tc>
        <w:tc>
          <w:tcPr>
            <w:tcW w:w="1134" w:type="dxa"/>
            <w:tcBorders>
              <w:top w:val="nil"/>
              <w:left w:val="nil"/>
              <w:bottom w:val="single" w:color="auto" w:sz="4" w:space="0"/>
              <w:right w:val="single" w:color="auto" w:sz="4" w:space="0"/>
            </w:tcBorders>
            <w:shd w:val="clear" w:color="auto" w:fill="auto"/>
            <w:noWrap/>
            <w:vAlign w:val="bottom"/>
          </w:tcPr>
          <w:p w14:paraId="237727F8">
            <w:pPr>
              <w:widowControl/>
              <w:spacing w:line="240" w:lineRule="auto"/>
              <w:ind w:firstLine="0" w:firstLineChars="0"/>
              <w:jc w:val="center"/>
              <w:rPr>
                <w:kern w:val="0"/>
                <w:sz w:val="24"/>
                <w:szCs w:val="24"/>
              </w:rPr>
            </w:pPr>
            <w:r>
              <w:rPr>
                <w:kern w:val="0"/>
                <w:sz w:val="24"/>
                <w:szCs w:val="24"/>
              </w:rPr>
              <w:t>终点</w:t>
            </w:r>
          </w:p>
        </w:tc>
      </w:tr>
      <w:tr w14:paraId="75480775">
        <w:tblPrEx>
          <w:tblCellMar>
            <w:top w:w="0" w:type="dxa"/>
            <w:left w:w="108" w:type="dxa"/>
            <w:bottom w:w="0" w:type="dxa"/>
            <w:right w:w="108" w:type="dxa"/>
          </w:tblCellMar>
        </w:tblPrEx>
        <w:trPr>
          <w:trHeight w:val="375" w:hRule="atLeast"/>
          <w:jc w:val="center"/>
        </w:trPr>
        <w:tc>
          <w:tcPr>
            <w:tcW w:w="1097" w:type="dxa"/>
            <w:vMerge w:val="restart"/>
            <w:tcBorders>
              <w:top w:val="single" w:color="auto" w:sz="4" w:space="0"/>
              <w:left w:val="single" w:color="auto" w:sz="4" w:space="0"/>
              <w:bottom w:val="single" w:color="auto" w:sz="4" w:space="0"/>
              <w:right w:val="single" w:color="auto" w:sz="4" w:space="0"/>
            </w:tcBorders>
            <w:vAlign w:val="center"/>
          </w:tcPr>
          <w:p w14:paraId="61E9874A">
            <w:pPr>
              <w:widowControl/>
              <w:spacing w:line="240" w:lineRule="auto"/>
              <w:ind w:firstLine="0" w:firstLineChars="0"/>
              <w:jc w:val="center"/>
              <w:rPr>
                <w:kern w:val="0"/>
                <w:sz w:val="24"/>
                <w:szCs w:val="24"/>
              </w:rPr>
            </w:pPr>
            <w:r>
              <w:rPr>
                <w:kern w:val="0"/>
                <w:sz w:val="24"/>
                <w:szCs w:val="24"/>
              </w:rPr>
              <w:t>BT701</w:t>
            </w: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BCA203">
            <w:pPr>
              <w:spacing w:line="240" w:lineRule="auto"/>
              <w:ind w:firstLine="0" w:firstLineChars="0"/>
              <w:jc w:val="center"/>
              <w:rPr>
                <w:kern w:val="0"/>
                <w:sz w:val="24"/>
                <w:szCs w:val="24"/>
              </w:rPr>
            </w:pPr>
            <w:r>
              <w:rPr>
                <w:sz w:val="24"/>
                <w:szCs w:val="24"/>
              </w:rPr>
              <w:t>2454622.17</w:t>
            </w:r>
          </w:p>
        </w:tc>
        <w:tc>
          <w:tcPr>
            <w:tcW w:w="14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5AA6BB">
            <w:pPr>
              <w:spacing w:line="240" w:lineRule="auto"/>
              <w:ind w:firstLine="0" w:firstLineChars="0"/>
              <w:jc w:val="center"/>
              <w:rPr>
                <w:kern w:val="0"/>
                <w:sz w:val="24"/>
                <w:szCs w:val="24"/>
              </w:rPr>
            </w:pPr>
            <w:r>
              <w:rPr>
                <w:sz w:val="24"/>
                <w:szCs w:val="24"/>
              </w:rPr>
              <w:t>36491006.34</w:t>
            </w:r>
          </w:p>
        </w:tc>
        <w:tc>
          <w:tcPr>
            <w:tcW w:w="992" w:type="dxa"/>
            <w:vMerge w:val="restart"/>
            <w:tcBorders>
              <w:top w:val="single" w:color="auto" w:sz="4" w:space="0"/>
              <w:left w:val="single" w:color="auto" w:sz="4" w:space="0"/>
              <w:bottom w:val="single" w:color="auto" w:sz="4" w:space="0"/>
              <w:right w:val="single" w:color="auto" w:sz="4" w:space="0"/>
            </w:tcBorders>
            <w:vAlign w:val="center"/>
          </w:tcPr>
          <w:p w14:paraId="2821C370">
            <w:pPr>
              <w:widowControl/>
              <w:spacing w:line="240" w:lineRule="auto"/>
              <w:ind w:firstLine="0" w:firstLineChars="0"/>
              <w:jc w:val="center"/>
              <w:rPr>
                <w:kern w:val="0"/>
                <w:sz w:val="24"/>
                <w:szCs w:val="24"/>
              </w:rPr>
            </w:pPr>
            <w:r>
              <w:rPr>
                <w:kern w:val="0"/>
                <w:sz w:val="24"/>
                <w:szCs w:val="24"/>
              </w:rPr>
              <w:t>687</w:t>
            </w:r>
          </w:p>
        </w:tc>
        <w:tc>
          <w:tcPr>
            <w:tcW w:w="1304" w:type="dxa"/>
            <w:vMerge w:val="continue"/>
            <w:tcBorders>
              <w:left w:val="single" w:color="auto" w:sz="4" w:space="0"/>
              <w:right w:val="single" w:color="auto" w:sz="4" w:space="0"/>
            </w:tcBorders>
            <w:vAlign w:val="center"/>
          </w:tcPr>
          <w:p w14:paraId="61CE3981">
            <w:pPr>
              <w:widowControl/>
              <w:spacing w:line="240" w:lineRule="auto"/>
              <w:ind w:firstLine="0" w:firstLineChars="0"/>
              <w:jc w:val="left"/>
              <w:rPr>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F70266">
            <w:pPr>
              <w:widowControl/>
              <w:spacing w:line="240" w:lineRule="auto"/>
              <w:ind w:firstLine="0" w:firstLineChars="0"/>
              <w:jc w:val="center"/>
              <w:rPr>
                <w:kern w:val="0"/>
                <w:sz w:val="24"/>
                <w:szCs w:val="24"/>
              </w:rPr>
            </w:pPr>
            <w:r>
              <w:rPr>
                <w:kern w:val="0"/>
                <w:sz w:val="24"/>
                <w:szCs w:val="24"/>
              </w:rPr>
              <w:t>起点</w:t>
            </w:r>
          </w:p>
        </w:tc>
      </w:tr>
      <w:tr w14:paraId="15512AAF">
        <w:tblPrEx>
          <w:tblCellMar>
            <w:top w:w="0" w:type="dxa"/>
            <w:left w:w="108" w:type="dxa"/>
            <w:bottom w:w="0" w:type="dxa"/>
            <w:right w:w="108" w:type="dxa"/>
          </w:tblCellMar>
        </w:tblPrEx>
        <w:trPr>
          <w:trHeight w:val="375" w:hRule="atLeast"/>
          <w:jc w:val="center"/>
        </w:trPr>
        <w:tc>
          <w:tcPr>
            <w:tcW w:w="1097" w:type="dxa"/>
            <w:vMerge w:val="continue"/>
            <w:tcBorders>
              <w:top w:val="single" w:color="auto" w:sz="4" w:space="0"/>
              <w:left w:val="single" w:color="auto" w:sz="4" w:space="0"/>
              <w:bottom w:val="single" w:color="auto" w:sz="4" w:space="0"/>
              <w:right w:val="single" w:color="auto" w:sz="4" w:space="0"/>
            </w:tcBorders>
            <w:vAlign w:val="center"/>
          </w:tcPr>
          <w:p w14:paraId="5488F236">
            <w:pPr>
              <w:widowControl/>
              <w:spacing w:line="240" w:lineRule="auto"/>
              <w:ind w:firstLine="0" w:firstLineChars="0"/>
              <w:jc w:val="left"/>
              <w:rPr>
                <w:kern w:val="0"/>
                <w:sz w:val="24"/>
                <w:szCs w:val="24"/>
              </w:rPr>
            </w:pP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D8D995">
            <w:pPr>
              <w:widowControl/>
              <w:spacing w:line="240" w:lineRule="auto"/>
              <w:ind w:firstLine="0" w:firstLineChars="0"/>
              <w:jc w:val="center"/>
              <w:rPr>
                <w:kern w:val="0"/>
                <w:sz w:val="24"/>
                <w:szCs w:val="24"/>
              </w:rPr>
            </w:pPr>
            <w:r>
              <w:rPr>
                <w:kern w:val="0"/>
                <w:sz w:val="24"/>
                <w:szCs w:val="24"/>
              </w:rPr>
              <w:t>2454024.72</w:t>
            </w:r>
          </w:p>
        </w:tc>
        <w:tc>
          <w:tcPr>
            <w:tcW w:w="14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6A1E3A">
            <w:pPr>
              <w:widowControl/>
              <w:spacing w:line="240" w:lineRule="auto"/>
              <w:ind w:firstLine="0" w:firstLineChars="0"/>
              <w:jc w:val="center"/>
              <w:rPr>
                <w:kern w:val="0"/>
                <w:sz w:val="24"/>
                <w:szCs w:val="24"/>
              </w:rPr>
            </w:pPr>
            <w:r>
              <w:rPr>
                <w:kern w:val="0"/>
                <w:sz w:val="24"/>
                <w:szCs w:val="24"/>
              </w:rPr>
              <w:t>36491214.27</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7DF0A0B8">
            <w:pPr>
              <w:widowControl/>
              <w:spacing w:line="240" w:lineRule="auto"/>
              <w:ind w:firstLine="0" w:firstLineChars="0"/>
              <w:jc w:val="left"/>
              <w:rPr>
                <w:kern w:val="0"/>
                <w:sz w:val="24"/>
                <w:szCs w:val="24"/>
              </w:rPr>
            </w:pPr>
          </w:p>
        </w:tc>
        <w:tc>
          <w:tcPr>
            <w:tcW w:w="1304" w:type="dxa"/>
            <w:vMerge w:val="continue"/>
            <w:tcBorders>
              <w:left w:val="single" w:color="auto" w:sz="4" w:space="0"/>
              <w:right w:val="single" w:color="auto" w:sz="4" w:space="0"/>
            </w:tcBorders>
            <w:vAlign w:val="center"/>
          </w:tcPr>
          <w:p w14:paraId="5DE31187">
            <w:pPr>
              <w:widowControl/>
              <w:spacing w:line="240" w:lineRule="auto"/>
              <w:ind w:firstLine="0" w:firstLineChars="0"/>
              <w:jc w:val="left"/>
              <w:rPr>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6952CE7">
            <w:pPr>
              <w:widowControl/>
              <w:spacing w:line="240" w:lineRule="auto"/>
              <w:ind w:firstLine="0" w:firstLineChars="0"/>
              <w:jc w:val="center"/>
              <w:rPr>
                <w:kern w:val="0"/>
                <w:sz w:val="24"/>
                <w:szCs w:val="24"/>
              </w:rPr>
            </w:pPr>
            <w:r>
              <w:rPr>
                <w:kern w:val="0"/>
                <w:sz w:val="24"/>
                <w:szCs w:val="24"/>
              </w:rPr>
              <w:t>终点</w:t>
            </w:r>
          </w:p>
        </w:tc>
      </w:tr>
      <w:tr w14:paraId="0B3CC1CF">
        <w:tblPrEx>
          <w:tblCellMar>
            <w:top w:w="0" w:type="dxa"/>
            <w:left w:w="108" w:type="dxa"/>
            <w:bottom w:w="0" w:type="dxa"/>
            <w:right w:w="108" w:type="dxa"/>
          </w:tblCellMar>
        </w:tblPrEx>
        <w:trPr>
          <w:trHeight w:val="375" w:hRule="atLeast"/>
          <w:jc w:val="center"/>
        </w:trPr>
        <w:tc>
          <w:tcPr>
            <w:tcW w:w="1097" w:type="dxa"/>
            <w:vMerge w:val="restart"/>
            <w:tcBorders>
              <w:top w:val="single" w:color="auto" w:sz="4" w:space="0"/>
              <w:left w:val="single" w:color="auto" w:sz="4" w:space="0"/>
              <w:bottom w:val="single" w:color="auto" w:sz="4" w:space="0"/>
              <w:right w:val="single" w:color="auto" w:sz="4" w:space="0"/>
            </w:tcBorders>
            <w:vAlign w:val="center"/>
          </w:tcPr>
          <w:p w14:paraId="35A1F676">
            <w:pPr>
              <w:widowControl/>
              <w:spacing w:line="240" w:lineRule="auto"/>
              <w:ind w:firstLine="0" w:firstLineChars="0"/>
              <w:jc w:val="left"/>
              <w:rPr>
                <w:kern w:val="0"/>
                <w:sz w:val="24"/>
                <w:szCs w:val="24"/>
              </w:rPr>
            </w:pPr>
            <w:r>
              <w:rPr>
                <w:kern w:val="0"/>
                <w:sz w:val="24"/>
                <w:szCs w:val="24"/>
              </w:rPr>
              <w:t>BTM201</w:t>
            </w: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B0743D">
            <w:pPr>
              <w:widowControl/>
              <w:spacing w:line="240" w:lineRule="auto"/>
              <w:ind w:firstLine="0" w:firstLineChars="0"/>
              <w:jc w:val="center"/>
              <w:rPr>
                <w:kern w:val="0"/>
                <w:sz w:val="24"/>
                <w:szCs w:val="24"/>
              </w:rPr>
            </w:pPr>
            <w:r>
              <w:rPr>
                <w:kern w:val="0"/>
                <w:sz w:val="24"/>
                <w:szCs w:val="24"/>
              </w:rPr>
              <w:t>2454767.46</w:t>
            </w:r>
          </w:p>
        </w:tc>
        <w:tc>
          <w:tcPr>
            <w:tcW w:w="14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207C87">
            <w:pPr>
              <w:widowControl/>
              <w:spacing w:line="240" w:lineRule="auto"/>
              <w:ind w:firstLine="0" w:firstLineChars="0"/>
              <w:jc w:val="center"/>
              <w:rPr>
                <w:kern w:val="0"/>
                <w:sz w:val="24"/>
                <w:szCs w:val="24"/>
              </w:rPr>
            </w:pPr>
            <w:r>
              <w:rPr>
                <w:kern w:val="0"/>
                <w:sz w:val="24"/>
                <w:szCs w:val="24"/>
              </w:rPr>
              <w:t>36491567.00</w:t>
            </w:r>
          </w:p>
        </w:tc>
        <w:tc>
          <w:tcPr>
            <w:tcW w:w="992" w:type="dxa"/>
            <w:vMerge w:val="restart"/>
            <w:tcBorders>
              <w:top w:val="single" w:color="auto" w:sz="4" w:space="0"/>
              <w:left w:val="single" w:color="auto" w:sz="4" w:space="0"/>
              <w:bottom w:val="single" w:color="auto" w:sz="4" w:space="0"/>
              <w:right w:val="single" w:color="auto" w:sz="4" w:space="0"/>
            </w:tcBorders>
            <w:vAlign w:val="center"/>
          </w:tcPr>
          <w:p w14:paraId="1D24E722">
            <w:pPr>
              <w:widowControl/>
              <w:spacing w:line="240" w:lineRule="auto"/>
              <w:ind w:firstLine="0" w:firstLineChars="0"/>
              <w:jc w:val="center"/>
              <w:rPr>
                <w:kern w:val="0"/>
                <w:sz w:val="24"/>
                <w:szCs w:val="24"/>
              </w:rPr>
            </w:pPr>
            <w:r>
              <w:rPr>
                <w:kern w:val="0"/>
                <w:sz w:val="24"/>
                <w:szCs w:val="24"/>
              </w:rPr>
              <w:t>181</w:t>
            </w:r>
          </w:p>
        </w:tc>
        <w:tc>
          <w:tcPr>
            <w:tcW w:w="1304" w:type="dxa"/>
            <w:vMerge w:val="continue"/>
            <w:tcBorders>
              <w:left w:val="single" w:color="auto" w:sz="4" w:space="0"/>
              <w:right w:val="single" w:color="auto" w:sz="4" w:space="0"/>
            </w:tcBorders>
            <w:vAlign w:val="center"/>
          </w:tcPr>
          <w:p w14:paraId="45F9BC4B">
            <w:pPr>
              <w:widowControl/>
              <w:spacing w:line="240" w:lineRule="auto"/>
              <w:ind w:firstLine="0" w:firstLineChars="0"/>
              <w:jc w:val="left"/>
              <w:rPr>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549F0E">
            <w:pPr>
              <w:widowControl/>
              <w:spacing w:line="240" w:lineRule="auto"/>
              <w:ind w:firstLine="0" w:firstLineChars="0"/>
              <w:jc w:val="center"/>
              <w:rPr>
                <w:kern w:val="0"/>
                <w:sz w:val="24"/>
                <w:szCs w:val="24"/>
              </w:rPr>
            </w:pPr>
            <w:r>
              <w:rPr>
                <w:kern w:val="0"/>
                <w:sz w:val="24"/>
                <w:szCs w:val="24"/>
              </w:rPr>
              <w:t>起点</w:t>
            </w:r>
          </w:p>
        </w:tc>
      </w:tr>
      <w:tr w14:paraId="135A5637">
        <w:tblPrEx>
          <w:tblCellMar>
            <w:top w:w="0" w:type="dxa"/>
            <w:left w:w="108" w:type="dxa"/>
            <w:bottom w:w="0" w:type="dxa"/>
            <w:right w:w="108" w:type="dxa"/>
          </w:tblCellMar>
        </w:tblPrEx>
        <w:trPr>
          <w:trHeight w:val="375" w:hRule="atLeast"/>
          <w:jc w:val="center"/>
        </w:trPr>
        <w:tc>
          <w:tcPr>
            <w:tcW w:w="1097" w:type="dxa"/>
            <w:vMerge w:val="continue"/>
            <w:tcBorders>
              <w:top w:val="single" w:color="auto" w:sz="4" w:space="0"/>
              <w:left w:val="single" w:color="auto" w:sz="4" w:space="0"/>
              <w:bottom w:val="single" w:color="auto" w:sz="4" w:space="0"/>
              <w:right w:val="single" w:color="auto" w:sz="4" w:space="0"/>
            </w:tcBorders>
            <w:vAlign w:val="center"/>
          </w:tcPr>
          <w:p w14:paraId="2D1E7406">
            <w:pPr>
              <w:widowControl/>
              <w:spacing w:line="240" w:lineRule="auto"/>
              <w:ind w:firstLine="0" w:firstLineChars="0"/>
              <w:jc w:val="left"/>
              <w:rPr>
                <w:kern w:val="0"/>
                <w:sz w:val="24"/>
                <w:szCs w:val="24"/>
              </w:rPr>
            </w:pP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188007">
            <w:pPr>
              <w:widowControl/>
              <w:spacing w:line="240" w:lineRule="auto"/>
              <w:ind w:firstLine="0" w:firstLineChars="0"/>
              <w:jc w:val="center"/>
              <w:rPr>
                <w:kern w:val="0"/>
                <w:sz w:val="24"/>
                <w:szCs w:val="24"/>
              </w:rPr>
            </w:pPr>
            <w:r>
              <w:rPr>
                <w:kern w:val="0"/>
                <w:sz w:val="24"/>
                <w:szCs w:val="24"/>
              </w:rPr>
              <w:t>2454595.83</w:t>
            </w:r>
          </w:p>
        </w:tc>
        <w:tc>
          <w:tcPr>
            <w:tcW w:w="14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BDDC3A">
            <w:pPr>
              <w:widowControl/>
              <w:spacing w:line="240" w:lineRule="auto"/>
              <w:ind w:firstLine="0" w:firstLineChars="0"/>
              <w:jc w:val="center"/>
              <w:rPr>
                <w:kern w:val="0"/>
                <w:sz w:val="24"/>
                <w:szCs w:val="24"/>
              </w:rPr>
            </w:pPr>
            <w:r>
              <w:rPr>
                <w:kern w:val="0"/>
                <w:sz w:val="24"/>
                <w:szCs w:val="24"/>
              </w:rPr>
              <w:t>36491626.10</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5A2948D0">
            <w:pPr>
              <w:widowControl/>
              <w:spacing w:line="240" w:lineRule="auto"/>
              <w:ind w:firstLine="0" w:firstLineChars="0"/>
              <w:jc w:val="left"/>
              <w:rPr>
                <w:kern w:val="0"/>
                <w:sz w:val="24"/>
                <w:szCs w:val="24"/>
              </w:rPr>
            </w:pPr>
          </w:p>
        </w:tc>
        <w:tc>
          <w:tcPr>
            <w:tcW w:w="1304" w:type="dxa"/>
            <w:vMerge w:val="continue"/>
            <w:tcBorders>
              <w:left w:val="single" w:color="auto" w:sz="4" w:space="0"/>
              <w:right w:val="single" w:color="auto" w:sz="4" w:space="0"/>
            </w:tcBorders>
            <w:vAlign w:val="center"/>
          </w:tcPr>
          <w:p w14:paraId="1F907DE2">
            <w:pPr>
              <w:widowControl/>
              <w:spacing w:line="240" w:lineRule="auto"/>
              <w:ind w:firstLine="0" w:firstLineChars="0"/>
              <w:jc w:val="left"/>
              <w:rPr>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9189036">
            <w:pPr>
              <w:widowControl/>
              <w:spacing w:line="240" w:lineRule="auto"/>
              <w:ind w:firstLine="0" w:firstLineChars="0"/>
              <w:jc w:val="center"/>
              <w:rPr>
                <w:kern w:val="0"/>
                <w:sz w:val="24"/>
                <w:szCs w:val="24"/>
              </w:rPr>
            </w:pPr>
            <w:r>
              <w:rPr>
                <w:kern w:val="0"/>
                <w:sz w:val="24"/>
                <w:szCs w:val="24"/>
              </w:rPr>
              <w:t>终点</w:t>
            </w:r>
          </w:p>
        </w:tc>
      </w:tr>
      <w:tr w14:paraId="4A793D60">
        <w:tblPrEx>
          <w:tblCellMar>
            <w:top w:w="0" w:type="dxa"/>
            <w:left w:w="108" w:type="dxa"/>
            <w:bottom w:w="0" w:type="dxa"/>
            <w:right w:w="108" w:type="dxa"/>
          </w:tblCellMar>
        </w:tblPrEx>
        <w:trPr>
          <w:trHeight w:val="374" w:hRule="atLeast"/>
          <w:jc w:val="center"/>
        </w:trPr>
        <w:tc>
          <w:tcPr>
            <w:tcW w:w="1097" w:type="dxa"/>
            <w:vMerge w:val="restart"/>
            <w:tcBorders>
              <w:top w:val="single" w:color="auto" w:sz="4" w:space="0"/>
              <w:left w:val="single" w:color="auto" w:sz="4" w:space="0"/>
              <w:right w:val="single" w:color="auto" w:sz="4" w:space="0"/>
            </w:tcBorders>
            <w:vAlign w:val="center"/>
          </w:tcPr>
          <w:p w14:paraId="5FB20A79">
            <w:pPr>
              <w:widowControl/>
              <w:spacing w:line="240" w:lineRule="auto"/>
              <w:ind w:firstLine="0" w:firstLineChars="0"/>
              <w:jc w:val="left"/>
              <w:rPr>
                <w:kern w:val="0"/>
                <w:sz w:val="24"/>
                <w:szCs w:val="24"/>
              </w:rPr>
            </w:pPr>
            <w:r>
              <w:rPr>
                <w:kern w:val="0"/>
                <w:sz w:val="24"/>
                <w:szCs w:val="24"/>
              </w:rPr>
              <w:t>BTW01</w:t>
            </w: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1A38E5">
            <w:pPr>
              <w:widowControl/>
              <w:spacing w:line="240" w:lineRule="auto"/>
              <w:ind w:firstLine="0" w:firstLineChars="0"/>
              <w:jc w:val="center"/>
              <w:rPr>
                <w:kern w:val="0"/>
                <w:sz w:val="24"/>
                <w:szCs w:val="24"/>
              </w:rPr>
            </w:pPr>
            <w:r>
              <w:rPr>
                <w:kern w:val="0"/>
                <w:sz w:val="24"/>
                <w:szCs w:val="24"/>
              </w:rPr>
              <w:t>2454149.65</w:t>
            </w:r>
          </w:p>
        </w:tc>
        <w:tc>
          <w:tcPr>
            <w:tcW w:w="14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6CCDE5">
            <w:pPr>
              <w:widowControl/>
              <w:spacing w:line="240" w:lineRule="auto"/>
              <w:ind w:firstLine="0" w:firstLineChars="0"/>
              <w:jc w:val="center"/>
              <w:rPr>
                <w:kern w:val="0"/>
                <w:sz w:val="24"/>
                <w:szCs w:val="24"/>
              </w:rPr>
            </w:pPr>
            <w:r>
              <w:rPr>
                <w:kern w:val="0"/>
                <w:sz w:val="24"/>
                <w:szCs w:val="24"/>
              </w:rPr>
              <w:t>36490970.73</w:t>
            </w:r>
          </w:p>
        </w:tc>
        <w:tc>
          <w:tcPr>
            <w:tcW w:w="992" w:type="dxa"/>
            <w:vMerge w:val="restart"/>
            <w:tcBorders>
              <w:top w:val="single" w:color="auto" w:sz="4" w:space="0"/>
              <w:left w:val="single" w:color="auto" w:sz="4" w:space="0"/>
              <w:right w:val="single" w:color="auto" w:sz="4" w:space="0"/>
            </w:tcBorders>
            <w:vAlign w:val="center"/>
          </w:tcPr>
          <w:p w14:paraId="09D3C4EF">
            <w:pPr>
              <w:widowControl/>
              <w:spacing w:line="240" w:lineRule="auto"/>
              <w:ind w:firstLine="0" w:firstLineChars="0"/>
              <w:jc w:val="center"/>
              <w:rPr>
                <w:kern w:val="0"/>
                <w:sz w:val="24"/>
                <w:szCs w:val="24"/>
              </w:rPr>
            </w:pPr>
            <w:r>
              <w:rPr>
                <w:kern w:val="0"/>
                <w:sz w:val="24"/>
                <w:szCs w:val="24"/>
              </w:rPr>
              <w:t>80</w:t>
            </w:r>
          </w:p>
        </w:tc>
        <w:tc>
          <w:tcPr>
            <w:tcW w:w="1304" w:type="dxa"/>
            <w:vMerge w:val="continue"/>
            <w:tcBorders>
              <w:left w:val="single" w:color="auto" w:sz="4" w:space="0"/>
              <w:right w:val="single" w:color="auto" w:sz="4" w:space="0"/>
            </w:tcBorders>
            <w:vAlign w:val="center"/>
          </w:tcPr>
          <w:p w14:paraId="48B7CD02">
            <w:pPr>
              <w:widowControl/>
              <w:spacing w:line="240" w:lineRule="auto"/>
              <w:ind w:firstLine="0" w:firstLineChars="0"/>
              <w:jc w:val="left"/>
              <w:rPr>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9D21AE">
            <w:pPr>
              <w:widowControl/>
              <w:spacing w:line="240" w:lineRule="auto"/>
              <w:ind w:firstLine="0" w:firstLineChars="0"/>
              <w:jc w:val="center"/>
              <w:rPr>
                <w:kern w:val="0"/>
                <w:sz w:val="24"/>
                <w:szCs w:val="24"/>
              </w:rPr>
            </w:pPr>
            <w:r>
              <w:rPr>
                <w:kern w:val="0"/>
                <w:sz w:val="24"/>
                <w:szCs w:val="24"/>
              </w:rPr>
              <w:t>起点</w:t>
            </w:r>
          </w:p>
        </w:tc>
      </w:tr>
      <w:tr w14:paraId="10BEE6E1">
        <w:tblPrEx>
          <w:tblCellMar>
            <w:top w:w="0" w:type="dxa"/>
            <w:left w:w="108" w:type="dxa"/>
            <w:bottom w:w="0" w:type="dxa"/>
            <w:right w:w="108" w:type="dxa"/>
          </w:tblCellMar>
        </w:tblPrEx>
        <w:trPr>
          <w:trHeight w:val="374" w:hRule="atLeast"/>
          <w:jc w:val="center"/>
        </w:trPr>
        <w:tc>
          <w:tcPr>
            <w:tcW w:w="1097" w:type="dxa"/>
            <w:vMerge w:val="continue"/>
            <w:tcBorders>
              <w:left w:val="single" w:color="auto" w:sz="4" w:space="0"/>
              <w:bottom w:val="single" w:color="auto" w:sz="4" w:space="0"/>
              <w:right w:val="single" w:color="auto" w:sz="4" w:space="0"/>
            </w:tcBorders>
            <w:vAlign w:val="center"/>
          </w:tcPr>
          <w:p w14:paraId="54503E48">
            <w:pPr>
              <w:widowControl/>
              <w:spacing w:line="240" w:lineRule="auto"/>
              <w:ind w:firstLine="0" w:firstLineChars="0"/>
              <w:jc w:val="left"/>
              <w:rPr>
                <w:kern w:val="0"/>
                <w:sz w:val="24"/>
                <w:szCs w:val="24"/>
              </w:rPr>
            </w:pP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9FBD4E">
            <w:pPr>
              <w:widowControl/>
              <w:spacing w:line="240" w:lineRule="auto"/>
              <w:ind w:firstLine="0" w:firstLineChars="0"/>
              <w:jc w:val="center"/>
              <w:rPr>
                <w:kern w:val="0"/>
                <w:sz w:val="24"/>
                <w:szCs w:val="24"/>
              </w:rPr>
            </w:pPr>
            <w:r>
              <w:rPr>
                <w:kern w:val="0"/>
                <w:sz w:val="24"/>
                <w:szCs w:val="24"/>
              </w:rPr>
              <w:t>2454218.95</w:t>
            </w:r>
          </w:p>
        </w:tc>
        <w:tc>
          <w:tcPr>
            <w:tcW w:w="14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DADA64">
            <w:pPr>
              <w:widowControl/>
              <w:spacing w:line="240" w:lineRule="auto"/>
              <w:ind w:firstLine="0" w:firstLineChars="0"/>
              <w:jc w:val="center"/>
              <w:rPr>
                <w:kern w:val="0"/>
                <w:sz w:val="24"/>
                <w:szCs w:val="24"/>
              </w:rPr>
            </w:pPr>
            <w:r>
              <w:rPr>
                <w:kern w:val="0"/>
                <w:sz w:val="24"/>
                <w:szCs w:val="24"/>
              </w:rPr>
              <w:t>36491010.26</w:t>
            </w:r>
          </w:p>
        </w:tc>
        <w:tc>
          <w:tcPr>
            <w:tcW w:w="992" w:type="dxa"/>
            <w:vMerge w:val="continue"/>
            <w:tcBorders>
              <w:left w:val="single" w:color="auto" w:sz="4" w:space="0"/>
              <w:bottom w:val="single" w:color="auto" w:sz="4" w:space="0"/>
              <w:right w:val="single" w:color="auto" w:sz="4" w:space="0"/>
            </w:tcBorders>
            <w:vAlign w:val="center"/>
          </w:tcPr>
          <w:p w14:paraId="7590A4B4">
            <w:pPr>
              <w:widowControl/>
              <w:spacing w:line="240" w:lineRule="auto"/>
              <w:ind w:firstLine="0" w:firstLineChars="0"/>
              <w:jc w:val="left"/>
              <w:rPr>
                <w:kern w:val="0"/>
                <w:sz w:val="24"/>
                <w:szCs w:val="24"/>
              </w:rPr>
            </w:pPr>
          </w:p>
        </w:tc>
        <w:tc>
          <w:tcPr>
            <w:tcW w:w="1304" w:type="dxa"/>
            <w:vMerge w:val="continue"/>
            <w:tcBorders>
              <w:left w:val="single" w:color="auto" w:sz="4" w:space="0"/>
              <w:bottom w:val="single" w:color="auto" w:sz="4" w:space="0"/>
              <w:right w:val="single" w:color="auto" w:sz="4" w:space="0"/>
            </w:tcBorders>
            <w:vAlign w:val="center"/>
          </w:tcPr>
          <w:p w14:paraId="24A1D8AC">
            <w:pPr>
              <w:widowControl/>
              <w:spacing w:line="240" w:lineRule="auto"/>
              <w:ind w:firstLine="0" w:firstLineChars="0"/>
              <w:jc w:val="left"/>
              <w:rPr>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72680A0">
            <w:pPr>
              <w:widowControl/>
              <w:spacing w:line="240" w:lineRule="auto"/>
              <w:ind w:firstLine="0" w:firstLineChars="0"/>
              <w:jc w:val="center"/>
              <w:rPr>
                <w:kern w:val="0"/>
                <w:sz w:val="24"/>
                <w:szCs w:val="24"/>
              </w:rPr>
            </w:pPr>
            <w:r>
              <w:rPr>
                <w:kern w:val="0"/>
                <w:sz w:val="24"/>
                <w:szCs w:val="24"/>
              </w:rPr>
              <w:t>终点</w:t>
            </w:r>
          </w:p>
        </w:tc>
      </w:tr>
    </w:tbl>
    <w:p w14:paraId="73702DCE">
      <w:pPr>
        <w:spacing w:before="190" w:beforeLines="50"/>
        <w:ind w:firstLine="560"/>
        <w:rPr>
          <w:szCs w:val="28"/>
        </w:rPr>
      </w:pPr>
      <w:r>
        <w:rPr>
          <w:szCs w:val="28"/>
        </w:rPr>
        <w:t>6）工程点测量</w:t>
      </w:r>
    </w:p>
    <w:p w14:paraId="4568A9FC">
      <w:pPr>
        <w:ind w:firstLine="560"/>
        <w:rPr>
          <w:b/>
          <w:kern w:val="0"/>
          <w:szCs w:val="28"/>
        </w:rPr>
      </w:pPr>
      <w:r>
        <w:rPr>
          <w:szCs w:val="28"/>
        </w:rPr>
        <w:t>工程点测量钻孔孔口，剥土工程起、终点位置。设计工程点测量为21个。</w:t>
      </w:r>
    </w:p>
    <w:p w14:paraId="0E3083E2">
      <w:pPr>
        <w:ind w:firstLine="562"/>
        <w:rPr>
          <w:b/>
          <w:kern w:val="0"/>
          <w:szCs w:val="28"/>
        </w:rPr>
      </w:pPr>
      <w:r>
        <w:rPr>
          <w:b/>
          <w:kern w:val="0"/>
          <w:szCs w:val="28"/>
        </w:rPr>
        <w:t>（3）第三阶段</w:t>
      </w:r>
    </w:p>
    <w:p w14:paraId="3226B5D0">
      <w:pPr>
        <w:ind w:firstLine="560"/>
        <w:rPr>
          <w:kern w:val="0"/>
          <w:szCs w:val="28"/>
        </w:rPr>
      </w:pPr>
      <w:r>
        <w:t>项目野外验收阶段，野外工作验收由</w:t>
      </w:r>
      <w:r>
        <w:rPr>
          <w:rFonts w:hint="eastAsia"/>
          <w:lang w:val="en-US" w:eastAsia="zh-CN"/>
        </w:rPr>
        <w:t>上思县</w:t>
      </w:r>
      <w:r>
        <w:t>自然资源局组织专家进行。野外项目结束后</w:t>
      </w:r>
      <w:r>
        <w:rPr>
          <w:kern w:val="0"/>
          <w:szCs w:val="28"/>
        </w:rPr>
        <w:t>，</w:t>
      </w:r>
      <w:r>
        <w:t>根据验收意见及时完善项目内容，</w:t>
      </w:r>
      <w:r>
        <w:rPr>
          <w:kern w:val="0"/>
          <w:szCs w:val="28"/>
        </w:rPr>
        <w:t>确保各项技术工作质量符合相关规范要求，完成设计批复工作量。</w:t>
      </w:r>
    </w:p>
    <w:p w14:paraId="28FF8377">
      <w:pPr>
        <w:ind w:firstLine="562"/>
        <w:rPr>
          <w:b/>
          <w:kern w:val="0"/>
          <w:szCs w:val="28"/>
        </w:rPr>
      </w:pPr>
      <w:r>
        <w:rPr>
          <w:b/>
          <w:kern w:val="0"/>
          <w:szCs w:val="28"/>
        </w:rPr>
        <w:t>（4）第四阶段</w:t>
      </w:r>
    </w:p>
    <w:p w14:paraId="153FFE33">
      <w:pPr>
        <w:ind w:firstLine="560"/>
        <w:rPr>
          <w:kern w:val="0"/>
          <w:szCs w:val="28"/>
        </w:rPr>
      </w:pPr>
      <w:r>
        <w:rPr>
          <w:kern w:val="0"/>
          <w:szCs w:val="28"/>
        </w:rPr>
        <w:t>资料综合整理及报告编写阶段。根据工作成果编制《</w:t>
      </w:r>
      <w:r>
        <w:rPr>
          <w:color w:val="auto"/>
        </w:rPr>
        <w:t>广西上思县龙大山-讲鱼山矿区水泥用灰岩矿核实报告》</w:t>
      </w:r>
      <w:r>
        <w:rPr>
          <w:kern w:val="0"/>
          <w:szCs w:val="28"/>
        </w:rPr>
        <w:t>。</w:t>
      </w:r>
    </w:p>
    <w:p w14:paraId="5BC50E04">
      <w:pPr>
        <w:pStyle w:val="4"/>
      </w:pPr>
      <w:bookmarkStart w:id="232" w:name="_Toc31306"/>
      <w:r>
        <w:t>3.</w:t>
      </w:r>
      <w:r>
        <w:rPr>
          <w:lang w:val="en-US"/>
        </w:rPr>
        <w:t>5</w:t>
      </w:r>
      <w:r>
        <w:t xml:space="preserve"> 工作安排</w:t>
      </w:r>
      <w:bookmarkEnd w:id="222"/>
      <w:bookmarkEnd w:id="223"/>
      <w:bookmarkEnd w:id="224"/>
      <w:bookmarkEnd w:id="225"/>
      <w:bookmarkEnd w:id="226"/>
      <w:bookmarkEnd w:id="232"/>
    </w:p>
    <w:p w14:paraId="1A8B51C9">
      <w:pPr>
        <w:ind w:firstLine="560"/>
      </w:pPr>
      <w:bookmarkStart w:id="233" w:name="_Toc176901241"/>
      <w:r>
        <w:t>根据工作的总体部署，本详查项目计划在6个月内完成。分两个阶段实施：</w:t>
      </w:r>
    </w:p>
    <w:p w14:paraId="2F1D860E">
      <w:pPr>
        <w:ind w:firstLine="560"/>
      </w:pPr>
      <w:r>
        <w:t>第一阶段野外作业：自勘查实施方案批准施工后，首先进行地形图测量，建立泉、井、溪流（河流）等长期动态观测点，勘探线剖面地质测量，地质图测量，剥土工程和钻孔施工、编录、取样，水文、工程、环境地质测量，其它各种样品的采集、加工、分析与测试，计划4个月完成。</w:t>
      </w:r>
    </w:p>
    <w:p w14:paraId="2F9151E9">
      <w:pPr>
        <w:ind w:firstLine="560"/>
      </w:pPr>
      <w:r>
        <w:t>工作上采用从已知到未知、先地表后深部的原则。即先开展地表地质工作，进行到一定程度后，再开展深部钻探工作。具体地质工作安排如下：</w:t>
      </w:r>
    </w:p>
    <w:p w14:paraId="53283B58">
      <w:pPr>
        <w:ind w:firstLine="560"/>
        <w:rPr>
          <w:color w:val="auto"/>
        </w:rPr>
      </w:pPr>
      <w:r>
        <w:rPr>
          <w:color w:val="auto"/>
        </w:rPr>
        <w:t>（1）测量工作：进入矿区10天内完成矿区控制测量一级导线建立、放测勘探线基线，进行图根点测量，基线测量2.0km，预计完成时间2026年</w:t>
      </w:r>
      <w:r>
        <w:rPr>
          <w:rFonts w:hint="eastAsia"/>
          <w:color w:val="auto"/>
        </w:rPr>
        <w:t>8</w:t>
      </w:r>
      <w:r>
        <w:rPr>
          <w:color w:val="auto"/>
        </w:rPr>
        <w:t>月6日至2026年</w:t>
      </w:r>
      <w:r>
        <w:rPr>
          <w:rFonts w:hint="eastAsia"/>
          <w:color w:val="auto"/>
        </w:rPr>
        <w:t>8</w:t>
      </w:r>
      <w:r>
        <w:rPr>
          <w:color w:val="auto"/>
        </w:rPr>
        <w:t>月15日。矿区1:2000地形测量3.0km</w:t>
      </w:r>
      <w:r>
        <w:rPr>
          <w:color w:val="auto"/>
          <w:vertAlign w:val="superscript"/>
        </w:rPr>
        <w:t>2</w:t>
      </w:r>
      <w:r>
        <w:rPr>
          <w:color w:val="auto"/>
        </w:rPr>
        <w:t>，预计完成时间为2026年</w:t>
      </w:r>
      <w:r>
        <w:rPr>
          <w:rFonts w:hint="eastAsia"/>
          <w:color w:val="auto"/>
        </w:rPr>
        <w:t>8</w:t>
      </w:r>
      <w:r>
        <w:rPr>
          <w:color w:val="auto"/>
        </w:rPr>
        <w:t>月16日至2026年</w:t>
      </w:r>
      <w:r>
        <w:rPr>
          <w:rFonts w:hint="eastAsia"/>
          <w:color w:val="auto"/>
        </w:rPr>
        <w:t>8</w:t>
      </w:r>
      <w:r>
        <w:rPr>
          <w:color w:val="auto"/>
        </w:rPr>
        <w:t>月25日。</w:t>
      </w:r>
    </w:p>
    <w:p w14:paraId="693B8C18">
      <w:pPr>
        <w:ind w:firstLine="560"/>
        <w:rPr>
          <w:color w:val="auto"/>
        </w:rPr>
      </w:pPr>
      <w:r>
        <w:rPr>
          <w:color w:val="auto"/>
        </w:rPr>
        <w:t>（2）地表水地下水动态观测：进入矿区10天内建立泉、井、溪流（河流）等长期动态观测点，拟在矿区及周围设置</w:t>
      </w:r>
      <w:r>
        <w:rPr>
          <w:rFonts w:hint="eastAsia"/>
          <w:color w:val="auto"/>
          <w:lang w:val="en-US" w:eastAsia="zh-CN"/>
        </w:rPr>
        <w:t>7</w:t>
      </w:r>
      <w:r>
        <w:rPr>
          <w:color w:val="auto"/>
        </w:rPr>
        <w:t>个长期观测点，其中地表河流点3个，井泉水点2个，钻孔</w:t>
      </w:r>
      <w:r>
        <w:rPr>
          <w:rFonts w:hint="eastAsia"/>
          <w:color w:val="auto"/>
          <w:lang w:val="en-US" w:eastAsia="zh-CN"/>
        </w:rPr>
        <w:t>2</w:t>
      </w:r>
      <w:r>
        <w:rPr>
          <w:color w:val="auto"/>
        </w:rPr>
        <w:t>个（ZK</w:t>
      </w:r>
      <w:r>
        <w:rPr>
          <w:rFonts w:hint="eastAsia"/>
          <w:color w:val="auto"/>
          <w:lang w:val="en-US" w:eastAsia="zh-CN"/>
        </w:rPr>
        <w:t>306、ZK502</w:t>
      </w:r>
      <w:r>
        <w:rPr>
          <w:color w:val="auto"/>
        </w:rPr>
        <w:t>），预计完成时间为2026年</w:t>
      </w:r>
      <w:r>
        <w:rPr>
          <w:rFonts w:hint="eastAsia"/>
          <w:color w:val="auto"/>
        </w:rPr>
        <w:t>8</w:t>
      </w:r>
      <w:r>
        <w:rPr>
          <w:color w:val="auto"/>
        </w:rPr>
        <w:t>月26日至2026年</w:t>
      </w:r>
      <w:r>
        <w:rPr>
          <w:rFonts w:hint="eastAsia"/>
          <w:color w:val="auto"/>
        </w:rPr>
        <w:t>11</w:t>
      </w:r>
      <w:r>
        <w:rPr>
          <w:color w:val="auto"/>
        </w:rPr>
        <w:t>月20日。地下水动态观测时间为工作开始至野外工作验收前。</w:t>
      </w:r>
    </w:p>
    <w:p w14:paraId="2B3C9E31">
      <w:pPr>
        <w:ind w:firstLine="560"/>
      </w:pPr>
      <w:r>
        <w:t>（3）</w:t>
      </w:r>
      <w:r>
        <w:rPr>
          <w:rFonts w:hint="eastAsia"/>
          <w:lang w:val="en-US" w:eastAsia="zh-CN"/>
        </w:rPr>
        <w:t>矿区</w:t>
      </w:r>
      <w:r>
        <w:t>1:2000地质测量1.36km</w:t>
      </w:r>
      <w:r>
        <w:rPr>
          <w:vertAlign w:val="superscript"/>
        </w:rPr>
        <w:t>2</w:t>
      </w:r>
      <w:r>
        <w:rPr>
          <w:rFonts w:hint="eastAsia"/>
          <w:lang w:eastAsia="zh-CN"/>
        </w:rPr>
        <w:t>，</w:t>
      </w:r>
      <w:r>
        <w:rPr>
          <w:color w:val="auto"/>
        </w:rPr>
        <w:t>1:5000水工环地质测量8.0km</w:t>
      </w:r>
      <w:r>
        <w:rPr>
          <w:color w:val="auto"/>
          <w:vertAlign w:val="superscript"/>
        </w:rPr>
        <w:t>2</w:t>
      </w:r>
      <w:r>
        <w:rPr>
          <w:color w:val="auto"/>
        </w:rPr>
        <w:t>，</w:t>
      </w:r>
      <w:r>
        <w:t>1:50000</w:t>
      </w:r>
      <w:r>
        <w:rPr>
          <w:rFonts w:hint="eastAsia"/>
          <w:lang w:val="en-US" w:eastAsia="zh-CN"/>
        </w:rPr>
        <w:t>区域</w:t>
      </w:r>
      <w:r>
        <w:t>水文地质测量</w:t>
      </w:r>
      <w:r>
        <w:rPr>
          <w:rFonts w:hint="eastAsia"/>
          <w:lang w:val="en-US" w:eastAsia="zh-CN"/>
        </w:rPr>
        <w:t>80</w:t>
      </w:r>
      <w:r>
        <w:t>km</w:t>
      </w:r>
      <w:r>
        <w:rPr>
          <w:vertAlign w:val="superscript"/>
        </w:rPr>
        <w:t>2</w:t>
      </w:r>
      <w:r>
        <w:t>，</w:t>
      </w:r>
      <w:r>
        <w:rPr>
          <w:rFonts w:hint="eastAsia"/>
          <w:lang w:val="en-US" w:eastAsia="zh-CN"/>
        </w:rPr>
        <w:t>1:1000水文地质、工程地质剖面测量2.78km</w:t>
      </w:r>
      <w:r>
        <w:t>可同时开展。首先完成勘探线施工部位地质测量，然后，加密观察路线达到要求的精度。预计完成时间为2026年</w:t>
      </w:r>
      <w:r>
        <w:rPr>
          <w:rFonts w:hint="eastAsia"/>
        </w:rPr>
        <w:t>9</w:t>
      </w:r>
      <w:r>
        <w:t>月6日至2026年</w:t>
      </w:r>
      <w:r>
        <w:rPr>
          <w:rFonts w:hint="eastAsia"/>
        </w:rPr>
        <w:t>11</w:t>
      </w:r>
      <w:r>
        <w:t>月20日。</w:t>
      </w:r>
    </w:p>
    <w:p w14:paraId="23FF52AF">
      <w:pPr>
        <w:ind w:firstLine="560"/>
      </w:pPr>
      <w:r>
        <w:t>（4）剥土工程：通过施工剥土，开展地表取样工作，对边部矿体进行控制，设计工作量为2000m</w:t>
      </w:r>
      <w:r>
        <w:rPr>
          <w:vertAlign w:val="superscript"/>
        </w:rPr>
        <w:t>3</w:t>
      </w:r>
      <w:r>
        <w:t>，预计完成时间为2026年</w:t>
      </w:r>
      <w:r>
        <w:rPr>
          <w:rFonts w:hint="eastAsia"/>
        </w:rPr>
        <w:t>9</w:t>
      </w:r>
      <w:r>
        <w:t>月6日至2026年</w:t>
      </w:r>
      <w:r>
        <w:rPr>
          <w:rFonts w:hint="eastAsia"/>
        </w:rPr>
        <w:t>11</w:t>
      </w:r>
      <w:r>
        <w:t>月20日。</w:t>
      </w:r>
    </w:p>
    <w:p w14:paraId="23E3C569">
      <w:pPr>
        <w:ind w:firstLine="560"/>
      </w:pPr>
      <w:r>
        <w:t>（5）钻探工程：1:2000地形测量完成后，钻孔孔位确定，立即进行钻孔施工，及时进行地质和水文地质编录工作，钻探工程1</w:t>
      </w:r>
      <w:r>
        <w:rPr>
          <w:rFonts w:hint="eastAsia"/>
          <w:lang w:val="en-US" w:eastAsia="zh-CN"/>
        </w:rPr>
        <w:t>3</w:t>
      </w:r>
      <w:r>
        <w:t>22m，预计完成时间为2026年</w:t>
      </w:r>
      <w:r>
        <w:rPr>
          <w:rFonts w:hint="eastAsia"/>
        </w:rPr>
        <w:t>9</w:t>
      </w:r>
      <w:r>
        <w:t>月6日至2026年</w:t>
      </w:r>
      <w:r>
        <w:rPr>
          <w:rFonts w:hint="eastAsia"/>
        </w:rPr>
        <w:t>11</w:t>
      </w:r>
      <w:r>
        <w:t>月20日。</w:t>
      </w:r>
    </w:p>
    <w:p w14:paraId="7871F082">
      <w:pPr>
        <w:ind w:firstLine="560"/>
      </w:pPr>
      <w:r>
        <w:t>（6）样品采集和测试：在工程施工完成后及时采集各类样品，同时完成水质全分析等样品的采集及化验工作，预计完成时间为2026年</w:t>
      </w:r>
      <w:r>
        <w:rPr>
          <w:rFonts w:hint="eastAsia"/>
        </w:rPr>
        <w:t>9</w:t>
      </w:r>
      <w:r>
        <w:t>月6日至2026年</w:t>
      </w:r>
      <w:r>
        <w:rPr>
          <w:rFonts w:hint="eastAsia"/>
        </w:rPr>
        <w:t>11</w:t>
      </w:r>
      <w:r>
        <w:t>月20日。</w:t>
      </w:r>
    </w:p>
    <w:p w14:paraId="05E2FD70">
      <w:pPr>
        <w:ind w:firstLine="560"/>
      </w:pPr>
      <w:r>
        <w:t>（7）开展水工环地质测量相关样品采集测试工作。包括岩土物理力学性质样、土壤、</w:t>
      </w:r>
      <w:r>
        <w:rPr>
          <w:rFonts w:hint="eastAsia"/>
          <w:lang w:val="en-US" w:eastAsia="zh-CN"/>
        </w:rPr>
        <w:t>岩土</w:t>
      </w:r>
      <w:r>
        <w:t>重金属特征污染</w:t>
      </w:r>
      <w:r>
        <w:rPr>
          <w:rFonts w:hint="eastAsia"/>
          <w:lang w:val="en-US" w:eastAsia="zh-CN"/>
        </w:rPr>
        <w:t>物</w:t>
      </w:r>
      <w:r>
        <w:t>取样等，预计完成时间2026年</w:t>
      </w:r>
      <w:r>
        <w:rPr>
          <w:rFonts w:hint="eastAsia"/>
        </w:rPr>
        <w:t>9</w:t>
      </w:r>
      <w:r>
        <w:t>月6日至2026年</w:t>
      </w:r>
      <w:r>
        <w:rPr>
          <w:rFonts w:hint="eastAsia"/>
        </w:rPr>
        <w:t>11</w:t>
      </w:r>
      <w:r>
        <w:t>月20日。</w:t>
      </w:r>
    </w:p>
    <w:p w14:paraId="21315D9C">
      <w:pPr>
        <w:ind w:firstLine="560"/>
      </w:pPr>
      <w:r>
        <w:t>第二阶段室内工作：野外工作结束后，及时进行样品加工、分析与测试，资料综合整理和综合研究、报告编写、报告送审，报告印刷等工作，计划2个月完成，预计完成时间为2026年</w:t>
      </w:r>
      <w:r>
        <w:rPr>
          <w:rFonts w:hint="eastAsia"/>
        </w:rPr>
        <w:t>11</w:t>
      </w:r>
      <w:r>
        <w:t>月21日至202</w:t>
      </w:r>
      <w:r>
        <w:rPr>
          <w:rFonts w:hint="eastAsia"/>
        </w:rPr>
        <w:t>7</w:t>
      </w:r>
      <w:r>
        <w:t>年</w:t>
      </w:r>
      <w:r>
        <w:rPr>
          <w:rFonts w:hint="eastAsia"/>
        </w:rPr>
        <w:t>1</w:t>
      </w:r>
      <w:r>
        <w:t>月30日。</w:t>
      </w:r>
    </w:p>
    <w:p w14:paraId="3FC8A3E2">
      <w:pPr>
        <w:pStyle w:val="4"/>
      </w:pPr>
      <w:bookmarkStart w:id="234" w:name="_Toc15354"/>
      <w:bookmarkStart w:id="235" w:name="_Toc6883"/>
      <w:bookmarkStart w:id="236" w:name="_Toc11811"/>
      <w:bookmarkStart w:id="237" w:name="_Toc9086"/>
      <w:r>
        <w:t>3.</w:t>
      </w:r>
      <w:r>
        <w:rPr>
          <w:lang w:val="en-US"/>
        </w:rPr>
        <w:t>6</w:t>
      </w:r>
      <w:r>
        <w:t xml:space="preserve"> 实物工作量</w:t>
      </w:r>
      <w:bookmarkEnd w:id="233"/>
      <w:bookmarkEnd w:id="234"/>
      <w:bookmarkEnd w:id="235"/>
      <w:bookmarkEnd w:id="236"/>
      <w:bookmarkEnd w:id="237"/>
    </w:p>
    <w:p w14:paraId="6E657CDF">
      <w:pPr>
        <w:widowControl/>
        <w:spacing w:line="240" w:lineRule="auto"/>
        <w:ind w:firstLine="0" w:firstLineChars="0"/>
        <w:jc w:val="center"/>
        <w:rPr>
          <w:b/>
          <w:kern w:val="0"/>
          <w:sz w:val="24"/>
          <w:szCs w:val="24"/>
        </w:rPr>
      </w:pPr>
      <w:r>
        <w:rPr>
          <w:b/>
          <w:kern w:val="0"/>
          <w:sz w:val="24"/>
          <w:szCs w:val="24"/>
        </w:rPr>
        <w:t>表3-4  矿区设计实物量工作量一览表</w:t>
      </w:r>
    </w:p>
    <w:tbl>
      <w:tblPr>
        <w:tblStyle w:val="32"/>
        <w:tblW w:w="4765" w:type="pct"/>
        <w:jc w:val="center"/>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4168"/>
        <w:gridCol w:w="1404"/>
        <w:gridCol w:w="956"/>
        <w:gridCol w:w="2322"/>
      </w:tblGrid>
      <w:tr w14:paraId="4FACB58B">
        <w:tblPrEx>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tblHeader/>
          <w:jc w:val="center"/>
        </w:trPr>
        <w:tc>
          <w:tcPr>
            <w:tcW w:w="2354" w:type="pct"/>
            <w:tcBorders>
              <w:top w:val="single" w:color="auto" w:sz="4" w:space="0"/>
              <w:left w:val="single" w:color="auto" w:sz="4" w:space="0"/>
              <w:bottom w:val="single" w:color="auto" w:sz="4" w:space="0"/>
              <w:right w:val="single" w:color="auto" w:sz="4" w:space="0"/>
            </w:tcBorders>
            <w:vAlign w:val="center"/>
          </w:tcPr>
          <w:p w14:paraId="2CB74AFC">
            <w:pPr>
              <w:spacing w:line="240" w:lineRule="auto"/>
              <w:ind w:firstLine="0" w:firstLineChars="0"/>
              <w:jc w:val="center"/>
              <w:rPr>
                <w:b/>
                <w:kern w:val="0"/>
                <w:sz w:val="24"/>
                <w:szCs w:val="24"/>
              </w:rPr>
            </w:pPr>
            <w:r>
              <w:rPr>
                <w:b/>
                <w:kern w:val="0"/>
                <w:sz w:val="24"/>
                <w:szCs w:val="24"/>
              </w:rPr>
              <w:t>项目</w:t>
            </w:r>
          </w:p>
        </w:tc>
        <w:tc>
          <w:tcPr>
            <w:tcW w:w="793" w:type="pct"/>
            <w:tcBorders>
              <w:top w:val="single" w:color="auto" w:sz="4" w:space="0"/>
              <w:left w:val="single" w:color="auto" w:sz="4" w:space="0"/>
              <w:bottom w:val="single" w:color="auto" w:sz="4" w:space="0"/>
              <w:right w:val="single" w:color="000000" w:sz="4" w:space="0"/>
            </w:tcBorders>
            <w:vAlign w:val="center"/>
          </w:tcPr>
          <w:p w14:paraId="28C609DD">
            <w:pPr>
              <w:spacing w:line="240" w:lineRule="auto"/>
              <w:ind w:firstLine="0" w:firstLineChars="0"/>
              <w:jc w:val="center"/>
              <w:rPr>
                <w:b/>
                <w:kern w:val="0"/>
                <w:sz w:val="24"/>
                <w:szCs w:val="24"/>
              </w:rPr>
            </w:pPr>
            <w:r>
              <w:rPr>
                <w:b/>
                <w:kern w:val="0"/>
                <w:sz w:val="24"/>
                <w:szCs w:val="24"/>
              </w:rPr>
              <w:t>工作量</w:t>
            </w:r>
          </w:p>
        </w:tc>
        <w:tc>
          <w:tcPr>
            <w:tcW w:w="540" w:type="pct"/>
            <w:tcBorders>
              <w:top w:val="single" w:color="auto" w:sz="4" w:space="0"/>
              <w:left w:val="nil"/>
              <w:bottom w:val="single" w:color="auto" w:sz="4" w:space="0"/>
              <w:right w:val="single" w:color="auto" w:sz="4" w:space="0"/>
            </w:tcBorders>
            <w:vAlign w:val="center"/>
          </w:tcPr>
          <w:p w14:paraId="328F8633">
            <w:pPr>
              <w:spacing w:line="240" w:lineRule="auto"/>
              <w:ind w:firstLine="0" w:firstLineChars="0"/>
              <w:jc w:val="center"/>
              <w:rPr>
                <w:b/>
                <w:kern w:val="0"/>
                <w:sz w:val="24"/>
                <w:szCs w:val="24"/>
              </w:rPr>
            </w:pPr>
            <w:r>
              <w:rPr>
                <w:b/>
                <w:kern w:val="0"/>
                <w:sz w:val="24"/>
                <w:szCs w:val="24"/>
              </w:rPr>
              <w:t>单位</w:t>
            </w:r>
          </w:p>
        </w:tc>
        <w:tc>
          <w:tcPr>
            <w:tcW w:w="1311" w:type="pct"/>
            <w:tcBorders>
              <w:top w:val="single" w:color="auto" w:sz="4" w:space="0"/>
              <w:left w:val="nil"/>
              <w:bottom w:val="single" w:color="auto" w:sz="4" w:space="0"/>
              <w:right w:val="single" w:color="auto" w:sz="4" w:space="0"/>
            </w:tcBorders>
            <w:vAlign w:val="center"/>
          </w:tcPr>
          <w:p w14:paraId="7A4E5F85">
            <w:pPr>
              <w:spacing w:line="240" w:lineRule="auto"/>
              <w:ind w:firstLine="0" w:firstLineChars="0"/>
              <w:jc w:val="center"/>
              <w:rPr>
                <w:b/>
                <w:kern w:val="0"/>
                <w:sz w:val="24"/>
                <w:szCs w:val="24"/>
              </w:rPr>
            </w:pPr>
            <w:r>
              <w:rPr>
                <w:b/>
                <w:kern w:val="0"/>
                <w:sz w:val="24"/>
                <w:szCs w:val="24"/>
              </w:rPr>
              <w:t>备注</w:t>
            </w:r>
          </w:p>
        </w:tc>
      </w:tr>
      <w:tr w14:paraId="6C5BD006">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7E00C87E">
            <w:pPr>
              <w:spacing w:line="240" w:lineRule="auto"/>
              <w:ind w:firstLine="0" w:firstLineChars="0"/>
              <w:jc w:val="left"/>
              <w:rPr>
                <w:kern w:val="0"/>
                <w:sz w:val="24"/>
                <w:szCs w:val="24"/>
              </w:rPr>
            </w:pPr>
            <w:r>
              <w:rPr>
                <w:b/>
                <w:bCs/>
                <w:kern w:val="0"/>
                <w:sz w:val="24"/>
                <w:szCs w:val="24"/>
              </w:rPr>
              <w:t>一、测量</w:t>
            </w:r>
          </w:p>
        </w:tc>
        <w:tc>
          <w:tcPr>
            <w:tcW w:w="793" w:type="pct"/>
            <w:tcBorders>
              <w:top w:val="single" w:color="auto" w:sz="4" w:space="0"/>
              <w:left w:val="single" w:color="auto" w:sz="4" w:space="0"/>
              <w:bottom w:val="single" w:color="auto" w:sz="4" w:space="0"/>
              <w:right w:val="single" w:color="000000" w:sz="4" w:space="0"/>
            </w:tcBorders>
            <w:vAlign w:val="center"/>
          </w:tcPr>
          <w:p w14:paraId="47F74ED0">
            <w:pPr>
              <w:spacing w:line="240" w:lineRule="auto"/>
              <w:ind w:firstLine="0" w:firstLineChars="0"/>
              <w:jc w:val="center"/>
              <w:rPr>
                <w:kern w:val="0"/>
                <w:sz w:val="24"/>
                <w:szCs w:val="24"/>
              </w:rPr>
            </w:pPr>
          </w:p>
        </w:tc>
        <w:tc>
          <w:tcPr>
            <w:tcW w:w="540" w:type="pct"/>
            <w:tcBorders>
              <w:top w:val="single" w:color="auto" w:sz="4" w:space="0"/>
              <w:left w:val="nil"/>
              <w:bottom w:val="single" w:color="auto" w:sz="4" w:space="0"/>
              <w:right w:val="single" w:color="auto" w:sz="4" w:space="0"/>
            </w:tcBorders>
            <w:vAlign w:val="center"/>
          </w:tcPr>
          <w:p w14:paraId="100AAE8B">
            <w:pPr>
              <w:spacing w:line="240" w:lineRule="auto"/>
              <w:ind w:firstLine="0" w:firstLineChars="0"/>
              <w:jc w:val="center"/>
              <w:rPr>
                <w:kern w:val="0"/>
                <w:sz w:val="24"/>
                <w:szCs w:val="24"/>
              </w:rPr>
            </w:pPr>
          </w:p>
        </w:tc>
        <w:tc>
          <w:tcPr>
            <w:tcW w:w="1311" w:type="pct"/>
            <w:tcBorders>
              <w:top w:val="single" w:color="auto" w:sz="4" w:space="0"/>
              <w:left w:val="nil"/>
              <w:bottom w:val="single" w:color="auto" w:sz="4" w:space="0"/>
              <w:right w:val="single" w:color="auto" w:sz="4" w:space="0"/>
            </w:tcBorders>
            <w:vAlign w:val="center"/>
          </w:tcPr>
          <w:p w14:paraId="03AA97E7">
            <w:pPr>
              <w:spacing w:line="240" w:lineRule="auto"/>
              <w:ind w:firstLine="0" w:firstLineChars="0"/>
              <w:jc w:val="center"/>
              <w:rPr>
                <w:kern w:val="0"/>
                <w:sz w:val="24"/>
                <w:szCs w:val="24"/>
              </w:rPr>
            </w:pPr>
          </w:p>
        </w:tc>
      </w:tr>
      <w:tr w14:paraId="2ECD722C">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008525F4">
            <w:pPr>
              <w:spacing w:line="240" w:lineRule="auto"/>
              <w:ind w:firstLine="0" w:firstLineChars="0"/>
              <w:jc w:val="left"/>
              <w:rPr>
                <w:kern w:val="0"/>
                <w:sz w:val="24"/>
                <w:szCs w:val="24"/>
              </w:rPr>
            </w:pPr>
            <w:r>
              <w:rPr>
                <w:kern w:val="0"/>
                <w:sz w:val="24"/>
                <w:szCs w:val="24"/>
              </w:rPr>
              <w:t>1、GPS控制测量E级点</w:t>
            </w:r>
          </w:p>
        </w:tc>
        <w:tc>
          <w:tcPr>
            <w:tcW w:w="793" w:type="pct"/>
            <w:tcBorders>
              <w:top w:val="single" w:color="auto" w:sz="4" w:space="0"/>
              <w:left w:val="single" w:color="auto" w:sz="4" w:space="0"/>
              <w:bottom w:val="single" w:color="000000" w:sz="4" w:space="0"/>
              <w:right w:val="single" w:color="000000" w:sz="4" w:space="0"/>
            </w:tcBorders>
            <w:vAlign w:val="center"/>
          </w:tcPr>
          <w:p w14:paraId="31D5FFFA">
            <w:pPr>
              <w:spacing w:line="240" w:lineRule="auto"/>
              <w:ind w:firstLine="0" w:firstLineChars="0"/>
              <w:jc w:val="center"/>
              <w:rPr>
                <w:kern w:val="0"/>
                <w:sz w:val="24"/>
                <w:szCs w:val="24"/>
              </w:rPr>
            </w:pPr>
            <w:r>
              <w:rPr>
                <w:kern w:val="0"/>
                <w:sz w:val="24"/>
                <w:szCs w:val="24"/>
              </w:rPr>
              <w:t>6</w:t>
            </w:r>
          </w:p>
        </w:tc>
        <w:tc>
          <w:tcPr>
            <w:tcW w:w="540" w:type="pct"/>
            <w:tcBorders>
              <w:top w:val="single" w:color="auto" w:sz="4" w:space="0"/>
              <w:left w:val="nil"/>
              <w:bottom w:val="single" w:color="000000" w:sz="4" w:space="0"/>
              <w:right w:val="single" w:color="auto" w:sz="4" w:space="0"/>
            </w:tcBorders>
            <w:vAlign w:val="center"/>
          </w:tcPr>
          <w:p w14:paraId="05BFC7F1">
            <w:pPr>
              <w:spacing w:line="240" w:lineRule="auto"/>
              <w:ind w:firstLine="0" w:firstLineChars="0"/>
              <w:jc w:val="center"/>
              <w:rPr>
                <w:kern w:val="0"/>
                <w:sz w:val="24"/>
                <w:szCs w:val="24"/>
              </w:rPr>
            </w:pPr>
            <w:r>
              <w:rPr>
                <w:kern w:val="0"/>
                <w:sz w:val="24"/>
                <w:szCs w:val="24"/>
              </w:rPr>
              <w:t>个</w:t>
            </w:r>
          </w:p>
        </w:tc>
        <w:tc>
          <w:tcPr>
            <w:tcW w:w="1311" w:type="pct"/>
            <w:tcBorders>
              <w:top w:val="single" w:color="auto" w:sz="4" w:space="0"/>
              <w:left w:val="nil"/>
              <w:bottom w:val="single" w:color="000000" w:sz="4" w:space="0"/>
              <w:right w:val="single" w:color="auto" w:sz="4" w:space="0"/>
            </w:tcBorders>
            <w:vAlign w:val="center"/>
          </w:tcPr>
          <w:p w14:paraId="0C20946C">
            <w:pPr>
              <w:spacing w:line="240" w:lineRule="auto"/>
              <w:ind w:firstLine="0" w:firstLineChars="0"/>
              <w:jc w:val="center"/>
              <w:rPr>
                <w:kern w:val="0"/>
                <w:sz w:val="24"/>
                <w:szCs w:val="24"/>
              </w:rPr>
            </w:pPr>
          </w:p>
        </w:tc>
      </w:tr>
      <w:tr w14:paraId="27C29C44">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0CC6A4C6">
            <w:pPr>
              <w:spacing w:line="240" w:lineRule="auto"/>
              <w:ind w:firstLine="0" w:firstLineChars="0"/>
              <w:jc w:val="left"/>
              <w:rPr>
                <w:kern w:val="0"/>
                <w:sz w:val="24"/>
                <w:szCs w:val="24"/>
              </w:rPr>
            </w:pPr>
            <w:r>
              <w:rPr>
                <w:kern w:val="0"/>
                <w:sz w:val="24"/>
                <w:szCs w:val="24"/>
              </w:rPr>
              <w:t>2、1:2000勘查范围地形测量</w:t>
            </w:r>
          </w:p>
        </w:tc>
        <w:tc>
          <w:tcPr>
            <w:tcW w:w="793" w:type="pct"/>
            <w:tcBorders>
              <w:top w:val="single" w:color="auto" w:sz="4" w:space="0"/>
              <w:left w:val="single" w:color="auto" w:sz="4" w:space="0"/>
              <w:bottom w:val="single" w:color="000000" w:sz="4" w:space="0"/>
              <w:right w:val="single" w:color="000000" w:sz="4" w:space="0"/>
            </w:tcBorders>
            <w:vAlign w:val="center"/>
          </w:tcPr>
          <w:p w14:paraId="463791BF">
            <w:pPr>
              <w:spacing w:line="240" w:lineRule="auto"/>
              <w:ind w:firstLine="0" w:firstLineChars="0"/>
              <w:jc w:val="center"/>
              <w:rPr>
                <w:kern w:val="0"/>
                <w:sz w:val="24"/>
                <w:szCs w:val="24"/>
              </w:rPr>
            </w:pPr>
            <w:r>
              <w:rPr>
                <w:kern w:val="0"/>
                <w:sz w:val="24"/>
                <w:szCs w:val="24"/>
              </w:rPr>
              <w:t>3</w:t>
            </w:r>
          </w:p>
        </w:tc>
        <w:tc>
          <w:tcPr>
            <w:tcW w:w="540" w:type="pct"/>
            <w:tcBorders>
              <w:top w:val="single" w:color="auto" w:sz="4" w:space="0"/>
              <w:left w:val="nil"/>
              <w:bottom w:val="single" w:color="000000" w:sz="4" w:space="0"/>
              <w:right w:val="single" w:color="auto" w:sz="4" w:space="0"/>
            </w:tcBorders>
            <w:vAlign w:val="center"/>
          </w:tcPr>
          <w:p w14:paraId="3AE58B6F">
            <w:pPr>
              <w:spacing w:line="240" w:lineRule="auto"/>
              <w:ind w:firstLine="0" w:firstLineChars="0"/>
              <w:jc w:val="center"/>
              <w:rPr>
                <w:kern w:val="0"/>
                <w:sz w:val="24"/>
                <w:szCs w:val="24"/>
              </w:rPr>
            </w:pPr>
            <w:r>
              <w:rPr>
                <w:kern w:val="0"/>
                <w:sz w:val="24"/>
                <w:szCs w:val="24"/>
              </w:rPr>
              <w:t>km</w:t>
            </w:r>
            <w:r>
              <w:rPr>
                <w:kern w:val="0"/>
                <w:sz w:val="24"/>
                <w:szCs w:val="24"/>
                <w:vertAlign w:val="superscript"/>
              </w:rPr>
              <w:t>2</w:t>
            </w:r>
          </w:p>
        </w:tc>
        <w:tc>
          <w:tcPr>
            <w:tcW w:w="1311" w:type="pct"/>
            <w:tcBorders>
              <w:top w:val="single" w:color="auto" w:sz="4" w:space="0"/>
              <w:left w:val="nil"/>
              <w:bottom w:val="single" w:color="000000" w:sz="4" w:space="0"/>
              <w:right w:val="single" w:color="auto" w:sz="4" w:space="0"/>
            </w:tcBorders>
            <w:vAlign w:val="center"/>
          </w:tcPr>
          <w:p w14:paraId="2ABA564C">
            <w:pPr>
              <w:spacing w:line="240" w:lineRule="auto"/>
              <w:ind w:firstLine="0" w:firstLineChars="0"/>
              <w:jc w:val="center"/>
              <w:rPr>
                <w:kern w:val="0"/>
                <w:sz w:val="24"/>
                <w:szCs w:val="24"/>
              </w:rPr>
            </w:pPr>
          </w:p>
        </w:tc>
      </w:tr>
      <w:tr w14:paraId="145BAE91">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67BFC403">
            <w:pPr>
              <w:spacing w:line="240" w:lineRule="auto"/>
              <w:ind w:firstLine="0" w:firstLineChars="0"/>
              <w:jc w:val="left"/>
              <w:rPr>
                <w:kern w:val="0"/>
                <w:sz w:val="24"/>
                <w:szCs w:val="24"/>
              </w:rPr>
            </w:pPr>
            <w:r>
              <w:rPr>
                <w:kern w:val="0"/>
                <w:sz w:val="24"/>
                <w:szCs w:val="24"/>
              </w:rPr>
              <w:t>3、工程点测量</w:t>
            </w:r>
          </w:p>
        </w:tc>
        <w:tc>
          <w:tcPr>
            <w:tcW w:w="793" w:type="pct"/>
            <w:tcBorders>
              <w:top w:val="single" w:color="auto" w:sz="4" w:space="0"/>
              <w:left w:val="single" w:color="auto" w:sz="4" w:space="0"/>
              <w:bottom w:val="single" w:color="000000" w:sz="4" w:space="0"/>
              <w:right w:val="single" w:color="000000" w:sz="4" w:space="0"/>
            </w:tcBorders>
            <w:vAlign w:val="center"/>
          </w:tcPr>
          <w:p w14:paraId="16158B60">
            <w:pPr>
              <w:spacing w:line="240" w:lineRule="auto"/>
              <w:ind w:firstLine="0" w:firstLineChars="0"/>
              <w:jc w:val="center"/>
              <w:rPr>
                <w:kern w:val="0"/>
                <w:sz w:val="24"/>
                <w:szCs w:val="24"/>
              </w:rPr>
            </w:pPr>
            <w:r>
              <w:rPr>
                <w:kern w:val="0"/>
                <w:sz w:val="24"/>
                <w:szCs w:val="24"/>
              </w:rPr>
              <w:t>21</w:t>
            </w:r>
          </w:p>
        </w:tc>
        <w:tc>
          <w:tcPr>
            <w:tcW w:w="540" w:type="pct"/>
            <w:tcBorders>
              <w:top w:val="single" w:color="auto" w:sz="4" w:space="0"/>
              <w:left w:val="nil"/>
              <w:bottom w:val="single" w:color="000000" w:sz="4" w:space="0"/>
              <w:right w:val="single" w:color="auto" w:sz="4" w:space="0"/>
            </w:tcBorders>
            <w:vAlign w:val="center"/>
          </w:tcPr>
          <w:p w14:paraId="33498F5E">
            <w:pPr>
              <w:spacing w:line="240" w:lineRule="auto"/>
              <w:ind w:firstLine="0" w:firstLineChars="0"/>
              <w:jc w:val="center"/>
              <w:rPr>
                <w:kern w:val="0"/>
                <w:sz w:val="24"/>
                <w:szCs w:val="24"/>
              </w:rPr>
            </w:pPr>
            <w:r>
              <w:rPr>
                <w:kern w:val="0"/>
                <w:sz w:val="24"/>
                <w:szCs w:val="24"/>
              </w:rPr>
              <w:t>点</w:t>
            </w:r>
          </w:p>
        </w:tc>
        <w:tc>
          <w:tcPr>
            <w:tcW w:w="1311" w:type="pct"/>
            <w:tcBorders>
              <w:top w:val="single" w:color="auto" w:sz="4" w:space="0"/>
              <w:left w:val="nil"/>
              <w:bottom w:val="single" w:color="000000" w:sz="4" w:space="0"/>
              <w:right w:val="single" w:color="auto" w:sz="4" w:space="0"/>
            </w:tcBorders>
            <w:vAlign w:val="center"/>
          </w:tcPr>
          <w:p w14:paraId="7BBE5376">
            <w:pPr>
              <w:spacing w:line="240" w:lineRule="auto"/>
              <w:ind w:firstLine="0" w:firstLineChars="0"/>
              <w:jc w:val="center"/>
              <w:rPr>
                <w:kern w:val="0"/>
                <w:sz w:val="24"/>
                <w:szCs w:val="24"/>
              </w:rPr>
            </w:pPr>
          </w:p>
        </w:tc>
      </w:tr>
      <w:tr w14:paraId="5DE30D93">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40698F60">
            <w:pPr>
              <w:spacing w:line="240" w:lineRule="auto"/>
              <w:ind w:firstLine="0" w:firstLineChars="0"/>
              <w:jc w:val="left"/>
              <w:rPr>
                <w:kern w:val="0"/>
                <w:sz w:val="24"/>
                <w:szCs w:val="24"/>
              </w:rPr>
            </w:pPr>
            <w:r>
              <w:rPr>
                <w:kern w:val="0"/>
                <w:sz w:val="24"/>
                <w:szCs w:val="24"/>
              </w:rPr>
              <w:t>4、勘探基线测量</w:t>
            </w:r>
          </w:p>
        </w:tc>
        <w:tc>
          <w:tcPr>
            <w:tcW w:w="793" w:type="pct"/>
            <w:tcBorders>
              <w:top w:val="single" w:color="auto" w:sz="4" w:space="0"/>
              <w:left w:val="single" w:color="auto" w:sz="4" w:space="0"/>
              <w:bottom w:val="single" w:color="auto" w:sz="4" w:space="0"/>
              <w:right w:val="single" w:color="000000" w:sz="4" w:space="0"/>
            </w:tcBorders>
            <w:vAlign w:val="center"/>
          </w:tcPr>
          <w:p w14:paraId="04D7EE03">
            <w:pPr>
              <w:spacing w:line="240" w:lineRule="auto"/>
              <w:ind w:firstLine="0" w:firstLineChars="0"/>
              <w:jc w:val="center"/>
              <w:rPr>
                <w:kern w:val="0"/>
                <w:sz w:val="24"/>
                <w:szCs w:val="24"/>
              </w:rPr>
            </w:pPr>
            <w:r>
              <w:rPr>
                <w:kern w:val="0"/>
                <w:sz w:val="24"/>
                <w:szCs w:val="24"/>
              </w:rPr>
              <w:t>2.0</w:t>
            </w:r>
          </w:p>
        </w:tc>
        <w:tc>
          <w:tcPr>
            <w:tcW w:w="540" w:type="pct"/>
            <w:tcBorders>
              <w:top w:val="single" w:color="auto" w:sz="4" w:space="0"/>
              <w:left w:val="nil"/>
              <w:bottom w:val="single" w:color="auto" w:sz="4" w:space="0"/>
              <w:right w:val="single" w:color="auto" w:sz="4" w:space="0"/>
            </w:tcBorders>
            <w:vAlign w:val="center"/>
          </w:tcPr>
          <w:p w14:paraId="14031F52">
            <w:pPr>
              <w:spacing w:line="240" w:lineRule="auto"/>
              <w:ind w:firstLine="0" w:firstLineChars="0"/>
              <w:jc w:val="center"/>
              <w:rPr>
                <w:kern w:val="0"/>
                <w:sz w:val="24"/>
                <w:szCs w:val="24"/>
              </w:rPr>
            </w:pPr>
            <w:r>
              <w:rPr>
                <w:kern w:val="0"/>
                <w:sz w:val="24"/>
                <w:szCs w:val="24"/>
              </w:rPr>
              <w:t>km</w:t>
            </w:r>
          </w:p>
        </w:tc>
        <w:tc>
          <w:tcPr>
            <w:tcW w:w="1311" w:type="pct"/>
            <w:tcBorders>
              <w:top w:val="single" w:color="auto" w:sz="4" w:space="0"/>
              <w:left w:val="nil"/>
              <w:bottom w:val="single" w:color="auto" w:sz="4" w:space="0"/>
              <w:right w:val="single" w:color="auto" w:sz="4" w:space="0"/>
            </w:tcBorders>
            <w:vAlign w:val="center"/>
          </w:tcPr>
          <w:p w14:paraId="58F968B5">
            <w:pPr>
              <w:spacing w:line="240" w:lineRule="auto"/>
              <w:ind w:firstLine="0" w:firstLineChars="0"/>
              <w:jc w:val="center"/>
              <w:rPr>
                <w:kern w:val="0"/>
                <w:sz w:val="24"/>
                <w:szCs w:val="24"/>
              </w:rPr>
            </w:pPr>
          </w:p>
        </w:tc>
      </w:tr>
      <w:tr w14:paraId="212906E1">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2EC72884">
            <w:pPr>
              <w:spacing w:line="240" w:lineRule="auto"/>
              <w:ind w:firstLine="0" w:firstLineChars="0"/>
              <w:jc w:val="left"/>
              <w:rPr>
                <w:kern w:val="0"/>
                <w:sz w:val="24"/>
                <w:szCs w:val="24"/>
              </w:rPr>
            </w:pPr>
            <w:r>
              <w:rPr>
                <w:b/>
                <w:bCs/>
                <w:kern w:val="0"/>
                <w:sz w:val="24"/>
                <w:szCs w:val="24"/>
              </w:rPr>
              <w:t>二、地质测量</w:t>
            </w:r>
          </w:p>
        </w:tc>
        <w:tc>
          <w:tcPr>
            <w:tcW w:w="793" w:type="pct"/>
            <w:tcBorders>
              <w:top w:val="single" w:color="auto" w:sz="4" w:space="0"/>
              <w:left w:val="single" w:color="auto" w:sz="4" w:space="0"/>
              <w:bottom w:val="single" w:color="auto" w:sz="4" w:space="0"/>
              <w:right w:val="single" w:color="000000" w:sz="4" w:space="0"/>
            </w:tcBorders>
            <w:vAlign w:val="center"/>
          </w:tcPr>
          <w:p w14:paraId="58876F62">
            <w:pPr>
              <w:spacing w:line="240" w:lineRule="auto"/>
              <w:ind w:firstLine="0" w:firstLineChars="0"/>
              <w:jc w:val="center"/>
              <w:rPr>
                <w:kern w:val="0"/>
                <w:sz w:val="24"/>
                <w:szCs w:val="24"/>
              </w:rPr>
            </w:pPr>
          </w:p>
        </w:tc>
        <w:tc>
          <w:tcPr>
            <w:tcW w:w="540" w:type="pct"/>
            <w:tcBorders>
              <w:top w:val="single" w:color="auto" w:sz="4" w:space="0"/>
              <w:left w:val="nil"/>
              <w:bottom w:val="single" w:color="auto" w:sz="4" w:space="0"/>
              <w:right w:val="single" w:color="auto" w:sz="4" w:space="0"/>
            </w:tcBorders>
            <w:vAlign w:val="center"/>
          </w:tcPr>
          <w:p w14:paraId="6612798C">
            <w:pPr>
              <w:spacing w:line="240" w:lineRule="auto"/>
              <w:ind w:firstLine="0" w:firstLineChars="0"/>
              <w:jc w:val="center"/>
              <w:rPr>
                <w:kern w:val="0"/>
                <w:sz w:val="24"/>
                <w:szCs w:val="24"/>
              </w:rPr>
            </w:pPr>
          </w:p>
        </w:tc>
        <w:tc>
          <w:tcPr>
            <w:tcW w:w="1311" w:type="pct"/>
            <w:tcBorders>
              <w:top w:val="single" w:color="auto" w:sz="4" w:space="0"/>
              <w:left w:val="nil"/>
              <w:bottom w:val="single" w:color="auto" w:sz="4" w:space="0"/>
              <w:right w:val="single" w:color="auto" w:sz="4" w:space="0"/>
            </w:tcBorders>
            <w:vAlign w:val="center"/>
          </w:tcPr>
          <w:p w14:paraId="71BB6037">
            <w:pPr>
              <w:spacing w:line="240" w:lineRule="auto"/>
              <w:ind w:firstLine="0" w:firstLineChars="0"/>
              <w:jc w:val="center"/>
              <w:rPr>
                <w:kern w:val="0"/>
                <w:sz w:val="24"/>
                <w:szCs w:val="24"/>
              </w:rPr>
            </w:pPr>
          </w:p>
        </w:tc>
      </w:tr>
      <w:tr w14:paraId="38F7C5B2">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2FA64619">
            <w:pPr>
              <w:spacing w:line="240" w:lineRule="auto"/>
              <w:ind w:firstLine="0" w:firstLineChars="0"/>
              <w:jc w:val="left"/>
              <w:rPr>
                <w:kern w:val="0"/>
                <w:sz w:val="24"/>
                <w:szCs w:val="24"/>
              </w:rPr>
            </w:pPr>
            <w:r>
              <w:rPr>
                <w:kern w:val="0"/>
                <w:sz w:val="24"/>
                <w:szCs w:val="24"/>
              </w:rPr>
              <w:t>1、1:2000勘查范围地质测量</w:t>
            </w:r>
          </w:p>
        </w:tc>
        <w:tc>
          <w:tcPr>
            <w:tcW w:w="793" w:type="pct"/>
            <w:tcBorders>
              <w:top w:val="single" w:color="auto" w:sz="4" w:space="0"/>
              <w:left w:val="single" w:color="auto" w:sz="4" w:space="0"/>
              <w:bottom w:val="single" w:color="000000" w:sz="4" w:space="0"/>
              <w:right w:val="single" w:color="000000" w:sz="4" w:space="0"/>
            </w:tcBorders>
            <w:vAlign w:val="center"/>
          </w:tcPr>
          <w:p w14:paraId="6D23B1EE">
            <w:pPr>
              <w:spacing w:line="240" w:lineRule="auto"/>
              <w:ind w:firstLine="0" w:firstLineChars="0"/>
              <w:jc w:val="center"/>
              <w:rPr>
                <w:kern w:val="0"/>
                <w:sz w:val="24"/>
                <w:szCs w:val="24"/>
              </w:rPr>
            </w:pPr>
            <w:r>
              <w:rPr>
                <w:kern w:val="0"/>
                <w:sz w:val="24"/>
                <w:szCs w:val="24"/>
              </w:rPr>
              <w:t>1.36</w:t>
            </w:r>
          </w:p>
        </w:tc>
        <w:tc>
          <w:tcPr>
            <w:tcW w:w="540" w:type="pct"/>
            <w:tcBorders>
              <w:top w:val="single" w:color="auto" w:sz="4" w:space="0"/>
              <w:left w:val="nil"/>
              <w:bottom w:val="single" w:color="000000" w:sz="4" w:space="0"/>
              <w:right w:val="single" w:color="auto" w:sz="4" w:space="0"/>
            </w:tcBorders>
            <w:vAlign w:val="center"/>
          </w:tcPr>
          <w:p w14:paraId="2A24B2F0">
            <w:pPr>
              <w:spacing w:line="240" w:lineRule="auto"/>
              <w:ind w:firstLine="0" w:firstLineChars="0"/>
              <w:jc w:val="center"/>
              <w:rPr>
                <w:kern w:val="0"/>
                <w:sz w:val="24"/>
                <w:szCs w:val="24"/>
              </w:rPr>
            </w:pPr>
            <w:r>
              <w:rPr>
                <w:kern w:val="0"/>
                <w:sz w:val="24"/>
                <w:szCs w:val="24"/>
              </w:rPr>
              <w:t>km</w:t>
            </w:r>
            <w:r>
              <w:rPr>
                <w:kern w:val="0"/>
                <w:sz w:val="24"/>
                <w:szCs w:val="24"/>
                <w:vertAlign w:val="superscript"/>
              </w:rPr>
              <w:t>2</w:t>
            </w:r>
          </w:p>
        </w:tc>
        <w:tc>
          <w:tcPr>
            <w:tcW w:w="1311" w:type="pct"/>
            <w:tcBorders>
              <w:top w:val="single" w:color="auto" w:sz="4" w:space="0"/>
              <w:left w:val="nil"/>
              <w:bottom w:val="single" w:color="000000" w:sz="4" w:space="0"/>
              <w:right w:val="single" w:color="auto" w:sz="4" w:space="0"/>
            </w:tcBorders>
            <w:vAlign w:val="center"/>
          </w:tcPr>
          <w:p w14:paraId="14B2E93E">
            <w:pPr>
              <w:spacing w:line="240" w:lineRule="auto"/>
              <w:ind w:firstLine="0" w:firstLineChars="0"/>
              <w:jc w:val="center"/>
              <w:rPr>
                <w:kern w:val="0"/>
                <w:sz w:val="24"/>
                <w:szCs w:val="24"/>
              </w:rPr>
            </w:pPr>
          </w:p>
        </w:tc>
      </w:tr>
      <w:tr w14:paraId="27F1E2D0">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75AE9C4C">
            <w:pPr>
              <w:spacing w:line="240" w:lineRule="auto"/>
              <w:ind w:firstLine="0" w:firstLineChars="0"/>
              <w:jc w:val="left"/>
              <w:rPr>
                <w:kern w:val="0"/>
                <w:sz w:val="24"/>
                <w:szCs w:val="24"/>
              </w:rPr>
            </w:pPr>
            <w:r>
              <w:rPr>
                <w:b/>
                <w:bCs/>
                <w:kern w:val="0"/>
                <w:sz w:val="24"/>
                <w:szCs w:val="24"/>
              </w:rPr>
              <w:t>三、探矿工程</w:t>
            </w:r>
          </w:p>
        </w:tc>
        <w:tc>
          <w:tcPr>
            <w:tcW w:w="793" w:type="pct"/>
            <w:tcBorders>
              <w:top w:val="single" w:color="auto" w:sz="4" w:space="0"/>
              <w:left w:val="single" w:color="auto" w:sz="4" w:space="0"/>
              <w:bottom w:val="single" w:color="auto" w:sz="4" w:space="0"/>
              <w:right w:val="single" w:color="000000" w:sz="4" w:space="0"/>
            </w:tcBorders>
            <w:vAlign w:val="center"/>
          </w:tcPr>
          <w:p w14:paraId="07136E25">
            <w:pPr>
              <w:spacing w:line="240" w:lineRule="auto"/>
              <w:ind w:firstLine="0" w:firstLineChars="0"/>
              <w:jc w:val="center"/>
              <w:rPr>
                <w:kern w:val="0"/>
                <w:sz w:val="24"/>
                <w:szCs w:val="24"/>
              </w:rPr>
            </w:pPr>
          </w:p>
        </w:tc>
        <w:tc>
          <w:tcPr>
            <w:tcW w:w="540" w:type="pct"/>
            <w:tcBorders>
              <w:top w:val="single" w:color="auto" w:sz="4" w:space="0"/>
              <w:left w:val="nil"/>
              <w:bottom w:val="single" w:color="auto" w:sz="4" w:space="0"/>
              <w:right w:val="single" w:color="auto" w:sz="4" w:space="0"/>
            </w:tcBorders>
            <w:vAlign w:val="center"/>
          </w:tcPr>
          <w:p w14:paraId="2FB8D925">
            <w:pPr>
              <w:spacing w:line="240" w:lineRule="auto"/>
              <w:ind w:firstLine="0" w:firstLineChars="0"/>
              <w:jc w:val="center"/>
              <w:rPr>
                <w:kern w:val="0"/>
                <w:sz w:val="24"/>
                <w:szCs w:val="24"/>
              </w:rPr>
            </w:pPr>
          </w:p>
        </w:tc>
        <w:tc>
          <w:tcPr>
            <w:tcW w:w="1311" w:type="pct"/>
            <w:tcBorders>
              <w:top w:val="single" w:color="auto" w:sz="4" w:space="0"/>
              <w:left w:val="nil"/>
              <w:bottom w:val="single" w:color="auto" w:sz="4" w:space="0"/>
              <w:right w:val="single" w:color="auto" w:sz="4" w:space="0"/>
            </w:tcBorders>
            <w:vAlign w:val="center"/>
          </w:tcPr>
          <w:p w14:paraId="04033D2D">
            <w:pPr>
              <w:spacing w:line="240" w:lineRule="auto"/>
              <w:ind w:firstLine="0" w:firstLineChars="0"/>
              <w:jc w:val="center"/>
              <w:rPr>
                <w:kern w:val="0"/>
                <w:sz w:val="24"/>
                <w:szCs w:val="24"/>
              </w:rPr>
            </w:pPr>
          </w:p>
        </w:tc>
      </w:tr>
      <w:tr w14:paraId="3BE23BC8">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102CB73F">
            <w:pPr>
              <w:spacing w:line="240" w:lineRule="auto"/>
              <w:ind w:firstLine="0" w:firstLineChars="0"/>
              <w:jc w:val="left"/>
              <w:rPr>
                <w:kern w:val="0"/>
                <w:sz w:val="24"/>
                <w:szCs w:val="24"/>
              </w:rPr>
            </w:pPr>
            <w:r>
              <w:rPr>
                <w:kern w:val="0"/>
                <w:sz w:val="24"/>
                <w:szCs w:val="24"/>
              </w:rPr>
              <w:t>1、机械岩心钻探</w:t>
            </w:r>
          </w:p>
        </w:tc>
        <w:tc>
          <w:tcPr>
            <w:tcW w:w="793" w:type="pct"/>
            <w:tcBorders>
              <w:top w:val="single" w:color="auto" w:sz="4" w:space="0"/>
              <w:left w:val="single" w:color="auto" w:sz="4" w:space="0"/>
              <w:bottom w:val="single" w:color="000000" w:sz="4" w:space="0"/>
              <w:right w:val="single" w:color="000000" w:sz="4" w:space="0"/>
            </w:tcBorders>
            <w:vAlign w:val="center"/>
          </w:tcPr>
          <w:p w14:paraId="62341F47">
            <w:pPr>
              <w:spacing w:line="240" w:lineRule="auto"/>
              <w:ind w:firstLine="0" w:firstLineChars="0"/>
              <w:jc w:val="center"/>
              <w:rPr>
                <w:color w:val="0000FF"/>
                <w:kern w:val="0"/>
                <w:sz w:val="24"/>
                <w:szCs w:val="24"/>
              </w:rPr>
            </w:pPr>
            <w:r>
              <w:rPr>
                <w:color w:val="0000FF"/>
                <w:kern w:val="0"/>
                <w:sz w:val="24"/>
                <w:szCs w:val="24"/>
              </w:rPr>
              <w:t>1</w:t>
            </w:r>
            <w:r>
              <w:rPr>
                <w:rFonts w:hint="eastAsia"/>
                <w:color w:val="0000FF"/>
                <w:kern w:val="0"/>
                <w:sz w:val="24"/>
                <w:szCs w:val="24"/>
                <w:lang w:val="en-US" w:eastAsia="zh-CN"/>
              </w:rPr>
              <w:t>3</w:t>
            </w:r>
            <w:r>
              <w:rPr>
                <w:color w:val="0000FF"/>
                <w:kern w:val="0"/>
                <w:sz w:val="24"/>
                <w:szCs w:val="24"/>
              </w:rPr>
              <w:t>22</w:t>
            </w:r>
          </w:p>
        </w:tc>
        <w:tc>
          <w:tcPr>
            <w:tcW w:w="540" w:type="pct"/>
            <w:tcBorders>
              <w:top w:val="single" w:color="auto" w:sz="4" w:space="0"/>
              <w:left w:val="nil"/>
              <w:bottom w:val="single" w:color="000000" w:sz="4" w:space="0"/>
              <w:right w:val="single" w:color="auto" w:sz="4" w:space="0"/>
            </w:tcBorders>
            <w:vAlign w:val="center"/>
          </w:tcPr>
          <w:p w14:paraId="0C428FF2">
            <w:pPr>
              <w:spacing w:line="240" w:lineRule="auto"/>
              <w:ind w:firstLine="0" w:firstLineChars="0"/>
              <w:jc w:val="center"/>
              <w:rPr>
                <w:kern w:val="0"/>
                <w:sz w:val="24"/>
                <w:szCs w:val="24"/>
              </w:rPr>
            </w:pPr>
            <w:r>
              <w:rPr>
                <w:kern w:val="0"/>
                <w:sz w:val="24"/>
                <w:szCs w:val="24"/>
              </w:rPr>
              <w:t>m</w:t>
            </w:r>
          </w:p>
        </w:tc>
        <w:tc>
          <w:tcPr>
            <w:tcW w:w="1311" w:type="pct"/>
            <w:tcBorders>
              <w:top w:val="single" w:color="auto" w:sz="4" w:space="0"/>
              <w:left w:val="nil"/>
              <w:bottom w:val="single" w:color="000000" w:sz="4" w:space="0"/>
              <w:right w:val="single" w:color="auto" w:sz="4" w:space="0"/>
            </w:tcBorders>
            <w:vAlign w:val="center"/>
          </w:tcPr>
          <w:p w14:paraId="69632C74">
            <w:pPr>
              <w:spacing w:line="240" w:lineRule="auto"/>
              <w:ind w:firstLine="0" w:firstLineChars="0"/>
              <w:jc w:val="center"/>
              <w:rPr>
                <w:kern w:val="0"/>
                <w:sz w:val="24"/>
                <w:szCs w:val="24"/>
              </w:rPr>
            </w:pPr>
          </w:p>
        </w:tc>
      </w:tr>
      <w:tr w14:paraId="445AD6B4">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7EEF330C">
            <w:pPr>
              <w:spacing w:line="240" w:lineRule="auto"/>
              <w:ind w:firstLine="0" w:firstLineChars="0"/>
              <w:jc w:val="left"/>
              <w:rPr>
                <w:kern w:val="0"/>
                <w:sz w:val="24"/>
                <w:szCs w:val="24"/>
              </w:rPr>
            </w:pPr>
            <w:r>
              <w:rPr>
                <w:kern w:val="0"/>
                <w:sz w:val="24"/>
                <w:szCs w:val="24"/>
              </w:rPr>
              <w:t>2、钻探编录</w:t>
            </w:r>
          </w:p>
        </w:tc>
        <w:tc>
          <w:tcPr>
            <w:tcW w:w="793" w:type="pct"/>
            <w:tcBorders>
              <w:top w:val="single" w:color="auto" w:sz="4" w:space="0"/>
              <w:left w:val="single" w:color="auto" w:sz="4" w:space="0"/>
              <w:bottom w:val="single" w:color="000000" w:sz="4" w:space="0"/>
              <w:right w:val="single" w:color="000000" w:sz="4" w:space="0"/>
            </w:tcBorders>
            <w:vAlign w:val="center"/>
          </w:tcPr>
          <w:p w14:paraId="205C63A7">
            <w:pPr>
              <w:spacing w:line="240" w:lineRule="auto"/>
              <w:ind w:firstLine="0" w:firstLineChars="0"/>
              <w:jc w:val="center"/>
              <w:rPr>
                <w:color w:val="0000FF"/>
                <w:kern w:val="0"/>
                <w:sz w:val="24"/>
                <w:szCs w:val="24"/>
              </w:rPr>
            </w:pPr>
            <w:r>
              <w:rPr>
                <w:color w:val="0000FF"/>
                <w:kern w:val="0"/>
                <w:sz w:val="24"/>
                <w:szCs w:val="24"/>
              </w:rPr>
              <w:t>1</w:t>
            </w:r>
            <w:r>
              <w:rPr>
                <w:rFonts w:hint="eastAsia"/>
                <w:color w:val="0000FF"/>
                <w:kern w:val="0"/>
                <w:sz w:val="24"/>
                <w:szCs w:val="24"/>
                <w:lang w:val="en-US" w:eastAsia="zh-CN"/>
              </w:rPr>
              <w:t>3</w:t>
            </w:r>
            <w:r>
              <w:rPr>
                <w:color w:val="0000FF"/>
                <w:kern w:val="0"/>
                <w:sz w:val="24"/>
                <w:szCs w:val="24"/>
              </w:rPr>
              <w:t>22</w:t>
            </w:r>
          </w:p>
        </w:tc>
        <w:tc>
          <w:tcPr>
            <w:tcW w:w="540" w:type="pct"/>
            <w:tcBorders>
              <w:top w:val="single" w:color="auto" w:sz="4" w:space="0"/>
              <w:left w:val="nil"/>
              <w:bottom w:val="single" w:color="000000" w:sz="4" w:space="0"/>
              <w:right w:val="single" w:color="auto" w:sz="4" w:space="0"/>
            </w:tcBorders>
            <w:vAlign w:val="center"/>
          </w:tcPr>
          <w:p w14:paraId="1F4B8425">
            <w:pPr>
              <w:spacing w:line="240" w:lineRule="auto"/>
              <w:ind w:firstLine="0" w:firstLineChars="0"/>
              <w:jc w:val="center"/>
              <w:rPr>
                <w:kern w:val="0"/>
                <w:sz w:val="24"/>
                <w:szCs w:val="24"/>
              </w:rPr>
            </w:pPr>
            <w:r>
              <w:rPr>
                <w:kern w:val="0"/>
                <w:sz w:val="24"/>
                <w:szCs w:val="24"/>
              </w:rPr>
              <w:t>m</w:t>
            </w:r>
          </w:p>
        </w:tc>
        <w:tc>
          <w:tcPr>
            <w:tcW w:w="1311" w:type="pct"/>
            <w:tcBorders>
              <w:top w:val="single" w:color="auto" w:sz="4" w:space="0"/>
              <w:left w:val="nil"/>
              <w:bottom w:val="single" w:color="000000" w:sz="4" w:space="0"/>
              <w:right w:val="single" w:color="auto" w:sz="4" w:space="0"/>
            </w:tcBorders>
            <w:vAlign w:val="center"/>
          </w:tcPr>
          <w:p w14:paraId="433585BB">
            <w:pPr>
              <w:spacing w:line="240" w:lineRule="auto"/>
              <w:ind w:firstLine="0" w:firstLineChars="0"/>
              <w:jc w:val="center"/>
              <w:rPr>
                <w:kern w:val="0"/>
                <w:sz w:val="24"/>
                <w:szCs w:val="24"/>
              </w:rPr>
            </w:pPr>
            <w:r>
              <w:rPr>
                <w:color w:val="0000FF"/>
                <w:kern w:val="0"/>
                <w:sz w:val="24"/>
                <w:szCs w:val="24"/>
              </w:rPr>
              <w:t>包括水文地质、工程地质编录</w:t>
            </w:r>
          </w:p>
        </w:tc>
      </w:tr>
      <w:tr w14:paraId="3023D14C">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6CD7A3CF">
            <w:pPr>
              <w:spacing w:line="240" w:lineRule="auto"/>
              <w:ind w:firstLine="0" w:firstLineChars="0"/>
              <w:jc w:val="left"/>
              <w:rPr>
                <w:kern w:val="0"/>
                <w:sz w:val="24"/>
                <w:szCs w:val="24"/>
              </w:rPr>
            </w:pPr>
            <w:r>
              <w:rPr>
                <w:kern w:val="0"/>
                <w:sz w:val="24"/>
                <w:szCs w:val="24"/>
              </w:rPr>
              <w:t>3、岩矿心保管</w:t>
            </w:r>
          </w:p>
        </w:tc>
        <w:tc>
          <w:tcPr>
            <w:tcW w:w="793" w:type="pct"/>
            <w:tcBorders>
              <w:top w:val="single" w:color="auto" w:sz="4" w:space="0"/>
              <w:left w:val="single" w:color="auto" w:sz="4" w:space="0"/>
              <w:bottom w:val="single" w:color="auto" w:sz="4" w:space="0"/>
              <w:right w:val="single" w:color="000000" w:sz="4" w:space="0"/>
            </w:tcBorders>
            <w:vAlign w:val="center"/>
          </w:tcPr>
          <w:p w14:paraId="07B9701D">
            <w:pPr>
              <w:spacing w:line="240" w:lineRule="auto"/>
              <w:ind w:firstLine="0" w:firstLineChars="0"/>
              <w:jc w:val="center"/>
              <w:rPr>
                <w:rFonts w:hint="default" w:eastAsia="仿宋"/>
                <w:kern w:val="0"/>
                <w:sz w:val="24"/>
                <w:szCs w:val="24"/>
                <w:lang w:val="en-US" w:eastAsia="zh-CN"/>
              </w:rPr>
            </w:pPr>
            <w:r>
              <w:rPr>
                <w:kern w:val="0"/>
                <w:sz w:val="24"/>
                <w:szCs w:val="24"/>
              </w:rPr>
              <w:t>11</w:t>
            </w:r>
            <w:r>
              <w:rPr>
                <w:rFonts w:hint="eastAsia"/>
                <w:kern w:val="0"/>
                <w:sz w:val="24"/>
                <w:szCs w:val="24"/>
                <w:lang w:val="en-US" w:eastAsia="zh-CN"/>
              </w:rPr>
              <w:t>90</w:t>
            </w:r>
          </w:p>
        </w:tc>
        <w:tc>
          <w:tcPr>
            <w:tcW w:w="540" w:type="pct"/>
            <w:tcBorders>
              <w:top w:val="single" w:color="auto" w:sz="4" w:space="0"/>
              <w:left w:val="nil"/>
              <w:bottom w:val="single" w:color="auto" w:sz="4" w:space="0"/>
              <w:right w:val="single" w:color="auto" w:sz="4" w:space="0"/>
            </w:tcBorders>
            <w:vAlign w:val="center"/>
          </w:tcPr>
          <w:p w14:paraId="36ABD311">
            <w:pPr>
              <w:spacing w:line="240" w:lineRule="auto"/>
              <w:ind w:firstLine="0" w:firstLineChars="0"/>
              <w:jc w:val="center"/>
              <w:rPr>
                <w:kern w:val="0"/>
                <w:sz w:val="24"/>
                <w:szCs w:val="24"/>
              </w:rPr>
            </w:pPr>
            <w:r>
              <w:rPr>
                <w:kern w:val="0"/>
                <w:sz w:val="24"/>
                <w:szCs w:val="24"/>
              </w:rPr>
              <w:t>m</w:t>
            </w:r>
          </w:p>
        </w:tc>
        <w:tc>
          <w:tcPr>
            <w:tcW w:w="1311" w:type="pct"/>
            <w:tcBorders>
              <w:top w:val="single" w:color="auto" w:sz="4" w:space="0"/>
              <w:left w:val="nil"/>
              <w:bottom w:val="single" w:color="auto" w:sz="4" w:space="0"/>
              <w:right w:val="single" w:color="auto" w:sz="4" w:space="0"/>
            </w:tcBorders>
            <w:vAlign w:val="center"/>
          </w:tcPr>
          <w:p w14:paraId="748D460C">
            <w:pPr>
              <w:spacing w:line="240" w:lineRule="auto"/>
              <w:ind w:firstLine="0" w:firstLineChars="0"/>
              <w:jc w:val="center"/>
              <w:rPr>
                <w:kern w:val="0"/>
                <w:sz w:val="24"/>
                <w:szCs w:val="24"/>
              </w:rPr>
            </w:pPr>
          </w:p>
        </w:tc>
      </w:tr>
      <w:tr w14:paraId="52E9245F">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73BE2E91">
            <w:pPr>
              <w:spacing w:line="240" w:lineRule="auto"/>
              <w:ind w:firstLine="0" w:firstLineChars="0"/>
              <w:jc w:val="left"/>
              <w:rPr>
                <w:kern w:val="0"/>
                <w:sz w:val="24"/>
                <w:szCs w:val="24"/>
              </w:rPr>
            </w:pPr>
            <w:r>
              <w:rPr>
                <w:kern w:val="0"/>
                <w:sz w:val="24"/>
                <w:szCs w:val="24"/>
              </w:rPr>
              <w:t>4、剥土工程</w:t>
            </w:r>
          </w:p>
        </w:tc>
        <w:tc>
          <w:tcPr>
            <w:tcW w:w="793" w:type="pct"/>
            <w:tcBorders>
              <w:top w:val="single" w:color="auto" w:sz="4" w:space="0"/>
              <w:left w:val="single" w:color="auto" w:sz="4" w:space="0"/>
              <w:bottom w:val="single" w:color="auto" w:sz="4" w:space="0"/>
              <w:right w:val="single" w:color="000000" w:sz="4" w:space="0"/>
            </w:tcBorders>
            <w:vAlign w:val="center"/>
          </w:tcPr>
          <w:p w14:paraId="130A786D">
            <w:pPr>
              <w:spacing w:line="240" w:lineRule="auto"/>
              <w:ind w:firstLine="0" w:firstLineChars="0"/>
              <w:jc w:val="center"/>
              <w:rPr>
                <w:kern w:val="0"/>
                <w:sz w:val="24"/>
                <w:szCs w:val="24"/>
              </w:rPr>
            </w:pPr>
            <w:r>
              <w:rPr>
                <w:kern w:val="0"/>
                <w:sz w:val="24"/>
                <w:szCs w:val="24"/>
              </w:rPr>
              <w:t>2000</w:t>
            </w:r>
          </w:p>
        </w:tc>
        <w:tc>
          <w:tcPr>
            <w:tcW w:w="540" w:type="pct"/>
            <w:tcBorders>
              <w:top w:val="single" w:color="auto" w:sz="4" w:space="0"/>
              <w:left w:val="nil"/>
              <w:bottom w:val="single" w:color="auto" w:sz="4" w:space="0"/>
              <w:right w:val="single" w:color="auto" w:sz="4" w:space="0"/>
            </w:tcBorders>
          </w:tcPr>
          <w:p w14:paraId="1FBB2267">
            <w:pPr>
              <w:spacing w:line="240" w:lineRule="auto"/>
              <w:ind w:firstLine="0" w:firstLineChars="0"/>
              <w:jc w:val="center"/>
              <w:rPr>
                <w:sz w:val="24"/>
                <w:szCs w:val="24"/>
              </w:rPr>
            </w:pPr>
            <w:r>
              <w:rPr>
                <w:kern w:val="0"/>
                <w:sz w:val="24"/>
                <w:szCs w:val="24"/>
              </w:rPr>
              <w:t>m</w:t>
            </w:r>
            <w:r>
              <w:rPr>
                <w:kern w:val="0"/>
                <w:sz w:val="24"/>
                <w:szCs w:val="24"/>
                <w:vertAlign w:val="superscript"/>
              </w:rPr>
              <w:t>3</w:t>
            </w:r>
          </w:p>
        </w:tc>
        <w:tc>
          <w:tcPr>
            <w:tcW w:w="1311" w:type="pct"/>
            <w:tcBorders>
              <w:top w:val="single" w:color="auto" w:sz="4" w:space="0"/>
              <w:left w:val="nil"/>
              <w:bottom w:val="single" w:color="auto" w:sz="4" w:space="0"/>
              <w:right w:val="single" w:color="auto" w:sz="4" w:space="0"/>
            </w:tcBorders>
            <w:vAlign w:val="center"/>
          </w:tcPr>
          <w:p w14:paraId="641B3B37">
            <w:pPr>
              <w:spacing w:line="240" w:lineRule="auto"/>
              <w:ind w:firstLine="0" w:firstLineChars="0"/>
              <w:jc w:val="center"/>
              <w:rPr>
                <w:kern w:val="0"/>
                <w:sz w:val="24"/>
                <w:szCs w:val="24"/>
              </w:rPr>
            </w:pPr>
          </w:p>
        </w:tc>
      </w:tr>
      <w:tr w14:paraId="7BB1A8C0">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7EA77391">
            <w:pPr>
              <w:spacing w:line="240" w:lineRule="auto"/>
              <w:ind w:firstLine="0" w:firstLineChars="0"/>
              <w:jc w:val="left"/>
              <w:rPr>
                <w:kern w:val="0"/>
                <w:sz w:val="24"/>
                <w:szCs w:val="24"/>
              </w:rPr>
            </w:pPr>
            <w:r>
              <w:rPr>
                <w:kern w:val="0"/>
                <w:sz w:val="24"/>
                <w:szCs w:val="24"/>
              </w:rPr>
              <w:t>5、剥土工程编录</w:t>
            </w:r>
          </w:p>
        </w:tc>
        <w:tc>
          <w:tcPr>
            <w:tcW w:w="793" w:type="pct"/>
            <w:tcBorders>
              <w:top w:val="single" w:color="auto" w:sz="4" w:space="0"/>
              <w:left w:val="single" w:color="auto" w:sz="4" w:space="0"/>
              <w:bottom w:val="single" w:color="auto" w:sz="4" w:space="0"/>
              <w:right w:val="single" w:color="000000" w:sz="4" w:space="0"/>
            </w:tcBorders>
            <w:vAlign w:val="center"/>
          </w:tcPr>
          <w:p w14:paraId="708CB161">
            <w:pPr>
              <w:spacing w:line="240" w:lineRule="auto"/>
              <w:ind w:firstLine="0" w:firstLineChars="0"/>
              <w:jc w:val="center"/>
              <w:rPr>
                <w:kern w:val="0"/>
                <w:sz w:val="24"/>
                <w:szCs w:val="24"/>
              </w:rPr>
            </w:pPr>
            <w:r>
              <w:rPr>
                <w:kern w:val="0"/>
                <w:sz w:val="24"/>
                <w:szCs w:val="24"/>
              </w:rPr>
              <w:t>4230</w:t>
            </w:r>
          </w:p>
        </w:tc>
        <w:tc>
          <w:tcPr>
            <w:tcW w:w="540" w:type="pct"/>
            <w:tcBorders>
              <w:top w:val="single" w:color="auto" w:sz="4" w:space="0"/>
              <w:left w:val="nil"/>
              <w:bottom w:val="single" w:color="auto" w:sz="4" w:space="0"/>
              <w:right w:val="single" w:color="auto" w:sz="4" w:space="0"/>
            </w:tcBorders>
          </w:tcPr>
          <w:p w14:paraId="03B2F2B0">
            <w:pPr>
              <w:spacing w:line="240" w:lineRule="auto"/>
              <w:ind w:firstLine="0" w:firstLineChars="0"/>
              <w:jc w:val="center"/>
              <w:rPr>
                <w:sz w:val="24"/>
                <w:szCs w:val="24"/>
              </w:rPr>
            </w:pPr>
            <w:r>
              <w:rPr>
                <w:kern w:val="0"/>
                <w:sz w:val="24"/>
                <w:szCs w:val="24"/>
              </w:rPr>
              <w:t>m</w:t>
            </w:r>
          </w:p>
        </w:tc>
        <w:tc>
          <w:tcPr>
            <w:tcW w:w="1311" w:type="pct"/>
            <w:tcBorders>
              <w:top w:val="single" w:color="auto" w:sz="4" w:space="0"/>
              <w:left w:val="nil"/>
              <w:bottom w:val="single" w:color="auto" w:sz="4" w:space="0"/>
              <w:right w:val="single" w:color="auto" w:sz="4" w:space="0"/>
            </w:tcBorders>
            <w:vAlign w:val="center"/>
          </w:tcPr>
          <w:p w14:paraId="39F17E68">
            <w:pPr>
              <w:spacing w:line="240" w:lineRule="auto"/>
              <w:ind w:firstLine="0" w:firstLineChars="0"/>
              <w:jc w:val="center"/>
              <w:rPr>
                <w:kern w:val="0"/>
                <w:sz w:val="24"/>
                <w:szCs w:val="24"/>
              </w:rPr>
            </w:pPr>
          </w:p>
        </w:tc>
      </w:tr>
      <w:tr w14:paraId="6CF2D34F">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1087F4E9">
            <w:pPr>
              <w:spacing w:line="240" w:lineRule="auto"/>
              <w:ind w:firstLine="0" w:firstLineChars="0"/>
              <w:jc w:val="left"/>
              <w:rPr>
                <w:kern w:val="0"/>
                <w:sz w:val="24"/>
                <w:szCs w:val="24"/>
              </w:rPr>
            </w:pPr>
            <w:r>
              <w:rPr>
                <w:b/>
                <w:bCs/>
                <w:kern w:val="0"/>
                <w:sz w:val="24"/>
                <w:szCs w:val="24"/>
              </w:rPr>
              <w:t>四、采样</w:t>
            </w:r>
          </w:p>
        </w:tc>
        <w:tc>
          <w:tcPr>
            <w:tcW w:w="793" w:type="pct"/>
            <w:tcBorders>
              <w:top w:val="single" w:color="auto" w:sz="4" w:space="0"/>
              <w:left w:val="single" w:color="auto" w:sz="4" w:space="0"/>
              <w:bottom w:val="single" w:color="000000" w:sz="4" w:space="0"/>
              <w:right w:val="single" w:color="000000" w:sz="4" w:space="0"/>
            </w:tcBorders>
            <w:vAlign w:val="center"/>
          </w:tcPr>
          <w:p w14:paraId="529D3FEA">
            <w:pPr>
              <w:spacing w:line="240" w:lineRule="auto"/>
              <w:ind w:firstLine="0" w:firstLineChars="0"/>
              <w:jc w:val="center"/>
              <w:rPr>
                <w:kern w:val="0"/>
                <w:sz w:val="24"/>
                <w:szCs w:val="24"/>
              </w:rPr>
            </w:pPr>
          </w:p>
        </w:tc>
        <w:tc>
          <w:tcPr>
            <w:tcW w:w="540" w:type="pct"/>
            <w:tcBorders>
              <w:top w:val="single" w:color="auto" w:sz="4" w:space="0"/>
              <w:left w:val="nil"/>
              <w:bottom w:val="single" w:color="000000" w:sz="4" w:space="0"/>
              <w:right w:val="single" w:color="auto" w:sz="4" w:space="0"/>
            </w:tcBorders>
            <w:vAlign w:val="center"/>
          </w:tcPr>
          <w:p w14:paraId="72512997">
            <w:pPr>
              <w:spacing w:line="240" w:lineRule="auto"/>
              <w:ind w:firstLine="0" w:firstLineChars="0"/>
              <w:jc w:val="center"/>
              <w:rPr>
                <w:kern w:val="0"/>
                <w:sz w:val="24"/>
                <w:szCs w:val="24"/>
              </w:rPr>
            </w:pPr>
          </w:p>
        </w:tc>
        <w:tc>
          <w:tcPr>
            <w:tcW w:w="1311" w:type="pct"/>
            <w:tcBorders>
              <w:top w:val="single" w:color="auto" w:sz="4" w:space="0"/>
              <w:left w:val="nil"/>
              <w:bottom w:val="single" w:color="000000" w:sz="4" w:space="0"/>
              <w:right w:val="single" w:color="auto" w:sz="4" w:space="0"/>
            </w:tcBorders>
            <w:vAlign w:val="center"/>
          </w:tcPr>
          <w:p w14:paraId="33983240">
            <w:pPr>
              <w:spacing w:line="240" w:lineRule="auto"/>
              <w:ind w:firstLine="0" w:firstLineChars="0"/>
              <w:jc w:val="center"/>
              <w:rPr>
                <w:kern w:val="0"/>
                <w:sz w:val="24"/>
                <w:szCs w:val="24"/>
              </w:rPr>
            </w:pPr>
          </w:p>
        </w:tc>
      </w:tr>
      <w:tr w14:paraId="335FB6BF">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70CD4454">
            <w:pPr>
              <w:spacing w:line="240" w:lineRule="auto"/>
              <w:ind w:firstLine="0" w:firstLineChars="0"/>
              <w:jc w:val="left"/>
              <w:rPr>
                <w:kern w:val="0"/>
                <w:sz w:val="24"/>
                <w:szCs w:val="24"/>
              </w:rPr>
            </w:pPr>
            <w:r>
              <w:rPr>
                <w:kern w:val="0"/>
                <w:sz w:val="24"/>
                <w:szCs w:val="24"/>
              </w:rPr>
              <w:t>1、钻孔采样</w:t>
            </w:r>
          </w:p>
        </w:tc>
        <w:tc>
          <w:tcPr>
            <w:tcW w:w="793" w:type="pct"/>
            <w:tcBorders>
              <w:top w:val="single" w:color="auto" w:sz="4" w:space="0"/>
              <w:left w:val="single" w:color="auto" w:sz="4" w:space="0"/>
              <w:bottom w:val="single" w:color="000000" w:sz="4" w:space="0"/>
              <w:right w:val="single" w:color="000000" w:sz="4" w:space="0"/>
            </w:tcBorders>
            <w:vAlign w:val="center"/>
          </w:tcPr>
          <w:p w14:paraId="02F9FDAA">
            <w:pPr>
              <w:spacing w:line="240" w:lineRule="auto"/>
              <w:ind w:firstLine="0" w:firstLineChars="0"/>
              <w:jc w:val="center"/>
              <w:rPr>
                <w:kern w:val="0"/>
                <w:sz w:val="24"/>
                <w:szCs w:val="24"/>
              </w:rPr>
            </w:pPr>
            <w:r>
              <w:rPr>
                <w:kern w:val="0"/>
                <w:sz w:val="24"/>
                <w:szCs w:val="24"/>
              </w:rPr>
              <w:t>1</w:t>
            </w:r>
            <w:r>
              <w:rPr>
                <w:rFonts w:hint="eastAsia"/>
                <w:kern w:val="0"/>
                <w:sz w:val="24"/>
                <w:szCs w:val="24"/>
                <w:lang w:val="en-US" w:eastAsia="zh-CN"/>
              </w:rPr>
              <w:t>3</w:t>
            </w:r>
            <w:r>
              <w:rPr>
                <w:kern w:val="0"/>
                <w:sz w:val="24"/>
                <w:szCs w:val="24"/>
              </w:rPr>
              <w:t>22</w:t>
            </w:r>
          </w:p>
        </w:tc>
        <w:tc>
          <w:tcPr>
            <w:tcW w:w="540" w:type="pct"/>
            <w:tcBorders>
              <w:top w:val="single" w:color="auto" w:sz="4" w:space="0"/>
              <w:left w:val="nil"/>
              <w:bottom w:val="single" w:color="000000" w:sz="4" w:space="0"/>
              <w:right w:val="single" w:color="auto" w:sz="4" w:space="0"/>
            </w:tcBorders>
            <w:vAlign w:val="center"/>
          </w:tcPr>
          <w:p w14:paraId="592216E4">
            <w:pPr>
              <w:spacing w:line="240" w:lineRule="auto"/>
              <w:ind w:firstLine="0" w:firstLineChars="0"/>
              <w:jc w:val="center"/>
              <w:rPr>
                <w:kern w:val="0"/>
                <w:sz w:val="24"/>
                <w:szCs w:val="24"/>
              </w:rPr>
            </w:pPr>
            <w:r>
              <w:rPr>
                <w:kern w:val="0"/>
                <w:sz w:val="24"/>
                <w:szCs w:val="24"/>
              </w:rPr>
              <w:t>m</w:t>
            </w:r>
          </w:p>
        </w:tc>
        <w:tc>
          <w:tcPr>
            <w:tcW w:w="1311" w:type="pct"/>
            <w:tcBorders>
              <w:top w:val="single" w:color="auto" w:sz="4" w:space="0"/>
              <w:left w:val="nil"/>
              <w:bottom w:val="single" w:color="000000" w:sz="4" w:space="0"/>
              <w:right w:val="single" w:color="auto" w:sz="4" w:space="0"/>
            </w:tcBorders>
            <w:vAlign w:val="center"/>
          </w:tcPr>
          <w:p w14:paraId="1E02973D">
            <w:pPr>
              <w:spacing w:line="240" w:lineRule="auto"/>
              <w:ind w:firstLine="0" w:firstLineChars="0"/>
              <w:jc w:val="center"/>
              <w:rPr>
                <w:kern w:val="0"/>
                <w:sz w:val="24"/>
                <w:szCs w:val="24"/>
              </w:rPr>
            </w:pPr>
          </w:p>
        </w:tc>
      </w:tr>
      <w:tr w14:paraId="5E720827">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774BF8DA">
            <w:pPr>
              <w:spacing w:line="240" w:lineRule="auto"/>
              <w:ind w:firstLine="0" w:firstLineChars="0"/>
              <w:jc w:val="left"/>
              <w:rPr>
                <w:kern w:val="0"/>
                <w:sz w:val="24"/>
                <w:szCs w:val="24"/>
              </w:rPr>
            </w:pPr>
            <w:r>
              <w:rPr>
                <w:kern w:val="0"/>
                <w:sz w:val="24"/>
                <w:szCs w:val="24"/>
              </w:rPr>
              <w:t>2、地表刻槽样</w:t>
            </w:r>
          </w:p>
        </w:tc>
        <w:tc>
          <w:tcPr>
            <w:tcW w:w="793" w:type="pct"/>
            <w:tcBorders>
              <w:top w:val="single" w:color="auto" w:sz="4" w:space="0"/>
              <w:left w:val="single" w:color="auto" w:sz="4" w:space="0"/>
              <w:bottom w:val="single" w:color="000000" w:sz="4" w:space="0"/>
              <w:right w:val="single" w:color="000000" w:sz="4" w:space="0"/>
            </w:tcBorders>
            <w:vAlign w:val="center"/>
          </w:tcPr>
          <w:p w14:paraId="2F002586">
            <w:pPr>
              <w:spacing w:line="240" w:lineRule="auto"/>
              <w:ind w:firstLine="0" w:firstLineChars="0"/>
              <w:jc w:val="center"/>
              <w:rPr>
                <w:kern w:val="0"/>
                <w:sz w:val="24"/>
                <w:szCs w:val="24"/>
              </w:rPr>
            </w:pPr>
            <w:r>
              <w:rPr>
                <w:kern w:val="0"/>
                <w:sz w:val="24"/>
                <w:szCs w:val="24"/>
              </w:rPr>
              <w:t>4230</w:t>
            </w:r>
          </w:p>
        </w:tc>
        <w:tc>
          <w:tcPr>
            <w:tcW w:w="540" w:type="pct"/>
            <w:tcBorders>
              <w:top w:val="single" w:color="auto" w:sz="4" w:space="0"/>
              <w:left w:val="nil"/>
              <w:bottom w:val="single" w:color="000000" w:sz="4" w:space="0"/>
              <w:right w:val="single" w:color="auto" w:sz="4" w:space="0"/>
            </w:tcBorders>
            <w:vAlign w:val="center"/>
          </w:tcPr>
          <w:p w14:paraId="2BE4BBFB">
            <w:pPr>
              <w:spacing w:line="240" w:lineRule="auto"/>
              <w:ind w:firstLine="0" w:firstLineChars="0"/>
              <w:jc w:val="center"/>
              <w:rPr>
                <w:kern w:val="0"/>
                <w:sz w:val="24"/>
                <w:szCs w:val="24"/>
              </w:rPr>
            </w:pPr>
            <w:r>
              <w:rPr>
                <w:kern w:val="0"/>
                <w:sz w:val="24"/>
                <w:szCs w:val="24"/>
              </w:rPr>
              <w:t>m</w:t>
            </w:r>
          </w:p>
        </w:tc>
        <w:tc>
          <w:tcPr>
            <w:tcW w:w="1311" w:type="pct"/>
            <w:tcBorders>
              <w:top w:val="single" w:color="auto" w:sz="4" w:space="0"/>
              <w:left w:val="nil"/>
              <w:bottom w:val="single" w:color="000000" w:sz="4" w:space="0"/>
              <w:right w:val="single" w:color="auto" w:sz="4" w:space="0"/>
            </w:tcBorders>
            <w:vAlign w:val="center"/>
          </w:tcPr>
          <w:p w14:paraId="38FC7DED">
            <w:pPr>
              <w:spacing w:line="240" w:lineRule="auto"/>
              <w:ind w:firstLine="0" w:firstLineChars="0"/>
              <w:jc w:val="center"/>
              <w:rPr>
                <w:kern w:val="0"/>
                <w:sz w:val="24"/>
                <w:szCs w:val="24"/>
              </w:rPr>
            </w:pPr>
          </w:p>
        </w:tc>
      </w:tr>
      <w:tr w14:paraId="67D4A1C8">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0ED09854">
            <w:pPr>
              <w:spacing w:line="240" w:lineRule="auto"/>
              <w:ind w:firstLine="0" w:firstLineChars="0"/>
              <w:jc w:val="left"/>
              <w:rPr>
                <w:kern w:val="0"/>
                <w:sz w:val="24"/>
                <w:szCs w:val="24"/>
              </w:rPr>
            </w:pPr>
            <w:r>
              <w:rPr>
                <w:b/>
                <w:bCs/>
                <w:kern w:val="0"/>
                <w:sz w:val="24"/>
                <w:szCs w:val="24"/>
              </w:rPr>
              <w:t>五、水工环地质</w:t>
            </w:r>
          </w:p>
        </w:tc>
        <w:tc>
          <w:tcPr>
            <w:tcW w:w="793" w:type="pct"/>
            <w:tcBorders>
              <w:top w:val="single" w:color="auto" w:sz="4" w:space="0"/>
              <w:left w:val="single" w:color="auto" w:sz="4" w:space="0"/>
              <w:bottom w:val="single" w:color="000000" w:sz="4" w:space="0"/>
              <w:right w:val="single" w:color="000000" w:sz="4" w:space="0"/>
            </w:tcBorders>
            <w:vAlign w:val="center"/>
          </w:tcPr>
          <w:p w14:paraId="0A4D3145">
            <w:pPr>
              <w:spacing w:line="240" w:lineRule="auto"/>
              <w:ind w:firstLine="0" w:firstLineChars="0"/>
              <w:jc w:val="center"/>
              <w:rPr>
                <w:kern w:val="0"/>
                <w:sz w:val="24"/>
                <w:szCs w:val="24"/>
              </w:rPr>
            </w:pPr>
          </w:p>
        </w:tc>
        <w:tc>
          <w:tcPr>
            <w:tcW w:w="540" w:type="pct"/>
            <w:tcBorders>
              <w:top w:val="single" w:color="auto" w:sz="4" w:space="0"/>
              <w:left w:val="nil"/>
              <w:bottom w:val="single" w:color="000000" w:sz="4" w:space="0"/>
              <w:right w:val="single" w:color="auto" w:sz="4" w:space="0"/>
            </w:tcBorders>
            <w:vAlign w:val="center"/>
          </w:tcPr>
          <w:p w14:paraId="7ECA0109">
            <w:pPr>
              <w:spacing w:line="240" w:lineRule="auto"/>
              <w:ind w:firstLine="0" w:firstLineChars="0"/>
              <w:jc w:val="center"/>
              <w:rPr>
                <w:kern w:val="0"/>
                <w:sz w:val="24"/>
                <w:szCs w:val="24"/>
              </w:rPr>
            </w:pPr>
          </w:p>
        </w:tc>
        <w:tc>
          <w:tcPr>
            <w:tcW w:w="1311" w:type="pct"/>
            <w:tcBorders>
              <w:top w:val="single" w:color="auto" w:sz="4" w:space="0"/>
              <w:left w:val="nil"/>
              <w:bottom w:val="single" w:color="000000" w:sz="4" w:space="0"/>
              <w:right w:val="single" w:color="auto" w:sz="4" w:space="0"/>
            </w:tcBorders>
            <w:vAlign w:val="center"/>
          </w:tcPr>
          <w:p w14:paraId="1DAB0BD7">
            <w:pPr>
              <w:spacing w:line="240" w:lineRule="auto"/>
              <w:ind w:firstLine="0" w:firstLineChars="0"/>
              <w:jc w:val="center"/>
              <w:rPr>
                <w:kern w:val="0"/>
                <w:sz w:val="24"/>
                <w:szCs w:val="24"/>
              </w:rPr>
            </w:pPr>
          </w:p>
        </w:tc>
      </w:tr>
      <w:tr w14:paraId="36B747C4">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86"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533ACAD1">
            <w:pPr>
              <w:spacing w:line="240" w:lineRule="auto"/>
              <w:ind w:firstLine="0" w:firstLineChars="0"/>
              <w:jc w:val="left"/>
              <w:rPr>
                <w:color w:val="auto"/>
                <w:kern w:val="0"/>
                <w:sz w:val="24"/>
                <w:szCs w:val="24"/>
              </w:rPr>
            </w:pPr>
            <w:r>
              <w:rPr>
                <w:color w:val="auto"/>
                <w:kern w:val="0"/>
                <w:sz w:val="24"/>
                <w:szCs w:val="24"/>
              </w:rPr>
              <w:t>1、1:5000矿区水工环地质测量</w:t>
            </w:r>
          </w:p>
        </w:tc>
        <w:tc>
          <w:tcPr>
            <w:tcW w:w="793" w:type="pct"/>
            <w:tcBorders>
              <w:top w:val="single" w:color="auto" w:sz="4" w:space="0"/>
              <w:left w:val="single" w:color="auto" w:sz="4" w:space="0"/>
              <w:bottom w:val="single" w:color="000000" w:sz="4" w:space="0"/>
              <w:right w:val="single" w:color="000000" w:sz="4" w:space="0"/>
            </w:tcBorders>
            <w:vAlign w:val="center"/>
          </w:tcPr>
          <w:p w14:paraId="08FC6A47">
            <w:pPr>
              <w:spacing w:line="240" w:lineRule="auto"/>
              <w:ind w:firstLine="0" w:firstLineChars="0"/>
              <w:jc w:val="center"/>
              <w:rPr>
                <w:color w:val="auto"/>
                <w:kern w:val="0"/>
                <w:sz w:val="24"/>
                <w:szCs w:val="24"/>
              </w:rPr>
            </w:pPr>
            <w:r>
              <w:rPr>
                <w:color w:val="auto"/>
                <w:kern w:val="0"/>
                <w:sz w:val="24"/>
                <w:szCs w:val="24"/>
              </w:rPr>
              <w:t>8.0</w:t>
            </w:r>
          </w:p>
        </w:tc>
        <w:tc>
          <w:tcPr>
            <w:tcW w:w="540" w:type="pct"/>
            <w:tcBorders>
              <w:top w:val="single" w:color="auto" w:sz="4" w:space="0"/>
              <w:left w:val="nil"/>
              <w:bottom w:val="single" w:color="000000" w:sz="4" w:space="0"/>
              <w:right w:val="single" w:color="auto" w:sz="4" w:space="0"/>
            </w:tcBorders>
            <w:vAlign w:val="center"/>
          </w:tcPr>
          <w:p w14:paraId="11BFAB11">
            <w:pPr>
              <w:spacing w:line="240" w:lineRule="auto"/>
              <w:ind w:firstLine="0" w:firstLineChars="0"/>
              <w:jc w:val="center"/>
              <w:rPr>
                <w:color w:val="auto"/>
                <w:kern w:val="0"/>
                <w:sz w:val="24"/>
                <w:szCs w:val="24"/>
              </w:rPr>
            </w:pPr>
            <w:r>
              <w:rPr>
                <w:color w:val="auto"/>
                <w:kern w:val="0"/>
                <w:sz w:val="24"/>
                <w:szCs w:val="24"/>
              </w:rPr>
              <w:t>km</w:t>
            </w:r>
            <w:r>
              <w:rPr>
                <w:color w:val="auto"/>
                <w:kern w:val="0"/>
                <w:sz w:val="24"/>
                <w:szCs w:val="24"/>
                <w:vertAlign w:val="superscript"/>
              </w:rPr>
              <w:t>2</w:t>
            </w:r>
          </w:p>
        </w:tc>
        <w:tc>
          <w:tcPr>
            <w:tcW w:w="1311" w:type="pct"/>
            <w:tcBorders>
              <w:top w:val="single" w:color="auto" w:sz="4" w:space="0"/>
              <w:left w:val="nil"/>
              <w:bottom w:val="single" w:color="000000" w:sz="4" w:space="0"/>
              <w:right w:val="single" w:color="auto" w:sz="4" w:space="0"/>
            </w:tcBorders>
            <w:vAlign w:val="center"/>
          </w:tcPr>
          <w:p w14:paraId="579D5B7B">
            <w:pPr>
              <w:spacing w:line="240" w:lineRule="auto"/>
              <w:ind w:firstLine="0" w:firstLineChars="0"/>
              <w:jc w:val="center"/>
              <w:rPr>
                <w:color w:val="auto"/>
                <w:kern w:val="0"/>
                <w:sz w:val="24"/>
                <w:szCs w:val="24"/>
              </w:rPr>
            </w:pPr>
          </w:p>
        </w:tc>
      </w:tr>
      <w:tr w14:paraId="327B088A">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6774E3DA">
            <w:pPr>
              <w:spacing w:line="240" w:lineRule="auto"/>
              <w:ind w:firstLine="0" w:firstLineChars="0"/>
              <w:jc w:val="left"/>
              <w:rPr>
                <w:kern w:val="0"/>
                <w:sz w:val="24"/>
                <w:szCs w:val="24"/>
              </w:rPr>
            </w:pPr>
            <w:r>
              <w:rPr>
                <w:kern w:val="0"/>
                <w:sz w:val="24"/>
                <w:szCs w:val="24"/>
              </w:rPr>
              <w:t>2、1:50000区域水文地质测量</w:t>
            </w:r>
          </w:p>
        </w:tc>
        <w:tc>
          <w:tcPr>
            <w:tcW w:w="793" w:type="pct"/>
            <w:tcBorders>
              <w:top w:val="single" w:color="auto" w:sz="4" w:space="0"/>
              <w:left w:val="single" w:color="auto" w:sz="4" w:space="0"/>
              <w:bottom w:val="single" w:color="000000" w:sz="4" w:space="0"/>
              <w:right w:val="single" w:color="000000" w:sz="4" w:space="0"/>
            </w:tcBorders>
            <w:vAlign w:val="center"/>
          </w:tcPr>
          <w:p w14:paraId="5C12EE18">
            <w:pPr>
              <w:spacing w:line="240" w:lineRule="auto"/>
              <w:ind w:firstLine="0" w:firstLineChars="0"/>
              <w:jc w:val="center"/>
              <w:rPr>
                <w:rFonts w:hint="default" w:eastAsia="仿宋"/>
                <w:kern w:val="0"/>
                <w:sz w:val="24"/>
                <w:szCs w:val="24"/>
                <w:lang w:val="en-US" w:eastAsia="zh-CN"/>
              </w:rPr>
            </w:pPr>
            <w:r>
              <w:rPr>
                <w:rFonts w:hint="eastAsia"/>
                <w:kern w:val="0"/>
                <w:sz w:val="24"/>
                <w:szCs w:val="24"/>
                <w:lang w:val="en-US" w:eastAsia="zh-CN"/>
              </w:rPr>
              <w:t>80</w:t>
            </w:r>
          </w:p>
        </w:tc>
        <w:tc>
          <w:tcPr>
            <w:tcW w:w="540" w:type="pct"/>
            <w:tcBorders>
              <w:top w:val="single" w:color="auto" w:sz="4" w:space="0"/>
              <w:left w:val="nil"/>
              <w:bottom w:val="single" w:color="000000" w:sz="4" w:space="0"/>
              <w:right w:val="single" w:color="auto" w:sz="4" w:space="0"/>
            </w:tcBorders>
            <w:vAlign w:val="center"/>
          </w:tcPr>
          <w:p w14:paraId="4D229945">
            <w:pPr>
              <w:spacing w:line="240" w:lineRule="auto"/>
              <w:ind w:firstLine="0" w:firstLineChars="0"/>
              <w:jc w:val="center"/>
              <w:rPr>
                <w:kern w:val="0"/>
                <w:sz w:val="24"/>
                <w:szCs w:val="24"/>
              </w:rPr>
            </w:pPr>
            <w:r>
              <w:rPr>
                <w:kern w:val="0"/>
                <w:sz w:val="24"/>
                <w:szCs w:val="24"/>
              </w:rPr>
              <w:t>km</w:t>
            </w:r>
            <w:r>
              <w:rPr>
                <w:kern w:val="0"/>
                <w:sz w:val="24"/>
                <w:szCs w:val="24"/>
                <w:vertAlign w:val="superscript"/>
              </w:rPr>
              <w:t>2</w:t>
            </w:r>
          </w:p>
        </w:tc>
        <w:tc>
          <w:tcPr>
            <w:tcW w:w="1311" w:type="pct"/>
            <w:tcBorders>
              <w:top w:val="single" w:color="auto" w:sz="4" w:space="0"/>
              <w:left w:val="nil"/>
              <w:bottom w:val="single" w:color="000000" w:sz="4" w:space="0"/>
              <w:right w:val="single" w:color="auto" w:sz="4" w:space="0"/>
            </w:tcBorders>
            <w:vAlign w:val="center"/>
          </w:tcPr>
          <w:p w14:paraId="2E398EB7">
            <w:pPr>
              <w:spacing w:line="240" w:lineRule="auto"/>
              <w:ind w:firstLine="0" w:firstLineChars="0"/>
              <w:jc w:val="center"/>
              <w:rPr>
                <w:kern w:val="0"/>
                <w:sz w:val="24"/>
                <w:szCs w:val="24"/>
              </w:rPr>
            </w:pPr>
          </w:p>
        </w:tc>
      </w:tr>
      <w:tr w14:paraId="156B3450">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5DA4C5EF">
            <w:pPr>
              <w:spacing w:line="240" w:lineRule="auto"/>
              <w:ind w:firstLine="0" w:firstLineChars="0"/>
              <w:jc w:val="center"/>
              <w:rPr>
                <w:rFonts w:hint="default"/>
                <w:color w:val="0000FF"/>
                <w:kern w:val="0"/>
                <w:sz w:val="24"/>
                <w:szCs w:val="24"/>
                <w:lang w:val="en-US" w:eastAsia="zh-CN"/>
              </w:rPr>
            </w:pPr>
            <w:r>
              <w:rPr>
                <w:rFonts w:hint="eastAsia"/>
                <w:color w:val="0000FF"/>
                <w:kern w:val="0"/>
                <w:sz w:val="24"/>
                <w:szCs w:val="24"/>
                <w:lang w:val="en-US" w:eastAsia="zh-CN"/>
              </w:rPr>
              <w:t>3、1:1000水文地质工程地质剖面测量</w:t>
            </w:r>
          </w:p>
        </w:tc>
        <w:tc>
          <w:tcPr>
            <w:tcW w:w="793" w:type="pct"/>
            <w:tcBorders>
              <w:top w:val="single" w:color="auto" w:sz="4" w:space="0"/>
              <w:left w:val="single" w:color="auto" w:sz="4" w:space="0"/>
              <w:bottom w:val="single" w:color="000000" w:sz="4" w:space="0"/>
              <w:right w:val="single" w:color="000000" w:sz="4" w:space="0"/>
            </w:tcBorders>
            <w:vAlign w:val="center"/>
          </w:tcPr>
          <w:p w14:paraId="355BE8DA">
            <w:pPr>
              <w:spacing w:line="240" w:lineRule="auto"/>
              <w:ind w:firstLine="0" w:firstLineChars="0"/>
              <w:jc w:val="center"/>
              <w:rPr>
                <w:rFonts w:hint="default"/>
                <w:color w:val="0000FF"/>
                <w:kern w:val="0"/>
                <w:sz w:val="24"/>
                <w:szCs w:val="24"/>
                <w:lang w:val="en-US" w:eastAsia="zh-CN"/>
              </w:rPr>
            </w:pPr>
            <w:r>
              <w:rPr>
                <w:rFonts w:hint="eastAsia"/>
                <w:color w:val="0000FF"/>
                <w:kern w:val="0"/>
                <w:sz w:val="24"/>
                <w:szCs w:val="24"/>
                <w:lang w:val="en-US" w:eastAsia="zh-CN"/>
              </w:rPr>
              <w:t>2.78</w:t>
            </w:r>
          </w:p>
        </w:tc>
        <w:tc>
          <w:tcPr>
            <w:tcW w:w="540" w:type="pct"/>
            <w:tcBorders>
              <w:top w:val="single" w:color="auto" w:sz="4" w:space="0"/>
              <w:left w:val="nil"/>
              <w:bottom w:val="single" w:color="000000" w:sz="4" w:space="0"/>
              <w:right w:val="single" w:color="auto" w:sz="4" w:space="0"/>
            </w:tcBorders>
            <w:vAlign w:val="center"/>
          </w:tcPr>
          <w:p w14:paraId="416100C7">
            <w:pPr>
              <w:spacing w:line="240" w:lineRule="auto"/>
              <w:ind w:firstLine="0" w:firstLineChars="0"/>
              <w:jc w:val="center"/>
              <w:rPr>
                <w:rFonts w:hint="default"/>
                <w:color w:val="0000FF"/>
                <w:kern w:val="0"/>
                <w:sz w:val="24"/>
                <w:szCs w:val="24"/>
                <w:lang w:val="en-US" w:eastAsia="zh-CN"/>
              </w:rPr>
            </w:pPr>
            <w:r>
              <w:rPr>
                <w:rFonts w:hint="eastAsia"/>
                <w:color w:val="0000FF"/>
                <w:kern w:val="0"/>
                <w:sz w:val="24"/>
                <w:szCs w:val="24"/>
                <w:lang w:val="en-US" w:eastAsia="zh-CN"/>
              </w:rPr>
              <w:t>km</w:t>
            </w:r>
          </w:p>
        </w:tc>
        <w:tc>
          <w:tcPr>
            <w:tcW w:w="1311" w:type="pct"/>
            <w:tcBorders>
              <w:top w:val="single" w:color="auto" w:sz="4" w:space="0"/>
              <w:left w:val="nil"/>
              <w:bottom w:val="single" w:color="000000" w:sz="4" w:space="0"/>
              <w:right w:val="single" w:color="auto" w:sz="4" w:space="0"/>
            </w:tcBorders>
            <w:vAlign w:val="center"/>
          </w:tcPr>
          <w:p w14:paraId="24B254F5">
            <w:pPr>
              <w:spacing w:line="240" w:lineRule="auto"/>
              <w:ind w:firstLine="0" w:firstLineChars="0"/>
              <w:jc w:val="center"/>
              <w:rPr>
                <w:rFonts w:hint="default"/>
                <w:color w:val="0000FF"/>
                <w:kern w:val="0"/>
                <w:sz w:val="24"/>
                <w:szCs w:val="24"/>
                <w:lang w:val="en-US" w:eastAsia="zh-CN"/>
              </w:rPr>
            </w:pPr>
            <w:r>
              <w:rPr>
                <w:rFonts w:hint="eastAsia"/>
                <w:color w:val="0000FF"/>
                <w:kern w:val="0"/>
                <w:sz w:val="24"/>
                <w:szCs w:val="24"/>
                <w:lang w:val="en-US" w:eastAsia="zh-CN"/>
              </w:rPr>
              <w:t>3号、5号勘探线</w:t>
            </w:r>
          </w:p>
        </w:tc>
      </w:tr>
      <w:tr w14:paraId="2F32D811">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3F0E9A4E">
            <w:pPr>
              <w:spacing w:line="240" w:lineRule="auto"/>
              <w:ind w:firstLine="0" w:firstLineChars="0"/>
              <w:jc w:val="left"/>
              <w:rPr>
                <w:kern w:val="0"/>
                <w:sz w:val="24"/>
                <w:szCs w:val="24"/>
              </w:rPr>
            </w:pPr>
            <w:r>
              <w:rPr>
                <w:rFonts w:hint="eastAsia"/>
                <w:kern w:val="0"/>
                <w:sz w:val="24"/>
                <w:szCs w:val="24"/>
                <w:lang w:val="en-US" w:eastAsia="zh-CN"/>
              </w:rPr>
              <w:t>4</w:t>
            </w:r>
            <w:r>
              <w:rPr>
                <w:kern w:val="0"/>
                <w:sz w:val="24"/>
                <w:szCs w:val="24"/>
              </w:rPr>
              <w:t>、水化学全分析样</w:t>
            </w:r>
          </w:p>
        </w:tc>
        <w:tc>
          <w:tcPr>
            <w:tcW w:w="793" w:type="pct"/>
            <w:tcBorders>
              <w:top w:val="single" w:color="auto" w:sz="4" w:space="0"/>
              <w:left w:val="single" w:color="auto" w:sz="4" w:space="0"/>
              <w:bottom w:val="single" w:color="000000" w:sz="4" w:space="0"/>
              <w:right w:val="single" w:color="000000" w:sz="4" w:space="0"/>
            </w:tcBorders>
            <w:vAlign w:val="center"/>
          </w:tcPr>
          <w:p w14:paraId="43021763">
            <w:pPr>
              <w:spacing w:line="240" w:lineRule="auto"/>
              <w:ind w:firstLine="0" w:firstLineChars="0"/>
              <w:jc w:val="center"/>
              <w:rPr>
                <w:rFonts w:hint="eastAsia" w:eastAsia="仿宋"/>
                <w:kern w:val="0"/>
                <w:sz w:val="24"/>
                <w:szCs w:val="24"/>
                <w:lang w:val="en-US" w:eastAsia="zh-CN"/>
              </w:rPr>
            </w:pPr>
            <w:r>
              <w:rPr>
                <w:rFonts w:hint="eastAsia"/>
                <w:kern w:val="0"/>
                <w:sz w:val="24"/>
                <w:szCs w:val="24"/>
                <w:lang w:val="en-US" w:eastAsia="zh-CN"/>
              </w:rPr>
              <w:t>8</w:t>
            </w:r>
          </w:p>
        </w:tc>
        <w:tc>
          <w:tcPr>
            <w:tcW w:w="540" w:type="pct"/>
            <w:tcBorders>
              <w:top w:val="single" w:color="auto" w:sz="4" w:space="0"/>
              <w:left w:val="nil"/>
              <w:bottom w:val="single" w:color="000000" w:sz="4" w:space="0"/>
              <w:right w:val="single" w:color="auto" w:sz="4" w:space="0"/>
            </w:tcBorders>
            <w:vAlign w:val="center"/>
          </w:tcPr>
          <w:p w14:paraId="1DC5FEA0">
            <w:pPr>
              <w:spacing w:line="240" w:lineRule="auto"/>
              <w:ind w:firstLine="0" w:firstLineChars="0"/>
              <w:jc w:val="center"/>
              <w:rPr>
                <w:kern w:val="0"/>
                <w:sz w:val="24"/>
                <w:szCs w:val="24"/>
              </w:rPr>
            </w:pPr>
            <w:r>
              <w:rPr>
                <w:kern w:val="0"/>
                <w:sz w:val="24"/>
                <w:szCs w:val="24"/>
              </w:rPr>
              <w:t>件</w:t>
            </w:r>
          </w:p>
        </w:tc>
        <w:tc>
          <w:tcPr>
            <w:tcW w:w="1311" w:type="pct"/>
            <w:tcBorders>
              <w:top w:val="single" w:color="auto" w:sz="4" w:space="0"/>
              <w:left w:val="nil"/>
              <w:bottom w:val="single" w:color="000000" w:sz="4" w:space="0"/>
              <w:right w:val="single" w:color="auto" w:sz="4" w:space="0"/>
            </w:tcBorders>
            <w:vAlign w:val="center"/>
          </w:tcPr>
          <w:p w14:paraId="5C1B7C7E">
            <w:pPr>
              <w:spacing w:line="240" w:lineRule="auto"/>
              <w:ind w:firstLine="0" w:firstLineChars="0"/>
              <w:jc w:val="center"/>
              <w:rPr>
                <w:kern w:val="0"/>
                <w:sz w:val="24"/>
                <w:szCs w:val="24"/>
              </w:rPr>
            </w:pPr>
          </w:p>
        </w:tc>
      </w:tr>
      <w:tr w14:paraId="39191B03">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115FD0F1">
            <w:pPr>
              <w:spacing w:line="240" w:lineRule="auto"/>
              <w:ind w:firstLine="0" w:firstLineChars="0"/>
              <w:jc w:val="left"/>
              <w:rPr>
                <w:color w:val="0000FF"/>
                <w:kern w:val="0"/>
                <w:sz w:val="24"/>
                <w:szCs w:val="24"/>
              </w:rPr>
            </w:pPr>
            <w:r>
              <w:rPr>
                <w:rFonts w:hint="eastAsia"/>
                <w:color w:val="0000FF"/>
                <w:kern w:val="0"/>
                <w:sz w:val="24"/>
                <w:szCs w:val="24"/>
                <w:lang w:val="en-US" w:eastAsia="zh-CN"/>
              </w:rPr>
              <w:t>5</w:t>
            </w:r>
            <w:r>
              <w:rPr>
                <w:color w:val="0000FF"/>
                <w:kern w:val="0"/>
                <w:sz w:val="24"/>
                <w:szCs w:val="24"/>
              </w:rPr>
              <w:t>、钻孔简易水文地质观测</w:t>
            </w:r>
          </w:p>
        </w:tc>
        <w:tc>
          <w:tcPr>
            <w:tcW w:w="793" w:type="pct"/>
            <w:tcBorders>
              <w:top w:val="single" w:color="auto" w:sz="4" w:space="0"/>
              <w:left w:val="single" w:color="auto" w:sz="4" w:space="0"/>
              <w:bottom w:val="single" w:color="000000" w:sz="4" w:space="0"/>
              <w:right w:val="single" w:color="000000" w:sz="4" w:space="0"/>
            </w:tcBorders>
            <w:vAlign w:val="center"/>
          </w:tcPr>
          <w:p w14:paraId="29FCD86E">
            <w:pPr>
              <w:spacing w:line="240" w:lineRule="auto"/>
              <w:ind w:firstLine="0" w:firstLineChars="0"/>
              <w:jc w:val="center"/>
              <w:rPr>
                <w:rFonts w:hint="default" w:eastAsia="仿宋"/>
                <w:color w:val="0000FF"/>
                <w:kern w:val="0"/>
                <w:sz w:val="24"/>
                <w:szCs w:val="24"/>
                <w:lang w:val="en-US" w:eastAsia="zh-CN"/>
              </w:rPr>
            </w:pPr>
            <w:r>
              <w:rPr>
                <w:rFonts w:hint="eastAsia"/>
                <w:color w:val="0000FF"/>
                <w:kern w:val="0"/>
                <w:sz w:val="24"/>
                <w:szCs w:val="24"/>
                <w:lang w:val="en-US" w:eastAsia="zh-CN"/>
              </w:rPr>
              <w:t>9</w:t>
            </w:r>
          </w:p>
        </w:tc>
        <w:tc>
          <w:tcPr>
            <w:tcW w:w="540" w:type="pct"/>
            <w:tcBorders>
              <w:top w:val="single" w:color="auto" w:sz="4" w:space="0"/>
              <w:left w:val="nil"/>
              <w:bottom w:val="single" w:color="000000" w:sz="4" w:space="0"/>
              <w:right w:val="single" w:color="auto" w:sz="4" w:space="0"/>
            </w:tcBorders>
            <w:vAlign w:val="center"/>
          </w:tcPr>
          <w:p w14:paraId="7B35773A">
            <w:pPr>
              <w:spacing w:line="240" w:lineRule="auto"/>
              <w:ind w:firstLine="0" w:firstLineChars="0"/>
              <w:jc w:val="center"/>
              <w:rPr>
                <w:color w:val="0000FF"/>
                <w:kern w:val="0"/>
                <w:sz w:val="24"/>
                <w:szCs w:val="24"/>
              </w:rPr>
            </w:pPr>
            <w:r>
              <w:rPr>
                <w:color w:val="0000FF"/>
                <w:kern w:val="0"/>
                <w:sz w:val="24"/>
                <w:szCs w:val="24"/>
              </w:rPr>
              <w:t>孔</w:t>
            </w:r>
          </w:p>
        </w:tc>
        <w:tc>
          <w:tcPr>
            <w:tcW w:w="1311" w:type="pct"/>
            <w:tcBorders>
              <w:top w:val="single" w:color="auto" w:sz="4" w:space="0"/>
              <w:left w:val="nil"/>
              <w:bottom w:val="single" w:color="000000" w:sz="4" w:space="0"/>
              <w:right w:val="single" w:color="auto" w:sz="4" w:space="0"/>
            </w:tcBorders>
            <w:vAlign w:val="center"/>
          </w:tcPr>
          <w:p w14:paraId="19BEC303">
            <w:pPr>
              <w:spacing w:line="240" w:lineRule="auto"/>
              <w:ind w:firstLine="0" w:firstLineChars="0"/>
              <w:jc w:val="center"/>
              <w:rPr>
                <w:kern w:val="0"/>
                <w:sz w:val="24"/>
                <w:szCs w:val="24"/>
              </w:rPr>
            </w:pPr>
          </w:p>
        </w:tc>
      </w:tr>
      <w:tr w14:paraId="539ADA45">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6A6D39FB">
            <w:pPr>
              <w:spacing w:line="240" w:lineRule="auto"/>
              <w:ind w:firstLine="0" w:firstLineChars="0"/>
              <w:jc w:val="left"/>
              <w:rPr>
                <w:color w:val="0000FF"/>
                <w:kern w:val="0"/>
                <w:sz w:val="24"/>
                <w:szCs w:val="24"/>
              </w:rPr>
            </w:pPr>
            <w:r>
              <w:rPr>
                <w:rFonts w:hint="eastAsia"/>
                <w:color w:val="0000FF"/>
                <w:kern w:val="0"/>
                <w:sz w:val="24"/>
                <w:szCs w:val="24"/>
                <w:lang w:val="en-US" w:eastAsia="zh-CN"/>
              </w:rPr>
              <w:t>6</w:t>
            </w:r>
            <w:r>
              <w:rPr>
                <w:color w:val="0000FF"/>
                <w:kern w:val="0"/>
                <w:sz w:val="24"/>
                <w:szCs w:val="24"/>
              </w:rPr>
              <w:t>、水文动态观测</w:t>
            </w:r>
          </w:p>
        </w:tc>
        <w:tc>
          <w:tcPr>
            <w:tcW w:w="793" w:type="pct"/>
            <w:tcBorders>
              <w:top w:val="single" w:color="auto" w:sz="4" w:space="0"/>
              <w:left w:val="single" w:color="auto" w:sz="4" w:space="0"/>
              <w:bottom w:val="single" w:color="000000" w:sz="4" w:space="0"/>
              <w:right w:val="single" w:color="000000" w:sz="4" w:space="0"/>
            </w:tcBorders>
            <w:vAlign w:val="center"/>
          </w:tcPr>
          <w:p w14:paraId="1F9063E2">
            <w:pPr>
              <w:spacing w:line="240" w:lineRule="auto"/>
              <w:ind w:firstLine="0" w:firstLineChars="0"/>
              <w:jc w:val="center"/>
              <w:rPr>
                <w:rFonts w:hint="eastAsia" w:eastAsia="仿宋"/>
                <w:color w:val="0000FF"/>
                <w:kern w:val="0"/>
                <w:sz w:val="24"/>
                <w:szCs w:val="24"/>
                <w:lang w:val="en-US" w:eastAsia="zh-CN"/>
              </w:rPr>
            </w:pPr>
            <w:r>
              <w:rPr>
                <w:rFonts w:hint="eastAsia"/>
                <w:color w:val="0000FF"/>
                <w:kern w:val="0"/>
                <w:sz w:val="24"/>
                <w:szCs w:val="24"/>
                <w:lang w:val="en-US" w:eastAsia="zh-CN"/>
              </w:rPr>
              <w:t>7</w:t>
            </w:r>
          </w:p>
        </w:tc>
        <w:tc>
          <w:tcPr>
            <w:tcW w:w="540" w:type="pct"/>
            <w:tcBorders>
              <w:top w:val="single" w:color="auto" w:sz="4" w:space="0"/>
              <w:left w:val="nil"/>
              <w:bottom w:val="single" w:color="000000" w:sz="4" w:space="0"/>
              <w:right w:val="single" w:color="auto" w:sz="4" w:space="0"/>
            </w:tcBorders>
            <w:vAlign w:val="center"/>
          </w:tcPr>
          <w:p w14:paraId="32B25ECA">
            <w:pPr>
              <w:spacing w:line="240" w:lineRule="auto"/>
              <w:ind w:firstLine="0" w:firstLineChars="0"/>
              <w:jc w:val="center"/>
              <w:rPr>
                <w:color w:val="0000FF"/>
                <w:kern w:val="0"/>
                <w:sz w:val="24"/>
                <w:szCs w:val="24"/>
              </w:rPr>
            </w:pPr>
            <w:r>
              <w:rPr>
                <w:color w:val="0000FF"/>
                <w:kern w:val="0"/>
                <w:sz w:val="24"/>
                <w:szCs w:val="24"/>
              </w:rPr>
              <w:t>点</w:t>
            </w:r>
          </w:p>
        </w:tc>
        <w:tc>
          <w:tcPr>
            <w:tcW w:w="1311" w:type="pct"/>
            <w:tcBorders>
              <w:top w:val="single" w:color="auto" w:sz="4" w:space="0"/>
              <w:left w:val="nil"/>
              <w:bottom w:val="single" w:color="000000" w:sz="4" w:space="0"/>
              <w:right w:val="single" w:color="auto" w:sz="4" w:space="0"/>
            </w:tcBorders>
            <w:vAlign w:val="center"/>
          </w:tcPr>
          <w:p w14:paraId="2B7D1CD4">
            <w:pPr>
              <w:spacing w:line="240" w:lineRule="auto"/>
              <w:ind w:firstLine="0" w:firstLineChars="0"/>
              <w:jc w:val="center"/>
              <w:rPr>
                <w:kern w:val="0"/>
                <w:sz w:val="24"/>
                <w:szCs w:val="24"/>
              </w:rPr>
            </w:pPr>
          </w:p>
        </w:tc>
      </w:tr>
      <w:tr w14:paraId="6526651F">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6B5D6E8F">
            <w:pPr>
              <w:spacing w:line="240" w:lineRule="auto"/>
              <w:ind w:firstLine="0" w:firstLineChars="0"/>
              <w:jc w:val="left"/>
              <w:rPr>
                <w:color w:val="auto"/>
                <w:kern w:val="0"/>
                <w:sz w:val="24"/>
                <w:szCs w:val="24"/>
              </w:rPr>
            </w:pPr>
            <w:r>
              <w:rPr>
                <w:rFonts w:hint="eastAsia"/>
                <w:color w:val="auto"/>
                <w:kern w:val="0"/>
                <w:sz w:val="24"/>
                <w:szCs w:val="24"/>
                <w:lang w:val="en-US" w:eastAsia="zh-CN"/>
              </w:rPr>
              <w:t>7</w:t>
            </w:r>
            <w:r>
              <w:rPr>
                <w:color w:val="auto"/>
                <w:kern w:val="0"/>
                <w:sz w:val="24"/>
                <w:szCs w:val="24"/>
              </w:rPr>
              <w:t>、土壤重金属特征污染取样及分析</w:t>
            </w:r>
          </w:p>
        </w:tc>
        <w:tc>
          <w:tcPr>
            <w:tcW w:w="793" w:type="pct"/>
            <w:tcBorders>
              <w:top w:val="single" w:color="auto" w:sz="4" w:space="0"/>
              <w:left w:val="single" w:color="auto" w:sz="4" w:space="0"/>
              <w:bottom w:val="single" w:color="000000" w:sz="4" w:space="0"/>
              <w:right w:val="single" w:color="000000" w:sz="4" w:space="0"/>
            </w:tcBorders>
            <w:vAlign w:val="center"/>
          </w:tcPr>
          <w:p w14:paraId="3F02F63E">
            <w:pPr>
              <w:spacing w:line="240" w:lineRule="auto"/>
              <w:ind w:firstLine="0" w:firstLineChars="0"/>
              <w:jc w:val="center"/>
              <w:rPr>
                <w:color w:val="auto"/>
                <w:kern w:val="0"/>
                <w:sz w:val="24"/>
                <w:szCs w:val="24"/>
              </w:rPr>
            </w:pPr>
            <w:r>
              <w:rPr>
                <w:color w:val="auto"/>
                <w:kern w:val="0"/>
                <w:sz w:val="24"/>
                <w:szCs w:val="24"/>
              </w:rPr>
              <w:t>4</w:t>
            </w:r>
          </w:p>
        </w:tc>
        <w:tc>
          <w:tcPr>
            <w:tcW w:w="540" w:type="pct"/>
            <w:tcBorders>
              <w:top w:val="single" w:color="auto" w:sz="4" w:space="0"/>
              <w:left w:val="nil"/>
              <w:bottom w:val="single" w:color="000000" w:sz="4" w:space="0"/>
              <w:right w:val="single" w:color="auto" w:sz="4" w:space="0"/>
            </w:tcBorders>
            <w:vAlign w:val="center"/>
          </w:tcPr>
          <w:p w14:paraId="7453FDA4">
            <w:pPr>
              <w:spacing w:line="240" w:lineRule="auto"/>
              <w:ind w:firstLine="0" w:firstLineChars="0"/>
              <w:jc w:val="center"/>
              <w:rPr>
                <w:color w:val="auto"/>
                <w:kern w:val="0"/>
                <w:sz w:val="24"/>
                <w:szCs w:val="24"/>
              </w:rPr>
            </w:pPr>
            <w:r>
              <w:rPr>
                <w:color w:val="auto"/>
                <w:kern w:val="0"/>
                <w:sz w:val="24"/>
                <w:szCs w:val="24"/>
              </w:rPr>
              <w:t>件</w:t>
            </w:r>
          </w:p>
        </w:tc>
        <w:tc>
          <w:tcPr>
            <w:tcW w:w="1311" w:type="pct"/>
            <w:tcBorders>
              <w:top w:val="single" w:color="auto" w:sz="4" w:space="0"/>
              <w:left w:val="nil"/>
              <w:bottom w:val="single" w:color="000000" w:sz="4" w:space="0"/>
              <w:right w:val="single" w:color="auto" w:sz="4" w:space="0"/>
            </w:tcBorders>
            <w:vAlign w:val="center"/>
          </w:tcPr>
          <w:p w14:paraId="473D6838">
            <w:pPr>
              <w:spacing w:line="240" w:lineRule="auto"/>
              <w:ind w:firstLine="0" w:firstLineChars="0"/>
              <w:jc w:val="center"/>
              <w:rPr>
                <w:kern w:val="0"/>
                <w:sz w:val="24"/>
                <w:szCs w:val="24"/>
              </w:rPr>
            </w:pPr>
          </w:p>
        </w:tc>
      </w:tr>
      <w:tr w14:paraId="00BD6992">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381E6F53">
            <w:pPr>
              <w:spacing w:line="240" w:lineRule="auto"/>
              <w:ind w:firstLine="0" w:firstLineChars="0"/>
              <w:jc w:val="left"/>
              <w:rPr>
                <w:color w:val="auto"/>
                <w:kern w:val="0"/>
                <w:sz w:val="24"/>
                <w:szCs w:val="24"/>
              </w:rPr>
            </w:pPr>
            <w:r>
              <w:rPr>
                <w:rFonts w:hint="eastAsia"/>
                <w:color w:val="auto"/>
                <w:kern w:val="0"/>
                <w:sz w:val="24"/>
                <w:szCs w:val="24"/>
                <w:lang w:val="en-US" w:eastAsia="zh-CN"/>
              </w:rPr>
              <w:t>8</w:t>
            </w:r>
            <w:r>
              <w:rPr>
                <w:color w:val="auto"/>
                <w:kern w:val="0"/>
                <w:sz w:val="24"/>
                <w:szCs w:val="24"/>
              </w:rPr>
              <w:t>、岩石重金属特征污染取样及分析</w:t>
            </w:r>
          </w:p>
        </w:tc>
        <w:tc>
          <w:tcPr>
            <w:tcW w:w="793" w:type="pct"/>
            <w:tcBorders>
              <w:top w:val="single" w:color="auto" w:sz="4" w:space="0"/>
              <w:left w:val="single" w:color="auto" w:sz="4" w:space="0"/>
              <w:bottom w:val="single" w:color="000000" w:sz="4" w:space="0"/>
              <w:right w:val="single" w:color="000000" w:sz="4" w:space="0"/>
            </w:tcBorders>
            <w:vAlign w:val="center"/>
          </w:tcPr>
          <w:p w14:paraId="246B7A06">
            <w:pPr>
              <w:spacing w:line="240" w:lineRule="auto"/>
              <w:ind w:firstLine="0" w:firstLineChars="0"/>
              <w:jc w:val="center"/>
              <w:rPr>
                <w:color w:val="auto"/>
                <w:kern w:val="0"/>
                <w:sz w:val="24"/>
                <w:szCs w:val="24"/>
              </w:rPr>
            </w:pPr>
            <w:r>
              <w:rPr>
                <w:color w:val="auto"/>
                <w:kern w:val="0"/>
                <w:sz w:val="24"/>
                <w:szCs w:val="24"/>
              </w:rPr>
              <w:t>6</w:t>
            </w:r>
          </w:p>
        </w:tc>
        <w:tc>
          <w:tcPr>
            <w:tcW w:w="540" w:type="pct"/>
            <w:tcBorders>
              <w:top w:val="single" w:color="auto" w:sz="4" w:space="0"/>
              <w:left w:val="nil"/>
              <w:bottom w:val="single" w:color="000000" w:sz="4" w:space="0"/>
              <w:right w:val="single" w:color="auto" w:sz="4" w:space="0"/>
            </w:tcBorders>
            <w:vAlign w:val="center"/>
          </w:tcPr>
          <w:p w14:paraId="06C2B974">
            <w:pPr>
              <w:spacing w:line="240" w:lineRule="auto"/>
              <w:ind w:firstLine="0" w:firstLineChars="0"/>
              <w:jc w:val="center"/>
              <w:rPr>
                <w:color w:val="auto"/>
                <w:kern w:val="0"/>
                <w:sz w:val="24"/>
                <w:szCs w:val="24"/>
              </w:rPr>
            </w:pPr>
            <w:r>
              <w:rPr>
                <w:color w:val="auto"/>
                <w:kern w:val="0"/>
                <w:sz w:val="24"/>
                <w:szCs w:val="24"/>
              </w:rPr>
              <w:t>件</w:t>
            </w:r>
          </w:p>
        </w:tc>
        <w:tc>
          <w:tcPr>
            <w:tcW w:w="1311" w:type="pct"/>
            <w:tcBorders>
              <w:top w:val="single" w:color="auto" w:sz="4" w:space="0"/>
              <w:left w:val="nil"/>
              <w:bottom w:val="single" w:color="000000" w:sz="4" w:space="0"/>
              <w:right w:val="single" w:color="auto" w:sz="4" w:space="0"/>
            </w:tcBorders>
            <w:vAlign w:val="center"/>
          </w:tcPr>
          <w:p w14:paraId="34ED0DAE">
            <w:pPr>
              <w:spacing w:line="240" w:lineRule="auto"/>
              <w:ind w:firstLine="0" w:firstLineChars="0"/>
              <w:jc w:val="center"/>
              <w:rPr>
                <w:kern w:val="0"/>
                <w:sz w:val="24"/>
                <w:szCs w:val="24"/>
              </w:rPr>
            </w:pPr>
          </w:p>
        </w:tc>
      </w:tr>
      <w:tr w14:paraId="69F35DB9">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089E06AA">
            <w:pPr>
              <w:spacing w:line="240" w:lineRule="auto"/>
              <w:ind w:firstLine="0" w:firstLineChars="0"/>
              <w:jc w:val="left"/>
              <w:rPr>
                <w:kern w:val="0"/>
                <w:sz w:val="24"/>
                <w:szCs w:val="24"/>
              </w:rPr>
            </w:pPr>
            <w:r>
              <w:rPr>
                <w:rFonts w:hint="eastAsia"/>
                <w:kern w:val="0"/>
                <w:sz w:val="24"/>
                <w:szCs w:val="24"/>
                <w:lang w:val="en-US" w:eastAsia="zh-CN"/>
              </w:rPr>
              <w:t>9</w:t>
            </w:r>
            <w:r>
              <w:rPr>
                <w:kern w:val="0"/>
                <w:sz w:val="24"/>
                <w:szCs w:val="24"/>
              </w:rPr>
              <w:t>、岩溶及裂隙率统计</w:t>
            </w:r>
          </w:p>
        </w:tc>
        <w:tc>
          <w:tcPr>
            <w:tcW w:w="793" w:type="pct"/>
            <w:tcBorders>
              <w:top w:val="single" w:color="auto" w:sz="4" w:space="0"/>
              <w:left w:val="single" w:color="auto" w:sz="4" w:space="0"/>
              <w:bottom w:val="single" w:color="000000" w:sz="4" w:space="0"/>
              <w:right w:val="single" w:color="000000" w:sz="4" w:space="0"/>
            </w:tcBorders>
            <w:vAlign w:val="center"/>
          </w:tcPr>
          <w:p w14:paraId="56BD96B0">
            <w:pPr>
              <w:spacing w:line="240" w:lineRule="auto"/>
              <w:ind w:firstLine="0" w:firstLineChars="0"/>
              <w:jc w:val="center"/>
              <w:rPr>
                <w:kern w:val="0"/>
                <w:sz w:val="24"/>
                <w:szCs w:val="24"/>
              </w:rPr>
            </w:pPr>
            <w:r>
              <w:rPr>
                <w:kern w:val="0"/>
                <w:sz w:val="24"/>
                <w:szCs w:val="24"/>
              </w:rPr>
              <w:t>1000</w:t>
            </w:r>
          </w:p>
        </w:tc>
        <w:tc>
          <w:tcPr>
            <w:tcW w:w="540" w:type="pct"/>
            <w:tcBorders>
              <w:top w:val="single" w:color="auto" w:sz="4" w:space="0"/>
              <w:left w:val="nil"/>
              <w:bottom w:val="single" w:color="000000" w:sz="4" w:space="0"/>
              <w:right w:val="single" w:color="auto" w:sz="4" w:space="0"/>
            </w:tcBorders>
            <w:vAlign w:val="center"/>
          </w:tcPr>
          <w:p w14:paraId="2967D97F">
            <w:pPr>
              <w:spacing w:line="240" w:lineRule="auto"/>
              <w:ind w:firstLine="0" w:firstLineChars="0"/>
              <w:jc w:val="center"/>
              <w:rPr>
                <w:kern w:val="0"/>
                <w:sz w:val="24"/>
                <w:szCs w:val="24"/>
              </w:rPr>
            </w:pPr>
            <w:r>
              <w:rPr>
                <w:kern w:val="0"/>
                <w:sz w:val="24"/>
                <w:szCs w:val="24"/>
              </w:rPr>
              <w:t>m</w:t>
            </w:r>
          </w:p>
        </w:tc>
        <w:tc>
          <w:tcPr>
            <w:tcW w:w="1311" w:type="pct"/>
            <w:tcBorders>
              <w:top w:val="single" w:color="auto" w:sz="4" w:space="0"/>
              <w:left w:val="nil"/>
              <w:bottom w:val="single" w:color="000000" w:sz="4" w:space="0"/>
              <w:right w:val="single" w:color="auto" w:sz="4" w:space="0"/>
            </w:tcBorders>
            <w:vAlign w:val="center"/>
          </w:tcPr>
          <w:p w14:paraId="5366D39B">
            <w:pPr>
              <w:spacing w:line="240" w:lineRule="auto"/>
              <w:ind w:firstLine="0" w:firstLineChars="0"/>
              <w:jc w:val="center"/>
              <w:rPr>
                <w:kern w:val="0"/>
                <w:sz w:val="24"/>
                <w:szCs w:val="24"/>
              </w:rPr>
            </w:pPr>
          </w:p>
        </w:tc>
      </w:tr>
      <w:tr w14:paraId="2E35D9F2">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0FE2DAC8">
            <w:pPr>
              <w:spacing w:line="240" w:lineRule="auto"/>
              <w:ind w:firstLine="0" w:firstLineChars="0"/>
              <w:jc w:val="left"/>
              <w:rPr>
                <w:kern w:val="0"/>
                <w:sz w:val="24"/>
                <w:szCs w:val="24"/>
              </w:rPr>
            </w:pPr>
            <w:r>
              <w:rPr>
                <w:rFonts w:hint="eastAsia"/>
                <w:kern w:val="0"/>
                <w:sz w:val="24"/>
                <w:szCs w:val="24"/>
                <w:lang w:val="en-US" w:eastAsia="zh-CN"/>
              </w:rPr>
              <w:t>10</w:t>
            </w:r>
            <w:r>
              <w:rPr>
                <w:kern w:val="0"/>
                <w:sz w:val="24"/>
                <w:szCs w:val="24"/>
              </w:rPr>
              <w:t>、面岩溶率统计</w:t>
            </w:r>
          </w:p>
        </w:tc>
        <w:tc>
          <w:tcPr>
            <w:tcW w:w="793" w:type="pct"/>
            <w:tcBorders>
              <w:top w:val="single" w:color="auto" w:sz="4" w:space="0"/>
              <w:left w:val="single" w:color="auto" w:sz="4" w:space="0"/>
              <w:bottom w:val="single" w:color="000000" w:sz="4" w:space="0"/>
              <w:right w:val="single" w:color="000000" w:sz="4" w:space="0"/>
            </w:tcBorders>
            <w:vAlign w:val="center"/>
          </w:tcPr>
          <w:p w14:paraId="58E44654">
            <w:pPr>
              <w:spacing w:line="240" w:lineRule="auto"/>
              <w:ind w:firstLine="0" w:firstLineChars="0"/>
              <w:jc w:val="center"/>
              <w:rPr>
                <w:kern w:val="0"/>
                <w:sz w:val="24"/>
                <w:szCs w:val="24"/>
              </w:rPr>
            </w:pPr>
            <w:r>
              <w:rPr>
                <w:kern w:val="0"/>
                <w:sz w:val="24"/>
                <w:szCs w:val="24"/>
              </w:rPr>
              <w:t>500</w:t>
            </w:r>
          </w:p>
        </w:tc>
        <w:tc>
          <w:tcPr>
            <w:tcW w:w="540" w:type="pct"/>
            <w:tcBorders>
              <w:top w:val="single" w:color="auto" w:sz="4" w:space="0"/>
              <w:left w:val="nil"/>
              <w:bottom w:val="single" w:color="000000" w:sz="4" w:space="0"/>
              <w:right w:val="single" w:color="auto" w:sz="4" w:space="0"/>
            </w:tcBorders>
            <w:vAlign w:val="center"/>
          </w:tcPr>
          <w:p w14:paraId="23021F86">
            <w:pPr>
              <w:spacing w:line="240" w:lineRule="auto"/>
              <w:ind w:firstLine="0" w:firstLineChars="0"/>
              <w:jc w:val="center"/>
              <w:rPr>
                <w:kern w:val="0"/>
                <w:sz w:val="24"/>
                <w:szCs w:val="24"/>
              </w:rPr>
            </w:pPr>
            <w:r>
              <w:rPr>
                <w:kern w:val="0"/>
                <w:sz w:val="24"/>
                <w:szCs w:val="24"/>
              </w:rPr>
              <w:t>m</w:t>
            </w:r>
            <w:r>
              <w:rPr>
                <w:kern w:val="0"/>
                <w:sz w:val="24"/>
                <w:szCs w:val="24"/>
                <w:vertAlign w:val="superscript"/>
              </w:rPr>
              <w:t>2</w:t>
            </w:r>
          </w:p>
        </w:tc>
        <w:tc>
          <w:tcPr>
            <w:tcW w:w="1311" w:type="pct"/>
            <w:tcBorders>
              <w:top w:val="single" w:color="auto" w:sz="4" w:space="0"/>
              <w:left w:val="nil"/>
              <w:bottom w:val="single" w:color="000000" w:sz="4" w:space="0"/>
              <w:right w:val="single" w:color="auto" w:sz="4" w:space="0"/>
            </w:tcBorders>
            <w:vAlign w:val="center"/>
          </w:tcPr>
          <w:p w14:paraId="4DD933D6">
            <w:pPr>
              <w:spacing w:line="240" w:lineRule="auto"/>
              <w:ind w:firstLine="0" w:firstLineChars="0"/>
              <w:jc w:val="center"/>
              <w:rPr>
                <w:kern w:val="0"/>
                <w:sz w:val="24"/>
                <w:szCs w:val="24"/>
              </w:rPr>
            </w:pPr>
          </w:p>
        </w:tc>
      </w:tr>
      <w:tr w14:paraId="3D1B8E98">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4063DFF6">
            <w:pPr>
              <w:spacing w:line="240" w:lineRule="auto"/>
              <w:ind w:firstLine="0" w:firstLineChars="0"/>
              <w:jc w:val="left"/>
              <w:rPr>
                <w:kern w:val="0"/>
                <w:sz w:val="24"/>
                <w:szCs w:val="24"/>
              </w:rPr>
            </w:pPr>
            <w:r>
              <w:rPr>
                <w:kern w:val="0"/>
                <w:sz w:val="24"/>
                <w:szCs w:val="24"/>
              </w:rPr>
              <w:t>1</w:t>
            </w:r>
            <w:r>
              <w:rPr>
                <w:rFonts w:hint="eastAsia"/>
                <w:kern w:val="0"/>
                <w:sz w:val="24"/>
                <w:szCs w:val="24"/>
                <w:lang w:val="en-US" w:eastAsia="zh-CN"/>
              </w:rPr>
              <w:t>1</w:t>
            </w:r>
            <w:r>
              <w:rPr>
                <w:kern w:val="0"/>
                <w:sz w:val="24"/>
                <w:szCs w:val="24"/>
              </w:rPr>
              <w:t>、试坑渗透试验</w:t>
            </w:r>
          </w:p>
        </w:tc>
        <w:tc>
          <w:tcPr>
            <w:tcW w:w="793" w:type="pct"/>
            <w:tcBorders>
              <w:top w:val="single" w:color="auto" w:sz="4" w:space="0"/>
              <w:left w:val="single" w:color="auto" w:sz="4" w:space="0"/>
              <w:bottom w:val="single" w:color="000000" w:sz="4" w:space="0"/>
              <w:right w:val="single" w:color="000000" w:sz="4" w:space="0"/>
            </w:tcBorders>
            <w:vAlign w:val="center"/>
          </w:tcPr>
          <w:p w14:paraId="1B774D67">
            <w:pPr>
              <w:spacing w:line="240" w:lineRule="auto"/>
              <w:ind w:firstLine="0" w:firstLineChars="0"/>
              <w:jc w:val="center"/>
              <w:rPr>
                <w:kern w:val="0"/>
                <w:sz w:val="24"/>
                <w:szCs w:val="24"/>
              </w:rPr>
            </w:pPr>
            <w:r>
              <w:rPr>
                <w:kern w:val="0"/>
                <w:sz w:val="24"/>
                <w:szCs w:val="24"/>
              </w:rPr>
              <w:t>4</w:t>
            </w:r>
          </w:p>
        </w:tc>
        <w:tc>
          <w:tcPr>
            <w:tcW w:w="540" w:type="pct"/>
            <w:tcBorders>
              <w:top w:val="single" w:color="auto" w:sz="4" w:space="0"/>
              <w:left w:val="nil"/>
              <w:bottom w:val="single" w:color="000000" w:sz="4" w:space="0"/>
              <w:right w:val="single" w:color="auto" w:sz="4" w:space="0"/>
            </w:tcBorders>
            <w:vAlign w:val="center"/>
          </w:tcPr>
          <w:p w14:paraId="125C8CA9">
            <w:pPr>
              <w:spacing w:line="240" w:lineRule="auto"/>
              <w:ind w:firstLine="0" w:firstLineChars="0"/>
              <w:jc w:val="center"/>
              <w:rPr>
                <w:kern w:val="0"/>
                <w:sz w:val="24"/>
                <w:szCs w:val="24"/>
              </w:rPr>
            </w:pPr>
            <w:r>
              <w:rPr>
                <w:kern w:val="0"/>
                <w:sz w:val="24"/>
                <w:szCs w:val="24"/>
              </w:rPr>
              <w:t>点</w:t>
            </w:r>
          </w:p>
        </w:tc>
        <w:tc>
          <w:tcPr>
            <w:tcW w:w="1311" w:type="pct"/>
            <w:tcBorders>
              <w:top w:val="single" w:color="auto" w:sz="4" w:space="0"/>
              <w:left w:val="nil"/>
              <w:bottom w:val="single" w:color="000000" w:sz="4" w:space="0"/>
              <w:right w:val="single" w:color="auto" w:sz="4" w:space="0"/>
            </w:tcBorders>
            <w:vAlign w:val="center"/>
          </w:tcPr>
          <w:p w14:paraId="0EC58863">
            <w:pPr>
              <w:spacing w:line="240" w:lineRule="auto"/>
              <w:ind w:firstLine="0" w:firstLineChars="0"/>
              <w:jc w:val="center"/>
              <w:rPr>
                <w:kern w:val="0"/>
                <w:sz w:val="24"/>
                <w:szCs w:val="24"/>
              </w:rPr>
            </w:pPr>
          </w:p>
        </w:tc>
      </w:tr>
      <w:tr w14:paraId="02C7C67C">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59AD572D">
            <w:pPr>
              <w:spacing w:line="240" w:lineRule="auto"/>
              <w:ind w:firstLine="0" w:firstLineChars="0"/>
              <w:jc w:val="left"/>
              <w:rPr>
                <w:color w:val="0000FF"/>
                <w:kern w:val="0"/>
                <w:sz w:val="24"/>
                <w:szCs w:val="24"/>
              </w:rPr>
            </w:pPr>
            <w:r>
              <w:rPr>
                <w:color w:val="0000FF"/>
                <w:kern w:val="0"/>
                <w:sz w:val="24"/>
                <w:szCs w:val="24"/>
              </w:rPr>
              <w:t>1</w:t>
            </w:r>
            <w:r>
              <w:rPr>
                <w:rFonts w:hint="eastAsia"/>
                <w:color w:val="0000FF"/>
                <w:kern w:val="0"/>
                <w:sz w:val="24"/>
                <w:szCs w:val="24"/>
                <w:lang w:val="en-US" w:eastAsia="zh-CN"/>
              </w:rPr>
              <w:t>2</w:t>
            </w:r>
            <w:r>
              <w:rPr>
                <w:color w:val="0000FF"/>
                <w:kern w:val="0"/>
                <w:sz w:val="24"/>
                <w:szCs w:val="24"/>
              </w:rPr>
              <w:t>、钻孔抽水试验</w:t>
            </w:r>
          </w:p>
        </w:tc>
        <w:tc>
          <w:tcPr>
            <w:tcW w:w="793" w:type="pct"/>
            <w:tcBorders>
              <w:top w:val="single" w:color="auto" w:sz="4" w:space="0"/>
              <w:left w:val="single" w:color="auto" w:sz="4" w:space="0"/>
              <w:bottom w:val="single" w:color="000000" w:sz="4" w:space="0"/>
              <w:right w:val="single" w:color="000000" w:sz="4" w:space="0"/>
            </w:tcBorders>
            <w:vAlign w:val="center"/>
          </w:tcPr>
          <w:p w14:paraId="4E91D31F">
            <w:pPr>
              <w:spacing w:line="240" w:lineRule="auto"/>
              <w:ind w:firstLine="0" w:firstLineChars="0"/>
              <w:jc w:val="center"/>
              <w:rPr>
                <w:rFonts w:hint="default" w:eastAsia="仿宋"/>
                <w:color w:val="0000FF"/>
                <w:kern w:val="0"/>
                <w:sz w:val="24"/>
                <w:szCs w:val="24"/>
                <w:lang w:val="en-US" w:eastAsia="zh-CN"/>
              </w:rPr>
            </w:pPr>
            <w:r>
              <w:rPr>
                <w:rFonts w:hint="eastAsia"/>
                <w:color w:val="0000FF"/>
                <w:kern w:val="0"/>
                <w:sz w:val="24"/>
                <w:szCs w:val="24"/>
                <w:lang w:val="en-US" w:eastAsia="zh-CN"/>
              </w:rPr>
              <w:t>4/2</w:t>
            </w:r>
          </w:p>
        </w:tc>
        <w:tc>
          <w:tcPr>
            <w:tcW w:w="540" w:type="pct"/>
            <w:tcBorders>
              <w:top w:val="single" w:color="auto" w:sz="4" w:space="0"/>
              <w:left w:val="nil"/>
              <w:bottom w:val="single" w:color="000000" w:sz="4" w:space="0"/>
              <w:right w:val="single" w:color="auto" w:sz="4" w:space="0"/>
            </w:tcBorders>
            <w:vAlign w:val="center"/>
          </w:tcPr>
          <w:p w14:paraId="5A9AF62B">
            <w:pPr>
              <w:spacing w:line="240" w:lineRule="auto"/>
              <w:ind w:firstLine="0" w:firstLineChars="0"/>
              <w:jc w:val="center"/>
              <w:rPr>
                <w:color w:val="0000FF"/>
                <w:kern w:val="0"/>
                <w:sz w:val="24"/>
                <w:szCs w:val="24"/>
              </w:rPr>
            </w:pPr>
            <w:r>
              <w:rPr>
                <w:color w:val="0000FF"/>
                <w:kern w:val="0"/>
                <w:sz w:val="24"/>
                <w:szCs w:val="24"/>
              </w:rPr>
              <w:t>段/孔</w:t>
            </w:r>
          </w:p>
        </w:tc>
        <w:tc>
          <w:tcPr>
            <w:tcW w:w="1311" w:type="pct"/>
            <w:tcBorders>
              <w:top w:val="single" w:color="auto" w:sz="4" w:space="0"/>
              <w:left w:val="nil"/>
              <w:bottom w:val="single" w:color="000000" w:sz="4" w:space="0"/>
              <w:right w:val="single" w:color="auto" w:sz="4" w:space="0"/>
            </w:tcBorders>
            <w:vAlign w:val="center"/>
          </w:tcPr>
          <w:p w14:paraId="5686376E">
            <w:pPr>
              <w:spacing w:line="240" w:lineRule="auto"/>
              <w:ind w:firstLine="0" w:firstLineChars="0"/>
              <w:jc w:val="center"/>
              <w:rPr>
                <w:kern w:val="0"/>
                <w:sz w:val="24"/>
                <w:szCs w:val="24"/>
              </w:rPr>
            </w:pPr>
          </w:p>
        </w:tc>
      </w:tr>
      <w:tr w14:paraId="65A4F4AA">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7C1DECD1">
            <w:pPr>
              <w:spacing w:line="240" w:lineRule="auto"/>
              <w:ind w:firstLine="0" w:firstLineChars="0"/>
              <w:jc w:val="left"/>
              <w:rPr>
                <w:rFonts w:hint="default" w:eastAsia="仿宋"/>
                <w:color w:val="0000FF"/>
                <w:kern w:val="0"/>
                <w:sz w:val="24"/>
                <w:szCs w:val="24"/>
                <w:lang w:val="en-US" w:eastAsia="zh-CN"/>
              </w:rPr>
            </w:pPr>
            <w:r>
              <w:rPr>
                <w:rFonts w:hint="eastAsia"/>
                <w:color w:val="0000FF"/>
                <w:kern w:val="0"/>
                <w:sz w:val="24"/>
                <w:szCs w:val="24"/>
                <w:lang w:val="en-US" w:eastAsia="zh-CN"/>
              </w:rPr>
              <w:t>13、钻孔抽水试验</w:t>
            </w:r>
          </w:p>
        </w:tc>
        <w:tc>
          <w:tcPr>
            <w:tcW w:w="793" w:type="pct"/>
            <w:tcBorders>
              <w:top w:val="single" w:color="auto" w:sz="4" w:space="0"/>
              <w:left w:val="single" w:color="auto" w:sz="4" w:space="0"/>
              <w:bottom w:val="single" w:color="000000" w:sz="4" w:space="0"/>
              <w:right w:val="single" w:color="000000" w:sz="4" w:space="0"/>
            </w:tcBorders>
            <w:shd w:val="clear" w:color="auto" w:fill="auto"/>
            <w:vAlign w:val="center"/>
          </w:tcPr>
          <w:p w14:paraId="15D633D6">
            <w:pPr>
              <w:spacing w:line="240" w:lineRule="auto"/>
              <w:ind w:firstLine="0" w:firstLineChars="0"/>
              <w:jc w:val="center"/>
              <w:rPr>
                <w:rFonts w:hint="eastAsia" w:ascii="Times New Roman" w:hAnsi="Times New Roman" w:eastAsia="仿宋" w:cs="Times New Roman"/>
                <w:color w:val="0000FF"/>
                <w:kern w:val="0"/>
                <w:sz w:val="24"/>
                <w:szCs w:val="24"/>
                <w:lang w:val="en-US" w:eastAsia="zh-CN" w:bidi="ar-SA"/>
              </w:rPr>
            </w:pPr>
            <w:r>
              <w:rPr>
                <w:rFonts w:hint="eastAsia"/>
                <w:color w:val="0000FF"/>
                <w:kern w:val="0"/>
                <w:sz w:val="24"/>
                <w:szCs w:val="24"/>
                <w:lang w:val="en-US" w:eastAsia="zh-CN"/>
              </w:rPr>
              <w:t>4/2</w:t>
            </w:r>
          </w:p>
        </w:tc>
        <w:tc>
          <w:tcPr>
            <w:tcW w:w="540" w:type="pct"/>
            <w:tcBorders>
              <w:top w:val="single" w:color="auto" w:sz="4" w:space="0"/>
              <w:left w:val="nil"/>
              <w:bottom w:val="single" w:color="000000" w:sz="4" w:space="0"/>
              <w:right w:val="single" w:color="auto" w:sz="4" w:space="0"/>
            </w:tcBorders>
            <w:shd w:val="clear" w:color="auto" w:fill="auto"/>
            <w:vAlign w:val="center"/>
          </w:tcPr>
          <w:p w14:paraId="689C7E48">
            <w:pPr>
              <w:spacing w:line="240" w:lineRule="auto"/>
              <w:ind w:firstLine="0" w:firstLineChars="0"/>
              <w:jc w:val="center"/>
              <w:rPr>
                <w:rFonts w:ascii="Times New Roman" w:hAnsi="Times New Roman" w:eastAsia="仿宋" w:cs="Times New Roman"/>
                <w:color w:val="0000FF"/>
                <w:kern w:val="0"/>
                <w:sz w:val="24"/>
                <w:szCs w:val="24"/>
                <w:lang w:val="en-US" w:eastAsia="zh-CN" w:bidi="ar-SA"/>
              </w:rPr>
            </w:pPr>
            <w:r>
              <w:rPr>
                <w:color w:val="0000FF"/>
                <w:kern w:val="0"/>
                <w:sz w:val="24"/>
                <w:szCs w:val="24"/>
              </w:rPr>
              <w:t>段/孔</w:t>
            </w:r>
          </w:p>
        </w:tc>
        <w:tc>
          <w:tcPr>
            <w:tcW w:w="1311" w:type="pct"/>
            <w:tcBorders>
              <w:top w:val="single" w:color="auto" w:sz="4" w:space="0"/>
              <w:left w:val="nil"/>
              <w:bottom w:val="single" w:color="000000" w:sz="4" w:space="0"/>
              <w:right w:val="single" w:color="auto" w:sz="4" w:space="0"/>
            </w:tcBorders>
            <w:vAlign w:val="center"/>
          </w:tcPr>
          <w:p w14:paraId="0B5FFA18">
            <w:pPr>
              <w:spacing w:line="240" w:lineRule="auto"/>
              <w:ind w:firstLine="0" w:firstLineChars="0"/>
              <w:jc w:val="center"/>
              <w:rPr>
                <w:kern w:val="0"/>
                <w:sz w:val="24"/>
                <w:szCs w:val="24"/>
              </w:rPr>
            </w:pPr>
          </w:p>
        </w:tc>
      </w:tr>
      <w:tr w14:paraId="376CF8CC">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7047B6F8">
            <w:pPr>
              <w:spacing w:line="240" w:lineRule="auto"/>
              <w:ind w:firstLine="0" w:firstLineChars="0"/>
              <w:jc w:val="left"/>
              <w:rPr>
                <w:kern w:val="0"/>
                <w:sz w:val="24"/>
                <w:szCs w:val="24"/>
              </w:rPr>
            </w:pPr>
            <w:r>
              <w:rPr>
                <w:kern w:val="0"/>
                <w:sz w:val="24"/>
                <w:szCs w:val="24"/>
              </w:rPr>
              <w:t>1</w:t>
            </w:r>
            <w:r>
              <w:rPr>
                <w:rFonts w:hint="eastAsia"/>
                <w:kern w:val="0"/>
                <w:sz w:val="24"/>
                <w:szCs w:val="24"/>
                <w:lang w:val="en-US" w:eastAsia="zh-CN"/>
              </w:rPr>
              <w:t>3</w:t>
            </w:r>
            <w:r>
              <w:rPr>
                <w:kern w:val="0"/>
                <w:sz w:val="24"/>
                <w:szCs w:val="24"/>
              </w:rPr>
              <w:t>、气象资料收集</w:t>
            </w:r>
          </w:p>
        </w:tc>
        <w:tc>
          <w:tcPr>
            <w:tcW w:w="793" w:type="pct"/>
            <w:tcBorders>
              <w:top w:val="single" w:color="auto" w:sz="4" w:space="0"/>
              <w:left w:val="single" w:color="auto" w:sz="4" w:space="0"/>
              <w:bottom w:val="single" w:color="000000" w:sz="4" w:space="0"/>
              <w:right w:val="single" w:color="000000" w:sz="4" w:space="0"/>
            </w:tcBorders>
            <w:vAlign w:val="center"/>
          </w:tcPr>
          <w:p w14:paraId="3DF4DEB7">
            <w:pPr>
              <w:spacing w:line="240" w:lineRule="auto"/>
              <w:ind w:firstLine="0" w:firstLineChars="0"/>
              <w:jc w:val="center"/>
              <w:rPr>
                <w:kern w:val="0"/>
                <w:sz w:val="24"/>
                <w:szCs w:val="24"/>
              </w:rPr>
            </w:pPr>
            <w:r>
              <w:rPr>
                <w:kern w:val="0"/>
                <w:sz w:val="24"/>
                <w:szCs w:val="24"/>
              </w:rPr>
              <w:t>1</w:t>
            </w:r>
          </w:p>
        </w:tc>
        <w:tc>
          <w:tcPr>
            <w:tcW w:w="540" w:type="pct"/>
            <w:tcBorders>
              <w:top w:val="single" w:color="auto" w:sz="4" w:space="0"/>
              <w:left w:val="nil"/>
              <w:bottom w:val="single" w:color="000000" w:sz="4" w:space="0"/>
              <w:right w:val="single" w:color="auto" w:sz="4" w:space="0"/>
            </w:tcBorders>
            <w:vAlign w:val="center"/>
          </w:tcPr>
          <w:p w14:paraId="2E7964D7">
            <w:pPr>
              <w:spacing w:line="240" w:lineRule="auto"/>
              <w:ind w:firstLine="0" w:firstLineChars="0"/>
              <w:jc w:val="center"/>
              <w:rPr>
                <w:kern w:val="0"/>
                <w:sz w:val="24"/>
                <w:szCs w:val="24"/>
              </w:rPr>
            </w:pPr>
            <w:r>
              <w:rPr>
                <w:kern w:val="0"/>
                <w:sz w:val="24"/>
                <w:szCs w:val="24"/>
              </w:rPr>
              <w:t>份</w:t>
            </w:r>
          </w:p>
        </w:tc>
        <w:tc>
          <w:tcPr>
            <w:tcW w:w="1311" w:type="pct"/>
            <w:tcBorders>
              <w:top w:val="single" w:color="auto" w:sz="4" w:space="0"/>
              <w:left w:val="nil"/>
              <w:bottom w:val="single" w:color="000000" w:sz="4" w:space="0"/>
              <w:right w:val="single" w:color="auto" w:sz="4" w:space="0"/>
            </w:tcBorders>
            <w:vAlign w:val="center"/>
          </w:tcPr>
          <w:p w14:paraId="6A5DCC3D">
            <w:pPr>
              <w:spacing w:line="240" w:lineRule="auto"/>
              <w:ind w:firstLine="0" w:firstLineChars="0"/>
              <w:jc w:val="center"/>
              <w:rPr>
                <w:kern w:val="0"/>
                <w:sz w:val="24"/>
                <w:szCs w:val="24"/>
              </w:rPr>
            </w:pPr>
          </w:p>
        </w:tc>
      </w:tr>
      <w:tr w14:paraId="5DB2D54D">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0AD82AF0">
            <w:pPr>
              <w:spacing w:line="240" w:lineRule="auto"/>
              <w:ind w:firstLine="0" w:firstLineChars="0"/>
              <w:jc w:val="left"/>
              <w:rPr>
                <w:color w:val="0000FF"/>
                <w:kern w:val="0"/>
                <w:sz w:val="24"/>
                <w:szCs w:val="24"/>
                <w:highlight w:val="none"/>
              </w:rPr>
            </w:pPr>
            <w:r>
              <w:rPr>
                <w:color w:val="0000FF"/>
                <w:kern w:val="0"/>
                <w:sz w:val="24"/>
                <w:szCs w:val="24"/>
                <w:highlight w:val="none"/>
              </w:rPr>
              <w:t>1</w:t>
            </w:r>
            <w:r>
              <w:rPr>
                <w:rFonts w:hint="eastAsia"/>
                <w:color w:val="0000FF"/>
                <w:kern w:val="0"/>
                <w:sz w:val="24"/>
                <w:szCs w:val="24"/>
                <w:highlight w:val="none"/>
                <w:lang w:val="en-US" w:eastAsia="zh-CN"/>
              </w:rPr>
              <w:t>4</w:t>
            </w:r>
            <w:r>
              <w:rPr>
                <w:color w:val="0000FF"/>
                <w:kern w:val="0"/>
                <w:sz w:val="24"/>
                <w:szCs w:val="24"/>
                <w:highlight w:val="none"/>
              </w:rPr>
              <w:t>、视电阻率测井</w:t>
            </w:r>
            <w:r>
              <w:rPr>
                <w:rFonts w:hint="eastAsia"/>
                <w:color w:val="0000FF"/>
                <w:kern w:val="0"/>
                <w:sz w:val="24"/>
                <w:szCs w:val="24"/>
                <w:highlight w:val="none"/>
              </w:rPr>
              <w:t>/</w:t>
            </w:r>
            <w:r>
              <w:rPr>
                <w:color w:val="0000FF"/>
                <w:kern w:val="0"/>
                <w:sz w:val="24"/>
                <w:szCs w:val="24"/>
                <w:highlight w:val="none"/>
              </w:rPr>
              <w:t>声波测井</w:t>
            </w:r>
          </w:p>
        </w:tc>
        <w:tc>
          <w:tcPr>
            <w:tcW w:w="793" w:type="pct"/>
            <w:tcBorders>
              <w:top w:val="single" w:color="auto" w:sz="4" w:space="0"/>
              <w:left w:val="single" w:color="auto" w:sz="4" w:space="0"/>
              <w:bottom w:val="single" w:color="000000" w:sz="4" w:space="0"/>
              <w:right w:val="single" w:color="000000" w:sz="4" w:space="0"/>
            </w:tcBorders>
            <w:vAlign w:val="center"/>
          </w:tcPr>
          <w:p w14:paraId="612ECF27">
            <w:pPr>
              <w:spacing w:line="240" w:lineRule="auto"/>
              <w:ind w:firstLine="0" w:firstLineChars="0"/>
              <w:jc w:val="center"/>
              <w:rPr>
                <w:rFonts w:hint="default" w:eastAsia="仿宋"/>
                <w:color w:val="5335F7"/>
                <w:kern w:val="0"/>
                <w:sz w:val="24"/>
                <w:szCs w:val="24"/>
                <w:highlight w:val="none"/>
                <w:lang w:val="en-US" w:eastAsia="zh-CN"/>
              </w:rPr>
            </w:pPr>
            <w:r>
              <w:rPr>
                <w:rFonts w:hint="eastAsia"/>
                <w:color w:val="5335F7"/>
                <w:kern w:val="0"/>
                <w:sz w:val="24"/>
                <w:szCs w:val="24"/>
                <w:highlight w:val="none"/>
                <w:lang w:val="en-US" w:eastAsia="zh-CN"/>
              </w:rPr>
              <w:t>206</w:t>
            </w:r>
          </w:p>
        </w:tc>
        <w:tc>
          <w:tcPr>
            <w:tcW w:w="540" w:type="pct"/>
            <w:tcBorders>
              <w:top w:val="single" w:color="auto" w:sz="4" w:space="0"/>
              <w:left w:val="nil"/>
              <w:bottom w:val="single" w:color="000000" w:sz="4" w:space="0"/>
              <w:right w:val="single" w:color="auto" w:sz="4" w:space="0"/>
            </w:tcBorders>
            <w:vAlign w:val="center"/>
          </w:tcPr>
          <w:p w14:paraId="3537E96D">
            <w:pPr>
              <w:spacing w:line="240" w:lineRule="auto"/>
              <w:ind w:firstLine="0" w:firstLineChars="0"/>
              <w:jc w:val="center"/>
              <w:rPr>
                <w:color w:val="5335F7"/>
                <w:kern w:val="0"/>
                <w:sz w:val="24"/>
                <w:szCs w:val="24"/>
                <w:highlight w:val="none"/>
              </w:rPr>
            </w:pPr>
            <w:r>
              <w:rPr>
                <w:color w:val="5335F7"/>
                <w:kern w:val="0"/>
                <w:sz w:val="24"/>
                <w:szCs w:val="24"/>
                <w:highlight w:val="none"/>
              </w:rPr>
              <w:t>m</w:t>
            </w:r>
          </w:p>
        </w:tc>
        <w:tc>
          <w:tcPr>
            <w:tcW w:w="1311" w:type="pct"/>
            <w:tcBorders>
              <w:top w:val="single" w:color="auto" w:sz="4" w:space="0"/>
              <w:left w:val="nil"/>
              <w:bottom w:val="single" w:color="000000" w:sz="4" w:space="0"/>
              <w:right w:val="single" w:color="auto" w:sz="4" w:space="0"/>
            </w:tcBorders>
            <w:vAlign w:val="center"/>
          </w:tcPr>
          <w:p w14:paraId="4A11C548">
            <w:pPr>
              <w:spacing w:line="240" w:lineRule="auto"/>
              <w:ind w:firstLine="0" w:firstLineChars="0"/>
              <w:jc w:val="center"/>
              <w:rPr>
                <w:kern w:val="0"/>
                <w:sz w:val="24"/>
                <w:szCs w:val="24"/>
                <w:highlight w:val="yellow"/>
              </w:rPr>
            </w:pPr>
          </w:p>
        </w:tc>
      </w:tr>
      <w:tr w14:paraId="680C8054">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27DD9EB3">
            <w:pPr>
              <w:spacing w:line="240" w:lineRule="auto"/>
              <w:ind w:firstLine="0" w:firstLineChars="0"/>
              <w:jc w:val="left"/>
              <w:rPr>
                <w:color w:val="0000FF"/>
                <w:kern w:val="0"/>
                <w:sz w:val="24"/>
                <w:szCs w:val="24"/>
                <w:highlight w:val="none"/>
              </w:rPr>
            </w:pPr>
            <w:r>
              <w:rPr>
                <w:rFonts w:hint="eastAsia"/>
                <w:color w:val="0000FF"/>
                <w:kern w:val="0"/>
                <w:sz w:val="24"/>
                <w:szCs w:val="24"/>
                <w:highlight w:val="none"/>
                <w:lang w:val="en-US" w:eastAsia="zh-CN"/>
              </w:rPr>
              <w:t>15、</w:t>
            </w:r>
            <w:r>
              <w:rPr>
                <w:color w:val="0000FF"/>
                <w:kern w:val="0"/>
                <w:sz w:val="24"/>
                <w:szCs w:val="24"/>
                <w:highlight w:val="none"/>
              </w:rPr>
              <w:t>声波测井</w:t>
            </w:r>
          </w:p>
        </w:tc>
        <w:tc>
          <w:tcPr>
            <w:tcW w:w="793" w:type="pct"/>
            <w:tcBorders>
              <w:top w:val="single" w:color="auto" w:sz="4" w:space="0"/>
              <w:left w:val="single" w:color="auto" w:sz="4" w:space="0"/>
              <w:bottom w:val="single" w:color="000000" w:sz="4" w:space="0"/>
              <w:right w:val="single" w:color="000000" w:sz="4" w:space="0"/>
            </w:tcBorders>
            <w:vAlign w:val="center"/>
          </w:tcPr>
          <w:p w14:paraId="1DFEBE18">
            <w:pPr>
              <w:spacing w:line="240" w:lineRule="auto"/>
              <w:ind w:firstLine="0" w:firstLineChars="0"/>
              <w:jc w:val="center"/>
              <w:rPr>
                <w:rFonts w:hint="default" w:eastAsia="仿宋"/>
                <w:color w:val="5335F7"/>
                <w:kern w:val="0"/>
                <w:sz w:val="24"/>
                <w:szCs w:val="24"/>
                <w:highlight w:val="none"/>
                <w:lang w:val="en-US" w:eastAsia="zh-CN"/>
              </w:rPr>
            </w:pPr>
            <w:r>
              <w:rPr>
                <w:rFonts w:hint="eastAsia"/>
                <w:color w:val="5335F7"/>
                <w:kern w:val="0"/>
                <w:sz w:val="24"/>
                <w:szCs w:val="24"/>
                <w:highlight w:val="none"/>
                <w:lang w:val="en-US" w:eastAsia="zh-CN"/>
              </w:rPr>
              <w:t>206</w:t>
            </w:r>
          </w:p>
        </w:tc>
        <w:tc>
          <w:tcPr>
            <w:tcW w:w="540" w:type="pct"/>
            <w:tcBorders>
              <w:top w:val="single" w:color="auto" w:sz="4" w:space="0"/>
              <w:left w:val="nil"/>
              <w:bottom w:val="single" w:color="000000" w:sz="4" w:space="0"/>
              <w:right w:val="single" w:color="auto" w:sz="4" w:space="0"/>
            </w:tcBorders>
            <w:vAlign w:val="center"/>
          </w:tcPr>
          <w:p w14:paraId="0D34E85A">
            <w:pPr>
              <w:spacing w:line="240" w:lineRule="auto"/>
              <w:ind w:firstLine="0" w:firstLineChars="0"/>
              <w:jc w:val="center"/>
              <w:rPr>
                <w:rFonts w:hint="eastAsia" w:eastAsia="仿宋"/>
                <w:color w:val="5335F7"/>
                <w:kern w:val="0"/>
                <w:sz w:val="24"/>
                <w:szCs w:val="24"/>
                <w:highlight w:val="none"/>
                <w:lang w:val="en-US" w:eastAsia="zh-CN"/>
              </w:rPr>
            </w:pPr>
            <w:r>
              <w:rPr>
                <w:rFonts w:hint="eastAsia"/>
                <w:color w:val="5335F7"/>
                <w:kern w:val="0"/>
                <w:sz w:val="24"/>
                <w:szCs w:val="24"/>
                <w:highlight w:val="none"/>
                <w:lang w:val="en-US" w:eastAsia="zh-CN"/>
              </w:rPr>
              <w:t>m</w:t>
            </w:r>
          </w:p>
        </w:tc>
        <w:tc>
          <w:tcPr>
            <w:tcW w:w="1311" w:type="pct"/>
            <w:tcBorders>
              <w:top w:val="single" w:color="auto" w:sz="4" w:space="0"/>
              <w:left w:val="nil"/>
              <w:bottom w:val="single" w:color="000000" w:sz="4" w:space="0"/>
              <w:right w:val="single" w:color="auto" w:sz="4" w:space="0"/>
            </w:tcBorders>
            <w:vAlign w:val="center"/>
          </w:tcPr>
          <w:p w14:paraId="3D5CDA35">
            <w:pPr>
              <w:spacing w:line="240" w:lineRule="auto"/>
              <w:ind w:firstLine="0" w:firstLineChars="0"/>
              <w:jc w:val="center"/>
              <w:rPr>
                <w:kern w:val="0"/>
                <w:sz w:val="24"/>
                <w:szCs w:val="24"/>
                <w:highlight w:val="yellow"/>
              </w:rPr>
            </w:pPr>
          </w:p>
        </w:tc>
      </w:tr>
      <w:tr w14:paraId="2B77FBFC">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655349DF">
            <w:pPr>
              <w:spacing w:line="240" w:lineRule="auto"/>
              <w:ind w:firstLine="0" w:firstLineChars="0"/>
              <w:jc w:val="left"/>
              <w:rPr>
                <w:rFonts w:hint="default" w:eastAsia="仿宋"/>
                <w:color w:val="0000FF"/>
                <w:kern w:val="0"/>
                <w:sz w:val="24"/>
                <w:szCs w:val="24"/>
                <w:highlight w:val="none"/>
                <w:lang w:val="en-US" w:eastAsia="zh-CN"/>
              </w:rPr>
            </w:pPr>
            <w:r>
              <w:rPr>
                <w:rFonts w:hint="eastAsia"/>
                <w:color w:val="0000FF"/>
                <w:kern w:val="0"/>
                <w:sz w:val="24"/>
                <w:szCs w:val="24"/>
                <w:highlight w:val="none"/>
                <w:lang w:val="en-US" w:eastAsia="zh-CN"/>
              </w:rPr>
              <w:t>16、扩散法井液电阻率测井</w:t>
            </w:r>
          </w:p>
        </w:tc>
        <w:tc>
          <w:tcPr>
            <w:tcW w:w="793" w:type="pct"/>
            <w:tcBorders>
              <w:top w:val="single" w:color="auto" w:sz="4" w:space="0"/>
              <w:left w:val="single" w:color="auto" w:sz="4" w:space="0"/>
              <w:bottom w:val="single" w:color="000000" w:sz="4" w:space="0"/>
              <w:right w:val="single" w:color="000000" w:sz="4" w:space="0"/>
            </w:tcBorders>
            <w:vAlign w:val="center"/>
          </w:tcPr>
          <w:p w14:paraId="66CA2A70">
            <w:pPr>
              <w:spacing w:line="240" w:lineRule="auto"/>
              <w:ind w:firstLine="0" w:firstLineChars="0"/>
              <w:jc w:val="center"/>
              <w:rPr>
                <w:rFonts w:hint="default" w:eastAsia="仿宋"/>
                <w:color w:val="5335F7"/>
                <w:kern w:val="0"/>
                <w:sz w:val="24"/>
                <w:szCs w:val="24"/>
                <w:highlight w:val="none"/>
                <w:lang w:val="en-US" w:eastAsia="zh-CN"/>
              </w:rPr>
            </w:pPr>
            <w:r>
              <w:rPr>
                <w:rFonts w:hint="eastAsia"/>
                <w:color w:val="5335F7"/>
                <w:kern w:val="0"/>
                <w:sz w:val="24"/>
                <w:szCs w:val="24"/>
                <w:highlight w:val="none"/>
                <w:lang w:val="en-US" w:eastAsia="zh-CN"/>
              </w:rPr>
              <w:t>206</w:t>
            </w:r>
          </w:p>
        </w:tc>
        <w:tc>
          <w:tcPr>
            <w:tcW w:w="540" w:type="pct"/>
            <w:tcBorders>
              <w:top w:val="single" w:color="auto" w:sz="4" w:space="0"/>
              <w:left w:val="nil"/>
              <w:bottom w:val="single" w:color="000000" w:sz="4" w:space="0"/>
              <w:right w:val="single" w:color="auto" w:sz="4" w:space="0"/>
            </w:tcBorders>
            <w:vAlign w:val="center"/>
          </w:tcPr>
          <w:p w14:paraId="74AEB294">
            <w:pPr>
              <w:spacing w:line="240" w:lineRule="auto"/>
              <w:ind w:firstLine="0" w:firstLineChars="0"/>
              <w:jc w:val="center"/>
              <w:rPr>
                <w:rFonts w:hint="eastAsia" w:eastAsia="仿宋"/>
                <w:color w:val="5335F7"/>
                <w:kern w:val="0"/>
                <w:sz w:val="24"/>
                <w:szCs w:val="24"/>
                <w:highlight w:val="none"/>
                <w:lang w:val="en-US" w:eastAsia="zh-CN"/>
              </w:rPr>
            </w:pPr>
            <w:r>
              <w:rPr>
                <w:rFonts w:hint="eastAsia"/>
                <w:color w:val="5335F7"/>
                <w:kern w:val="0"/>
                <w:sz w:val="24"/>
                <w:szCs w:val="24"/>
                <w:highlight w:val="none"/>
                <w:lang w:val="en-US" w:eastAsia="zh-CN"/>
              </w:rPr>
              <w:t>m</w:t>
            </w:r>
          </w:p>
        </w:tc>
        <w:tc>
          <w:tcPr>
            <w:tcW w:w="1311" w:type="pct"/>
            <w:tcBorders>
              <w:top w:val="single" w:color="auto" w:sz="4" w:space="0"/>
              <w:left w:val="nil"/>
              <w:bottom w:val="single" w:color="000000" w:sz="4" w:space="0"/>
              <w:right w:val="single" w:color="auto" w:sz="4" w:space="0"/>
            </w:tcBorders>
            <w:vAlign w:val="center"/>
          </w:tcPr>
          <w:p w14:paraId="440DE3F1">
            <w:pPr>
              <w:spacing w:line="240" w:lineRule="auto"/>
              <w:ind w:firstLine="0" w:firstLineChars="0"/>
              <w:jc w:val="center"/>
              <w:rPr>
                <w:kern w:val="0"/>
                <w:sz w:val="24"/>
                <w:szCs w:val="24"/>
                <w:highlight w:val="yellow"/>
              </w:rPr>
            </w:pPr>
          </w:p>
        </w:tc>
      </w:tr>
      <w:tr w14:paraId="14121DAF">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6751FB86">
            <w:pPr>
              <w:spacing w:line="240" w:lineRule="auto"/>
              <w:ind w:firstLine="0" w:firstLineChars="0"/>
              <w:jc w:val="left"/>
              <w:rPr>
                <w:kern w:val="0"/>
                <w:sz w:val="24"/>
                <w:szCs w:val="24"/>
              </w:rPr>
            </w:pPr>
            <w:r>
              <w:rPr>
                <w:b/>
                <w:bCs/>
                <w:kern w:val="0"/>
                <w:sz w:val="24"/>
                <w:szCs w:val="24"/>
              </w:rPr>
              <w:t>六、取样、加工、分析、测试</w:t>
            </w:r>
          </w:p>
        </w:tc>
        <w:tc>
          <w:tcPr>
            <w:tcW w:w="793" w:type="pct"/>
            <w:tcBorders>
              <w:top w:val="single" w:color="auto" w:sz="4" w:space="0"/>
              <w:left w:val="single" w:color="auto" w:sz="4" w:space="0"/>
              <w:bottom w:val="single" w:color="000000" w:sz="4" w:space="0"/>
              <w:right w:val="single" w:color="000000" w:sz="4" w:space="0"/>
            </w:tcBorders>
            <w:vAlign w:val="center"/>
          </w:tcPr>
          <w:p w14:paraId="32AFC712">
            <w:pPr>
              <w:spacing w:line="240" w:lineRule="auto"/>
              <w:ind w:firstLine="0" w:firstLineChars="0"/>
              <w:jc w:val="center"/>
              <w:rPr>
                <w:kern w:val="0"/>
                <w:sz w:val="24"/>
                <w:szCs w:val="24"/>
              </w:rPr>
            </w:pPr>
          </w:p>
        </w:tc>
        <w:tc>
          <w:tcPr>
            <w:tcW w:w="540" w:type="pct"/>
            <w:tcBorders>
              <w:top w:val="single" w:color="auto" w:sz="4" w:space="0"/>
              <w:left w:val="nil"/>
              <w:bottom w:val="single" w:color="000000" w:sz="4" w:space="0"/>
              <w:right w:val="single" w:color="auto" w:sz="4" w:space="0"/>
            </w:tcBorders>
            <w:vAlign w:val="center"/>
          </w:tcPr>
          <w:p w14:paraId="588F8B7F">
            <w:pPr>
              <w:spacing w:line="240" w:lineRule="auto"/>
              <w:ind w:firstLine="0" w:firstLineChars="0"/>
              <w:jc w:val="center"/>
              <w:rPr>
                <w:kern w:val="0"/>
                <w:sz w:val="24"/>
                <w:szCs w:val="24"/>
              </w:rPr>
            </w:pPr>
          </w:p>
        </w:tc>
        <w:tc>
          <w:tcPr>
            <w:tcW w:w="1311" w:type="pct"/>
            <w:tcBorders>
              <w:top w:val="single" w:color="auto" w:sz="4" w:space="0"/>
              <w:left w:val="nil"/>
              <w:bottom w:val="single" w:color="000000" w:sz="4" w:space="0"/>
              <w:right w:val="single" w:color="auto" w:sz="4" w:space="0"/>
            </w:tcBorders>
            <w:vAlign w:val="center"/>
          </w:tcPr>
          <w:p w14:paraId="4AE00649">
            <w:pPr>
              <w:spacing w:line="240" w:lineRule="auto"/>
              <w:ind w:firstLine="0" w:firstLineChars="0"/>
              <w:jc w:val="center"/>
              <w:rPr>
                <w:kern w:val="0"/>
                <w:sz w:val="24"/>
                <w:szCs w:val="24"/>
              </w:rPr>
            </w:pPr>
          </w:p>
        </w:tc>
      </w:tr>
      <w:tr w14:paraId="15B199DB">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000000" w:sz="4" w:space="0"/>
              <w:right w:val="single" w:color="auto" w:sz="4" w:space="0"/>
            </w:tcBorders>
            <w:vAlign w:val="center"/>
          </w:tcPr>
          <w:p w14:paraId="50EA11A4">
            <w:pPr>
              <w:spacing w:line="240" w:lineRule="auto"/>
              <w:ind w:firstLine="0" w:firstLineChars="0"/>
              <w:jc w:val="left"/>
              <w:rPr>
                <w:kern w:val="0"/>
                <w:sz w:val="24"/>
                <w:szCs w:val="24"/>
              </w:rPr>
            </w:pPr>
            <w:r>
              <w:rPr>
                <w:kern w:val="0"/>
                <w:sz w:val="24"/>
                <w:szCs w:val="24"/>
              </w:rPr>
              <w:t>1、基本分析样加工、分析</w:t>
            </w:r>
          </w:p>
        </w:tc>
        <w:tc>
          <w:tcPr>
            <w:tcW w:w="793" w:type="pct"/>
            <w:tcBorders>
              <w:top w:val="single" w:color="auto" w:sz="4" w:space="0"/>
              <w:left w:val="single" w:color="auto" w:sz="4" w:space="0"/>
              <w:bottom w:val="single" w:color="000000" w:sz="4" w:space="0"/>
              <w:right w:val="single" w:color="000000" w:sz="4" w:space="0"/>
            </w:tcBorders>
            <w:vAlign w:val="center"/>
          </w:tcPr>
          <w:p w14:paraId="5B1276CA">
            <w:pPr>
              <w:spacing w:line="240" w:lineRule="auto"/>
              <w:ind w:firstLine="0" w:firstLineChars="0"/>
              <w:jc w:val="center"/>
              <w:rPr>
                <w:rFonts w:hint="default" w:eastAsia="仿宋"/>
                <w:kern w:val="0"/>
                <w:sz w:val="24"/>
                <w:szCs w:val="24"/>
                <w:lang w:val="en-US" w:eastAsia="zh-CN"/>
              </w:rPr>
            </w:pPr>
            <w:r>
              <w:rPr>
                <w:kern w:val="0"/>
                <w:sz w:val="24"/>
                <w:szCs w:val="24"/>
              </w:rPr>
              <w:t>1</w:t>
            </w:r>
            <w:r>
              <w:rPr>
                <w:rFonts w:hint="eastAsia"/>
                <w:kern w:val="0"/>
                <w:sz w:val="24"/>
                <w:szCs w:val="24"/>
                <w:lang w:val="en-US" w:eastAsia="zh-CN"/>
              </w:rPr>
              <w:t>390</w:t>
            </w:r>
          </w:p>
        </w:tc>
        <w:tc>
          <w:tcPr>
            <w:tcW w:w="540" w:type="pct"/>
            <w:tcBorders>
              <w:top w:val="single" w:color="auto" w:sz="4" w:space="0"/>
              <w:left w:val="nil"/>
              <w:bottom w:val="single" w:color="000000" w:sz="4" w:space="0"/>
              <w:right w:val="single" w:color="auto" w:sz="4" w:space="0"/>
            </w:tcBorders>
            <w:vAlign w:val="center"/>
          </w:tcPr>
          <w:p w14:paraId="723C0A9B">
            <w:pPr>
              <w:spacing w:line="240" w:lineRule="auto"/>
              <w:ind w:firstLine="0" w:firstLineChars="0"/>
              <w:jc w:val="center"/>
              <w:rPr>
                <w:kern w:val="0"/>
                <w:sz w:val="24"/>
                <w:szCs w:val="24"/>
              </w:rPr>
            </w:pPr>
            <w:r>
              <w:rPr>
                <w:kern w:val="0"/>
                <w:sz w:val="24"/>
                <w:szCs w:val="24"/>
              </w:rPr>
              <w:t>件</w:t>
            </w:r>
          </w:p>
        </w:tc>
        <w:tc>
          <w:tcPr>
            <w:tcW w:w="1311" w:type="pct"/>
            <w:tcBorders>
              <w:top w:val="single" w:color="auto" w:sz="4" w:space="0"/>
              <w:left w:val="nil"/>
              <w:bottom w:val="single" w:color="000000" w:sz="4" w:space="0"/>
              <w:right w:val="single" w:color="auto" w:sz="4" w:space="0"/>
            </w:tcBorders>
            <w:vAlign w:val="center"/>
          </w:tcPr>
          <w:p w14:paraId="5AB60FA1">
            <w:pPr>
              <w:spacing w:line="240" w:lineRule="auto"/>
              <w:ind w:firstLine="0" w:firstLineChars="0"/>
              <w:jc w:val="center"/>
              <w:rPr>
                <w:kern w:val="0"/>
                <w:sz w:val="24"/>
                <w:szCs w:val="24"/>
              </w:rPr>
            </w:pPr>
            <w:r>
              <w:rPr>
                <w:color w:val="0000FF"/>
                <w:kern w:val="0"/>
                <w:sz w:val="24"/>
                <w:szCs w:val="24"/>
              </w:rPr>
              <w:t>其中有20件为水泥配料基本分析样</w:t>
            </w:r>
          </w:p>
        </w:tc>
      </w:tr>
      <w:tr w14:paraId="0FEF14DB">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54209A0A">
            <w:pPr>
              <w:spacing w:line="240" w:lineRule="auto"/>
              <w:ind w:firstLine="0" w:firstLineChars="0"/>
              <w:jc w:val="left"/>
              <w:rPr>
                <w:kern w:val="0"/>
                <w:sz w:val="24"/>
                <w:szCs w:val="24"/>
              </w:rPr>
            </w:pPr>
            <w:r>
              <w:rPr>
                <w:kern w:val="0"/>
                <w:sz w:val="24"/>
                <w:szCs w:val="24"/>
              </w:rPr>
              <w:t>2、组合分析</w:t>
            </w:r>
          </w:p>
        </w:tc>
        <w:tc>
          <w:tcPr>
            <w:tcW w:w="793" w:type="pct"/>
            <w:tcBorders>
              <w:top w:val="single" w:color="auto" w:sz="4" w:space="0"/>
              <w:left w:val="single" w:color="auto" w:sz="4" w:space="0"/>
              <w:bottom w:val="single" w:color="auto" w:sz="4" w:space="0"/>
              <w:right w:val="single" w:color="000000" w:sz="4" w:space="0"/>
            </w:tcBorders>
            <w:vAlign w:val="center"/>
          </w:tcPr>
          <w:p w14:paraId="6DD2BDF7">
            <w:pPr>
              <w:spacing w:line="240" w:lineRule="auto"/>
              <w:ind w:firstLine="0" w:firstLineChars="0"/>
              <w:jc w:val="center"/>
              <w:rPr>
                <w:kern w:val="0"/>
                <w:sz w:val="24"/>
                <w:szCs w:val="24"/>
              </w:rPr>
            </w:pPr>
            <w:r>
              <w:rPr>
                <w:kern w:val="0"/>
                <w:sz w:val="24"/>
                <w:szCs w:val="24"/>
              </w:rPr>
              <w:t>50</w:t>
            </w:r>
          </w:p>
        </w:tc>
        <w:tc>
          <w:tcPr>
            <w:tcW w:w="540" w:type="pct"/>
            <w:tcBorders>
              <w:top w:val="single" w:color="auto" w:sz="4" w:space="0"/>
              <w:left w:val="nil"/>
              <w:bottom w:val="single" w:color="auto" w:sz="4" w:space="0"/>
              <w:right w:val="single" w:color="auto" w:sz="4" w:space="0"/>
            </w:tcBorders>
            <w:vAlign w:val="center"/>
          </w:tcPr>
          <w:p w14:paraId="261F89E8">
            <w:pPr>
              <w:spacing w:line="240" w:lineRule="auto"/>
              <w:ind w:firstLine="0" w:firstLineChars="0"/>
              <w:jc w:val="center"/>
              <w:rPr>
                <w:kern w:val="0"/>
                <w:sz w:val="24"/>
                <w:szCs w:val="24"/>
              </w:rPr>
            </w:pPr>
            <w:r>
              <w:rPr>
                <w:kern w:val="0"/>
                <w:sz w:val="24"/>
                <w:szCs w:val="24"/>
              </w:rPr>
              <w:t>件</w:t>
            </w:r>
          </w:p>
        </w:tc>
        <w:tc>
          <w:tcPr>
            <w:tcW w:w="1311" w:type="pct"/>
            <w:tcBorders>
              <w:top w:val="single" w:color="auto" w:sz="4" w:space="0"/>
              <w:left w:val="nil"/>
              <w:bottom w:val="single" w:color="auto" w:sz="4" w:space="0"/>
              <w:right w:val="single" w:color="auto" w:sz="4" w:space="0"/>
            </w:tcBorders>
            <w:vAlign w:val="center"/>
          </w:tcPr>
          <w:p w14:paraId="44D4D27E">
            <w:pPr>
              <w:spacing w:line="240" w:lineRule="auto"/>
              <w:ind w:firstLine="0" w:firstLineChars="0"/>
              <w:jc w:val="center"/>
              <w:rPr>
                <w:kern w:val="0"/>
                <w:sz w:val="24"/>
                <w:szCs w:val="24"/>
              </w:rPr>
            </w:pPr>
          </w:p>
        </w:tc>
      </w:tr>
      <w:tr w14:paraId="5B1D3865">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5C2E1259">
            <w:pPr>
              <w:spacing w:line="240" w:lineRule="auto"/>
              <w:ind w:firstLine="0" w:firstLineChars="0"/>
              <w:jc w:val="left"/>
              <w:rPr>
                <w:kern w:val="0"/>
                <w:sz w:val="24"/>
                <w:szCs w:val="24"/>
              </w:rPr>
            </w:pPr>
            <w:r>
              <w:rPr>
                <w:kern w:val="0"/>
                <w:sz w:val="24"/>
                <w:szCs w:val="24"/>
              </w:rPr>
              <w:t>3、化学全分析</w:t>
            </w:r>
          </w:p>
        </w:tc>
        <w:tc>
          <w:tcPr>
            <w:tcW w:w="793" w:type="pct"/>
            <w:tcBorders>
              <w:top w:val="single" w:color="auto" w:sz="4" w:space="0"/>
              <w:left w:val="single" w:color="auto" w:sz="4" w:space="0"/>
              <w:bottom w:val="single" w:color="auto" w:sz="4" w:space="0"/>
              <w:right w:val="single" w:color="000000" w:sz="4" w:space="0"/>
            </w:tcBorders>
            <w:vAlign w:val="center"/>
          </w:tcPr>
          <w:p w14:paraId="0A290AAF">
            <w:pPr>
              <w:spacing w:line="240" w:lineRule="auto"/>
              <w:ind w:firstLine="0" w:firstLineChars="0"/>
              <w:jc w:val="center"/>
              <w:rPr>
                <w:kern w:val="0"/>
                <w:sz w:val="24"/>
                <w:szCs w:val="24"/>
              </w:rPr>
            </w:pPr>
            <w:r>
              <w:rPr>
                <w:kern w:val="0"/>
                <w:sz w:val="24"/>
                <w:szCs w:val="24"/>
              </w:rPr>
              <w:t>10</w:t>
            </w:r>
          </w:p>
        </w:tc>
        <w:tc>
          <w:tcPr>
            <w:tcW w:w="540" w:type="pct"/>
            <w:tcBorders>
              <w:top w:val="single" w:color="auto" w:sz="4" w:space="0"/>
              <w:left w:val="nil"/>
              <w:bottom w:val="single" w:color="auto" w:sz="4" w:space="0"/>
              <w:right w:val="single" w:color="auto" w:sz="4" w:space="0"/>
            </w:tcBorders>
            <w:vAlign w:val="center"/>
          </w:tcPr>
          <w:p w14:paraId="005D4833">
            <w:pPr>
              <w:spacing w:line="240" w:lineRule="auto"/>
              <w:ind w:firstLine="0" w:firstLineChars="0"/>
              <w:jc w:val="center"/>
              <w:rPr>
                <w:kern w:val="0"/>
                <w:sz w:val="24"/>
                <w:szCs w:val="24"/>
              </w:rPr>
            </w:pPr>
            <w:r>
              <w:rPr>
                <w:kern w:val="0"/>
                <w:sz w:val="24"/>
                <w:szCs w:val="24"/>
              </w:rPr>
              <w:t>件</w:t>
            </w:r>
          </w:p>
        </w:tc>
        <w:tc>
          <w:tcPr>
            <w:tcW w:w="1311" w:type="pct"/>
            <w:tcBorders>
              <w:top w:val="single" w:color="auto" w:sz="4" w:space="0"/>
              <w:left w:val="nil"/>
              <w:bottom w:val="single" w:color="auto" w:sz="4" w:space="0"/>
              <w:right w:val="single" w:color="auto" w:sz="4" w:space="0"/>
            </w:tcBorders>
            <w:vAlign w:val="center"/>
          </w:tcPr>
          <w:p w14:paraId="74A6BD1A">
            <w:pPr>
              <w:spacing w:line="240" w:lineRule="auto"/>
              <w:ind w:firstLine="0" w:firstLineChars="0"/>
              <w:jc w:val="center"/>
              <w:rPr>
                <w:kern w:val="0"/>
                <w:sz w:val="24"/>
                <w:szCs w:val="24"/>
              </w:rPr>
            </w:pPr>
          </w:p>
        </w:tc>
      </w:tr>
      <w:tr w14:paraId="289EA124">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4E80C97C">
            <w:pPr>
              <w:spacing w:line="240" w:lineRule="auto"/>
              <w:ind w:firstLine="0" w:firstLineChars="0"/>
              <w:jc w:val="left"/>
              <w:rPr>
                <w:kern w:val="0"/>
                <w:sz w:val="24"/>
                <w:szCs w:val="24"/>
              </w:rPr>
            </w:pPr>
            <w:r>
              <w:rPr>
                <w:kern w:val="0"/>
                <w:sz w:val="24"/>
                <w:szCs w:val="24"/>
              </w:rPr>
              <w:t>4、内检</w:t>
            </w:r>
          </w:p>
        </w:tc>
        <w:tc>
          <w:tcPr>
            <w:tcW w:w="793" w:type="pct"/>
            <w:tcBorders>
              <w:top w:val="single" w:color="auto" w:sz="4" w:space="0"/>
              <w:left w:val="single" w:color="auto" w:sz="4" w:space="0"/>
              <w:bottom w:val="single" w:color="auto" w:sz="4" w:space="0"/>
              <w:right w:val="single" w:color="000000" w:sz="4" w:space="0"/>
            </w:tcBorders>
            <w:vAlign w:val="center"/>
          </w:tcPr>
          <w:p w14:paraId="56091CC8">
            <w:pPr>
              <w:spacing w:line="240" w:lineRule="auto"/>
              <w:ind w:firstLine="0" w:firstLineChars="0"/>
              <w:jc w:val="center"/>
              <w:rPr>
                <w:kern w:val="0"/>
                <w:sz w:val="24"/>
                <w:szCs w:val="24"/>
              </w:rPr>
            </w:pPr>
            <w:r>
              <w:rPr>
                <w:kern w:val="0"/>
                <w:sz w:val="24"/>
                <w:szCs w:val="24"/>
              </w:rPr>
              <w:t>160</w:t>
            </w:r>
          </w:p>
        </w:tc>
        <w:tc>
          <w:tcPr>
            <w:tcW w:w="540" w:type="pct"/>
            <w:tcBorders>
              <w:top w:val="single" w:color="auto" w:sz="4" w:space="0"/>
              <w:left w:val="nil"/>
              <w:bottom w:val="single" w:color="auto" w:sz="4" w:space="0"/>
              <w:right w:val="single" w:color="auto" w:sz="4" w:space="0"/>
            </w:tcBorders>
            <w:vAlign w:val="center"/>
          </w:tcPr>
          <w:p w14:paraId="39F474A2">
            <w:pPr>
              <w:spacing w:line="240" w:lineRule="auto"/>
              <w:ind w:firstLine="0" w:firstLineChars="0"/>
              <w:jc w:val="center"/>
              <w:rPr>
                <w:kern w:val="0"/>
                <w:sz w:val="24"/>
                <w:szCs w:val="24"/>
              </w:rPr>
            </w:pPr>
            <w:r>
              <w:rPr>
                <w:kern w:val="0"/>
                <w:sz w:val="24"/>
                <w:szCs w:val="24"/>
              </w:rPr>
              <w:t>件</w:t>
            </w:r>
          </w:p>
        </w:tc>
        <w:tc>
          <w:tcPr>
            <w:tcW w:w="1311" w:type="pct"/>
            <w:tcBorders>
              <w:top w:val="single" w:color="auto" w:sz="4" w:space="0"/>
              <w:left w:val="nil"/>
              <w:bottom w:val="single" w:color="auto" w:sz="4" w:space="0"/>
              <w:right w:val="single" w:color="auto" w:sz="4" w:space="0"/>
            </w:tcBorders>
            <w:vAlign w:val="center"/>
          </w:tcPr>
          <w:p w14:paraId="4D184B6D">
            <w:pPr>
              <w:spacing w:line="240" w:lineRule="auto"/>
              <w:ind w:firstLine="0" w:firstLineChars="0"/>
              <w:jc w:val="center"/>
              <w:rPr>
                <w:kern w:val="0"/>
                <w:sz w:val="24"/>
                <w:szCs w:val="24"/>
              </w:rPr>
            </w:pPr>
          </w:p>
        </w:tc>
      </w:tr>
      <w:tr w14:paraId="46B4F7D0">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5F182F57">
            <w:pPr>
              <w:spacing w:line="240" w:lineRule="auto"/>
              <w:ind w:firstLine="0" w:firstLineChars="0"/>
              <w:jc w:val="left"/>
              <w:rPr>
                <w:kern w:val="0"/>
                <w:sz w:val="24"/>
                <w:szCs w:val="24"/>
              </w:rPr>
            </w:pPr>
            <w:r>
              <w:rPr>
                <w:kern w:val="0"/>
                <w:sz w:val="24"/>
                <w:szCs w:val="24"/>
              </w:rPr>
              <w:t>5、外检</w:t>
            </w:r>
          </w:p>
        </w:tc>
        <w:tc>
          <w:tcPr>
            <w:tcW w:w="793" w:type="pct"/>
            <w:tcBorders>
              <w:top w:val="single" w:color="auto" w:sz="4" w:space="0"/>
              <w:left w:val="single" w:color="auto" w:sz="4" w:space="0"/>
              <w:bottom w:val="single" w:color="auto" w:sz="4" w:space="0"/>
              <w:right w:val="single" w:color="000000" w:sz="4" w:space="0"/>
            </w:tcBorders>
            <w:vAlign w:val="center"/>
          </w:tcPr>
          <w:p w14:paraId="0BE9AF62">
            <w:pPr>
              <w:spacing w:line="240" w:lineRule="auto"/>
              <w:ind w:firstLine="0" w:firstLineChars="0"/>
              <w:jc w:val="center"/>
              <w:rPr>
                <w:kern w:val="0"/>
                <w:sz w:val="24"/>
                <w:szCs w:val="24"/>
              </w:rPr>
            </w:pPr>
            <w:r>
              <w:rPr>
                <w:kern w:val="0"/>
                <w:sz w:val="24"/>
                <w:szCs w:val="24"/>
              </w:rPr>
              <w:t>80</w:t>
            </w:r>
          </w:p>
        </w:tc>
        <w:tc>
          <w:tcPr>
            <w:tcW w:w="540" w:type="pct"/>
            <w:tcBorders>
              <w:top w:val="single" w:color="auto" w:sz="4" w:space="0"/>
              <w:left w:val="nil"/>
              <w:bottom w:val="single" w:color="auto" w:sz="4" w:space="0"/>
              <w:right w:val="single" w:color="auto" w:sz="4" w:space="0"/>
            </w:tcBorders>
            <w:vAlign w:val="center"/>
          </w:tcPr>
          <w:p w14:paraId="389F2F96">
            <w:pPr>
              <w:spacing w:line="240" w:lineRule="auto"/>
              <w:ind w:firstLine="0" w:firstLineChars="0"/>
              <w:jc w:val="center"/>
              <w:rPr>
                <w:kern w:val="0"/>
                <w:sz w:val="24"/>
                <w:szCs w:val="24"/>
              </w:rPr>
            </w:pPr>
            <w:r>
              <w:rPr>
                <w:kern w:val="0"/>
                <w:sz w:val="24"/>
                <w:szCs w:val="24"/>
              </w:rPr>
              <w:t>件</w:t>
            </w:r>
          </w:p>
        </w:tc>
        <w:tc>
          <w:tcPr>
            <w:tcW w:w="1311" w:type="pct"/>
            <w:tcBorders>
              <w:top w:val="single" w:color="auto" w:sz="4" w:space="0"/>
              <w:left w:val="nil"/>
              <w:bottom w:val="single" w:color="auto" w:sz="4" w:space="0"/>
              <w:right w:val="single" w:color="auto" w:sz="4" w:space="0"/>
            </w:tcBorders>
            <w:vAlign w:val="center"/>
          </w:tcPr>
          <w:p w14:paraId="5AB35FC6">
            <w:pPr>
              <w:spacing w:line="240" w:lineRule="auto"/>
              <w:ind w:firstLine="0" w:firstLineChars="0"/>
              <w:jc w:val="center"/>
              <w:rPr>
                <w:kern w:val="0"/>
                <w:sz w:val="24"/>
                <w:szCs w:val="24"/>
              </w:rPr>
            </w:pPr>
          </w:p>
        </w:tc>
      </w:tr>
      <w:tr w14:paraId="429AFF4E">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55876268">
            <w:pPr>
              <w:spacing w:line="240" w:lineRule="auto"/>
              <w:ind w:firstLine="0" w:firstLineChars="0"/>
              <w:jc w:val="left"/>
              <w:rPr>
                <w:kern w:val="0"/>
                <w:sz w:val="24"/>
                <w:szCs w:val="24"/>
              </w:rPr>
            </w:pPr>
            <w:r>
              <w:rPr>
                <w:kern w:val="0"/>
                <w:sz w:val="24"/>
                <w:szCs w:val="24"/>
              </w:rPr>
              <w:t>6、覆盖层、岩溶充填物化学分析</w:t>
            </w:r>
          </w:p>
        </w:tc>
        <w:tc>
          <w:tcPr>
            <w:tcW w:w="793" w:type="pct"/>
            <w:tcBorders>
              <w:top w:val="single" w:color="auto" w:sz="4" w:space="0"/>
              <w:left w:val="single" w:color="auto" w:sz="4" w:space="0"/>
              <w:bottom w:val="single" w:color="auto" w:sz="4" w:space="0"/>
              <w:right w:val="single" w:color="000000" w:sz="4" w:space="0"/>
            </w:tcBorders>
            <w:vAlign w:val="center"/>
          </w:tcPr>
          <w:p w14:paraId="31DA5994">
            <w:pPr>
              <w:spacing w:line="240" w:lineRule="auto"/>
              <w:ind w:firstLine="0" w:firstLineChars="0"/>
              <w:jc w:val="center"/>
              <w:rPr>
                <w:kern w:val="0"/>
                <w:sz w:val="24"/>
                <w:szCs w:val="24"/>
              </w:rPr>
            </w:pPr>
            <w:r>
              <w:rPr>
                <w:kern w:val="0"/>
                <w:sz w:val="24"/>
                <w:szCs w:val="24"/>
              </w:rPr>
              <w:t>10</w:t>
            </w:r>
          </w:p>
        </w:tc>
        <w:tc>
          <w:tcPr>
            <w:tcW w:w="540" w:type="pct"/>
            <w:tcBorders>
              <w:top w:val="single" w:color="auto" w:sz="4" w:space="0"/>
              <w:left w:val="nil"/>
              <w:bottom w:val="single" w:color="auto" w:sz="4" w:space="0"/>
              <w:right w:val="single" w:color="auto" w:sz="4" w:space="0"/>
            </w:tcBorders>
            <w:vAlign w:val="center"/>
          </w:tcPr>
          <w:p w14:paraId="383572BD">
            <w:pPr>
              <w:spacing w:line="240" w:lineRule="auto"/>
              <w:ind w:firstLine="0" w:firstLineChars="0"/>
              <w:jc w:val="center"/>
              <w:rPr>
                <w:kern w:val="0"/>
                <w:sz w:val="24"/>
                <w:szCs w:val="24"/>
              </w:rPr>
            </w:pPr>
            <w:r>
              <w:rPr>
                <w:kern w:val="0"/>
                <w:sz w:val="24"/>
                <w:szCs w:val="24"/>
              </w:rPr>
              <w:t>件</w:t>
            </w:r>
          </w:p>
        </w:tc>
        <w:tc>
          <w:tcPr>
            <w:tcW w:w="1311" w:type="pct"/>
            <w:tcBorders>
              <w:top w:val="single" w:color="auto" w:sz="4" w:space="0"/>
              <w:left w:val="nil"/>
              <w:bottom w:val="single" w:color="auto" w:sz="4" w:space="0"/>
              <w:right w:val="single" w:color="auto" w:sz="4" w:space="0"/>
            </w:tcBorders>
            <w:vAlign w:val="center"/>
          </w:tcPr>
          <w:p w14:paraId="7E81C6B6">
            <w:pPr>
              <w:spacing w:line="240" w:lineRule="auto"/>
              <w:ind w:firstLine="0" w:firstLineChars="0"/>
              <w:jc w:val="center"/>
              <w:rPr>
                <w:kern w:val="0"/>
                <w:sz w:val="24"/>
                <w:szCs w:val="24"/>
              </w:rPr>
            </w:pPr>
          </w:p>
        </w:tc>
      </w:tr>
      <w:tr w14:paraId="24D4C910">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424A7581">
            <w:pPr>
              <w:spacing w:line="240" w:lineRule="auto"/>
              <w:ind w:firstLine="0" w:firstLineChars="0"/>
              <w:jc w:val="left"/>
              <w:rPr>
                <w:kern w:val="0"/>
                <w:sz w:val="24"/>
                <w:szCs w:val="24"/>
              </w:rPr>
            </w:pPr>
            <w:r>
              <w:rPr>
                <w:kern w:val="0"/>
                <w:sz w:val="24"/>
                <w:szCs w:val="24"/>
              </w:rPr>
              <w:t>7、岩矿鉴定及测试</w:t>
            </w:r>
          </w:p>
        </w:tc>
        <w:tc>
          <w:tcPr>
            <w:tcW w:w="793" w:type="pct"/>
            <w:tcBorders>
              <w:top w:val="single" w:color="auto" w:sz="4" w:space="0"/>
              <w:left w:val="single" w:color="auto" w:sz="4" w:space="0"/>
              <w:bottom w:val="single" w:color="auto" w:sz="4" w:space="0"/>
              <w:right w:val="single" w:color="000000" w:sz="4" w:space="0"/>
            </w:tcBorders>
            <w:vAlign w:val="center"/>
          </w:tcPr>
          <w:p w14:paraId="387443E5">
            <w:pPr>
              <w:spacing w:line="240" w:lineRule="auto"/>
              <w:ind w:firstLine="0" w:firstLineChars="0"/>
              <w:jc w:val="center"/>
              <w:rPr>
                <w:kern w:val="0"/>
                <w:sz w:val="24"/>
                <w:szCs w:val="24"/>
              </w:rPr>
            </w:pPr>
            <w:r>
              <w:rPr>
                <w:kern w:val="0"/>
                <w:sz w:val="24"/>
                <w:szCs w:val="24"/>
              </w:rPr>
              <w:t>10</w:t>
            </w:r>
          </w:p>
        </w:tc>
        <w:tc>
          <w:tcPr>
            <w:tcW w:w="540" w:type="pct"/>
            <w:tcBorders>
              <w:top w:val="single" w:color="auto" w:sz="4" w:space="0"/>
              <w:left w:val="nil"/>
              <w:bottom w:val="single" w:color="auto" w:sz="4" w:space="0"/>
              <w:right w:val="single" w:color="auto" w:sz="4" w:space="0"/>
            </w:tcBorders>
            <w:vAlign w:val="center"/>
          </w:tcPr>
          <w:p w14:paraId="282D79B3">
            <w:pPr>
              <w:spacing w:line="240" w:lineRule="auto"/>
              <w:ind w:firstLine="0" w:firstLineChars="0"/>
              <w:jc w:val="center"/>
              <w:rPr>
                <w:kern w:val="0"/>
                <w:sz w:val="24"/>
                <w:szCs w:val="24"/>
              </w:rPr>
            </w:pPr>
            <w:r>
              <w:rPr>
                <w:kern w:val="0"/>
                <w:sz w:val="24"/>
                <w:szCs w:val="24"/>
              </w:rPr>
              <w:t>件</w:t>
            </w:r>
          </w:p>
        </w:tc>
        <w:tc>
          <w:tcPr>
            <w:tcW w:w="1311" w:type="pct"/>
            <w:tcBorders>
              <w:top w:val="single" w:color="auto" w:sz="4" w:space="0"/>
              <w:left w:val="nil"/>
              <w:bottom w:val="single" w:color="auto" w:sz="4" w:space="0"/>
              <w:right w:val="single" w:color="auto" w:sz="4" w:space="0"/>
            </w:tcBorders>
            <w:vAlign w:val="center"/>
          </w:tcPr>
          <w:p w14:paraId="32AAEAA5">
            <w:pPr>
              <w:spacing w:line="240" w:lineRule="auto"/>
              <w:ind w:firstLine="0" w:firstLineChars="0"/>
              <w:jc w:val="center"/>
              <w:rPr>
                <w:kern w:val="0"/>
                <w:sz w:val="24"/>
                <w:szCs w:val="24"/>
              </w:rPr>
            </w:pPr>
          </w:p>
        </w:tc>
      </w:tr>
      <w:tr w14:paraId="0B47217C">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7CB3A132">
            <w:pPr>
              <w:spacing w:line="240" w:lineRule="auto"/>
              <w:ind w:firstLine="0" w:firstLineChars="0"/>
              <w:jc w:val="center"/>
              <w:rPr>
                <w:color w:val="auto"/>
                <w:kern w:val="0"/>
                <w:sz w:val="24"/>
                <w:szCs w:val="24"/>
              </w:rPr>
            </w:pPr>
            <w:r>
              <w:rPr>
                <w:color w:val="auto"/>
                <w:kern w:val="0"/>
                <w:sz w:val="24"/>
                <w:szCs w:val="24"/>
              </w:rPr>
              <w:t>8、小体重、湿度(采集、加工、测试)</w:t>
            </w:r>
          </w:p>
        </w:tc>
        <w:tc>
          <w:tcPr>
            <w:tcW w:w="793" w:type="pct"/>
            <w:tcBorders>
              <w:top w:val="single" w:color="auto" w:sz="4" w:space="0"/>
              <w:left w:val="single" w:color="auto" w:sz="4" w:space="0"/>
              <w:bottom w:val="single" w:color="auto" w:sz="4" w:space="0"/>
              <w:right w:val="single" w:color="000000" w:sz="4" w:space="0"/>
            </w:tcBorders>
            <w:vAlign w:val="center"/>
          </w:tcPr>
          <w:p w14:paraId="1F00231B">
            <w:pPr>
              <w:spacing w:line="240" w:lineRule="auto"/>
              <w:ind w:firstLine="0" w:firstLineChars="0"/>
              <w:jc w:val="center"/>
              <w:rPr>
                <w:color w:val="auto"/>
                <w:kern w:val="0"/>
                <w:sz w:val="24"/>
                <w:szCs w:val="24"/>
              </w:rPr>
            </w:pPr>
            <w:r>
              <w:rPr>
                <w:color w:val="auto"/>
                <w:kern w:val="0"/>
                <w:sz w:val="24"/>
                <w:szCs w:val="24"/>
              </w:rPr>
              <w:t>50</w:t>
            </w:r>
          </w:p>
        </w:tc>
        <w:tc>
          <w:tcPr>
            <w:tcW w:w="540" w:type="pct"/>
            <w:tcBorders>
              <w:top w:val="single" w:color="auto" w:sz="4" w:space="0"/>
              <w:left w:val="nil"/>
              <w:bottom w:val="single" w:color="auto" w:sz="4" w:space="0"/>
              <w:right w:val="single" w:color="auto" w:sz="4" w:space="0"/>
            </w:tcBorders>
            <w:vAlign w:val="center"/>
          </w:tcPr>
          <w:p w14:paraId="5204CBCB">
            <w:pPr>
              <w:spacing w:line="240" w:lineRule="auto"/>
              <w:ind w:firstLine="0" w:firstLineChars="0"/>
              <w:jc w:val="center"/>
              <w:rPr>
                <w:color w:val="auto"/>
                <w:kern w:val="0"/>
                <w:sz w:val="24"/>
                <w:szCs w:val="24"/>
              </w:rPr>
            </w:pPr>
            <w:r>
              <w:rPr>
                <w:color w:val="auto"/>
                <w:kern w:val="0"/>
                <w:sz w:val="24"/>
                <w:szCs w:val="24"/>
              </w:rPr>
              <w:t>件</w:t>
            </w:r>
          </w:p>
        </w:tc>
        <w:tc>
          <w:tcPr>
            <w:tcW w:w="1311" w:type="pct"/>
            <w:tcBorders>
              <w:top w:val="single" w:color="auto" w:sz="4" w:space="0"/>
              <w:left w:val="nil"/>
              <w:bottom w:val="single" w:color="auto" w:sz="4" w:space="0"/>
              <w:right w:val="single" w:color="auto" w:sz="4" w:space="0"/>
            </w:tcBorders>
            <w:vAlign w:val="center"/>
          </w:tcPr>
          <w:p w14:paraId="4CBC26AD">
            <w:pPr>
              <w:spacing w:line="240" w:lineRule="auto"/>
              <w:ind w:firstLine="0" w:firstLineChars="0"/>
              <w:jc w:val="center"/>
              <w:rPr>
                <w:color w:val="auto"/>
                <w:kern w:val="0"/>
                <w:sz w:val="24"/>
                <w:szCs w:val="24"/>
              </w:rPr>
            </w:pPr>
          </w:p>
        </w:tc>
      </w:tr>
      <w:tr w14:paraId="1F71D9D0">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593D431A">
            <w:pPr>
              <w:spacing w:line="240" w:lineRule="auto"/>
              <w:ind w:firstLine="0" w:firstLineChars="0"/>
              <w:jc w:val="both"/>
              <w:rPr>
                <w:color w:val="0000FF"/>
                <w:kern w:val="0"/>
                <w:sz w:val="24"/>
                <w:szCs w:val="24"/>
              </w:rPr>
            </w:pPr>
            <w:r>
              <w:rPr>
                <w:rFonts w:hint="eastAsia"/>
                <w:color w:val="0000FF"/>
                <w:kern w:val="0"/>
                <w:sz w:val="24"/>
                <w:szCs w:val="24"/>
                <w:lang w:val="en-US" w:eastAsia="zh-CN"/>
              </w:rPr>
              <w:t>9</w:t>
            </w:r>
            <w:r>
              <w:rPr>
                <w:color w:val="0000FF"/>
                <w:kern w:val="0"/>
                <w:sz w:val="24"/>
                <w:szCs w:val="24"/>
              </w:rPr>
              <w:t>、</w:t>
            </w:r>
            <w:r>
              <w:rPr>
                <w:rFonts w:hint="eastAsia"/>
                <w:color w:val="0000FF"/>
                <w:kern w:val="0"/>
                <w:sz w:val="24"/>
                <w:szCs w:val="24"/>
                <w:lang w:val="en-US" w:eastAsia="zh-CN"/>
              </w:rPr>
              <w:t>岩石力学性质实验样</w:t>
            </w:r>
          </w:p>
        </w:tc>
        <w:tc>
          <w:tcPr>
            <w:tcW w:w="793" w:type="pct"/>
            <w:tcBorders>
              <w:top w:val="single" w:color="auto" w:sz="4" w:space="0"/>
              <w:left w:val="single" w:color="auto" w:sz="4" w:space="0"/>
              <w:bottom w:val="single" w:color="auto" w:sz="4" w:space="0"/>
              <w:right w:val="single" w:color="000000" w:sz="4" w:space="0"/>
            </w:tcBorders>
            <w:shd w:val="clear" w:color="auto" w:fill="auto"/>
            <w:vAlign w:val="center"/>
          </w:tcPr>
          <w:p w14:paraId="21F86174">
            <w:pPr>
              <w:spacing w:line="240" w:lineRule="auto"/>
              <w:ind w:firstLine="0" w:firstLineChars="0"/>
              <w:jc w:val="center"/>
              <w:rPr>
                <w:rFonts w:hint="default"/>
                <w:color w:val="0000FF"/>
                <w:kern w:val="0"/>
                <w:sz w:val="24"/>
                <w:szCs w:val="24"/>
                <w:lang w:val="en-US" w:eastAsia="zh-CN"/>
              </w:rPr>
            </w:pPr>
            <w:r>
              <w:rPr>
                <w:rFonts w:hint="eastAsia"/>
                <w:color w:val="0000FF"/>
                <w:kern w:val="0"/>
                <w:sz w:val="24"/>
                <w:szCs w:val="24"/>
                <w:lang w:val="en-US" w:eastAsia="zh-CN"/>
              </w:rPr>
              <w:t>126/7</w:t>
            </w:r>
          </w:p>
        </w:tc>
        <w:tc>
          <w:tcPr>
            <w:tcW w:w="540" w:type="pct"/>
            <w:tcBorders>
              <w:top w:val="single" w:color="auto" w:sz="4" w:space="0"/>
              <w:left w:val="nil"/>
              <w:bottom w:val="single" w:color="auto" w:sz="4" w:space="0"/>
              <w:right w:val="single" w:color="auto" w:sz="4" w:space="0"/>
            </w:tcBorders>
            <w:shd w:val="clear" w:color="auto" w:fill="auto"/>
            <w:vAlign w:val="center"/>
          </w:tcPr>
          <w:p w14:paraId="4E00D064">
            <w:pPr>
              <w:spacing w:line="240" w:lineRule="auto"/>
              <w:ind w:firstLine="0" w:firstLineChars="0"/>
              <w:jc w:val="center"/>
              <w:rPr>
                <w:rFonts w:hint="default"/>
                <w:color w:val="0000FF"/>
                <w:kern w:val="0"/>
                <w:sz w:val="24"/>
                <w:szCs w:val="24"/>
                <w:lang w:val="en-US" w:eastAsia="zh-CN"/>
              </w:rPr>
            </w:pPr>
            <w:r>
              <w:rPr>
                <w:rFonts w:hint="eastAsia"/>
                <w:color w:val="0000FF"/>
                <w:kern w:val="0"/>
                <w:sz w:val="24"/>
                <w:szCs w:val="24"/>
                <w:lang w:val="en-US" w:eastAsia="zh-CN"/>
              </w:rPr>
              <w:t>块/组</w:t>
            </w:r>
          </w:p>
        </w:tc>
        <w:tc>
          <w:tcPr>
            <w:tcW w:w="1311" w:type="pct"/>
            <w:tcBorders>
              <w:top w:val="single" w:color="auto" w:sz="4" w:space="0"/>
              <w:left w:val="nil"/>
              <w:bottom w:val="single" w:color="auto" w:sz="4" w:space="0"/>
              <w:right w:val="single" w:color="auto" w:sz="4" w:space="0"/>
            </w:tcBorders>
            <w:shd w:val="clear" w:color="auto" w:fill="auto"/>
            <w:vAlign w:val="center"/>
          </w:tcPr>
          <w:p w14:paraId="042394C6">
            <w:pPr>
              <w:spacing w:line="240" w:lineRule="auto"/>
              <w:ind w:firstLine="0" w:firstLineChars="0"/>
              <w:jc w:val="center"/>
              <w:rPr>
                <w:rFonts w:hint="default"/>
                <w:color w:val="0000FF"/>
                <w:kern w:val="0"/>
                <w:sz w:val="24"/>
                <w:szCs w:val="24"/>
                <w:lang w:val="en-US" w:eastAsia="zh-CN"/>
              </w:rPr>
            </w:pPr>
            <w:r>
              <w:rPr>
                <w:rFonts w:hint="eastAsia"/>
                <w:color w:val="0000FF"/>
                <w:kern w:val="0"/>
                <w:sz w:val="24"/>
                <w:szCs w:val="24"/>
                <w:lang w:val="en-US" w:eastAsia="zh-CN"/>
              </w:rPr>
              <w:t>抗剪（干、湿）、抗压（干、湿）、渗透系数、天然容重</w:t>
            </w:r>
          </w:p>
        </w:tc>
      </w:tr>
      <w:tr w14:paraId="2074E922">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09133F23">
            <w:pPr>
              <w:spacing w:line="240" w:lineRule="auto"/>
              <w:ind w:firstLine="0" w:firstLineChars="0"/>
              <w:jc w:val="left"/>
              <w:rPr>
                <w:rFonts w:hint="eastAsia" w:eastAsia="仿宋"/>
                <w:kern w:val="0"/>
                <w:sz w:val="24"/>
                <w:szCs w:val="24"/>
                <w:lang w:val="en-US" w:eastAsia="zh-CN"/>
              </w:rPr>
            </w:pPr>
            <w:r>
              <w:rPr>
                <w:kern w:val="0"/>
                <w:sz w:val="24"/>
                <w:szCs w:val="24"/>
              </w:rPr>
              <w:t>1</w:t>
            </w:r>
            <w:r>
              <w:rPr>
                <w:rFonts w:hint="eastAsia"/>
                <w:kern w:val="0"/>
                <w:sz w:val="24"/>
                <w:szCs w:val="24"/>
                <w:lang w:val="en-US" w:eastAsia="zh-CN"/>
              </w:rPr>
              <w:t>0</w:t>
            </w:r>
            <w:r>
              <w:rPr>
                <w:kern w:val="0"/>
                <w:sz w:val="24"/>
                <w:szCs w:val="24"/>
              </w:rPr>
              <w:t>、碎石压碎指标及坚固性样（粗集料）</w:t>
            </w:r>
            <w:r>
              <w:rPr>
                <w:rFonts w:hint="eastAsia"/>
                <w:kern w:val="0"/>
                <w:sz w:val="24"/>
                <w:szCs w:val="24"/>
                <w:lang w:eastAsia="zh-CN"/>
              </w:rPr>
              <w:t>（</w:t>
            </w:r>
            <w:r>
              <w:rPr>
                <w:kern w:val="0"/>
                <w:sz w:val="24"/>
                <w:szCs w:val="24"/>
              </w:rPr>
              <w:t>采集、加工、测试</w:t>
            </w:r>
            <w:r>
              <w:rPr>
                <w:rFonts w:hint="eastAsia"/>
                <w:kern w:val="0"/>
                <w:sz w:val="24"/>
                <w:szCs w:val="24"/>
                <w:lang w:eastAsia="zh-CN"/>
              </w:rPr>
              <w:t>）</w:t>
            </w:r>
          </w:p>
        </w:tc>
        <w:tc>
          <w:tcPr>
            <w:tcW w:w="793" w:type="pct"/>
            <w:tcBorders>
              <w:top w:val="single" w:color="auto" w:sz="4" w:space="0"/>
              <w:left w:val="single" w:color="auto" w:sz="4" w:space="0"/>
              <w:bottom w:val="single" w:color="auto" w:sz="4" w:space="0"/>
              <w:right w:val="single" w:color="000000" w:sz="4" w:space="0"/>
            </w:tcBorders>
            <w:vAlign w:val="center"/>
          </w:tcPr>
          <w:p w14:paraId="07D755EA">
            <w:pPr>
              <w:spacing w:line="240" w:lineRule="auto"/>
              <w:ind w:firstLine="0" w:firstLineChars="0"/>
              <w:jc w:val="center"/>
              <w:rPr>
                <w:kern w:val="0"/>
                <w:sz w:val="24"/>
                <w:szCs w:val="24"/>
              </w:rPr>
            </w:pPr>
            <w:r>
              <w:rPr>
                <w:kern w:val="0"/>
                <w:sz w:val="24"/>
                <w:szCs w:val="24"/>
              </w:rPr>
              <w:t>10</w:t>
            </w:r>
          </w:p>
        </w:tc>
        <w:tc>
          <w:tcPr>
            <w:tcW w:w="540" w:type="pct"/>
            <w:tcBorders>
              <w:top w:val="single" w:color="auto" w:sz="4" w:space="0"/>
              <w:left w:val="nil"/>
              <w:bottom w:val="single" w:color="auto" w:sz="4" w:space="0"/>
              <w:right w:val="single" w:color="auto" w:sz="4" w:space="0"/>
            </w:tcBorders>
            <w:vAlign w:val="center"/>
          </w:tcPr>
          <w:p w14:paraId="2391336C">
            <w:pPr>
              <w:spacing w:line="240" w:lineRule="auto"/>
              <w:ind w:firstLine="0" w:firstLineChars="0"/>
              <w:jc w:val="center"/>
              <w:rPr>
                <w:kern w:val="0"/>
                <w:sz w:val="24"/>
                <w:szCs w:val="24"/>
              </w:rPr>
            </w:pPr>
            <w:r>
              <w:rPr>
                <w:kern w:val="0"/>
                <w:sz w:val="24"/>
                <w:szCs w:val="24"/>
              </w:rPr>
              <w:t>件</w:t>
            </w:r>
          </w:p>
        </w:tc>
        <w:tc>
          <w:tcPr>
            <w:tcW w:w="1311" w:type="pct"/>
            <w:tcBorders>
              <w:top w:val="single" w:color="auto" w:sz="4" w:space="0"/>
              <w:left w:val="nil"/>
              <w:bottom w:val="single" w:color="auto" w:sz="4" w:space="0"/>
              <w:right w:val="single" w:color="auto" w:sz="4" w:space="0"/>
            </w:tcBorders>
            <w:vAlign w:val="center"/>
          </w:tcPr>
          <w:p w14:paraId="4C8412CF">
            <w:pPr>
              <w:spacing w:line="240" w:lineRule="auto"/>
              <w:ind w:firstLine="0" w:firstLineChars="0"/>
              <w:jc w:val="center"/>
              <w:rPr>
                <w:kern w:val="0"/>
                <w:sz w:val="24"/>
                <w:szCs w:val="24"/>
              </w:rPr>
            </w:pPr>
          </w:p>
        </w:tc>
      </w:tr>
      <w:tr w14:paraId="2531CF2A">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4D21F0F4">
            <w:pPr>
              <w:spacing w:line="240" w:lineRule="auto"/>
              <w:ind w:firstLine="0" w:firstLineChars="0"/>
              <w:jc w:val="left"/>
              <w:rPr>
                <w:kern w:val="0"/>
                <w:sz w:val="24"/>
                <w:szCs w:val="24"/>
              </w:rPr>
            </w:pPr>
            <w:r>
              <w:rPr>
                <w:kern w:val="0"/>
                <w:sz w:val="24"/>
                <w:szCs w:val="24"/>
              </w:rPr>
              <w:t>1</w:t>
            </w:r>
            <w:r>
              <w:rPr>
                <w:rFonts w:hint="eastAsia"/>
                <w:kern w:val="0"/>
                <w:sz w:val="24"/>
                <w:szCs w:val="24"/>
                <w:lang w:val="en-US" w:eastAsia="zh-CN"/>
              </w:rPr>
              <w:t>1</w:t>
            </w:r>
            <w:r>
              <w:rPr>
                <w:kern w:val="0"/>
                <w:sz w:val="24"/>
                <w:szCs w:val="24"/>
              </w:rPr>
              <w:t>、放射性样</w:t>
            </w:r>
          </w:p>
        </w:tc>
        <w:tc>
          <w:tcPr>
            <w:tcW w:w="793" w:type="pct"/>
            <w:tcBorders>
              <w:top w:val="single" w:color="auto" w:sz="4" w:space="0"/>
              <w:left w:val="single" w:color="auto" w:sz="4" w:space="0"/>
              <w:bottom w:val="single" w:color="auto" w:sz="4" w:space="0"/>
              <w:right w:val="single" w:color="000000" w:sz="4" w:space="0"/>
            </w:tcBorders>
            <w:vAlign w:val="center"/>
          </w:tcPr>
          <w:p w14:paraId="4A99D6BA">
            <w:pPr>
              <w:spacing w:line="240" w:lineRule="auto"/>
              <w:ind w:firstLine="0" w:firstLineChars="0"/>
              <w:jc w:val="center"/>
              <w:rPr>
                <w:kern w:val="0"/>
                <w:sz w:val="24"/>
                <w:szCs w:val="24"/>
              </w:rPr>
            </w:pPr>
            <w:r>
              <w:rPr>
                <w:kern w:val="0"/>
                <w:sz w:val="24"/>
                <w:szCs w:val="24"/>
              </w:rPr>
              <w:t>5</w:t>
            </w:r>
          </w:p>
        </w:tc>
        <w:tc>
          <w:tcPr>
            <w:tcW w:w="540" w:type="pct"/>
            <w:tcBorders>
              <w:top w:val="single" w:color="auto" w:sz="4" w:space="0"/>
              <w:left w:val="nil"/>
              <w:bottom w:val="single" w:color="auto" w:sz="4" w:space="0"/>
              <w:right w:val="single" w:color="auto" w:sz="4" w:space="0"/>
            </w:tcBorders>
            <w:vAlign w:val="center"/>
          </w:tcPr>
          <w:p w14:paraId="372C9BD4">
            <w:pPr>
              <w:spacing w:line="240" w:lineRule="auto"/>
              <w:ind w:firstLine="0" w:firstLineChars="0"/>
              <w:jc w:val="center"/>
              <w:rPr>
                <w:kern w:val="0"/>
                <w:sz w:val="24"/>
                <w:szCs w:val="24"/>
              </w:rPr>
            </w:pPr>
            <w:r>
              <w:rPr>
                <w:kern w:val="0"/>
                <w:sz w:val="24"/>
                <w:szCs w:val="24"/>
              </w:rPr>
              <w:t>件</w:t>
            </w:r>
          </w:p>
        </w:tc>
        <w:tc>
          <w:tcPr>
            <w:tcW w:w="1311" w:type="pct"/>
            <w:tcBorders>
              <w:top w:val="single" w:color="auto" w:sz="4" w:space="0"/>
              <w:left w:val="nil"/>
              <w:bottom w:val="single" w:color="auto" w:sz="4" w:space="0"/>
              <w:right w:val="single" w:color="auto" w:sz="4" w:space="0"/>
            </w:tcBorders>
            <w:vAlign w:val="center"/>
          </w:tcPr>
          <w:p w14:paraId="621A187D">
            <w:pPr>
              <w:spacing w:line="240" w:lineRule="auto"/>
              <w:ind w:firstLine="0" w:firstLineChars="0"/>
              <w:jc w:val="center"/>
              <w:rPr>
                <w:kern w:val="0"/>
                <w:sz w:val="24"/>
                <w:szCs w:val="24"/>
              </w:rPr>
            </w:pPr>
          </w:p>
        </w:tc>
      </w:tr>
      <w:tr w14:paraId="74EC23AE">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5132BF46">
            <w:pPr>
              <w:spacing w:line="240" w:lineRule="auto"/>
              <w:ind w:firstLine="0" w:firstLineChars="0"/>
              <w:jc w:val="left"/>
              <w:rPr>
                <w:kern w:val="0"/>
                <w:sz w:val="24"/>
                <w:szCs w:val="24"/>
              </w:rPr>
            </w:pPr>
            <w:r>
              <w:rPr>
                <w:kern w:val="0"/>
                <w:sz w:val="24"/>
                <w:szCs w:val="24"/>
              </w:rPr>
              <w:t>1</w:t>
            </w:r>
            <w:r>
              <w:rPr>
                <w:rFonts w:hint="eastAsia"/>
                <w:kern w:val="0"/>
                <w:sz w:val="24"/>
                <w:szCs w:val="24"/>
                <w:lang w:val="en-US" w:eastAsia="zh-CN"/>
              </w:rPr>
              <w:t>2</w:t>
            </w:r>
            <w:r>
              <w:rPr>
                <w:kern w:val="0"/>
                <w:sz w:val="24"/>
                <w:szCs w:val="24"/>
              </w:rPr>
              <w:t>、硫化物和硫酸盐含量测试</w:t>
            </w:r>
          </w:p>
        </w:tc>
        <w:tc>
          <w:tcPr>
            <w:tcW w:w="793" w:type="pct"/>
            <w:tcBorders>
              <w:top w:val="single" w:color="auto" w:sz="4" w:space="0"/>
              <w:left w:val="single" w:color="auto" w:sz="4" w:space="0"/>
              <w:bottom w:val="single" w:color="auto" w:sz="4" w:space="0"/>
              <w:right w:val="single" w:color="000000" w:sz="4" w:space="0"/>
            </w:tcBorders>
            <w:vAlign w:val="center"/>
          </w:tcPr>
          <w:p w14:paraId="32F3F5C4">
            <w:pPr>
              <w:spacing w:line="240" w:lineRule="auto"/>
              <w:ind w:firstLine="0" w:firstLineChars="0"/>
              <w:jc w:val="center"/>
              <w:rPr>
                <w:kern w:val="0"/>
                <w:sz w:val="24"/>
                <w:szCs w:val="24"/>
              </w:rPr>
            </w:pPr>
            <w:r>
              <w:rPr>
                <w:kern w:val="0"/>
                <w:sz w:val="24"/>
                <w:szCs w:val="24"/>
              </w:rPr>
              <w:t>10</w:t>
            </w:r>
          </w:p>
        </w:tc>
        <w:tc>
          <w:tcPr>
            <w:tcW w:w="540" w:type="pct"/>
            <w:tcBorders>
              <w:top w:val="single" w:color="auto" w:sz="4" w:space="0"/>
              <w:left w:val="nil"/>
              <w:bottom w:val="single" w:color="auto" w:sz="4" w:space="0"/>
              <w:right w:val="single" w:color="auto" w:sz="4" w:space="0"/>
            </w:tcBorders>
            <w:vAlign w:val="center"/>
          </w:tcPr>
          <w:p w14:paraId="4366373E">
            <w:pPr>
              <w:spacing w:line="240" w:lineRule="auto"/>
              <w:ind w:firstLine="0" w:firstLineChars="0"/>
              <w:jc w:val="center"/>
              <w:rPr>
                <w:kern w:val="0"/>
                <w:sz w:val="24"/>
                <w:szCs w:val="24"/>
              </w:rPr>
            </w:pPr>
            <w:r>
              <w:rPr>
                <w:kern w:val="0"/>
                <w:sz w:val="24"/>
                <w:szCs w:val="24"/>
              </w:rPr>
              <w:t>件</w:t>
            </w:r>
          </w:p>
        </w:tc>
        <w:tc>
          <w:tcPr>
            <w:tcW w:w="1311" w:type="pct"/>
            <w:tcBorders>
              <w:top w:val="single" w:color="auto" w:sz="4" w:space="0"/>
              <w:left w:val="nil"/>
              <w:bottom w:val="single" w:color="auto" w:sz="4" w:space="0"/>
              <w:right w:val="single" w:color="auto" w:sz="4" w:space="0"/>
            </w:tcBorders>
            <w:vAlign w:val="center"/>
          </w:tcPr>
          <w:p w14:paraId="78EEB9C0">
            <w:pPr>
              <w:spacing w:line="240" w:lineRule="auto"/>
              <w:ind w:firstLine="0" w:firstLineChars="0"/>
              <w:jc w:val="center"/>
              <w:rPr>
                <w:kern w:val="0"/>
                <w:sz w:val="24"/>
                <w:szCs w:val="24"/>
              </w:rPr>
            </w:pPr>
          </w:p>
        </w:tc>
      </w:tr>
      <w:tr w14:paraId="3AFCF91F">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3C77DD0F">
            <w:pPr>
              <w:spacing w:line="240" w:lineRule="auto"/>
              <w:ind w:firstLine="0" w:firstLineChars="0"/>
              <w:jc w:val="left"/>
              <w:rPr>
                <w:kern w:val="0"/>
                <w:sz w:val="24"/>
                <w:szCs w:val="24"/>
              </w:rPr>
            </w:pPr>
            <w:r>
              <w:rPr>
                <w:kern w:val="0"/>
                <w:sz w:val="24"/>
                <w:szCs w:val="24"/>
              </w:rPr>
              <w:t>1</w:t>
            </w:r>
            <w:r>
              <w:rPr>
                <w:rFonts w:hint="eastAsia"/>
                <w:kern w:val="0"/>
                <w:sz w:val="24"/>
                <w:szCs w:val="24"/>
                <w:lang w:val="en-US" w:eastAsia="zh-CN"/>
              </w:rPr>
              <w:t>3</w:t>
            </w:r>
            <w:r>
              <w:rPr>
                <w:kern w:val="0"/>
                <w:sz w:val="24"/>
                <w:szCs w:val="24"/>
              </w:rPr>
              <w:t>、碱集料反应测试（岩相法）</w:t>
            </w:r>
          </w:p>
        </w:tc>
        <w:tc>
          <w:tcPr>
            <w:tcW w:w="793" w:type="pct"/>
            <w:tcBorders>
              <w:top w:val="single" w:color="auto" w:sz="4" w:space="0"/>
              <w:left w:val="single" w:color="auto" w:sz="4" w:space="0"/>
              <w:bottom w:val="single" w:color="auto" w:sz="4" w:space="0"/>
              <w:right w:val="single" w:color="000000" w:sz="4" w:space="0"/>
            </w:tcBorders>
            <w:vAlign w:val="center"/>
          </w:tcPr>
          <w:p w14:paraId="061A07CA">
            <w:pPr>
              <w:spacing w:line="240" w:lineRule="auto"/>
              <w:ind w:firstLine="0" w:firstLineChars="0"/>
              <w:jc w:val="center"/>
              <w:rPr>
                <w:kern w:val="0"/>
                <w:sz w:val="24"/>
                <w:szCs w:val="24"/>
              </w:rPr>
            </w:pPr>
            <w:r>
              <w:rPr>
                <w:kern w:val="0"/>
                <w:sz w:val="24"/>
                <w:szCs w:val="24"/>
              </w:rPr>
              <w:t>10</w:t>
            </w:r>
          </w:p>
        </w:tc>
        <w:tc>
          <w:tcPr>
            <w:tcW w:w="540" w:type="pct"/>
            <w:tcBorders>
              <w:top w:val="single" w:color="auto" w:sz="4" w:space="0"/>
              <w:left w:val="nil"/>
              <w:bottom w:val="single" w:color="auto" w:sz="4" w:space="0"/>
              <w:right w:val="single" w:color="auto" w:sz="4" w:space="0"/>
            </w:tcBorders>
            <w:vAlign w:val="center"/>
          </w:tcPr>
          <w:p w14:paraId="41A6FF16">
            <w:pPr>
              <w:spacing w:line="240" w:lineRule="auto"/>
              <w:ind w:firstLine="0" w:firstLineChars="0"/>
              <w:jc w:val="center"/>
              <w:rPr>
                <w:kern w:val="0"/>
                <w:sz w:val="24"/>
                <w:szCs w:val="24"/>
              </w:rPr>
            </w:pPr>
            <w:r>
              <w:rPr>
                <w:kern w:val="0"/>
                <w:sz w:val="24"/>
                <w:szCs w:val="24"/>
              </w:rPr>
              <w:t>件</w:t>
            </w:r>
          </w:p>
        </w:tc>
        <w:tc>
          <w:tcPr>
            <w:tcW w:w="1311" w:type="pct"/>
            <w:tcBorders>
              <w:top w:val="single" w:color="auto" w:sz="4" w:space="0"/>
              <w:left w:val="nil"/>
              <w:bottom w:val="single" w:color="auto" w:sz="4" w:space="0"/>
              <w:right w:val="single" w:color="auto" w:sz="4" w:space="0"/>
            </w:tcBorders>
            <w:vAlign w:val="center"/>
          </w:tcPr>
          <w:p w14:paraId="1291A9D1">
            <w:pPr>
              <w:spacing w:line="240" w:lineRule="auto"/>
              <w:ind w:firstLine="0" w:firstLineChars="0"/>
              <w:jc w:val="center"/>
              <w:rPr>
                <w:kern w:val="0"/>
                <w:sz w:val="24"/>
                <w:szCs w:val="24"/>
              </w:rPr>
            </w:pPr>
          </w:p>
        </w:tc>
      </w:tr>
      <w:tr w14:paraId="75ACB27E">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4CB05452">
            <w:pPr>
              <w:spacing w:line="240" w:lineRule="auto"/>
              <w:ind w:firstLine="0" w:firstLineChars="0"/>
              <w:jc w:val="left"/>
              <w:rPr>
                <w:kern w:val="0"/>
                <w:sz w:val="24"/>
                <w:szCs w:val="24"/>
              </w:rPr>
            </w:pPr>
            <w:r>
              <w:rPr>
                <w:kern w:val="0"/>
                <w:sz w:val="24"/>
                <w:szCs w:val="24"/>
              </w:rPr>
              <w:t>1</w:t>
            </w:r>
            <w:r>
              <w:rPr>
                <w:rFonts w:hint="eastAsia"/>
                <w:kern w:val="0"/>
                <w:sz w:val="24"/>
                <w:szCs w:val="24"/>
                <w:lang w:val="en-US" w:eastAsia="zh-CN"/>
              </w:rPr>
              <w:t>4</w:t>
            </w:r>
            <w:r>
              <w:rPr>
                <w:kern w:val="0"/>
                <w:sz w:val="24"/>
                <w:szCs w:val="24"/>
              </w:rPr>
              <w:t>、土体常规试验取样及试验</w:t>
            </w:r>
          </w:p>
        </w:tc>
        <w:tc>
          <w:tcPr>
            <w:tcW w:w="793" w:type="pct"/>
            <w:tcBorders>
              <w:top w:val="single" w:color="auto" w:sz="4" w:space="0"/>
              <w:left w:val="single" w:color="auto" w:sz="4" w:space="0"/>
              <w:bottom w:val="single" w:color="auto" w:sz="4" w:space="0"/>
              <w:right w:val="single" w:color="000000" w:sz="4" w:space="0"/>
            </w:tcBorders>
            <w:vAlign w:val="center"/>
          </w:tcPr>
          <w:p w14:paraId="676B156B">
            <w:pPr>
              <w:spacing w:line="240" w:lineRule="auto"/>
              <w:ind w:firstLine="0" w:firstLineChars="0"/>
              <w:jc w:val="center"/>
              <w:rPr>
                <w:kern w:val="0"/>
                <w:sz w:val="24"/>
                <w:szCs w:val="24"/>
              </w:rPr>
            </w:pPr>
            <w:r>
              <w:rPr>
                <w:kern w:val="0"/>
                <w:sz w:val="24"/>
                <w:szCs w:val="24"/>
              </w:rPr>
              <w:t>4</w:t>
            </w:r>
          </w:p>
        </w:tc>
        <w:tc>
          <w:tcPr>
            <w:tcW w:w="540" w:type="pct"/>
            <w:tcBorders>
              <w:top w:val="single" w:color="auto" w:sz="4" w:space="0"/>
              <w:left w:val="nil"/>
              <w:bottom w:val="single" w:color="auto" w:sz="4" w:space="0"/>
              <w:right w:val="single" w:color="auto" w:sz="4" w:space="0"/>
            </w:tcBorders>
            <w:vAlign w:val="center"/>
          </w:tcPr>
          <w:p w14:paraId="5EF0C585">
            <w:pPr>
              <w:spacing w:line="240" w:lineRule="auto"/>
              <w:ind w:firstLine="0" w:firstLineChars="0"/>
              <w:jc w:val="center"/>
              <w:rPr>
                <w:kern w:val="0"/>
                <w:sz w:val="24"/>
                <w:szCs w:val="24"/>
              </w:rPr>
            </w:pPr>
            <w:r>
              <w:rPr>
                <w:kern w:val="0"/>
                <w:sz w:val="24"/>
                <w:szCs w:val="24"/>
              </w:rPr>
              <w:t>件</w:t>
            </w:r>
          </w:p>
        </w:tc>
        <w:tc>
          <w:tcPr>
            <w:tcW w:w="1311" w:type="pct"/>
            <w:tcBorders>
              <w:top w:val="single" w:color="auto" w:sz="4" w:space="0"/>
              <w:left w:val="nil"/>
              <w:bottom w:val="single" w:color="auto" w:sz="4" w:space="0"/>
              <w:right w:val="single" w:color="auto" w:sz="4" w:space="0"/>
            </w:tcBorders>
            <w:vAlign w:val="center"/>
          </w:tcPr>
          <w:p w14:paraId="0595C375">
            <w:pPr>
              <w:spacing w:line="240" w:lineRule="auto"/>
              <w:ind w:firstLine="0" w:firstLineChars="0"/>
              <w:jc w:val="center"/>
              <w:rPr>
                <w:kern w:val="0"/>
                <w:sz w:val="24"/>
                <w:szCs w:val="24"/>
              </w:rPr>
            </w:pPr>
          </w:p>
        </w:tc>
      </w:tr>
      <w:tr w14:paraId="117F1BF8">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vAlign w:val="center"/>
          </w:tcPr>
          <w:p w14:paraId="287BAF29">
            <w:pPr>
              <w:spacing w:line="240" w:lineRule="auto"/>
              <w:ind w:firstLine="0" w:firstLineChars="0"/>
              <w:jc w:val="left"/>
              <w:rPr>
                <w:kern w:val="0"/>
                <w:sz w:val="24"/>
                <w:szCs w:val="24"/>
              </w:rPr>
            </w:pPr>
            <w:r>
              <w:rPr>
                <w:kern w:val="0"/>
                <w:sz w:val="24"/>
                <w:szCs w:val="24"/>
              </w:rPr>
              <w:t>1</w:t>
            </w:r>
            <w:r>
              <w:rPr>
                <w:rFonts w:hint="eastAsia"/>
                <w:kern w:val="0"/>
                <w:sz w:val="24"/>
                <w:szCs w:val="24"/>
                <w:lang w:val="en-US" w:eastAsia="zh-CN"/>
              </w:rPr>
              <w:t>5</w:t>
            </w:r>
            <w:r>
              <w:rPr>
                <w:kern w:val="0"/>
                <w:sz w:val="24"/>
                <w:szCs w:val="24"/>
              </w:rPr>
              <w:t>、土膨胀试验</w:t>
            </w:r>
          </w:p>
        </w:tc>
        <w:tc>
          <w:tcPr>
            <w:tcW w:w="793" w:type="pct"/>
            <w:tcBorders>
              <w:top w:val="single" w:color="auto" w:sz="4" w:space="0"/>
              <w:left w:val="single" w:color="auto" w:sz="4" w:space="0"/>
              <w:bottom w:val="single" w:color="auto" w:sz="4" w:space="0"/>
              <w:right w:val="single" w:color="000000" w:sz="4" w:space="0"/>
            </w:tcBorders>
            <w:vAlign w:val="center"/>
          </w:tcPr>
          <w:p w14:paraId="738758A6">
            <w:pPr>
              <w:spacing w:line="240" w:lineRule="auto"/>
              <w:ind w:firstLine="0" w:firstLineChars="0"/>
              <w:jc w:val="center"/>
              <w:rPr>
                <w:kern w:val="0"/>
                <w:sz w:val="24"/>
                <w:szCs w:val="24"/>
              </w:rPr>
            </w:pPr>
            <w:r>
              <w:rPr>
                <w:kern w:val="0"/>
                <w:sz w:val="24"/>
                <w:szCs w:val="24"/>
              </w:rPr>
              <w:t>5</w:t>
            </w:r>
          </w:p>
        </w:tc>
        <w:tc>
          <w:tcPr>
            <w:tcW w:w="540" w:type="pct"/>
            <w:tcBorders>
              <w:top w:val="single" w:color="auto" w:sz="4" w:space="0"/>
              <w:left w:val="nil"/>
              <w:bottom w:val="single" w:color="auto" w:sz="4" w:space="0"/>
              <w:right w:val="single" w:color="auto" w:sz="4" w:space="0"/>
            </w:tcBorders>
            <w:vAlign w:val="center"/>
          </w:tcPr>
          <w:p w14:paraId="6CDEC702">
            <w:pPr>
              <w:spacing w:line="240" w:lineRule="auto"/>
              <w:ind w:firstLine="0" w:firstLineChars="0"/>
              <w:jc w:val="center"/>
              <w:rPr>
                <w:kern w:val="0"/>
                <w:sz w:val="24"/>
                <w:szCs w:val="24"/>
              </w:rPr>
            </w:pPr>
            <w:r>
              <w:rPr>
                <w:kern w:val="0"/>
                <w:sz w:val="24"/>
                <w:szCs w:val="24"/>
              </w:rPr>
              <w:t>件</w:t>
            </w:r>
          </w:p>
        </w:tc>
        <w:tc>
          <w:tcPr>
            <w:tcW w:w="1311" w:type="pct"/>
            <w:tcBorders>
              <w:top w:val="single" w:color="auto" w:sz="4" w:space="0"/>
              <w:left w:val="nil"/>
              <w:bottom w:val="single" w:color="auto" w:sz="4" w:space="0"/>
              <w:right w:val="single" w:color="auto" w:sz="4" w:space="0"/>
            </w:tcBorders>
            <w:vAlign w:val="center"/>
          </w:tcPr>
          <w:p w14:paraId="78D60101">
            <w:pPr>
              <w:spacing w:line="240" w:lineRule="auto"/>
              <w:ind w:firstLine="0" w:firstLineChars="0"/>
              <w:jc w:val="center"/>
              <w:rPr>
                <w:kern w:val="0"/>
                <w:sz w:val="24"/>
                <w:szCs w:val="24"/>
              </w:rPr>
            </w:pPr>
          </w:p>
        </w:tc>
      </w:tr>
      <w:tr w14:paraId="1268F248">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20" w:hRule="atLeast"/>
          <w:jc w:val="center"/>
        </w:trPr>
        <w:tc>
          <w:tcPr>
            <w:tcW w:w="2354" w:type="pct"/>
            <w:tcBorders>
              <w:top w:val="single" w:color="auto" w:sz="4" w:space="0"/>
              <w:left w:val="single" w:color="auto" w:sz="4" w:space="0"/>
              <w:bottom w:val="single" w:color="auto" w:sz="4" w:space="0"/>
              <w:right w:val="single" w:color="auto" w:sz="4" w:space="0"/>
            </w:tcBorders>
            <w:shd w:val="clear" w:color="auto" w:fill="auto"/>
            <w:vAlign w:val="center"/>
          </w:tcPr>
          <w:p w14:paraId="3351F132">
            <w:pPr>
              <w:spacing w:line="240" w:lineRule="auto"/>
              <w:ind w:firstLine="0" w:firstLineChars="0"/>
              <w:jc w:val="left"/>
              <w:rPr>
                <w:color w:val="0000FF"/>
                <w:kern w:val="0"/>
                <w:sz w:val="24"/>
                <w:szCs w:val="24"/>
              </w:rPr>
            </w:pPr>
            <w:r>
              <w:rPr>
                <w:color w:val="0000FF"/>
                <w:kern w:val="0"/>
                <w:sz w:val="24"/>
                <w:szCs w:val="24"/>
              </w:rPr>
              <w:t>1</w:t>
            </w:r>
            <w:r>
              <w:rPr>
                <w:rFonts w:hint="eastAsia"/>
                <w:color w:val="0000FF"/>
                <w:kern w:val="0"/>
                <w:sz w:val="24"/>
                <w:szCs w:val="24"/>
                <w:lang w:val="en-US" w:eastAsia="zh-CN"/>
              </w:rPr>
              <w:t>6</w:t>
            </w:r>
            <w:r>
              <w:rPr>
                <w:color w:val="0000FF"/>
                <w:kern w:val="0"/>
                <w:sz w:val="24"/>
                <w:szCs w:val="24"/>
              </w:rPr>
              <w:t>、建筑用石料试验</w:t>
            </w:r>
          </w:p>
        </w:tc>
        <w:tc>
          <w:tcPr>
            <w:tcW w:w="793" w:type="pct"/>
            <w:tcBorders>
              <w:top w:val="single" w:color="auto" w:sz="4" w:space="0"/>
              <w:left w:val="single" w:color="auto" w:sz="4" w:space="0"/>
              <w:bottom w:val="single" w:color="auto" w:sz="4" w:space="0"/>
              <w:right w:val="single" w:color="000000" w:sz="4" w:space="0"/>
            </w:tcBorders>
            <w:shd w:val="clear" w:color="auto" w:fill="auto"/>
            <w:vAlign w:val="center"/>
          </w:tcPr>
          <w:p w14:paraId="2F4D794F">
            <w:pPr>
              <w:spacing w:line="240" w:lineRule="auto"/>
              <w:ind w:firstLine="0" w:firstLineChars="0"/>
              <w:jc w:val="center"/>
              <w:rPr>
                <w:color w:val="0000FF"/>
                <w:kern w:val="0"/>
                <w:sz w:val="24"/>
                <w:szCs w:val="24"/>
              </w:rPr>
            </w:pPr>
            <w:r>
              <w:rPr>
                <w:color w:val="0000FF"/>
                <w:kern w:val="0"/>
                <w:sz w:val="24"/>
                <w:szCs w:val="24"/>
              </w:rPr>
              <w:t>6</w:t>
            </w:r>
          </w:p>
        </w:tc>
        <w:tc>
          <w:tcPr>
            <w:tcW w:w="540" w:type="pct"/>
            <w:tcBorders>
              <w:top w:val="single" w:color="auto" w:sz="4" w:space="0"/>
              <w:left w:val="nil"/>
              <w:bottom w:val="single" w:color="auto" w:sz="4" w:space="0"/>
              <w:right w:val="single" w:color="auto" w:sz="4" w:space="0"/>
            </w:tcBorders>
            <w:shd w:val="clear" w:color="auto" w:fill="auto"/>
            <w:vAlign w:val="center"/>
          </w:tcPr>
          <w:p w14:paraId="18BAB927">
            <w:pPr>
              <w:spacing w:line="240" w:lineRule="auto"/>
              <w:ind w:firstLine="0" w:firstLineChars="0"/>
              <w:jc w:val="center"/>
              <w:rPr>
                <w:color w:val="0000FF"/>
                <w:kern w:val="0"/>
                <w:sz w:val="24"/>
                <w:szCs w:val="24"/>
              </w:rPr>
            </w:pPr>
            <w:r>
              <w:rPr>
                <w:color w:val="0000FF"/>
                <w:kern w:val="0"/>
                <w:sz w:val="24"/>
                <w:szCs w:val="24"/>
              </w:rPr>
              <w:t>件</w:t>
            </w:r>
          </w:p>
        </w:tc>
        <w:tc>
          <w:tcPr>
            <w:tcW w:w="1311" w:type="pct"/>
            <w:tcBorders>
              <w:top w:val="single" w:color="auto" w:sz="4" w:space="0"/>
              <w:left w:val="nil"/>
              <w:bottom w:val="single" w:color="auto" w:sz="4" w:space="0"/>
              <w:right w:val="single" w:color="auto" w:sz="4" w:space="0"/>
            </w:tcBorders>
            <w:shd w:val="clear" w:color="auto" w:fill="auto"/>
            <w:vAlign w:val="center"/>
          </w:tcPr>
          <w:p w14:paraId="2EFD16B7">
            <w:pPr>
              <w:spacing w:line="240" w:lineRule="auto"/>
              <w:ind w:firstLine="0" w:firstLineChars="0"/>
              <w:jc w:val="center"/>
              <w:rPr>
                <w:color w:val="0000FF"/>
                <w:kern w:val="0"/>
                <w:sz w:val="24"/>
                <w:szCs w:val="24"/>
              </w:rPr>
            </w:pPr>
          </w:p>
        </w:tc>
      </w:tr>
    </w:tbl>
    <w:p w14:paraId="48307CF4">
      <w:pPr>
        <w:ind w:firstLine="560"/>
      </w:pPr>
    </w:p>
    <w:p w14:paraId="7BBE251C">
      <w:pPr>
        <w:spacing w:line="240" w:lineRule="auto"/>
        <w:ind w:firstLine="0" w:firstLineChars="0"/>
        <w:jc w:val="center"/>
        <w:rPr>
          <w:b/>
          <w:kern w:val="0"/>
          <w:sz w:val="24"/>
          <w:szCs w:val="24"/>
        </w:rPr>
      </w:pPr>
      <w:r>
        <w:rPr>
          <w:b/>
          <w:kern w:val="0"/>
          <w:sz w:val="24"/>
          <w:szCs w:val="24"/>
        </w:rPr>
        <w:t>表3-5  设计取样工程一览表</w:t>
      </w:r>
    </w:p>
    <w:tbl>
      <w:tblPr>
        <w:tblStyle w:val="32"/>
        <w:tblW w:w="8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191"/>
        <w:gridCol w:w="1295"/>
        <w:gridCol w:w="1417"/>
        <w:gridCol w:w="1587"/>
        <w:gridCol w:w="2144"/>
      </w:tblGrid>
      <w:tr w14:paraId="12E6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blHeader/>
          <w:jc w:val="center"/>
        </w:trPr>
        <w:tc>
          <w:tcPr>
            <w:tcW w:w="1232" w:type="dxa"/>
            <w:vMerge w:val="restart"/>
            <w:shd w:val="clear" w:color="auto" w:fill="auto"/>
            <w:vAlign w:val="center"/>
          </w:tcPr>
          <w:p w14:paraId="1D36F8FD">
            <w:pPr>
              <w:pageBreakBefore w:val="0"/>
              <w:widowControl/>
              <w:wordWrap/>
              <w:topLinePunct w:val="0"/>
              <w:bidi w:val="0"/>
              <w:adjustRightInd w:val="0"/>
              <w:snapToGrid w:val="0"/>
              <w:spacing w:line="280" w:lineRule="exact"/>
              <w:ind w:firstLine="0" w:firstLineChars="0"/>
              <w:jc w:val="center"/>
              <w:rPr>
                <w:rFonts w:hint="default" w:ascii="Times New Roman" w:hAnsi="Times New Roman" w:cs="Times New Roman"/>
                <w:color w:val="auto"/>
                <w:kern w:val="0"/>
                <w:sz w:val="24"/>
                <w:szCs w:val="24"/>
              </w:rPr>
            </w:pPr>
            <w:bookmarkStart w:id="238" w:name="_Toc176773711"/>
            <w:bookmarkStart w:id="239" w:name="_Toc176901242"/>
            <w:bookmarkStart w:id="240" w:name="_Toc124107403"/>
            <w:bookmarkStart w:id="241" w:name="_Toc10494"/>
            <w:r>
              <w:rPr>
                <w:rFonts w:hint="default" w:ascii="Times New Roman" w:hAnsi="Times New Roman" w:cs="Times New Roman"/>
                <w:color w:val="auto"/>
                <w:kern w:val="0"/>
                <w:sz w:val="24"/>
                <w:szCs w:val="24"/>
              </w:rPr>
              <w:t>工程编号</w:t>
            </w:r>
          </w:p>
        </w:tc>
        <w:tc>
          <w:tcPr>
            <w:tcW w:w="1191" w:type="dxa"/>
            <w:vMerge w:val="restart"/>
            <w:shd w:val="clear" w:color="auto" w:fill="auto"/>
            <w:vAlign w:val="center"/>
          </w:tcPr>
          <w:p w14:paraId="1A2BA524">
            <w:pPr>
              <w:pageBreakBefore w:val="0"/>
              <w:widowControl/>
              <w:wordWrap/>
              <w:topLinePunct w:val="0"/>
              <w:bidi w:val="0"/>
              <w:adjustRightInd w:val="0"/>
              <w:snapToGrid w:val="0"/>
              <w:spacing w:line="280" w:lineRule="exact"/>
              <w:ind w:firstLine="0" w:firstLineChars="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施工顺序</w:t>
            </w:r>
          </w:p>
        </w:tc>
        <w:tc>
          <w:tcPr>
            <w:tcW w:w="1295" w:type="dxa"/>
            <w:vMerge w:val="restart"/>
            <w:shd w:val="clear" w:color="auto" w:fill="auto"/>
            <w:vAlign w:val="center"/>
          </w:tcPr>
          <w:p w14:paraId="6D6A9296">
            <w:pPr>
              <w:pageBreakBefore w:val="0"/>
              <w:widowControl/>
              <w:wordWrap/>
              <w:topLinePunct w:val="0"/>
              <w:bidi w:val="0"/>
              <w:adjustRightInd w:val="0"/>
              <w:snapToGrid w:val="0"/>
              <w:spacing w:line="280" w:lineRule="exact"/>
              <w:ind w:firstLine="0" w:firstLineChars="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施工目的</w:t>
            </w:r>
          </w:p>
        </w:tc>
        <w:tc>
          <w:tcPr>
            <w:tcW w:w="1417" w:type="dxa"/>
            <w:vMerge w:val="restart"/>
            <w:shd w:val="clear" w:color="auto" w:fill="auto"/>
            <w:vAlign w:val="center"/>
          </w:tcPr>
          <w:p w14:paraId="7A8919DD">
            <w:pPr>
              <w:pageBreakBefore w:val="0"/>
              <w:widowControl/>
              <w:wordWrap/>
              <w:topLinePunct w:val="0"/>
              <w:bidi w:val="0"/>
              <w:adjustRightInd w:val="0"/>
              <w:snapToGrid w:val="0"/>
              <w:spacing w:line="280" w:lineRule="exact"/>
              <w:ind w:firstLine="0" w:firstLineChars="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设计工作量（m）</w:t>
            </w:r>
          </w:p>
        </w:tc>
        <w:tc>
          <w:tcPr>
            <w:tcW w:w="1587" w:type="dxa"/>
            <w:vMerge w:val="restart"/>
            <w:shd w:val="clear" w:color="auto" w:fill="auto"/>
            <w:vAlign w:val="center"/>
          </w:tcPr>
          <w:p w14:paraId="7F67FD96">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cs="Times New Roman"/>
                <w:color w:val="auto"/>
                <w:kern w:val="0"/>
                <w:sz w:val="24"/>
                <w:szCs w:val="24"/>
              </w:rPr>
              <w:t>终止</w:t>
            </w:r>
            <w:r>
              <w:rPr>
                <w:rFonts w:hint="eastAsia" w:cs="Times New Roman"/>
                <w:color w:val="auto"/>
                <w:kern w:val="0"/>
                <w:sz w:val="24"/>
                <w:szCs w:val="24"/>
                <w:lang w:val="en-US" w:eastAsia="zh-CN"/>
              </w:rPr>
              <w:t>深度（m）</w:t>
            </w:r>
          </w:p>
        </w:tc>
        <w:tc>
          <w:tcPr>
            <w:tcW w:w="2144" w:type="dxa"/>
            <w:vMerge w:val="restart"/>
            <w:shd w:val="clear" w:color="auto" w:fill="auto"/>
            <w:vAlign w:val="center"/>
          </w:tcPr>
          <w:p w14:paraId="3E4EAE0A">
            <w:pPr>
              <w:pageBreakBefore w:val="0"/>
              <w:widowControl/>
              <w:wordWrap/>
              <w:topLinePunct w:val="0"/>
              <w:bidi w:val="0"/>
              <w:adjustRightInd w:val="0"/>
              <w:snapToGrid w:val="0"/>
              <w:spacing w:line="280" w:lineRule="exact"/>
              <w:ind w:firstLine="0" w:firstLineChars="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采样种类</w:t>
            </w:r>
          </w:p>
        </w:tc>
      </w:tr>
      <w:tr w14:paraId="3420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blHeader/>
          <w:jc w:val="center"/>
        </w:trPr>
        <w:tc>
          <w:tcPr>
            <w:tcW w:w="1232" w:type="dxa"/>
            <w:vMerge w:val="continue"/>
            <w:vAlign w:val="center"/>
          </w:tcPr>
          <w:p w14:paraId="574BFB28">
            <w:pPr>
              <w:pageBreakBefore w:val="0"/>
              <w:widowControl/>
              <w:wordWrap/>
              <w:topLinePunct w:val="0"/>
              <w:bidi w:val="0"/>
              <w:adjustRightInd w:val="0"/>
              <w:snapToGrid w:val="0"/>
              <w:spacing w:line="280" w:lineRule="exact"/>
              <w:ind w:firstLine="0" w:firstLineChars="0"/>
              <w:jc w:val="center"/>
              <w:rPr>
                <w:rFonts w:hint="default" w:ascii="Times New Roman" w:hAnsi="Times New Roman" w:cs="Times New Roman"/>
                <w:color w:val="auto"/>
                <w:kern w:val="0"/>
                <w:sz w:val="24"/>
                <w:szCs w:val="24"/>
              </w:rPr>
            </w:pPr>
          </w:p>
        </w:tc>
        <w:tc>
          <w:tcPr>
            <w:tcW w:w="1191" w:type="dxa"/>
            <w:vMerge w:val="continue"/>
            <w:vAlign w:val="center"/>
          </w:tcPr>
          <w:p w14:paraId="02E59E5C">
            <w:pPr>
              <w:pageBreakBefore w:val="0"/>
              <w:widowControl/>
              <w:wordWrap/>
              <w:topLinePunct w:val="0"/>
              <w:bidi w:val="0"/>
              <w:adjustRightInd w:val="0"/>
              <w:snapToGrid w:val="0"/>
              <w:spacing w:line="280" w:lineRule="exact"/>
              <w:ind w:firstLine="0" w:firstLineChars="0"/>
              <w:jc w:val="center"/>
              <w:rPr>
                <w:rFonts w:hint="default" w:ascii="Times New Roman" w:hAnsi="Times New Roman" w:cs="Times New Roman"/>
                <w:color w:val="auto"/>
                <w:kern w:val="0"/>
                <w:sz w:val="24"/>
                <w:szCs w:val="24"/>
              </w:rPr>
            </w:pPr>
          </w:p>
        </w:tc>
        <w:tc>
          <w:tcPr>
            <w:tcW w:w="1295" w:type="dxa"/>
            <w:vMerge w:val="continue"/>
            <w:vAlign w:val="center"/>
          </w:tcPr>
          <w:p w14:paraId="7C66924C">
            <w:pPr>
              <w:pageBreakBefore w:val="0"/>
              <w:widowControl/>
              <w:wordWrap/>
              <w:topLinePunct w:val="0"/>
              <w:bidi w:val="0"/>
              <w:adjustRightInd w:val="0"/>
              <w:snapToGrid w:val="0"/>
              <w:spacing w:line="280" w:lineRule="exact"/>
              <w:ind w:firstLine="0" w:firstLineChars="0"/>
              <w:jc w:val="center"/>
              <w:rPr>
                <w:rFonts w:hint="default" w:ascii="Times New Roman" w:hAnsi="Times New Roman" w:cs="Times New Roman"/>
                <w:color w:val="auto"/>
                <w:kern w:val="0"/>
                <w:sz w:val="24"/>
                <w:szCs w:val="24"/>
              </w:rPr>
            </w:pPr>
          </w:p>
        </w:tc>
        <w:tc>
          <w:tcPr>
            <w:tcW w:w="1417" w:type="dxa"/>
            <w:vMerge w:val="continue"/>
            <w:vAlign w:val="center"/>
          </w:tcPr>
          <w:p w14:paraId="14B28230">
            <w:pPr>
              <w:pageBreakBefore w:val="0"/>
              <w:widowControl/>
              <w:wordWrap/>
              <w:topLinePunct w:val="0"/>
              <w:bidi w:val="0"/>
              <w:adjustRightInd w:val="0"/>
              <w:snapToGrid w:val="0"/>
              <w:spacing w:line="280" w:lineRule="exact"/>
              <w:ind w:firstLine="0" w:firstLineChars="0"/>
              <w:jc w:val="center"/>
              <w:rPr>
                <w:rFonts w:hint="default" w:ascii="Times New Roman" w:hAnsi="Times New Roman" w:cs="Times New Roman"/>
                <w:color w:val="auto"/>
                <w:kern w:val="0"/>
                <w:sz w:val="24"/>
                <w:szCs w:val="24"/>
              </w:rPr>
            </w:pPr>
          </w:p>
        </w:tc>
        <w:tc>
          <w:tcPr>
            <w:tcW w:w="1587" w:type="dxa"/>
            <w:vMerge w:val="continue"/>
            <w:vAlign w:val="center"/>
          </w:tcPr>
          <w:p w14:paraId="4323C7E9">
            <w:pPr>
              <w:pageBreakBefore w:val="0"/>
              <w:widowControl/>
              <w:wordWrap/>
              <w:topLinePunct w:val="0"/>
              <w:bidi w:val="0"/>
              <w:adjustRightInd w:val="0"/>
              <w:snapToGrid w:val="0"/>
              <w:spacing w:line="280" w:lineRule="exact"/>
              <w:ind w:firstLine="0" w:firstLineChars="0"/>
              <w:jc w:val="center"/>
              <w:rPr>
                <w:rFonts w:hint="default" w:ascii="Times New Roman" w:hAnsi="Times New Roman" w:cs="Times New Roman"/>
                <w:color w:val="auto"/>
                <w:kern w:val="0"/>
                <w:sz w:val="24"/>
                <w:szCs w:val="24"/>
              </w:rPr>
            </w:pPr>
          </w:p>
        </w:tc>
        <w:tc>
          <w:tcPr>
            <w:tcW w:w="2144" w:type="dxa"/>
            <w:vMerge w:val="continue"/>
            <w:vAlign w:val="center"/>
          </w:tcPr>
          <w:p w14:paraId="598AB4CA">
            <w:pPr>
              <w:pageBreakBefore w:val="0"/>
              <w:widowControl/>
              <w:wordWrap/>
              <w:topLinePunct w:val="0"/>
              <w:bidi w:val="0"/>
              <w:adjustRightInd w:val="0"/>
              <w:snapToGrid w:val="0"/>
              <w:spacing w:line="280" w:lineRule="exact"/>
              <w:ind w:firstLine="0" w:firstLineChars="0"/>
              <w:jc w:val="center"/>
              <w:rPr>
                <w:rFonts w:hint="default" w:ascii="Times New Roman" w:hAnsi="Times New Roman" w:cs="Times New Roman"/>
                <w:color w:val="auto"/>
                <w:kern w:val="0"/>
                <w:sz w:val="24"/>
                <w:szCs w:val="24"/>
              </w:rPr>
            </w:pPr>
          </w:p>
        </w:tc>
      </w:tr>
      <w:tr w14:paraId="3E0B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1232" w:type="dxa"/>
            <w:shd w:val="clear" w:color="auto" w:fill="auto"/>
            <w:vAlign w:val="center"/>
          </w:tcPr>
          <w:p w14:paraId="51A38F62">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rPr>
              <w:t>ZK</w:t>
            </w:r>
            <w:r>
              <w:rPr>
                <w:rFonts w:hint="eastAsia" w:cs="Times New Roman"/>
                <w:color w:val="auto"/>
                <w:kern w:val="0"/>
                <w:sz w:val="24"/>
                <w:szCs w:val="24"/>
                <w:lang w:val="en-US" w:eastAsia="zh-CN"/>
              </w:rPr>
              <w:t>306</w:t>
            </w:r>
          </w:p>
        </w:tc>
        <w:tc>
          <w:tcPr>
            <w:tcW w:w="1191" w:type="dxa"/>
            <w:shd w:val="clear" w:color="auto" w:fill="auto"/>
            <w:vAlign w:val="center"/>
          </w:tcPr>
          <w:p w14:paraId="1E8FF428">
            <w:pPr>
              <w:pageBreakBefore w:val="0"/>
              <w:widowControl/>
              <w:wordWrap/>
              <w:topLinePunct w:val="0"/>
              <w:bidi w:val="0"/>
              <w:adjustRightInd w:val="0"/>
              <w:snapToGrid w:val="0"/>
              <w:spacing w:line="280" w:lineRule="exact"/>
              <w:ind w:firstLine="0" w:firstLineChars="0"/>
              <w:jc w:val="center"/>
              <w:rPr>
                <w:rFonts w:hint="eastAsia" w:ascii="Times New Roman" w:hAnsi="Times New Roman" w:eastAsia="仿宋" w:cs="Times New Roman"/>
                <w:color w:val="auto"/>
                <w:kern w:val="0"/>
                <w:sz w:val="24"/>
                <w:szCs w:val="24"/>
                <w:lang w:val="en-US" w:eastAsia="zh-CN"/>
              </w:rPr>
            </w:pPr>
            <w:r>
              <w:rPr>
                <w:rFonts w:hint="eastAsia" w:cs="Times New Roman"/>
                <w:color w:val="auto"/>
                <w:kern w:val="0"/>
                <w:sz w:val="24"/>
                <w:szCs w:val="24"/>
                <w:lang w:val="en-US" w:eastAsia="zh-CN"/>
              </w:rPr>
              <w:t>1</w:t>
            </w:r>
          </w:p>
        </w:tc>
        <w:tc>
          <w:tcPr>
            <w:tcW w:w="1295" w:type="dxa"/>
            <w:shd w:val="clear" w:color="auto" w:fill="auto"/>
            <w:vAlign w:val="center"/>
          </w:tcPr>
          <w:p w14:paraId="33D4BA71">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揭露水泥用灰岩</w:t>
            </w:r>
          </w:p>
        </w:tc>
        <w:tc>
          <w:tcPr>
            <w:tcW w:w="1417" w:type="dxa"/>
            <w:shd w:val="clear" w:color="auto" w:fill="auto"/>
            <w:vAlign w:val="center"/>
          </w:tcPr>
          <w:p w14:paraId="283B8DFC">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eastAsia" w:cs="Times New Roman"/>
                <w:color w:val="auto"/>
                <w:kern w:val="0"/>
                <w:sz w:val="24"/>
                <w:szCs w:val="24"/>
                <w:lang w:val="en-US" w:eastAsia="zh-CN"/>
              </w:rPr>
              <w:t>214</w:t>
            </w:r>
          </w:p>
        </w:tc>
        <w:tc>
          <w:tcPr>
            <w:tcW w:w="1587" w:type="dxa"/>
            <w:shd w:val="clear" w:color="auto" w:fill="auto"/>
            <w:vAlign w:val="center"/>
          </w:tcPr>
          <w:p w14:paraId="511DFB67">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rPr>
              <w:t>+</w:t>
            </w:r>
            <w:r>
              <w:rPr>
                <w:rFonts w:hint="eastAsia" w:cs="Times New Roman"/>
                <w:color w:val="auto"/>
                <w:kern w:val="0"/>
                <w:sz w:val="24"/>
                <w:szCs w:val="24"/>
                <w:lang w:val="en-US" w:eastAsia="zh-CN"/>
              </w:rPr>
              <w:t>195</w:t>
            </w:r>
          </w:p>
        </w:tc>
        <w:tc>
          <w:tcPr>
            <w:tcW w:w="2144" w:type="dxa"/>
            <w:shd w:val="clear" w:color="auto" w:fill="auto"/>
            <w:vAlign w:val="center"/>
          </w:tcPr>
          <w:p w14:paraId="5D940B88">
            <w:pPr>
              <w:pageBreakBefore w:val="0"/>
              <w:widowControl/>
              <w:wordWrap/>
              <w:topLinePunct w:val="0"/>
              <w:bidi w:val="0"/>
              <w:adjustRightInd w:val="0"/>
              <w:snapToGrid w:val="0"/>
              <w:spacing w:line="280" w:lineRule="exact"/>
              <w:ind w:firstLine="0" w:firstLineChars="0"/>
              <w:jc w:val="left"/>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基本分析样，抗压强度、物理性能样、薄片鉴定、碱活性反应、化学分析、小体重、放射性</w:t>
            </w:r>
          </w:p>
        </w:tc>
      </w:tr>
      <w:tr w14:paraId="73564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32" w:type="dxa"/>
            <w:shd w:val="clear" w:color="auto" w:fill="auto"/>
            <w:vAlign w:val="center"/>
          </w:tcPr>
          <w:p w14:paraId="6187387C">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rPr>
              <w:t>ZK</w:t>
            </w:r>
            <w:r>
              <w:rPr>
                <w:rFonts w:hint="eastAsia" w:cs="Times New Roman"/>
                <w:color w:val="auto"/>
                <w:kern w:val="0"/>
                <w:sz w:val="24"/>
                <w:szCs w:val="24"/>
                <w:lang w:val="en-US" w:eastAsia="zh-CN"/>
              </w:rPr>
              <w:t>307</w:t>
            </w:r>
          </w:p>
        </w:tc>
        <w:tc>
          <w:tcPr>
            <w:tcW w:w="1191" w:type="dxa"/>
            <w:shd w:val="clear" w:color="auto" w:fill="auto"/>
            <w:vAlign w:val="center"/>
          </w:tcPr>
          <w:p w14:paraId="5B2A6484">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eastAsia" w:cs="Times New Roman"/>
                <w:color w:val="auto"/>
                <w:kern w:val="0"/>
                <w:sz w:val="24"/>
                <w:szCs w:val="24"/>
                <w:lang w:val="en-US" w:eastAsia="zh-CN"/>
              </w:rPr>
              <w:t>6</w:t>
            </w:r>
          </w:p>
        </w:tc>
        <w:tc>
          <w:tcPr>
            <w:tcW w:w="1295" w:type="dxa"/>
            <w:shd w:val="clear" w:color="auto" w:fill="auto"/>
            <w:vAlign w:val="center"/>
          </w:tcPr>
          <w:p w14:paraId="562C5388">
            <w:pPr>
              <w:pageBreakBefore w:val="0"/>
              <w:widowControl/>
              <w:wordWrap/>
              <w:topLinePunct w:val="0"/>
              <w:bidi w:val="0"/>
              <w:adjustRightInd w:val="0"/>
              <w:snapToGrid w:val="0"/>
              <w:spacing w:line="280" w:lineRule="exact"/>
              <w:ind w:left="0" w:leftChars="0" w:firstLine="0" w:firstLineChars="0"/>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揭露水泥用灰岩</w:t>
            </w:r>
          </w:p>
        </w:tc>
        <w:tc>
          <w:tcPr>
            <w:tcW w:w="1417" w:type="dxa"/>
            <w:shd w:val="clear" w:color="auto" w:fill="auto"/>
            <w:vAlign w:val="center"/>
          </w:tcPr>
          <w:p w14:paraId="77DBA0FF">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eastAsia" w:cs="Times New Roman"/>
                <w:color w:val="auto"/>
                <w:kern w:val="0"/>
                <w:sz w:val="24"/>
                <w:szCs w:val="24"/>
                <w:lang w:val="en-US" w:eastAsia="zh-CN"/>
              </w:rPr>
              <w:t>103</w:t>
            </w:r>
          </w:p>
        </w:tc>
        <w:tc>
          <w:tcPr>
            <w:tcW w:w="1587" w:type="dxa"/>
            <w:shd w:val="clear" w:color="auto" w:fill="auto"/>
            <w:vAlign w:val="center"/>
          </w:tcPr>
          <w:p w14:paraId="3C33B57B">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rPr>
              <w:t>+</w:t>
            </w:r>
            <w:r>
              <w:rPr>
                <w:rFonts w:hint="eastAsia" w:cs="Times New Roman"/>
                <w:color w:val="auto"/>
                <w:kern w:val="0"/>
                <w:sz w:val="24"/>
                <w:szCs w:val="24"/>
                <w:lang w:val="en-US" w:eastAsia="zh-CN"/>
              </w:rPr>
              <w:t>322</w:t>
            </w:r>
          </w:p>
        </w:tc>
        <w:tc>
          <w:tcPr>
            <w:tcW w:w="2144" w:type="dxa"/>
            <w:shd w:val="clear" w:color="auto" w:fill="auto"/>
            <w:vAlign w:val="center"/>
          </w:tcPr>
          <w:p w14:paraId="7DBDE45D">
            <w:pPr>
              <w:pageBreakBefore w:val="0"/>
              <w:widowControl/>
              <w:wordWrap/>
              <w:topLinePunct w:val="0"/>
              <w:bidi w:val="0"/>
              <w:adjustRightInd w:val="0"/>
              <w:snapToGrid w:val="0"/>
              <w:spacing w:line="280" w:lineRule="exact"/>
              <w:ind w:left="0" w:leftChars="0" w:firstLine="0" w:firstLineChars="0"/>
              <w:jc w:val="left"/>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基本分析样，抗压强度、物理性能样、薄片鉴定、碱活性反应、化学分析、小体重、放射性</w:t>
            </w:r>
          </w:p>
        </w:tc>
      </w:tr>
      <w:tr w14:paraId="644A1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32" w:type="dxa"/>
            <w:shd w:val="clear" w:color="auto" w:fill="auto"/>
            <w:vAlign w:val="center"/>
          </w:tcPr>
          <w:p w14:paraId="16FEA77D">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rPr>
              <w:t>ZK</w:t>
            </w:r>
            <w:r>
              <w:rPr>
                <w:rFonts w:hint="eastAsia" w:cs="Times New Roman"/>
                <w:color w:val="auto"/>
                <w:kern w:val="0"/>
                <w:sz w:val="24"/>
                <w:szCs w:val="24"/>
                <w:lang w:val="en-US" w:eastAsia="zh-CN"/>
              </w:rPr>
              <w:t>104</w:t>
            </w:r>
          </w:p>
        </w:tc>
        <w:tc>
          <w:tcPr>
            <w:tcW w:w="1191" w:type="dxa"/>
            <w:shd w:val="clear" w:color="auto" w:fill="auto"/>
            <w:vAlign w:val="center"/>
          </w:tcPr>
          <w:p w14:paraId="686F6A2D">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eastAsia" w:cs="Times New Roman"/>
                <w:color w:val="auto"/>
                <w:kern w:val="0"/>
                <w:sz w:val="24"/>
                <w:szCs w:val="24"/>
                <w:lang w:val="en-US" w:eastAsia="zh-CN"/>
              </w:rPr>
              <w:t>3</w:t>
            </w:r>
          </w:p>
        </w:tc>
        <w:tc>
          <w:tcPr>
            <w:tcW w:w="1295" w:type="dxa"/>
            <w:shd w:val="clear" w:color="auto" w:fill="auto"/>
            <w:vAlign w:val="center"/>
          </w:tcPr>
          <w:p w14:paraId="76FE4DC4">
            <w:pPr>
              <w:pageBreakBefore w:val="0"/>
              <w:widowControl/>
              <w:wordWrap/>
              <w:topLinePunct w:val="0"/>
              <w:bidi w:val="0"/>
              <w:adjustRightInd w:val="0"/>
              <w:snapToGrid w:val="0"/>
              <w:spacing w:line="280" w:lineRule="exact"/>
              <w:ind w:left="0" w:leftChars="0" w:firstLine="0" w:firstLineChars="0"/>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揭露水泥用灰岩</w:t>
            </w:r>
          </w:p>
        </w:tc>
        <w:tc>
          <w:tcPr>
            <w:tcW w:w="1417" w:type="dxa"/>
            <w:shd w:val="clear" w:color="auto" w:fill="auto"/>
            <w:noWrap/>
            <w:vAlign w:val="center"/>
          </w:tcPr>
          <w:p w14:paraId="29FFB6A4">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bidi="ar-SA"/>
              </w:rPr>
            </w:pPr>
            <w:r>
              <w:rPr>
                <w:rFonts w:hint="eastAsia" w:cs="Times New Roman"/>
                <w:color w:val="auto"/>
                <w:kern w:val="0"/>
                <w:sz w:val="24"/>
                <w:szCs w:val="24"/>
                <w:lang w:val="en-US" w:eastAsia="zh-CN"/>
              </w:rPr>
              <w:t>127</w:t>
            </w:r>
          </w:p>
        </w:tc>
        <w:tc>
          <w:tcPr>
            <w:tcW w:w="1587" w:type="dxa"/>
            <w:shd w:val="clear" w:color="auto" w:fill="auto"/>
            <w:vAlign w:val="center"/>
          </w:tcPr>
          <w:p w14:paraId="1C1F0620">
            <w:pPr>
              <w:pageBreakBefore w:val="0"/>
              <w:widowControl/>
              <w:wordWrap/>
              <w:topLinePunct w:val="0"/>
              <w:bidi w:val="0"/>
              <w:adjustRightInd w:val="0"/>
              <w:snapToGrid w:val="0"/>
              <w:spacing w:line="280" w:lineRule="exact"/>
              <w:ind w:left="0" w:leftChars="0" w:firstLine="0" w:firstLineChars="0"/>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rPr>
              <w:t>+</w:t>
            </w:r>
            <w:r>
              <w:rPr>
                <w:rFonts w:hint="eastAsia" w:cs="Times New Roman"/>
                <w:color w:val="auto"/>
                <w:kern w:val="0"/>
                <w:sz w:val="24"/>
                <w:szCs w:val="24"/>
                <w:lang w:val="en-US" w:eastAsia="zh-CN"/>
              </w:rPr>
              <w:t>283</w:t>
            </w:r>
          </w:p>
        </w:tc>
        <w:tc>
          <w:tcPr>
            <w:tcW w:w="2144" w:type="dxa"/>
            <w:shd w:val="clear" w:color="auto" w:fill="auto"/>
            <w:vAlign w:val="center"/>
          </w:tcPr>
          <w:p w14:paraId="38E67663">
            <w:pPr>
              <w:pageBreakBefore w:val="0"/>
              <w:widowControl/>
              <w:wordWrap/>
              <w:topLinePunct w:val="0"/>
              <w:bidi w:val="0"/>
              <w:adjustRightInd w:val="0"/>
              <w:snapToGrid w:val="0"/>
              <w:spacing w:line="280" w:lineRule="exact"/>
              <w:ind w:left="0" w:leftChars="0" w:firstLine="0" w:firstLineChars="0"/>
              <w:jc w:val="left"/>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基本分析样，抗压强度、物理性能样、薄片鉴定、碱活性反应、化学分析、小体重、放射性</w:t>
            </w:r>
          </w:p>
        </w:tc>
      </w:tr>
      <w:tr w14:paraId="08E80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32" w:type="dxa"/>
            <w:shd w:val="clear" w:color="auto" w:fill="auto"/>
            <w:vAlign w:val="center"/>
          </w:tcPr>
          <w:p w14:paraId="6DAD17BB">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rPr>
              <w:t>ZK</w:t>
            </w:r>
            <w:r>
              <w:rPr>
                <w:rFonts w:hint="eastAsia" w:cs="Times New Roman"/>
                <w:color w:val="auto"/>
                <w:kern w:val="0"/>
                <w:sz w:val="24"/>
                <w:szCs w:val="24"/>
                <w:lang w:val="en-US" w:eastAsia="zh-CN"/>
              </w:rPr>
              <w:t>106</w:t>
            </w:r>
          </w:p>
        </w:tc>
        <w:tc>
          <w:tcPr>
            <w:tcW w:w="1191" w:type="dxa"/>
            <w:shd w:val="clear" w:color="auto" w:fill="auto"/>
            <w:vAlign w:val="center"/>
          </w:tcPr>
          <w:p w14:paraId="329EBB1A">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eastAsia" w:cs="Times New Roman"/>
                <w:color w:val="auto"/>
                <w:kern w:val="0"/>
                <w:sz w:val="24"/>
                <w:szCs w:val="24"/>
                <w:lang w:val="en-US" w:eastAsia="zh-CN"/>
              </w:rPr>
              <w:t>8</w:t>
            </w:r>
          </w:p>
        </w:tc>
        <w:tc>
          <w:tcPr>
            <w:tcW w:w="1295" w:type="dxa"/>
            <w:shd w:val="clear" w:color="auto" w:fill="auto"/>
            <w:vAlign w:val="center"/>
          </w:tcPr>
          <w:p w14:paraId="40FC1A30">
            <w:pPr>
              <w:pageBreakBefore w:val="0"/>
              <w:widowControl/>
              <w:wordWrap/>
              <w:topLinePunct w:val="0"/>
              <w:bidi w:val="0"/>
              <w:adjustRightInd w:val="0"/>
              <w:snapToGrid w:val="0"/>
              <w:spacing w:line="280" w:lineRule="exact"/>
              <w:ind w:left="0" w:leftChars="0" w:firstLine="0" w:firstLineChars="0"/>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揭露水泥用灰岩</w:t>
            </w:r>
          </w:p>
        </w:tc>
        <w:tc>
          <w:tcPr>
            <w:tcW w:w="1417" w:type="dxa"/>
            <w:shd w:val="clear" w:color="auto" w:fill="auto"/>
            <w:noWrap/>
            <w:vAlign w:val="center"/>
          </w:tcPr>
          <w:p w14:paraId="04D48114">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bidi="ar-SA"/>
              </w:rPr>
            </w:pPr>
            <w:r>
              <w:rPr>
                <w:rFonts w:hint="eastAsia" w:cs="Times New Roman"/>
                <w:color w:val="auto"/>
                <w:kern w:val="0"/>
                <w:sz w:val="24"/>
                <w:szCs w:val="24"/>
                <w:lang w:val="en-US" w:eastAsia="zh-CN"/>
              </w:rPr>
              <w:t>36</w:t>
            </w:r>
          </w:p>
        </w:tc>
        <w:tc>
          <w:tcPr>
            <w:tcW w:w="1587" w:type="dxa"/>
            <w:shd w:val="clear" w:color="auto" w:fill="auto"/>
            <w:vAlign w:val="center"/>
          </w:tcPr>
          <w:p w14:paraId="00A9C571">
            <w:pPr>
              <w:pageBreakBefore w:val="0"/>
              <w:widowControl/>
              <w:wordWrap/>
              <w:topLinePunct w:val="0"/>
              <w:bidi w:val="0"/>
              <w:adjustRightInd w:val="0"/>
              <w:snapToGrid w:val="0"/>
              <w:spacing w:line="280" w:lineRule="exact"/>
              <w:ind w:left="0" w:leftChars="0" w:firstLine="0" w:firstLineChars="0"/>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rPr>
              <w:t>+</w:t>
            </w:r>
            <w:r>
              <w:rPr>
                <w:rFonts w:hint="eastAsia" w:cs="Times New Roman"/>
                <w:color w:val="auto"/>
                <w:kern w:val="0"/>
                <w:sz w:val="24"/>
                <w:szCs w:val="24"/>
                <w:lang w:val="en-US" w:eastAsia="zh-CN"/>
              </w:rPr>
              <w:t>372</w:t>
            </w:r>
          </w:p>
        </w:tc>
        <w:tc>
          <w:tcPr>
            <w:tcW w:w="2144" w:type="dxa"/>
            <w:shd w:val="clear" w:color="auto" w:fill="auto"/>
            <w:vAlign w:val="center"/>
          </w:tcPr>
          <w:p w14:paraId="39CD0058">
            <w:pPr>
              <w:pageBreakBefore w:val="0"/>
              <w:widowControl/>
              <w:wordWrap/>
              <w:topLinePunct w:val="0"/>
              <w:bidi w:val="0"/>
              <w:adjustRightInd w:val="0"/>
              <w:snapToGrid w:val="0"/>
              <w:spacing w:line="280" w:lineRule="exact"/>
              <w:ind w:left="0" w:leftChars="0" w:firstLine="0" w:firstLineChars="0"/>
              <w:jc w:val="left"/>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基本分析样，抗压强度、物理性能样、薄片鉴定、碱活性反应、化学分析、小体重、放射性</w:t>
            </w:r>
          </w:p>
        </w:tc>
      </w:tr>
      <w:tr w14:paraId="2CB4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32" w:type="dxa"/>
            <w:shd w:val="clear" w:color="auto" w:fill="auto"/>
            <w:vAlign w:val="center"/>
          </w:tcPr>
          <w:p w14:paraId="6D4DF5F0">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rPr>
              <w:t>ZK</w:t>
            </w:r>
            <w:r>
              <w:rPr>
                <w:rFonts w:hint="eastAsia" w:cs="Times New Roman"/>
                <w:color w:val="auto"/>
                <w:kern w:val="0"/>
                <w:sz w:val="24"/>
                <w:szCs w:val="24"/>
                <w:lang w:val="en-US" w:eastAsia="zh-CN"/>
              </w:rPr>
              <w:t>502</w:t>
            </w:r>
          </w:p>
        </w:tc>
        <w:tc>
          <w:tcPr>
            <w:tcW w:w="1191" w:type="dxa"/>
            <w:shd w:val="clear" w:color="auto" w:fill="auto"/>
            <w:vAlign w:val="center"/>
          </w:tcPr>
          <w:p w14:paraId="2C495DE9">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eastAsia" w:cs="Times New Roman"/>
                <w:color w:val="auto"/>
                <w:kern w:val="0"/>
                <w:sz w:val="24"/>
                <w:szCs w:val="24"/>
                <w:lang w:val="en-US" w:eastAsia="zh-CN"/>
              </w:rPr>
              <w:t>4</w:t>
            </w:r>
          </w:p>
        </w:tc>
        <w:tc>
          <w:tcPr>
            <w:tcW w:w="1295" w:type="dxa"/>
            <w:shd w:val="clear" w:color="auto" w:fill="auto"/>
            <w:vAlign w:val="center"/>
          </w:tcPr>
          <w:p w14:paraId="298573FC">
            <w:pPr>
              <w:pageBreakBefore w:val="0"/>
              <w:widowControl/>
              <w:wordWrap/>
              <w:topLinePunct w:val="0"/>
              <w:bidi w:val="0"/>
              <w:adjustRightInd w:val="0"/>
              <w:snapToGrid w:val="0"/>
              <w:spacing w:line="280" w:lineRule="exact"/>
              <w:ind w:left="0" w:leftChars="0" w:firstLine="0" w:firstLineChars="0"/>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揭露水泥用灰岩</w:t>
            </w:r>
          </w:p>
        </w:tc>
        <w:tc>
          <w:tcPr>
            <w:tcW w:w="1417" w:type="dxa"/>
            <w:shd w:val="clear" w:color="auto" w:fill="auto"/>
            <w:noWrap/>
            <w:vAlign w:val="center"/>
          </w:tcPr>
          <w:p w14:paraId="2C6F5CAB">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eastAsia" w:cs="Times New Roman"/>
                <w:color w:val="auto"/>
                <w:kern w:val="0"/>
                <w:sz w:val="24"/>
                <w:szCs w:val="24"/>
                <w:lang w:val="en-US" w:eastAsia="zh-CN"/>
              </w:rPr>
              <w:t>154</w:t>
            </w:r>
          </w:p>
        </w:tc>
        <w:tc>
          <w:tcPr>
            <w:tcW w:w="1587" w:type="dxa"/>
            <w:shd w:val="clear" w:color="auto" w:fill="auto"/>
            <w:vAlign w:val="center"/>
          </w:tcPr>
          <w:p w14:paraId="2EC0996D">
            <w:pPr>
              <w:pageBreakBefore w:val="0"/>
              <w:widowControl/>
              <w:wordWrap/>
              <w:topLinePunct w:val="0"/>
              <w:bidi w:val="0"/>
              <w:adjustRightInd w:val="0"/>
              <w:snapToGrid w:val="0"/>
              <w:spacing w:line="280" w:lineRule="exact"/>
              <w:ind w:left="0" w:leftChars="0" w:firstLine="0" w:firstLineChars="0"/>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rPr>
              <w:t>+</w:t>
            </w:r>
            <w:r>
              <w:rPr>
                <w:rFonts w:hint="eastAsia" w:cs="Times New Roman"/>
                <w:color w:val="auto"/>
                <w:kern w:val="0"/>
                <w:sz w:val="24"/>
                <w:szCs w:val="24"/>
                <w:lang w:val="en-US" w:eastAsia="zh-CN"/>
              </w:rPr>
              <w:t>287</w:t>
            </w:r>
          </w:p>
        </w:tc>
        <w:tc>
          <w:tcPr>
            <w:tcW w:w="2144" w:type="dxa"/>
            <w:shd w:val="clear" w:color="auto" w:fill="auto"/>
            <w:vAlign w:val="center"/>
          </w:tcPr>
          <w:p w14:paraId="5D04213F">
            <w:pPr>
              <w:pageBreakBefore w:val="0"/>
              <w:widowControl/>
              <w:wordWrap/>
              <w:topLinePunct w:val="0"/>
              <w:bidi w:val="0"/>
              <w:adjustRightInd w:val="0"/>
              <w:snapToGrid w:val="0"/>
              <w:spacing w:line="280" w:lineRule="exact"/>
              <w:ind w:left="0" w:leftChars="0" w:firstLine="0" w:firstLineChars="0"/>
              <w:jc w:val="left"/>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基本分析样，抗压强度、物理性能样、薄片鉴定、碱活性反应、化学分析、小体重、放射性</w:t>
            </w:r>
          </w:p>
        </w:tc>
      </w:tr>
      <w:tr w14:paraId="3529A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32" w:type="dxa"/>
            <w:shd w:val="clear" w:color="auto" w:fill="auto"/>
            <w:vAlign w:val="center"/>
          </w:tcPr>
          <w:p w14:paraId="1727FFE2">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rPr>
              <w:t>ZK</w:t>
            </w:r>
            <w:r>
              <w:rPr>
                <w:rFonts w:hint="eastAsia" w:cs="Times New Roman"/>
                <w:color w:val="auto"/>
                <w:kern w:val="0"/>
                <w:sz w:val="24"/>
                <w:szCs w:val="24"/>
                <w:lang w:val="en-US" w:eastAsia="zh-CN"/>
              </w:rPr>
              <w:t>504</w:t>
            </w:r>
          </w:p>
        </w:tc>
        <w:tc>
          <w:tcPr>
            <w:tcW w:w="1191" w:type="dxa"/>
            <w:shd w:val="clear" w:color="auto" w:fill="auto"/>
            <w:vAlign w:val="center"/>
          </w:tcPr>
          <w:p w14:paraId="7612F147">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eastAsia" w:cs="Times New Roman"/>
                <w:color w:val="auto"/>
                <w:kern w:val="0"/>
                <w:sz w:val="24"/>
                <w:szCs w:val="24"/>
                <w:lang w:val="en-US" w:eastAsia="zh-CN"/>
              </w:rPr>
              <w:t>9</w:t>
            </w:r>
          </w:p>
        </w:tc>
        <w:tc>
          <w:tcPr>
            <w:tcW w:w="1295" w:type="dxa"/>
            <w:shd w:val="clear" w:color="auto" w:fill="auto"/>
            <w:vAlign w:val="center"/>
          </w:tcPr>
          <w:p w14:paraId="4457862F">
            <w:pPr>
              <w:pageBreakBefore w:val="0"/>
              <w:widowControl/>
              <w:wordWrap/>
              <w:topLinePunct w:val="0"/>
              <w:bidi w:val="0"/>
              <w:adjustRightInd w:val="0"/>
              <w:snapToGrid w:val="0"/>
              <w:spacing w:line="280" w:lineRule="exact"/>
              <w:ind w:left="0" w:leftChars="0" w:firstLine="0" w:firstLineChars="0"/>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揭露水泥用灰岩</w:t>
            </w:r>
          </w:p>
        </w:tc>
        <w:tc>
          <w:tcPr>
            <w:tcW w:w="1417" w:type="dxa"/>
            <w:shd w:val="clear" w:color="auto" w:fill="auto"/>
            <w:noWrap/>
            <w:vAlign w:val="center"/>
          </w:tcPr>
          <w:p w14:paraId="73FC9FB0">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eastAsia" w:cs="Times New Roman"/>
                <w:color w:val="auto"/>
                <w:kern w:val="0"/>
                <w:sz w:val="24"/>
                <w:szCs w:val="24"/>
                <w:lang w:val="en-US" w:eastAsia="zh-CN"/>
              </w:rPr>
              <w:t>122</w:t>
            </w:r>
          </w:p>
        </w:tc>
        <w:tc>
          <w:tcPr>
            <w:tcW w:w="1587" w:type="dxa"/>
            <w:shd w:val="clear" w:color="auto" w:fill="auto"/>
            <w:vAlign w:val="center"/>
          </w:tcPr>
          <w:p w14:paraId="724925A1">
            <w:pPr>
              <w:pageBreakBefore w:val="0"/>
              <w:widowControl/>
              <w:wordWrap/>
              <w:topLinePunct w:val="0"/>
              <w:bidi w:val="0"/>
              <w:adjustRightInd w:val="0"/>
              <w:snapToGrid w:val="0"/>
              <w:spacing w:line="280" w:lineRule="exact"/>
              <w:ind w:left="0" w:leftChars="0" w:firstLine="0" w:firstLineChars="0"/>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rPr>
              <w:t>+</w:t>
            </w:r>
            <w:r>
              <w:rPr>
                <w:rFonts w:hint="eastAsia" w:cs="Times New Roman"/>
                <w:color w:val="auto"/>
                <w:kern w:val="0"/>
                <w:sz w:val="24"/>
                <w:szCs w:val="24"/>
                <w:lang w:val="en-US" w:eastAsia="zh-CN"/>
              </w:rPr>
              <w:t>303</w:t>
            </w:r>
          </w:p>
        </w:tc>
        <w:tc>
          <w:tcPr>
            <w:tcW w:w="2144" w:type="dxa"/>
            <w:shd w:val="clear" w:color="auto" w:fill="auto"/>
            <w:vAlign w:val="center"/>
          </w:tcPr>
          <w:p w14:paraId="132142B6">
            <w:pPr>
              <w:pageBreakBefore w:val="0"/>
              <w:widowControl/>
              <w:wordWrap/>
              <w:topLinePunct w:val="0"/>
              <w:bidi w:val="0"/>
              <w:adjustRightInd w:val="0"/>
              <w:snapToGrid w:val="0"/>
              <w:spacing w:line="280" w:lineRule="exact"/>
              <w:ind w:left="0" w:leftChars="0" w:firstLine="0" w:firstLineChars="0"/>
              <w:jc w:val="left"/>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基本分析样，抗压强度、物理性能样、薄片鉴定、碱活性反应、化学分析、小体重、放射性</w:t>
            </w:r>
          </w:p>
        </w:tc>
      </w:tr>
      <w:tr w14:paraId="4EF4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32" w:type="dxa"/>
            <w:shd w:val="clear" w:color="auto" w:fill="auto"/>
            <w:vAlign w:val="center"/>
          </w:tcPr>
          <w:p w14:paraId="35FD72E3">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rPr>
              <w:t>ZK</w:t>
            </w:r>
            <w:r>
              <w:rPr>
                <w:rFonts w:hint="eastAsia" w:cs="Times New Roman"/>
                <w:color w:val="auto"/>
                <w:kern w:val="0"/>
                <w:sz w:val="24"/>
                <w:szCs w:val="24"/>
                <w:lang w:val="en-US" w:eastAsia="zh-CN"/>
              </w:rPr>
              <w:t>506</w:t>
            </w:r>
          </w:p>
        </w:tc>
        <w:tc>
          <w:tcPr>
            <w:tcW w:w="1191" w:type="dxa"/>
            <w:shd w:val="clear" w:color="auto" w:fill="auto"/>
            <w:vAlign w:val="center"/>
          </w:tcPr>
          <w:p w14:paraId="2476A1A0">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eastAsia" w:cs="Times New Roman"/>
                <w:color w:val="auto"/>
                <w:kern w:val="0"/>
                <w:sz w:val="24"/>
                <w:szCs w:val="24"/>
                <w:lang w:val="en-US" w:eastAsia="zh-CN"/>
              </w:rPr>
              <w:t>5</w:t>
            </w:r>
          </w:p>
        </w:tc>
        <w:tc>
          <w:tcPr>
            <w:tcW w:w="1295" w:type="dxa"/>
            <w:shd w:val="clear" w:color="auto" w:fill="auto"/>
            <w:vAlign w:val="center"/>
          </w:tcPr>
          <w:p w14:paraId="6E62FCEC">
            <w:pPr>
              <w:pageBreakBefore w:val="0"/>
              <w:widowControl/>
              <w:wordWrap/>
              <w:topLinePunct w:val="0"/>
              <w:bidi w:val="0"/>
              <w:adjustRightInd w:val="0"/>
              <w:snapToGrid w:val="0"/>
              <w:spacing w:line="280" w:lineRule="exact"/>
              <w:ind w:left="0" w:leftChars="0" w:firstLine="0" w:firstLineChars="0"/>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揭露水泥用灰岩</w:t>
            </w:r>
          </w:p>
        </w:tc>
        <w:tc>
          <w:tcPr>
            <w:tcW w:w="1417" w:type="dxa"/>
            <w:shd w:val="clear" w:color="auto" w:fill="auto"/>
            <w:noWrap/>
            <w:vAlign w:val="center"/>
          </w:tcPr>
          <w:p w14:paraId="43D689B3">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eastAsia" w:cs="Times New Roman"/>
                <w:color w:val="auto"/>
                <w:kern w:val="0"/>
                <w:sz w:val="24"/>
                <w:szCs w:val="24"/>
                <w:lang w:val="en-US" w:eastAsia="zh-CN"/>
              </w:rPr>
              <w:t>103</w:t>
            </w:r>
          </w:p>
        </w:tc>
        <w:tc>
          <w:tcPr>
            <w:tcW w:w="1587" w:type="dxa"/>
            <w:shd w:val="clear" w:color="auto" w:fill="auto"/>
            <w:vAlign w:val="center"/>
          </w:tcPr>
          <w:p w14:paraId="6433171E">
            <w:pPr>
              <w:pageBreakBefore w:val="0"/>
              <w:widowControl/>
              <w:wordWrap/>
              <w:topLinePunct w:val="0"/>
              <w:bidi w:val="0"/>
              <w:adjustRightInd w:val="0"/>
              <w:snapToGrid w:val="0"/>
              <w:spacing w:line="280" w:lineRule="exact"/>
              <w:ind w:left="0" w:leftChars="0" w:firstLine="0" w:firstLineChars="0"/>
              <w:jc w:val="center"/>
              <w:rPr>
                <w:rFonts w:hint="default" w:ascii="Times New Roman" w:hAnsi="Times New Roman" w:eastAsia="仿宋" w:cs="Times New Roman"/>
                <w:color w:val="auto"/>
                <w:kern w:val="0"/>
                <w:sz w:val="24"/>
                <w:szCs w:val="24"/>
                <w:lang w:val="en-US" w:eastAsia="zh-CN"/>
              </w:rPr>
            </w:pPr>
            <w:r>
              <w:rPr>
                <w:rFonts w:hint="default" w:ascii="Times New Roman" w:hAnsi="Times New Roman" w:eastAsia="仿宋" w:cs="Times New Roman"/>
                <w:color w:val="auto"/>
                <w:kern w:val="0"/>
                <w:sz w:val="24"/>
                <w:szCs w:val="24"/>
              </w:rPr>
              <w:t>+</w:t>
            </w:r>
            <w:r>
              <w:rPr>
                <w:rFonts w:hint="eastAsia" w:cs="Times New Roman"/>
                <w:color w:val="auto"/>
                <w:kern w:val="0"/>
                <w:sz w:val="24"/>
                <w:szCs w:val="24"/>
                <w:lang w:val="en-US" w:eastAsia="zh-CN"/>
              </w:rPr>
              <w:t>322</w:t>
            </w:r>
          </w:p>
        </w:tc>
        <w:tc>
          <w:tcPr>
            <w:tcW w:w="2144" w:type="dxa"/>
            <w:shd w:val="clear" w:color="auto" w:fill="auto"/>
            <w:vAlign w:val="center"/>
          </w:tcPr>
          <w:p w14:paraId="7799A665">
            <w:pPr>
              <w:pageBreakBefore w:val="0"/>
              <w:widowControl/>
              <w:wordWrap/>
              <w:topLinePunct w:val="0"/>
              <w:bidi w:val="0"/>
              <w:adjustRightInd w:val="0"/>
              <w:snapToGrid w:val="0"/>
              <w:spacing w:line="280" w:lineRule="exact"/>
              <w:ind w:left="0" w:leftChars="0" w:firstLine="0" w:firstLineChars="0"/>
              <w:jc w:val="left"/>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基本分析样，抗压强度、物理性能样、薄片鉴定、碱活性反应、化学分析、小体重、放射性</w:t>
            </w:r>
          </w:p>
        </w:tc>
      </w:tr>
      <w:tr w14:paraId="4786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32" w:type="dxa"/>
            <w:shd w:val="clear" w:color="auto" w:fill="auto"/>
            <w:vAlign w:val="center"/>
          </w:tcPr>
          <w:p w14:paraId="06CBAF3C">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ZK</w:t>
            </w:r>
            <w:r>
              <w:rPr>
                <w:rFonts w:hint="eastAsia" w:cs="Times New Roman"/>
                <w:color w:val="auto"/>
                <w:kern w:val="0"/>
                <w:sz w:val="24"/>
                <w:szCs w:val="24"/>
                <w:lang w:val="en-US" w:eastAsia="zh-CN"/>
              </w:rPr>
              <w:t>7</w:t>
            </w:r>
            <w:r>
              <w:rPr>
                <w:rFonts w:hint="default" w:ascii="Times New Roman" w:hAnsi="Times New Roman" w:eastAsia="仿宋" w:cs="Times New Roman"/>
                <w:color w:val="auto"/>
                <w:kern w:val="0"/>
                <w:sz w:val="24"/>
                <w:szCs w:val="24"/>
              </w:rPr>
              <w:t>01</w:t>
            </w:r>
          </w:p>
        </w:tc>
        <w:tc>
          <w:tcPr>
            <w:tcW w:w="1191" w:type="dxa"/>
            <w:shd w:val="clear" w:color="auto" w:fill="auto"/>
            <w:vAlign w:val="center"/>
          </w:tcPr>
          <w:p w14:paraId="0E90D667">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eastAsia" w:cs="Times New Roman"/>
                <w:color w:val="auto"/>
                <w:kern w:val="0"/>
                <w:sz w:val="24"/>
                <w:szCs w:val="24"/>
                <w:lang w:val="en-US" w:eastAsia="zh-CN"/>
              </w:rPr>
              <w:t>2</w:t>
            </w:r>
          </w:p>
        </w:tc>
        <w:tc>
          <w:tcPr>
            <w:tcW w:w="1295" w:type="dxa"/>
            <w:shd w:val="clear" w:color="auto" w:fill="auto"/>
            <w:vAlign w:val="center"/>
          </w:tcPr>
          <w:p w14:paraId="4040EF73">
            <w:pPr>
              <w:pageBreakBefore w:val="0"/>
              <w:widowControl/>
              <w:wordWrap/>
              <w:topLinePunct w:val="0"/>
              <w:bidi w:val="0"/>
              <w:adjustRightInd w:val="0"/>
              <w:snapToGrid w:val="0"/>
              <w:spacing w:line="280" w:lineRule="exact"/>
              <w:ind w:left="0" w:leftChars="0" w:firstLine="0" w:firstLineChars="0"/>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揭露水泥用灰岩</w:t>
            </w:r>
          </w:p>
        </w:tc>
        <w:tc>
          <w:tcPr>
            <w:tcW w:w="1417" w:type="dxa"/>
            <w:shd w:val="clear" w:color="auto" w:fill="auto"/>
            <w:vAlign w:val="center"/>
          </w:tcPr>
          <w:p w14:paraId="2219AF01">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eastAsia" w:cs="Times New Roman"/>
                <w:color w:val="auto"/>
                <w:kern w:val="0"/>
                <w:sz w:val="24"/>
                <w:szCs w:val="24"/>
                <w:lang w:val="en-US" w:eastAsia="zh-CN"/>
              </w:rPr>
              <w:t>394</w:t>
            </w:r>
          </w:p>
        </w:tc>
        <w:tc>
          <w:tcPr>
            <w:tcW w:w="1587" w:type="dxa"/>
            <w:shd w:val="clear" w:color="auto" w:fill="auto"/>
            <w:vAlign w:val="center"/>
          </w:tcPr>
          <w:p w14:paraId="2E319CA6">
            <w:pPr>
              <w:pageBreakBefore w:val="0"/>
              <w:widowControl/>
              <w:wordWrap/>
              <w:topLinePunct w:val="0"/>
              <w:bidi w:val="0"/>
              <w:adjustRightInd w:val="0"/>
              <w:snapToGrid w:val="0"/>
              <w:spacing w:line="280" w:lineRule="exact"/>
              <w:ind w:left="0" w:leftChars="0" w:firstLine="0" w:firstLineChars="0"/>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w:t>
            </w:r>
            <w:r>
              <w:rPr>
                <w:rFonts w:hint="eastAsia" w:cs="Times New Roman"/>
                <w:color w:val="auto"/>
                <w:kern w:val="0"/>
                <w:sz w:val="24"/>
                <w:szCs w:val="24"/>
                <w:lang w:val="en-US" w:eastAsia="zh-CN"/>
              </w:rPr>
              <w:t>88</w:t>
            </w:r>
            <w:r>
              <w:rPr>
                <w:rFonts w:hint="default" w:ascii="Times New Roman" w:hAnsi="Times New Roman" w:eastAsia="仿宋" w:cs="Times New Roman"/>
                <w:color w:val="auto"/>
                <w:kern w:val="0"/>
                <w:sz w:val="24"/>
                <w:szCs w:val="24"/>
              </w:rPr>
              <w:t>m</w:t>
            </w:r>
          </w:p>
        </w:tc>
        <w:tc>
          <w:tcPr>
            <w:tcW w:w="2144" w:type="dxa"/>
            <w:shd w:val="clear" w:color="auto" w:fill="auto"/>
            <w:vAlign w:val="center"/>
          </w:tcPr>
          <w:p w14:paraId="48C3C70D">
            <w:pPr>
              <w:pageBreakBefore w:val="0"/>
              <w:widowControl/>
              <w:wordWrap/>
              <w:topLinePunct w:val="0"/>
              <w:bidi w:val="0"/>
              <w:adjustRightInd w:val="0"/>
              <w:snapToGrid w:val="0"/>
              <w:spacing w:line="280" w:lineRule="exact"/>
              <w:ind w:left="0" w:leftChars="0" w:firstLine="0" w:firstLineChars="0"/>
              <w:jc w:val="left"/>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基本分析样，抗压强度、物理性能样、薄片鉴定、碱活性反应、化学分析、小体重、放射性</w:t>
            </w:r>
          </w:p>
        </w:tc>
      </w:tr>
      <w:tr w14:paraId="3D43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32" w:type="dxa"/>
            <w:shd w:val="clear" w:color="auto" w:fill="auto"/>
            <w:vAlign w:val="center"/>
          </w:tcPr>
          <w:p w14:paraId="37703387">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ZK702</w:t>
            </w:r>
          </w:p>
        </w:tc>
        <w:tc>
          <w:tcPr>
            <w:tcW w:w="1191" w:type="dxa"/>
            <w:shd w:val="clear" w:color="auto" w:fill="auto"/>
            <w:vAlign w:val="center"/>
          </w:tcPr>
          <w:p w14:paraId="669FE6AE">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eastAsia" w:cs="Times New Roman"/>
                <w:color w:val="auto"/>
                <w:kern w:val="0"/>
                <w:sz w:val="24"/>
                <w:szCs w:val="24"/>
                <w:lang w:val="en-US" w:eastAsia="zh-CN"/>
              </w:rPr>
              <w:t>7</w:t>
            </w:r>
          </w:p>
        </w:tc>
        <w:tc>
          <w:tcPr>
            <w:tcW w:w="1295" w:type="dxa"/>
            <w:shd w:val="clear" w:color="auto" w:fill="auto"/>
            <w:vAlign w:val="center"/>
          </w:tcPr>
          <w:p w14:paraId="26720329">
            <w:pPr>
              <w:pageBreakBefore w:val="0"/>
              <w:widowControl/>
              <w:wordWrap/>
              <w:topLinePunct w:val="0"/>
              <w:bidi w:val="0"/>
              <w:adjustRightInd w:val="0"/>
              <w:snapToGrid w:val="0"/>
              <w:spacing w:line="280" w:lineRule="exact"/>
              <w:ind w:left="0" w:leftChars="0" w:firstLine="0" w:firstLineChars="0"/>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揭露水泥用灰岩</w:t>
            </w:r>
          </w:p>
        </w:tc>
        <w:tc>
          <w:tcPr>
            <w:tcW w:w="1417" w:type="dxa"/>
            <w:shd w:val="clear" w:color="auto" w:fill="auto"/>
            <w:vAlign w:val="center"/>
          </w:tcPr>
          <w:p w14:paraId="2212C3D0">
            <w:pPr>
              <w:pageBreakBefore w:val="0"/>
              <w:widowControl/>
              <w:wordWrap/>
              <w:topLinePunct w:val="0"/>
              <w:bidi w:val="0"/>
              <w:adjustRightInd w:val="0"/>
              <w:snapToGrid w:val="0"/>
              <w:spacing w:line="280" w:lineRule="exact"/>
              <w:ind w:firstLine="0" w:firstLineChars="0"/>
              <w:jc w:val="center"/>
              <w:rPr>
                <w:rFonts w:hint="default" w:ascii="Times New Roman" w:hAnsi="Times New Roman" w:eastAsia="仿宋" w:cs="Times New Roman"/>
                <w:color w:val="auto"/>
                <w:kern w:val="0"/>
                <w:sz w:val="24"/>
                <w:szCs w:val="24"/>
                <w:lang w:val="en-US" w:eastAsia="zh-CN"/>
              </w:rPr>
            </w:pPr>
            <w:r>
              <w:rPr>
                <w:rFonts w:hint="eastAsia" w:cs="Times New Roman"/>
                <w:color w:val="auto"/>
                <w:kern w:val="0"/>
                <w:sz w:val="24"/>
                <w:szCs w:val="24"/>
                <w:lang w:val="en-US" w:eastAsia="zh-CN"/>
              </w:rPr>
              <w:t>70</w:t>
            </w:r>
          </w:p>
        </w:tc>
        <w:tc>
          <w:tcPr>
            <w:tcW w:w="1587" w:type="dxa"/>
            <w:shd w:val="clear" w:color="auto" w:fill="auto"/>
            <w:vAlign w:val="center"/>
          </w:tcPr>
          <w:p w14:paraId="7A7E2832">
            <w:pPr>
              <w:pageBreakBefore w:val="0"/>
              <w:widowControl/>
              <w:wordWrap/>
              <w:topLinePunct w:val="0"/>
              <w:bidi w:val="0"/>
              <w:adjustRightInd w:val="0"/>
              <w:snapToGrid w:val="0"/>
              <w:spacing w:line="280" w:lineRule="exact"/>
              <w:ind w:left="0" w:leftChars="0" w:firstLine="0" w:firstLineChars="0"/>
              <w:jc w:val="center"/>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w:t>
            </w:r>
            <w:r>
              <w:rPr>
                <w:rFonts w:hint="eastAsia" w:cs="Times New Roman"/>
                <w:color w:val="auto"/>
                <w:kern w:val="0"/>
                <w:sz w:val="24"/>
                <w:szCs w:val="24"/>
                <w:lang w:val="en-US" w:eastAsia="zh-CN"/>
              </w:rPr>
              <w:t>370</w:t>
            </w:r>
            <w:r>
              <w:rPr>
                <w:rFonts w:hint="default" w:ascii="Times New Roman" w:hAnsi="Times New Roman" w:eastAsia="仿宋" w:cs="Times New Roman"/>
                <w:color w:val="auto"/>
                <w:kern w:val="0"/>
                <w:sz w:val="24"/>
                <w:szCs w:val="24"/>
              </w:rPr>
              <w:t>m</w:t>
            </w:r>
          </w:p>
        </w:tc>
        <w:tc>
          <w:tcPr>
            <w:tcW w:w="2144" w:type="dxa"/>
            <w:shd w:val="clear" w:color="auto" w:fill="auto"/>
            <w:vAlign w:val="center"/>
          </w:tcPr>
          <w:p w14:paraId="3DAE9D0E">
            <w:pPr>
              <w:pageBreakBefore w:val="0"/>
              <w:widowControl/>
              <w:wordWrap/>
              <w:topLinePunct w:val="0"/>
              <w:bidi w:val="0"/>
              <w:adjustRightInd w:val="0"/>
              <w:snapToGrid w:val="0"/>
              <w:spacing w:line="280" w:lineRule="exact"/>
              <w:ind w:left="0" w:leftChars="0" w:firstLine="0" w:firstLineChars="0"/>
              <w:jc w:val="left"/>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基本分析样，抗压强度、物理性能样、薄片鉴定、碱活性反应、化学分析、小体重、放射性</w:t>
            </w:r>
          </w:p>
        </w:tc>
      </w:tr>
    </w:tbl>
    <w:p w14:paraId="60319239">
      <w:pPr>
        <w:ind w:firstLine="560"/>
      </w:pPr>
      <w:r>
        <w:br w:type="page"/>
      </w:r>
    </w:p>
    <w:p w14:paraId="23785979">
      <w:pPr>
        <w:pStyle w:val="3"/>
        <w:spacing w:before="381" w:beforeLines="100"/>
      </w:pPr>
      <w:bookmarkStart w:id="242" w:name="_Toc27269"/>
      <w:bookmarkStart w:id="243" w:name="_Toc5561"/>
      <w:bookmarkStart w:id="244" w:name="_Toc4783"/>
      <w:bookmarkStart w:id="245" w:name="_Toc6550"/>
      <w:r>
        <w:t>4 勘查工作及质量要求</w:t>
      </w:r>
      <w:bookmarkEnd w:id="238"/>
      <w:bookmarkEnd w:id="239"/>
      <w:bookmarkEnd w:id="240"/>
      <w:bookmarkEnd w:id="241"/>
      <w:bookmarkEnd w:id="242"/>
      <w:bookmarkEnd w:id="243"/>
      <w:bookmarkEnd w:id="244"/>
      <w:bookmarkEnd w:id="245"/>
    </w:p>
    <w:p w14:paraId="6BEA2675">
      <w:pPr>
        <w:pStyle w:val="4"/>
      </w:pPr>
      <w:bookmarkStart w:id="246" w:name="_Toc176773706"/>
      <w:bookmarkStart w:id="247" w:name="_Toc15884"/>
      <w:bookmarkStart w:id="248" w:name="_Toc28621"/>
      <w:bookmarkStart w:id="249" w:name="_Toc30076"/>
      <w:bookmarkStart w:id="250" w:name="_Toc176901237"/>
      <w:bookmarkStart w:id="251" w:name="_Toc23526"/>
      <w:bookmarkStart w:id="252" w:name="_Toc176901243"/>
      <w:bookmarkStart w:id="253" w:name="_Toc26635"/>
      <w:bookmarkStart w:id="254" w:name="_Toc124107404"/>
      <w:bookmarkStart w:id="255" w:name="_Toc15430"/>
      <w:bookmarkStart w:id="256" w:name="_Toc26025"/>
      <w:r>
        <w:rPr>
          <w:lang w:val="en-US"/>
        </w:rPr>
        <w:t>4.1</w:t>
      </w:r>
      <w:r>
        <w:t xml:space="preserve"> 首采地段选择</w:t>
      </w:r>
      <w:bookmarkEnd w:id="246"/>
      <w:bookmarkEnd w:id="247"/>
      <w:bookmarkEnd w:id="248"/>
      <w:bookmarkEnd w:id="249"/>
      <w:bookmarkEnd w:id="250"/>
      <w:bookmarkEnd w:id="251"/>
    </w:p>
    <w:p w14:paraId="369EF48E">
      <w:pPr>
        <w:ind w:firstLine="560"/>
      </w:pPr>
      <w:r>
        <w:t>根据矿区的地形特征、开采现状及交通条件，设计首采地段在矿区西北侧的最高山顶上。主要依据如下：</w:t>
      </w:r>
    </w:p>
    <w:p w14:paraId="0DF37ABF">
      <w:pPr>
        <w:ind w:firstLine="560"/>
      </w:pPr>
      <w:r>
        <w:t>（1）矿区将来采用露天开采的方式进行开采，首次地段为矿区最高处，标高为+506.8m，符合“自上而下”的开采要求。</w:t>
      </w:r>
    </w:p>
    <w:p w14:paraId="7E702E31">
      <w:pPr>
        <w:ind w:firstLine="560"/>
      </w:pPr>
      <w:r>
        <w:t>（2）从矿区西北侧往东侧（从低处往高处）修建矿区道路，便于矿区的交通运输，减少运输能耗。</w:t>
      </w:r>
    </w:p>
    <w:p w14:paraId="0C04767D">
      <w:pPr>
        <w:ind w:firstLine="560"/>
      </w:pPr>
      <w:r>
        <w:t>（3）从矿区最高处往下开采，今后能形成统一且平整的开采平台，提高采矿效率。</w:t>
      </w:r>
    </w:p>
    <w:p w14:paraId="2425E65D">
      <w:pPr>
        <w:ind w:firstLine="560"/>
      </w:pPr>
      <w:r>
        <w:t>（4）从矿区最高处往下开采，可以避免不稳定地质灾害等工程地质条件的影响，提高安全性。</w:t>
      </w:r>
    </w:p>
    <w:p w14:paraId="4E393957">
      <w:pPr>
        <w:pStyle w:val="4"/>
      </w:pPr>
      <w:bookmarkStart w:id="257" w:name="_Toc31262"/>
      <w:r>
        <w:t>4.</w:t>
      </w:r>
      <w:r>
        <w:rPr>
          <w:lang w:val="en-US"/>
        </w:rPr>
        <w:t>2</w:t>
      </w:r>
      <w:r>
        <w:t xml:space="preserve"> 测量工作</w:t>
      </w:r>
      <w:bookmarkEnd w:id="252"/>
      <w:bookmarkEnd w:id="253"/>
      <w:bookmarkEnd w:id="254"/>
      <w:bookmarkEnd w:id="255"/>
      <w:bookmarkEnd w:id="256"/>
      <w:bookmarkEnd w:id="257"/>
    </w:p>
    <w:p w14:paraId="6950EFA1">
      <w:pPr>
        <w:pStyle w:val="5"/>
      </w:pPr>
      <w:r>
        <w:t>4.</w:t>
      </w:r>
      <w:r>
        <w:rPr>
          <w:lang w:val="en-US"/>
        </w:rPr>
        <w:t>2</w:t>
      </w:r>
      <w:r>
        <w:t>.1 工作执行技术规范和标准</w:t>
      </w:r>
    </w:p>
    <w:p w14:paraId="6B588FFD">
      <w:pPr>
        <w:ind w:firstLine="560"/>
        <w:rPr>
          <w:szCs w:val="28"/>
        </w:rPr>
      </w:pPr>
      <w:r>
        <w:rPr>
          <w:szCs w:val="28"/>
        </w:rPr>
        <w:t>（1）《地质矿产勘查测量规范》</w:t>
      </w:r>
      <w:r>
        <w:rPr>
          <w:rFonts w:hint="eastAsia"/>
          <w:szCs w:val="28"/>
        </w:rPr>
        <w:t>（</w:t>
      </w:r>
      <w:r>
        <w:rPr>
          <w:szCs w:val="28"/>
        </w:rPr>
        <w:t>GB/18341-2021</w:t>
      </w:r>
      <w:r>
        <w:rPr>
          <w:rFonts w:hint="eastAsia"/>
          <w:szCs w:val="28"/>
        </w:rPr>
        <w:t>）</w:t>
      </w:r>
      <w:r>
        <w:rPr>
          <w:szCs w:val="28"/>
        </w:rPr>
        <w:t>；</w:t>
      </w:r>
    </w:p>
    <w:p w14:paraId="2134C558">
      <w:pPr>
        <w:ind w:firstLine="560"/>
        <w:rPr>
          <w:szCs w:val="28"/>
        </w:rPr>
      </w:pPr>
      <w:r>
        <w:rPr>
          <w:szCs w:val="28"/>
        </w:rPr>
        <w:t>（2）《工程测量规范》</w:t>
      </w:r>
      <w:r>
        <w:rPr>
          <w:rFonts w:hint="eastAsia"/>
          <w:szCs w:val="28"/>
        </w:rPr>
        <w:t>（</w:t>
      </w:r>
      <w:r>
        <w:rPr>
          <w:szCs w:val="28"/>
        </w:rPr>
        <w:t>GB50026-2020</w:t>
      </w:r>
      <w:r>
        <w:rPr>
          <w:rFonts w:hint="eastAsia"/>
          <w:szCs w:val="28"/>
        </w:rPr>
        <w:t>）</w:t>
      </w:r>
      <w:r>
        <w:rPr>
          <w:szCs w:val="28"/>
        </w:rPr>
        <w:t>；</w:t>
      </w:r>
    </w:p>
    <w:p w14:paraId="15CAB7D4">
      <w:pPr>
        <w:ind w:firstLine="560"/>
        <w:rPr>
          <w:szCs w:val="28"/>
        </w:rPr>
      </w:pPr>
      <w:r>
        <w:rPr>
          <w:szCs w:val="28"/>
        </w:rPr>
        <w:t>（3）《国家基本比例尺地图图式 第1部分1：500、1:1000、1:2000地形图图式》</w:t>
      </w:r>
      <w:r>
        <w:rPr>
          <w:rFonts w:hint="eastAsia"/>
          <w:szCs w:val="28"/>
        </w:rPr>
        <w:t>（</w:t>
      </w:r>
      <w:r>
        <w:rPr>
          <w:szCs w:val="28"/>
        </w:rPr>
        <w:t>GB/T20257.1-2017</w:t>
      </w:r>
      <w:r>
        <w:rPr>
          <w:rFonts w:hint="eastAsia"/>
          <w:szCs w:val="28"/>
        </w:rPr>
        <w:t>）</w:t>
      </w:r>
      <w:r>
        <w:rPr>
          <w:szCs w:val="28"/>
        </w:rPr>
        <w:t>；</w:t>
      </w:r>
    </w:p>
    <w:p w14:paraId="7B8DEBA5">
      <w:pPr>
        <w:ind w:firstLine="560"/>
        <w:rPr>
          <w:szCs w:val="28"/>
        </w:rPr>
      </w:pPr>
      <w:r>
        <w:rPr>
          <w:szCs w:val="28"/>
        </w:rPr>
        <w:t>（4）《1：500、1：1000、1：2000外业数字测图技术规程》</w:t>
      </w:r>
      <w:r>
        <w:rPr>
          <w:rFonts w:hint="eastAsia"/>
          <w:szCs w:val="28"/>
        </w:rPr>
        <w:t>（</w:t>
      </w:r>
      <w:r>
        <w:rPr>
          <w:szCs w:val="28"/>
        </w:rPr>
        <w:t>GB/T14912-2005</w:t>
      </w:r>
      <w:r>
        <w:rPr>
          <w:rFonts w:hint="eastAsia"/>
          <w:szCs w:val="28"/>
        </w:rPr>
        <w:t>）</w:t>
      </w:r>
      <w:r>
        <w:rPr>
          <w:szCs w:val="28"/>
        </w:rPr>
        <w:t>；</w:t>
      </w:r>
    </w:p>
    <w:p w14:paraId="0334C865">
      <w:pPr>
        <w:ind w:firstLine="560"/>
        <w:rPr>
          <w:szCs w:val="28"/>
        </w:rPr>
      </w:pPr>
      <w:r>
        <w:rPr>
          <w:szCs w:val="28"/>
        </w:rPr>
        <w:t>（5）《全球定位系统实时动态测量（RTK）技术规范》</w:t>
      </w:r>
      <w:r>
        <w:rPr>
          <w:rFonts w:hint="eastAsia"/>
          <w:szCs w:val="28"/>
        </w:rPr>
        <w:t>（</w:t>
      </w:r>
      <w:r>
        <w:rPr>
          <w:szCs w:val="28"/>
        </w:rPr>
        <w:t>CH/T2009-2010</w:t>
      </w:r>
      <w:r>
        <w:rPr>
          <w:rFonts w:hint="eastAsia"/>
          <w:szCs w:val="28"/>
        </w:rPr>
        <w:t>）</w:t>
      </w:r>
      <w:r>
        <w:rPr>
          <w:szCs w:val="28"/>
        </w:rPr>
        <w:t>；</w:t>
      </w:r>
    </w:p>
    <w:p w14:paraId="704578E2">
      <w:pPr>
        <w:ind w:firstLine="560"/>
        <w:rPr>
          <w:szCs w:val="28"/>
        </w:rPr>
      </w:pPr>
      <w:r>
        <w:rPr>
          <w:szCs w:val="28"/>
        </w:rPr>
        <w:t>（6）《全球定位系统（GPS）测量规范》</w:t>
      </w:r>
      <w:r>
        <w:rPr>
          <w:rFonts w:hint="eastAsia"/>
          <w:szCs w:val="28"/>
        </w:rPr>
        <w:t>（</w:t>
      </w:r>
      <w:r>
        <w:rPr>
          <w:szCs w:val="28"/>
        </w:rPr>
        <w:t>GB/T18314-2009</w:t>
      </w:r>
      <w:r>
        <w:rPr>
          <w:rFonts w:hint="eastAsia"/>
          <w:szCs w:val="28"/>
        </w:rPr>
        <w:t>）</w:t>
      </w:r>
      <w:r>
        <w:rPr>
          <w:szCs w:val="28"/>
        </w:rPr>
        <w:t>；</w:t>
      </w:r>
    </w:p>
    <w:p w14:paraId="297F4026">
      <w:pPr>
        <w:ind w:firstLine="560"/>
        <w:rPr>
          <w:szCs w:val="28"/>
        </w:rPr>
      </w:pPr>
      <w:r>
        <w:rPr>
          <w:szCs w:val="28"/>
        </w:rPr>
        <w:t>（7）《低空数字航空摄影规范》</w:t>
      </w:r>
      <w:r>
        <w:rPr>
          <w:rFonts w:hint="eastAsia"/>
          <w:szCs w:val="28"/>
        </w:rPr>
        <w:t>（</w:t>
      </w:r>
      <w:r>
        <w:rPr>
          <w:szCs w:val="28"/>
        </w:rPr>
        <w:t>CH/Z3005-2021</w:t>
      </w:r>
      <w:r>
        <w:rPr>
          <w:rFonts w:hint="eastAsia"/>
          <w:szCs w:val="28"/>
        </w:rPr>
        <w:t>）</w:t>
      </w:r>
      <w:r>
        <w:rPr>
          <w:szCs w:val="28"/>
        </w:rPr>
        <w:t>；</w:t>
      </w:r>
    </w:p>
    <w:p w14:paraId="273310D6">
      <w:pPr>
        <w:ind w:firstLine="560"/>
        <w:rPr>
          <w:szCs w:val="28"/>
        </w:rPr>
      </w:pPr>
      <w:r>
        <w:rPr>
          <w:szCs w:val="28"/>
        </w:rPr>
        <w:t>（8）《低空数字航空摄影测量外业规范》</w:t>
      </w:r>
      <w:r>
        <w:rPr>
          <w:rFonts w:hint="eastAsia"/>
          <w:szCs w:val="28"/>
        </w:rPr>
        <w:t>（</w:t>
      </w:r>
      <w:r>
        <w:rPr>
          <w:szCs w:val="28"/>
        </w:rPr>
        <w:t>CH/Z3004-2021</w:t>
      </w:r>
      <w:r>
        <w:rPr>
          <w:rFonts w:hint="eastAsia"/>
          <w:szCs w:val="28"/>
        </w:rPr>
        <w:t>）</w:t>
      </w:r>
      <w:r>
        <w:rPr>
          <w:szCs w:val="28"/>
        </w:rPr>
        <w:t>；</w:t>
      </w:r>
    </w:p>
    <w:p w14:paraId="6E3A0ADB">
      <w:pPr>
        <w:ind w:firstLine="560"/>
        <w:rPr>
          <w:szCs w:val="28"/>
        </w:rPr>
      </w:pPr>
      <w:r>
        <w:rPr>
          <w:szCs w:val="28"/>
        </w:rPr>
        <w:t>（9）《低空数字航空摄影测量内业规范》</w:t>
      </w:r>
      <w:r>
        <w:rPr>
          <w:rFonts w:hint="eastAsia"/>
          <w:szCs w:val="28"/>
        </w:rPr>
        <w:t>（</w:t>
      </w:r>
      <w:r>
        <w:rPr>
          <w:szCs w:val="28"/>
        </w:rPr>
        <w:t>CH/Z3003-2021</w:t>
      </w:r>
      <w:r>
        <w:rPr>
          <w:rFonts w:hint="eastAsia"/>
          <w:szCs w:val="28"/>
        </w:rPr>
        <w:t>）</w:t>
      </w:r>
      <w:r>
        <w:rPr>
          <w:szCs w:val="28"/>
        </w:rPr>
        <w:t>；</w:t>
      </w:r>
    </w:p>
    <w:p w14:paraId="6135FAF3">
      <w:pPr>
        <w:ind w:firstLine="560"/>
        <w:rPr>
          <w:szCs w:val="28"/>
        </w:rPr>
      </w:pPr>
      <w:r>
        <w:rPr>
          <w:szCs w:val="28"/>
        </w:rPr>
        <w:t>（10）《基础地理信息数字成果1：500、1:1000、1:2000数字线划图》</w:t>
      </w:r>
      <w:r>
        <w:rPr>
          <w:rFonts w:hint="eastAsia"/>
          <w:szCs w:val="28"/>
        </w:rPr>
        <w:t>（</w:t>
      </w:r>
      <w:r>
        <w:rPr>
          <w:szCs w:val="28"/>
        </w:rPr>
        <w:t>CH/T9008.1-2010</w:t>
      </w:r>
      <w:r>
        <w:rPr>
          <w:rFonts w:hint="eastAsia"/>
          <w:szCs w:val="28"/>
        </w:rPr>
        <w:t>）</w:t>
      </w:r>
      <w:r>
        <w:rPr>
          <w:szCs w:val="28"/>
        </w:rPr>
        <w:t>；</w:t>
      </w:r>
    </w:p>
    <w:p w14:paraId="6B9BF98A">
      <w:pPr>
        <w:ind w:firstLine="560"/>
        <w:rPr>
          <w:kern w:val="0"/>
          <w:szCs w:val="28"/>
        </w:rPr>
      </w:pPr>
      <w:r>
        <w:rPr>
          <w:szCs w:val="28"/>
        </w:rPr>
        <w:t>（11）《测绘成果质量检查与验收》</w:t>
      </w:r>
      <w:r>
        <w:rPr>
          <w:rFonts w:hint="eastAsia"/>
          <w:szCs w:val="28"/>
        </w:rPr>
        <w:t>（</w:t>
      </w:r>
      <w:r>
        <w:rPr>
          <w:szCs w:val="28"/>
        </w:rPr>
        <w:t>GB/T24356-2023</w:t>
      </w:r>
      <w:r>
        <w:rPr>
          <w:rFonts w:hint="eastAsia"/>
          <w:szCs w:val="28"/>
        </w:rPr>
        <w:t>）</w:t>
      </w:r>
      <w:r>
        <w:rPr>
          <w:szCs w:val="28"/>
        </w:rPr>
        <w:t>。</w:t>
      </w:r>
    </w:p>
    <w:p w14:paraId="207E8BAA">
      <w:pPr>
        <w:pStyle w:val="5"/>
      </w:pPr>
      <w:r>
        <w:t>4.</w:t>
      </w:r>
      <w:r>
        <w:rPr>
          <w:lang w:val="en-US"/>
        </w:rPr>
        <w:t>2</w:t>
      </w:r>
      <w:r>
        <w:t>.2 基本要求</w:t>
      </w:r>
    </w:p>
    <w:p w14:paraId="671DD559">
      <w:pPr>
        <w:ind w:firstLine="560"/>
        <w:rPr>
          <w:kern w:val="0"/>
          <w:szCs w:val="28"/>
        </w:rPr>
      </w:pPr>
      <w:bookmarkStart w:id="258" w:name="_Hlk176769021"/>
      <w:r>
        <w:t>（1）平面坐标系统：采用2000国家大地坐标系，3度带高斯－克吕格正形投影，中央子午线经度为108度，高程系统采用1985国家高程基准，等高距2.0m，测图比例尺为1:2000。</w:t>
      </w:r>
      <w:bookmarkEnd w:id="258"/>
    </w:p>
    <w:p w14:paraId="7C2C1A10">
      <w:pPr>
        <w:ind w:firstLine="560"/>
      </w:pPr>
      <w:bookmarkStart w:id="259" w:name="_Hlk176769915"/>
      <w:r>
        <w:t>（2）控制测量采用千寻位置网络有限公司的连续运行卫星定位服务系统（Continuous operational Reference System，简称CORS系统）技术进行引测。</w:t>
      </w:r>
      <w:bookmarkEnd w:id="259"/>
      <w:bookmarkStart w:id="260" w:name="_Hlk176772437"/>
      <w:r>
        <w:t>利用附近已知控制点的国家85高程，求取测区大地高转换为国家85高程的高程拟合参数，参数求得后，实地测量已知控制点，进行平面坐标检查和高程拟合参数的精度检验。</w:t>
      </w:r>
      <w:bookmarkEnd w:id="260"/>
    </w:p>
    <w:p w14:paraId="56809C83">
      <w:pPr>
        <w:ind w:firstLine="560"/>
      </w:pPr>
      <w:r>
        <w:t>（3）与资源量估算相关的钻探工程孔口位置进行定位测量。采用全站仪或全球卫星定位系统进行解析法定位测量。</w:t>
      </w:r>
    </w:p>
    <w:p w14:paraId="65E6226A">
      <w:pPr>
        <w:ind w:firstLine="560"/>
      </w:pPr>
      <w:r>
        <w:t>（4）测量工作需由具有乙级及以上测绘资质的公司承担。</w:t>
      </w:r>
    </w:p>
    <w:p w14:paraId="58B742A6">
      <w:pPr>
        <w:ind w:firstLine="560"/>
      </w:pPr>
      <w:bookmarkStart w:id="261" w:name="_Hlk176728588"/>
      <w:r>
        <w:t>（5）本次测量工作要求地物点平面点位中误差小于《1:500 1:1000 1:2000 地形图航空摄影测量数字化测图规范》(GB/T 15967-2008)要求的±0.80米；高程中误差小于《1:500 1:1000 1:2000 地形图航空摄影测量数字化测图规范》（GB/T 15967-2008）要求的±1.2米。</w:t>
      </w:r>
      <w:bookmarkEnd w:id="261"/>
    </w:p>
    <w:p w14:paraId="5FEE92ED">
      <w:pPr>
        <w:pStyle w:val="5"/>
      </w:pPr>
      <w:r>
        <w:t>4.</w:t>
      </w:r>
      <w:r>
        <w:rPr>
          <w:lang w:val="en-US"/>
        </w:rPr>
        <w:t>2</w:t>
      </w:r>
      <w:r>
        <w:t>.3 工作内容</w:t>
      </w:r>
    </w:p>
    <w:p w14:paraId="19D7893A">
      <w:pPr>
        <w:ind w:firstLine="560"/>
      </w:pPr>
      <w:r>
        <w:t>本次地形测量采用无人机航拍进行测量，工作内容大致如下：</w:t>
      </w:r>
    </w:p>
    <w:p w14:paraId="36B3D388">
      <w:pPr>
        <w:ind w:firstLine="560"/>
      </w:pPr>
      <w:r>
        <w:t>（1）资料收集：进场作业前收集矿区的相关数据，包括数字线划图数据、影像图数据、数字高程模型数据、测区自然人文地理情况等，大致确定无人机的起降位置和航飞路线。</w:t>
      </w:r>
    </w:p>
    <w:p w14:paraId="70AFBDDC">
      <w:pPr>
        <w:ind w:firstLine="560"/>
      </w:pPr>
      <w:r>
        <w:t>（2）像控点测量：采用网络RTK作业模式联测像控点</w:t>
      </w:r>
      <w:r>
        <w:rPr>
          <w:rFonts w:hint="eastAsia"/>
          <w:lang w:eastAsia="zh-CN"/>
        </w:rPr>
        <w:t>，</w:t>
      </w:r>
      <w:r>
        <w:t>按照《全球定位系统实时动态测量</w:t>
      </w:r>
      <w:r>
        <w:rPr>
          <w:rFonts w:hint="eastAsia"/>
          <w:lang w:eastAsia="zh-CN"/>
        </w:rPr>
        <w:t>（</w:t>
      </w:r>
      <w:r>
        <w:t>RTK</w:t>
      </w:r>
      <w:r>
        <w:rPr>
          <w:rFonts w:hint="eastAsia"/>
          <w:lang w:eastAsia="zh-CN"/>
        </w:rPr>
        <w:t>）</w:t>
      </w:r>
      <w:r>
        <w:t>技术规范》的有关要求进行测量，并在固定站上对流动站先进行已知点检测校核无误后再测量。</w:t>
      </w:r>
    </w:p>
    <w:p w14:paraId="2F4C13F8">
      <w:pPr>
        <w:ind w:firstLine="560"/>
      </w:pPr>
      <w:r>
        <w:t>（3）无人机航空摄影：根据外业现场的实际情况选择视野开阔、周围遮挡小、无明显信号干扰、远离人群和建筑物的最优起降点作为无人机起降场地。无人机按照设定的航飞高度对测区进行全覆盖、全野外实景航拍。</w:t>
      </w:r>
    </w:p>
    <w:p w14:paraId="2E7E4620">
      <w:pPr>
        <w:ind w:firstLine="560"/>
      </w:pPr>
      <w:r>
        <w:t>（4）实景三维建模：包括数据准备、空三测量、建模输出三个环节。将整理后的数据载入contextcapture软件，导入POS数据和像控点数据，进行像控点的刺点。利用空中三角形测量软件自动进行多视角影像密集匹配、区域网平差，确定像片之间的位置对应关系。然后进行影像的镶嵌、图像编辑和裁切处理，生成数字高程模型（DEM）、数字正射影像图（DOM）、实景三维模型等。</w:t>
      </w:r>
    </w:p>
    <w:p w14:paraId="042E17F0">
      <w:pPr>
        <w:ind w:firstLine="560"/>
      </w:pPr>
      <w:r>
        <w:t>（5）业内数据采集：利用南方CASS9.0软件打开三维模型，采集建筑物、道路、水系、电力线等各种地物类型的特征点或特征线，并借助地物本身和地物之间的几何关系，完成地物的绘制。对于被遮挡的地物，尽量测出能看到的部分，并在看不到的部分做出标注。采集高程点时，注意特征点的采集，线状地物相交处、明显地物点和地形变换处，优先拾取，地形整体变化不明显的区域高程点按距离要求均匀采集。</w:t>
      </w:r>
    </w:p>
    <w:p w14:paraId="15113A6C">
      <w:pPr>
        <w:ind w:firstLine="560"/>
      </w:pPr>
      <w:r>
        <w:t>（6）剖面测量：包括剖面端点测量、剖面控制点测量、测站点测量、剖面点</w:t>
      </w:r>
      <w:r>
        <w:rPr>
          <w:rFonts w:hint="eastAsia"/>
          <w:lang w:eastAsia="zh-CN"/>
        </w:rPr>
        <w:t>（</w:t>
      </w:r>
      <w:r>
        <w:t>地质点、地形点等</w:t>
      </w:r>
      <w:r>
        <w:rPr>
          <w:rFonts w:hint="eastAsia"/>
          <w:lang w:eastAsia="zh-CN"/>
        </w:rPr>
        <w:t>）</w:t>
      </w:r>
      <w:r>
        <w:t>测量，剖控点测量应根据地形变化加密控制；以及平差配赋剖面测量资料整理、绘制剖面图等。</w:t>
      </w:r>
    </w:p>
    <w:p w14:paraId="59D11C5E">
      <w:pPr>
        <w:ind w:firstLine="560"/>
      </w:pPr>
      <w:r>
        <w:t>（7）工程点测量：对钻探工程孔口位置进行定测。各工程点测量的要求按1:2000精度进行施测，采用千寻位置网络有限公司的连续运行卫星定位服务系统（简称CORS系统）技术进行施测。</w:t>
      </w:r>
    </w:p>
    <w:p w14:paraId="311313B0">
      <w:pPr>
        <w:ind w:firstLine="560"/>
      </w:pPr>
    </w:p>
    <w:p w14:paraId="49F8892F">
      <w:pPr>
        <w:ind w:firstLine="560"/>
      </w:pPr>
    </w:p>
    <w:p w14:paraId="41AA722A">
      <w:pPr>
        <w:pStyle w:val="5"/>
      </w:pPr>
      <w:r>
        <w:t>4.</w:t>
      </w:r>
      <w:r>
        <w:rPr>
          <w:lang w:val="en-US"/>
        </w:rPr>
        <w:t>2</w:t>
      </w:r>
      <w:r>
        <w:t>.4 测量工作量</w:t>
      </w:r>
    </w:p>
    <w:p w14:paraId="0D7CCB3F">
      <w:pPr>
        <w:spacing w:line="240" w:lineRule="auto"/>
        <w:ind w:firstLine="0" w:firstLineChars="0"/>
        <w:jc w:val="center"/>
      </w:pPr>
      <w:r>
        <w:rPr>
          <w:b/>
          <w:bCs/>
          <w:kern w:val="0"/>
          <w:sz w:val="24"/>
          <w:szCs w:val="24"/>
        </w:rPr>
        <w:t>表4-1  设计测量工作量一览表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88"/>
        <w:gridCol w:w="1860"/>
        <w:gridCol w:w="1365"/>
      </w:tblGrid>
      <w:tr w14:paraId="4412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88" w:type="dxa"/>
            <w:vAlign w:val="center"/>
          </w:tcPr>
          <w:p w14:paraId="7CE38C2A">
            <w:pPr>
              <w:spacing w:line="240" w:lineRule="auto"/>
              <w:ind w:firstLine="0" w:firstLineChars="0"/>
              <w:jc w:val="center"/>
              <w:rPr>
                <w:sz w:val="24"/>
                <w:szCs w:val="24"/>
              </w:rPr>
            </w:pPr>
            <w:r>
              <w:rPr>
                <w:sz w:val="24"/>
                <w:szCs w:val="24"/>
              </w:rPr>
              <w:t>序 号</w:t>
            </w:r>
          </w:p>
        </w:tc>
        <w:tc>
          <w:tcPr>
            <w:tcW w:w="1860" w:type="dxa"/>
            <w:vAlign w:val="center"/>
          </w:tcPr>
          <w:p w14:paraId="4C81B1BF">
            <w:pPr>
              <w:spacing w:line="240" w:lineRule="auto"/>
              <w:ind w:firstLine="0" w:firstLineChars="0"/>
              <w:jc w:val="center"/>
              <w:rPr>
                <w:sz w:val="24"/>
                <w:szCs w:val="24"/>
              </w:rPr>
            </w:pPr>
            <w:r>
              <w:rPr>
                <w:sz w:val="24"/>
                <w:szCs w:val="24"/>
              </w:rPr>
              <w:t>工 作 量</w:t>
            </w:r>
          </w:p>
        </w:tc>
        <w:tc>
          <w:tcPr>
            <w:tcW w:w="1365" w:type="dxa"/>
            <w:vAlign w:val="center"/>
          </w:tcPr>
          <w:p w14:paraId="3314A041">
            <w:pPr>
              <w:spacing w:line="240" w:lineRule="auto"/>
              <w:ind w:firstLine="0" w:firstLineChars="0"/>
              <w:jc w:val="center"/>
              <w:rPr>
                <w:sz w:val="24"/>
                <w:szCs w:val="24"/>
              </w:rPr>
            </w:pPr>
            <w:r>
              <w:rPr>
                <w:sz w:val="24"/>
                <w:szCs w:val="24"/>
              </w:rPr>
              <w:t>单位</w:t>
            </w:r>
          </w:p>
        </w:tc>
      </w:tr>
      <w:tr w14:paraId="303E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88" w:type="dxa"/>
            <w:vAlign w:val="center"/>
          </w:tcPr>
          <w:p w14:paraId="5E999732">
            <w:pPr>
              <w:widowControl/>
              <w:spacing w:line="240" w:lineRule="auto"/>
              <w:ind w:firstLine="0" w:firstLineChars="0"/>
              <w:jc w:val="left"/>
              <w:rPr>
                <w:kern w:val="0"/>
                <w:sz w:val="24"/>
                <w:szCs w:val="24"/>
              </w:rPr>
            </w:pPr>
            <w:r>
              <w:rPr>
                <w:kern w:val="0"/>
                <w:sz w:val="24"/>
                <w:szCs w:val="24"/>
              </w:rPr>
              <w:t>1、GPS控制测量E级点</w:t>
            </w:r>
          </w:p>
        </w:tc>
        <w:tc>
          <w:tcPr>
            <w:tcW w:w="1860" w:type="dxa"/>
            <w:vAlign w:val="center"/>
          </w:tcPr>
          <w:p w14:paraId="447AFAE7">
            <w:pPr>
              <w:widowControl/>
              <w:spacing w:line="240" w:lineRule="auto"/>
              <w:ind w:firstLine="0" w:firstLineChars="0"/>
              <w:jc w:val="center"/>
              <w:rPr>
                <w:kern w:val="0"/>
                <w:sz w:val="24"/>
                <w:szCs w:val="24"/>
              </w:rPr>
            </w:pPr>
            <w:r>
              <w:rPr>
                <w:kern w:val="0"/>
                <w:sz w:val="24"/>
                <w:szCs w:val="24"/>
              </w:rPr>
              <w:t>6</w:t>
            </w:r>
          </w:p>
        </w:tc>
        <w:tc>
          <w:tcPr>
            <w:tcW w:w="1365" w:type="dxa"/>
            <w:vAlign w:val="center"/>
          </w:tcPr>
          <w:p w14:paraId="66DC7F5C">
            <w:pPr>
              <w:widowControl/>
              <w:spacing w:line="240" w:lineRule="auto"/>
              <w:ind w:firstLine="0" w:firstLineChars="0"/>
              <w:jc w:val="center"/>
              <w:rPr>
                <w:kern w:val="0"/>
                <w:sz w:val="24"/>
                <w:szCs w:val="24"/>
              </w:rPr>
            </w:pPr>
            <w:r>
              <w:rPr>
                <w:kern w:val="0"/>
                <w:sz w:val="24"/>
                <w:szCs w:val="24"/>
              </w:rPr>
              <w:t>点</w:t>
            </w:r>
          </w:p>
        </w:tc>
      </w:tr>
      <w:tr w14:paraId="02D94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88" w:type="dxa"/>
            <w:vAlign w:val="center"/>
          </w:tcPr>
          <w:p w14:paraId="3C86D83F">
            <w:pPr>
              <w:widowControl/>
              <w:spacing w:line="240" w:lineRule="auto"/>
              <w:ind w:firstLine="0" w:firstLineChars="0"/>
              <w:jc w:val="left"/>
              <w:rPr>
                <w:kern w:val="0"/>
                <w:sz w:val="24"/>
                <w:szCs w:val="24"/>
              </w:rPr>
            </w:pPr>
            <w:r>
              <w:rPr>
                <w:kern w:val="0"/>
                <w:sz w:val="24"/>
                <w:szCs w:val="24"/>
              </w:rPr>
              <w:t>2、1:2000地形图测量</w:t>
            </w:r>
          </w:p>
        </w:tc>
        <w:tc>
          <w:tcPr>
            <w:tcW w:w="1860" w:type="dxa"/>
            <w:vAlign w:val="center"/>
          </w:tcPr>
          <w:p w14:paraId="659EF00C">
            <w:pPr>
              <w:widowControl/>
              <w:spacing w:line="240" w:lineRule="auto"/>
              <w:ind w:firstLine="0" w:firstLineChars="0"/>
              <w:jc w:val="center"/>
              <w:rPr>
                <w:kern w:val="0"/>
                <w:sz w:val="24"/>
                <w:szCs w:val="24"/>
              </w:rPr>
            </w:pPr>
            <w:r>
              <w:rPr>
                <w:kern w:val="0"/>
                <w:sz w:val="24"/>
                <w:szCs w:val="24"/>
              </w:rPr>
              <w:t>3.0</w:t>
            </w:r>
          </w:p>
        </w:tc>
        <w:tc>
          <w:tcPr>
            <w:tcW w:w="1365" w:type="dxa"/>
            <w:vAlign w:val="center"/>
          </w:tcPr>
          <w:p w14:paraId="4A6BF48B">
            <w:pPr>
              <w:widowControl/>
              <w:spacing w:line="240" w:lineRule="auto"/>
              <w:ind w:firstLine="0" w:firstLineChars="0"/>
              <w:jc w:val="center"/>
              <w:rPr>
                <w:kern w:val="0"/>
                <w:sz w:val="24"/>
                <w:szCs w:val="24"/>
              </w:rPr>
            </w:pPr>
            <w:r>
              <w:rPr>
                <w:kern w:val="0"/>
                <w:sz w:val="24"/>
                <w:szCs w:val="24"/>
              </w:rPr>
              <w:t>km</w:t>
            </w:r>
            <w:r>
              <w:rPr>
                <w:kern w:val="0"/>
                <w:sz w:val="24"/>
                <w:szCs w:val="24"/>
                <w:vertAlign w:val="superscript"/>
              </w:rPr>
              <w:t>2</w:t>
            </w:r>
          </w:p>
        </w:tc>
      </w:tr>
      <w:tr w14:paraId="4470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88" w:type="dxa"/>
            <w:vAlign w:val="center"/>
          </w:tcPr>
          <w:p w14:paraId="372E9196">
            <w:pPr>
              <w:widowControl/>
              <w:spacing w:line="240" w:lineRule="auto"/>
              <w:ind w:firstLine="0" w:firstLineChars="0"/>
              <w:jc w:val="left"/>
              <w:rPr>
                <w:kern w:val="0"/>
                <w:sz w:val="24"/>
                <w:szCs w:val="24"/>
              </w:rPr>
            </w:pPr>
            <w:r>
              <w:rPr>
                <w:kern w:val="0"/>
                <w:sz w:val="24"/>
                <w:szCs w:val="24"/>
              </w:rPr>
              <w:t>3、剖面端点测量</w:t>
            </w:r>
          </w:p>
        </w:tc>
        <w:tc>
          <w:tcPr>
            <w:tcW w:w="1860" w:type="dxa"/>
            <w:vAlign w:val="center"/>
          </w:tcPr>
          <w:p w14:paraId="09E9E6C3">
            <w:pPr>
              <w:widowControl/>
              <w:spacing w:line="240" w:lineRule="auto"/>
              <w:ind w:firstLine="0" w:firstLineChars="0"/>
              <w:jc w:val="center"/>
              <w:rPr>
                <w:kern w:val="0"/>
                <w:sz w:val="24"/>
                <w:szCs w:val="24"/>
              </w:rPr>
            </w:pPr>
            <w:r>
              <w:rPr>
                <w:kern w:val="0"/>
                <w:sz w:val="24"/>
                <w:szCs w:val="24"/>
              </w:rPr>
              <w:t>8</w:t>
            </w:r>
          </w:p>
        </w:tc>
        <w:tc>
          <w:tcPr>
            <w:tcW w:w="1365" w:type="dxa"/>
            <w:vAlign w:val="center"/>
          </w:tcPr>
          <w:p w14:paraId="0B04A6EA">
            <w:pPr>
              <w:widowControl/>
              <w:spacing w:line="240" w:lineRule="auto"/>
              <w:ind w:firstLine="0" w:firstLineChars="0"/>
              <w:jc w:val="center"/>
              <w:rPr>
                <w:kern w:val="0"/>
                <w:sz w:val="24"/>
                <w:szCs w:val="24"/>
              </w:rPr>
            </w:pPr>
            <w:r>
              <w:rPr>
                <w:kern w:val="0"/>
                <w:sz w:val="24"/>
                <w:szCs w:val="24"/>
              </w:rPr>
              <w:t>个</w:t>
            </w:r>
          </w:p>
        </w:tc>
      </w:tr>
      <w:tr w14:paraId="2F24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388" w:type="dxa"/>
            <w:vAlign w:val="center"/>
          </w:tcPr>
          <w:p w14:paraId="7DD38D58">
            <w:pPr>
              <w:widowControl/>
              <w:spacing w:line="240" w:lineRule="auto"/>
              <w:ind w:firstLine="0" w:firstLineChars="0"/>
              <w:jc w:val="left"/>
              <w:rPr>
                <w:kern w:val="0"/>
                <w:sz w:val="24"/>
                <w:szCs w:val="24"/>
              </w:rPr>
            </w:pPr>
            <w:r>
              <w:rPr>
                <w:kern w:val="0"/>
                <w:sz w:val="24"/>
                <w:szCs w:val="24"/>
              </w:rPr>
              <w:t>4、工程点测量</w:t>
            </w:r>
          </w:p>
        </w:tc>
        <w:tc>
          <w:tcPr>
            <w:tcW w:w="1860" w:type="dxa"/>
            <w:vAlign w:val="center"/>
          </w:tcPr>
          <w:p w14:paraId="6B822337">
            <w:pPr>
              <w:widowControl/>
              <w:spacing w:line="240" w:lineRule="auto"/>
              <w:ind w:firstLine="0" w:firstLineChars="0"/>
              <w:jc w:val="center"/>
              <w:rPr>
                <w:kern w:val="0"/>
                <w:sz w:val="24"/>
                <w:szCs w:val="24"/>
              </w:rPr>
            </w:pPr>
            <w:r>
              <w:rPr>
                <w:kern w:val="0"/>
                <w:sz w:val="24"/>
                <w:szCs w:val="24"/>
              </w:rPr>
              <w:t>21</w:t>
            </w:r>
          </w:p>
        </w:tc>
        <w:tc>
          <w:tcPr>
            <w:tcW w:w="1365" w:type="dxa"/>
            <w:vAlign w:val="center"/>
          </w:tcPr>
          <w:p w14:paraId="0C8F2BD7">
            <w:pPr>
              <w:widowControl/>
              <w:spacing w:line="240" w:lineRule="auto"/>
              <w:ind w:firstLine="0" w:firstLineChars="0"/>
              <w:jc w:val="center"/>
              <w:rPr>
                <w:kern w:val="0"/>
                <w:sz w:val="24"/>
                <w:szCs w:val="24"/>
              </w:rPr>
            </w:pPr>
            <w:r>
              <w:rPr>
                <w:kern w:val="0"/>
                <w:sz w:val="24"/>
                <w:szCs w:val="24"/>
              </w:rPr>
              <w:t>个</w:t>
            </w:r>
          </w:p>
        </w:tc>
      </w:tr>
    </w:tbl>
    <w:p w14:paraId="19B315DB">
      <w:pPr>
        <w:ind w:firstLine="560"/>
      </w:pPr>
    </w:p>
    <w:p w14:paraId="4B4B5304">
      <w:pPr>
        <w:pStyle w:val="4"/>
      </w:pPr>
      <w:bookmarkStart w:id="262" w:name="_Toc31759"/>
      <w:bookmarkStart w:id="263" w:name="_Toc124107405"/>
      <w:bookmarkStart w:id="264" w:name="_Toc176901244"/>
      <w:bookmarkStart w:id="265" w:name="_Toc19834"/>
      <w:bookmarkStart w:id="266" w:name="_Toc16724"/>
      <w:bookmarkStart w:id="267" w:name="_Toc14127"/>
      <w:bookmarkStart w:id="268" w:name="_Toc261940948"/>
      <w:r>
        <w:t>4.</w:t>
      </w:r>
      <w:r>
        <w:rPr>
          <w:lang w:val="en-US"/>
        </w:rPr>
        <w:t>3</w:t>
      </w:r>
      <w:r>
        <w:t xml:space="preserve"> 地质填图工作</w:t>
      </w:r>
      <w:bookmarkEnd w:id="262"/>
      <w:bookmarkEnd w:id="263"/>
      <w:bookmarkEnd w:id="264"/>
      <w:bookmarkEnd w:id="265"/>
      <w:bookmarkEnd w:id="266"/>
      <w:bookmarkEnd w:id="267"/>
    </w:p>
    <w:p w14:paraId="4B9DBCEA">
      <w:pPr>
        <w:pStyle w:val="5"/>
      </w:pPr>
      <w:r>
        <w:t>4.</w:t>
      </w:r>
      <w:r>
        <w:rPr>
          <w:lang w:val="en-US"/>
        </w:rPr>
        <w:t>3</w:t>
      </w:r>
      <w:r>
        <w:t>.1 基本任务</w:t>
      </w:r>
    </w:p>
    <w:p w14:paraId="641F76EE">
      <w:pPr>
        <w:ind w:firstLine="560"/>
      </w:pPr>
      <w:r>
        <w:t>在区域地质调查的基础上，以测绘的1:2000矿区地形图为底图，通过1:1000</w:t>
      </w:r>
      <w:r>
        <w:rPr>
          <w:rFonts w:hint="eastAsia"/>
          <w:lang w:val="en-US" w:eastAsia="zh-CN"/>
        </w:rPr>
        <w:t>水文地质、工程</w:t>
      </w:r>
      <w:r>
        <w:t>地质剖面图</w:t>
      </w:r>
      <w:r>
        <w:rPr>
          <w:rFonts w:hint="eastAsia"/>
          <w:lang w:eastAsia="zh-CN"/>
        </w:rPr>
        <w:t>，</w:t>
      </w:r>
      <w:r>
        <w:t>1:2000地质填图，研究矿区内地层、岩石、构造、矿体等其他各种地质体的分布及特征，研究矿区内水文地质、工程地质、环境地质等开采技术条件。</w:t>
      </w:r>
    </w:p>
    <w:p w14:paraId="73911650">
      <w:pPr>
        <w:pStyle w:val="5"/>
      </w:pPr>
      <w:r>
        <w:t>4.</w:t>
      </w:r>
      <w:r>
        <w:rPr>
          <w:lang w:val="en-US"/>
        </w:rPr>
        <w:t>3</w:t>
      </w:r>
      <w:r>
        <w:t>.2 基本要求及工作内容</w:t>
      </w:r>
    </w:p>
    <w:p w14:paraId="30AD929D">
      <w:pPr>
        <w:ind w:firstLine="560"/>
        <w:rPr>
          <w:kern w:val="0"/>
          <w:szCs w:val="28"/>
        </w:rPr>
      </w:pPr>
      <w:r>
        <w:rPr>
          <w:szCs w:val="28"/>
        </w:rPr>
        <w:t>收集、反映工作区地层层序、厚度、沉积环境等地质资料。研究岩石地层单位的岩性、主要物质成分和地球化学特征、基本层序、沉积特征(结构、构造及组构特征)、厚度、产状、成因、含矿性、接触关系等。首先选择露头较好的线路开展地质剖面测量，划分地层、岩石组合，正确建立地层层序和填图单位，合理划分岩石地层单位，即建立</w:t>
      </w:r>
      <w:r>
        <w:rPr>
          <w:szCs w:val="21"/>
        </w:rPr>
        <w:t>第四系全新统（Q</w:t>
      </w:r>
      <w:r>
        <w:rPr>
          <w:i/>
          <w:iCs/>
          <w:szCs w:val="21"/>
        </w:rPr>
        <w:t>h</w:t>
      </w:r>
      <w:r>
        <w:rPr>
          <w:szCs w:val="21"/>
        </w:rPr>
        <w:t>）、下侏罗统汪门组（J</w:t>
      </w:r>
      <w:r>
        <w:rPr>
          <w:szCs w:val="21"/>
          <w:vertAlign w:val="subscript"/>
        </w:rPr>
        <w:t>1</w:t>
      </w:r>
      <w:r>
        <w:rPr>
          <w:i/>
          <w:iCs/>
          <w:szCs w:val="21"/>
        </w:rPr>
        <w:t>w</w:t>
      </w:r>
      <w:r>
        <w:rPr>
          <w:szCs w:val="21"/>
        </w:rPr>
        <w:t>）、下三叠统罗楼组下段（T</w:t>
      </w:r>
      <w:r>
        <w:rPr>
          <w:szCs w:val="21"/>
          <w:vertAlign w:val="subscript"/>
        </w:rPr>
        <w:t>1</w:t>
      </w:r>
      <w:r>
        <w:rPr>
          <w:i/>
          <w:iCs/>
          <w:szCs w:val="21"/>
        </w:rPr>
        <w:t>l</w:t>
      </w:r>
      <w:r>
        <w:rPr>
          <w:szCs w:val="21"/>
          <w:vertAlign w:val="superscript"/>
        </w:rPr>
        <w:t>1</w:t>
      </w:r>
      <w:r>
        <w:rPr>
          <w:szCs w:val="21"/>
        </w:rPr>
        <w:t>）、二叠系合山组（P</w:t>
      </w:r>
      <w:r>
        <w:rPr>
          <w:szCs w:val="21"/>
          <w:vertAlign w:val="subscript"/>
        </w:rPr>
        <w:t>3</w:t>
      </w:r>
      <w:r>
        <w:rPr>
          <w:i/>
          <w:iCs/>
          <w:szCs w:val="21"/>
        </w:rPr>
        <w:t>h</w:t>
      </w:r>
      <w:r>
        <w:rPr>
          <w:szCs w:val="21"/>
        </w:rPr>
        <w:t>）、二叠系中统矛口组（P</w:t>
      </w:r>
      <w:r>
        <w:rPr>
          <w:szCs w:val="21"/>
          <w:vertAlign w:val="subscript"/>
        </w:rPr>
        <w:t>2</w:t>
      </w:r>
      <w:r>
        <w:rPr>
          <w:i/>
          <w:iCs/>
          <w:szCs w:val="21"/>
        </w:rPr>
        <w:t>m</w:t>
      </w:r>
      <w:r>
        <w:rPr>
          <w:szCs w:val="21"/>
        </w:rPr>
        <w:t>）、二叠系中统栖霞组（P</w:t>
      </w:r>
      <w:r>
        <w:rPr>
          <w:szCs w:val="21"/>
          <w:vertAlign w:val="subscript"/>
        </w:rPr>
        <w:t>2</w:t>
      </w:r>
      <w:r>
        <w:rPr>
          <w:i/>
          <w:iCs/>
          <w:szCs w:val="21"/>
        </w:rPr>
        <w:t>q</w:t>
      </w:r>
      <w:r>
        <w:rPr>
          <w:szCs w:val="21"/>
        </w:rPr>
        <w:t>）、石炭系上统至二叠下统马平组（C</w:t>
      </w:r>
      <w:r>
        <w:rPr>
          <w:szCs w:val="21"/>
          <w:vertAlign w:val="subscript"/>
        </w:rPr>
        <w:t>2</w:t>
      </w:r>
      <w:r>
        <w:rPr>
          <w:szCs w:val="21"/>
        </w:rPr>
        <w:t>P</w:t>
      </w:r>
      <w:r>
        <w:rPr>
          <w:szCs w:val="21"/>
          <w:vertAlign w:val="subscript"/>
        </w:rPr>
        <w:t>1</w:t>
      </w:r>
      <w:r>
        <w:rPr>
          <w:i/>
          <w:iCs/>
          <w:szCs w:val="21"/>
        </w:rPr>
        <w:t>m</w:t>
      </w:r>
      <w:r>
        <w:rPr>
          <w:szCs w:val="21"/>
        </w:rPr>
        <w:t>）、</w:t>
      </w:r>
      <w:r>
        <w:t>石炭系黄龙组（C</w:t>
      </w:r>
      <w:r>
        <w:rPr>
          <w:vertAlign w:val="subscript"/>
        </w:rPr>
        <w:t>2</w:t>
      </w:r>
      <w:r>
        <w:rPr>
          <w:i/>
          <w:iCs/>
        </w:rPr>
        <w:t>h</w:t>
      </w:r>
      <w:r>
        <w:t>）</w:t>
      </w:r>
      <w:r>
        <w:rPr>
          <w:szCs w:val="28"/>
        </w:rPr>
        <w:t>地层划分为8个岩性段，其中矿区主要为</w:t>
      </w:r>
      <w:r>
        <w:rPr>
          <w:szCs w:val="21"/>
        </w:rPr>
        <w:t>二叠系中统矛口组（P</w:t>
      </w:r>
      <w:r>
        <w:rPr>
          <w:szCs w:val="21"/>
          <w:vertAlign w:val="subscript"/>
        </w:rPr>
        <w:t>2</w:t>
      </w:r>
      <w:r>
        <w:rPr>
          <w:i/>
          <w:iCs/>
          <w:szCs w:val="21"/>
        </w:rPr>
        <w:t>m</w:t>
      </w:r>
      <w:r>
        <w:rPr>
          <w:szCs w:val="21"/>
        </w:rPr>
        <w:t>）、二叠系中统栖霞组（P</w:t>
      </w:r>
      <w:r>
        <w:rPr>
          <w:szCs w:val="21"/>
          <w:vertAlign w:val="subscript"/>
        </w:rPr>
        <w:t>2</w:t>
      </w:r>
      <w:r>
        <w:rPr>
          <w:i/>
          <w:iCs/>
          <w:szCs w:val="21"/>
        </w:rPr>
        <w:t>q</w:t>
      </w:r>
      <w:r>
        <w:rPr>
          <w:szCs w:val="21"/>
        </w:rPr>
        <w:t>）、石炭系上统至二叠下统马平组（C</w:t>
      </w:r>
      <w:r>
        <w:rPr>
          <w:szCs w:val="21"/>
          <w:vertAlign w:val="subscript"/>
        </w:rPr>
        <w:t>2</w:t>
      </w:r>
      <w:r>
        <w:rPr>
          <w:szCs w:val="21"/>
        </w:rPr>
        <w:t>P</w:t>
      </w:r>
      <w:r>
        <w:rPr>
          <w:szCs w:val="21"/>
          <w:vertAlign w:val="subscript"/>
        </w:rPr>
        <w:t>1</w:t>
      </w:r>
      <w:r>
        <w:rPr>
          <w:i/>
          <w:iCs/>
          <w:szCs w:val="21"/>
        </w:rPr>
        <w:t>m</w:t>
      </w:r>
      <w:r>
        <w:rPr>
          <w:szCs w:val="21"/>
        </w:rPr>
        <w:t>），</w:t>
      </w:r>
      <w:r>
        <w:rPr>
          <w:szCs w:val="28"/>
        </w:rPr>
        <w:t>岩性为</w:t>
      </w:r>
      <w:r>
        <w:rPr>
          <w:szCs w:val="21"/>
        </w:rPr>
        <w:t>浅灰、灰白、灰色厚层～块状灰岩，由于二叠系中统矛口组（P</w:t>
      </w:r>
      <w:r>
        <w:rPr>
          <w:szCs w:val="21"/>
          <w:vertAlign w:val="subscript"/>
        </w:rPr>
        <w:t>2</w:t>
      </w:r>
      <w:r>
        <w:rPr>
          <w:i/>
          <w:iCs/>
          <w:szCs w:val="21"/>
        </w:rPr>
        <w:t>m</w:t>
      </w:r>
      <w:r>
        <w:rPr>
          <w:szCs w:val="21"/>
        </w:rPr>
        <w:t>）和石炭系上统至二叠下统马平组（C</w:t>
      </w:r>
      <w:r>
        <w:rPr>
          <w:szCs w:val="21"/>
          <w:vertAlign w:val="subscript"/>
        </w:rPr>
        <w:t>2</w:t>
      </w:r>
      <w:r>
        <w:rPr>
          <w:szCs w:val="21"/>
        </w:rPr>
        <w:t>P</w:t>
      </w:r>
      <w:r>
        <w:rPr>
          <w:szCs w:val="21"/>
          <w:vertAlign w:val="subscript"/>
        </w:rPr>
        <w:t>1</w:t>
      </w:r>
      <w:r>
        <w:rPr>
          <w:i/>
          <w:iCs/>
          <w:szCs w:val="21"/>
        </w:rPr>
        <w:t>m</w:t>
      </w:r>
      <w:r>
        <w:rPr>
          <w:szCs w:val="21"/>
        </w:rPr>
        <w:t>）厚度较大，在进行地质填图时可以根据实际情况分2~3个段填图，以保证填图精度</w:t>
      </w:r>
      <w:r>
        <w:rPr>
          <w:szCs w:val="28"/>
        </w:rPr>
        <w:t>。通过地质填图，基本查明夹石的种类、规模、产状及分布规律。重点研究与成矿作用有关的地层、岩石、构造等内容，其他内容可作为一般性要求。</w:t>
      </w:r>
    </w:p>
    <w:bookmarkEnd w:id="268"/>
    <w:p w14:paraId="192B24A0">
      <w:pPr>
        <w:pStyle w:val="4"/>
      </w:pPr>
      <w:bookmarkStart w:id="269" w:name="_Toc40381584"/>
      <w:bookmarkStart w:id="270" w:name="_Toc124107407"/>
      <w:bookmarkStart w:id="271" w:name="_Toc25987"/>
      <w:bookmarkStart w:id="272" w:name="_Toc27823"/>
      <w:bookmarkStart w:id="273" w:name="_Toc30200"/>
      <w:bookmarkStart w:id="274" w:name="_Toc176901245"/>
      <w:bookmarkStart w:id="275" w:name="_Toc525718461"/>
      <w:bookmarkStart w:id="276" w:name="_Toc525717777"/>
      <w:bookmarkStart w:id="277" w:name="_Toc525662707"/>
      <w:bookmarkStart w:id="278" w:name="_Toc24856"/>
      <w:bookmarkStart w:id="279" w:name="_Toc525662954"/>
      <w:bookmarkStart w:id="280" w:name="_Toc9027"/>
      <w:bookmarkStart w:id="281" w:name="_Toc75321750"/>
      <w:bookmarkStart w:id="282" w:name="_Toc92070545"/>
      <w:bookmarkStart w:id="283" w:name="_Toc77068909"/>
      <w:bookmarkStart w:id="284" w:name="_Toc143008009"/>
      <w:bookmarkStart w:id="285" w:name="_Toc74453435"/>
      <w:bookmarkStart w:id="286" w:name="_Toc74473416"/>
      <w:bookmarkStart w:id="287" w:name="_Toc76264561"/>
      <w:bookmarkStart w:id="288" w:name="_Toc76785772"/>
      <w:bookmarkStart w:id="289" w:name="_Toc92271944"/>
      <w:bookmarkStart w:id="290" w:name="_Toc74454069"/>
      <w:bookmarkStart w:id="291" w:name="_Toc74473281"/>
      <w:bookmarkStart w:id="292" w:name="_Toc75320678"/>
      <w:bookmarkStart w:id="293" w:name="_Toc76913746"/>
      <w:bookmarkStart w:id="294" w:name="_Toc77084094"/>
      <w:bookmarkStart w:id="295" w:name="_Toc74453673"/>
      <w:bookmarkStart w:id="296" w:name="_Toc76806164"/>
      <w:bookmarkStart w:id="297" w:name="_Toc76264218"/>
      <w:bookmarkStart w:id="298" w:name="_Toc76786297"/>
      <w:bookmarkStart w:id="299" w:name="_Toc92470973"/>
      <w:bookmarkStart w:id="300" w:name="OLE_LINK2"/>
      <w:r>
        <w:t>4.</w:t>
      </w:r>
      <w:r>
        <w:rPr>
          <w:lang w:val="en-US"/>
        </w:rPr>
        <w:t>4</w:t>
      </w:r>
      <w:r>
        <w:t xml:space="preserve"> 钻探工程</w:t>
      </w:r>
      <w:bookmarkEnd w:id="269"/>
      <w:bookmarkEnd w:id="270"/>
      <w:bookmarkEnd w:id="271"/>
      <w:bookmarkEnd w:id="272"/>
      <w:bookmarkEnd w:id="273"/>
      <w:bookmarkEnd w:id="274"/>
      <w:bookmarkEnd w:id="275"/>
      <w:bookmarkEnd w:id="276"/>
      <w:bookmarkEnd w:id="277"/>
      <w:bookmarkEnd w:id="278"/>
      <w:bookmarkEnd w:id="279"/>
      <w:bookmarkEnd w:id="280"/>
    </w:p>
    <w:p w14:paraId="348E2C6A">
      <w:pPr>
        <w:pStyle w:val="5"/>
      </w:pPr>
      <w:r>
        <w:t>4.</w:t>
      </w:r>
      <w:r>
        <w:rPr>
          <w:lang w:val="en-US"/>
        </w:rPr>
        <w:t>4</w:t>
      </w:r>
      <w:r>
        <w:t>.1 基本任务</w:t>
      </w:r>
    </w:p>
    <w:p w14:paraId="14A99219">
      <w:pPr>
        <w:ind w:firstLine="560"/>
        <w:rPr>
          <w:szCs w:val="28"/>
        </w:rPr>
      </w:pPr>
      <w:r>
        <w:rPr>
          <w:snapToGrid w:val="0"/>
          <w:kern w:val="0"/>
          <w:szCs w:val="28"/>
        </w:rPr>
        <w:t>钻探工程施工的目的是为了查明深部灰岩矿体的产状、形态、厚度、矿石质量等地质特征，并为探求控制资源量和推断资源量提供依据。设计钻探工程9个孔，总工作量1</w:t>
      </w:r>
      <w:r>
        <w:rPr>
          <w:rFonts w:hint="eastAsia"/>
          <w:snapToGrid w:val="0"/>
          <w:kern w:val="0"/>
          <w:szCs w:val="28"/>
          <w:lang w:val="en-US" w:eastAsia="zh-CN"/>
        </w:rPr>
        <w:t>3</w:t>
      </w:r>
      <w:r>
        <w:rPr>
          <w:snapToGrid w:val="0"/>
          <w:kern w:val="0"/>
          <w:szCs w:val="28"/>
        </w:rPr>
        <w:t>22m。</w:t>
      </w:r>
    </w:p>
    <w:p w14:paraId="4AE854C9">
      <w:pPr>
        <w:pStyle w:val="5"/>
      </w:pPr>
      <w:r>
        <w:t>4.</w:t>
      </w:r>
      <w:r>
        <w:rPr>
          <w:lang w:val="en-US"/>
        </w:rPr>
        <w:t>4</w:t>
      </w:r>
      <w:r>
        <w:t>.2 钻探工程布置</w:t>
      </w:r>
    </w:p>
    <w:p w14:paraId="0D8A1EF1">
      <w:pPr>
        <w:ind w:firstLine="560"/>
      </w:pPr>
      <w:r>
        <w:t>经过地质测量，在勘探线剖面上布置钻探工程，因矿区灰岩矿体厚度较大且稳定，所以本次设计的钻孔均为直孔。</w:t>
      </w:r>
    </w:p>
    <w:p w14:paraId="52B0A60D">
      <w:pPr>
        <w:pStyle w:val="5"/>
      </w:pPr>
      <w:r>
        <w:t>4.</w:t>
      </w:r>
      <w:r>
        <w:rPr>
          <w:lang w:val="en-US"/>
        </w:rPr>
        <w:t>4</w:t>
      </w:r>
      <w:r>
        <w:t>.3 钻探工程技术要求</w:t>
      </w:r>
    </w:p>
    <w:p w14:paraId="53E13E31">
      <w:pPr>
        <w:ind w:firstLine="560"/>
      </w:pPr>
      <w:r>
        <w:t>钻探工程质量要求按最新颁发的国家行业标准《地质岩心钻探规程》（DZ/T0227-2010）规定的七项指标（岩矿芯采取率、钻孔弯曲度、孔深校正、简易水文观测、原始报表、封孔、环境恢复治理）的技术质量要求执行。具体施工技术和质量要求如下：</w:t>
      </w:r>
    </w:p>
    <w:p w14:paraId="0390637A">
      <w:pPr>
        <w:ind w:firstLine="560"/>
        <w:rPr>
          <w:snapToGrid w:val="0"/>
          <w:kern w:val="0"/>
          <w:szCs w:val="28"/>
        </w:rPr>
      </w:pPr>
      <w:r>
        <w:rPr>
          <w:snapToGrid w:val="0"/>
          <w:kern w:val="0"/>
          <w:szCs w:val="28"/>
        </w:rPr>
        <w:t>（1）岩矿心采取率</w:t>
      </w:r>
    </w:p>
    <w:p w14:paraId="4BF63CD3">
      <w:pPr>
        <w:ind w:firstLine="560"/>
        <w:rPr>
          <w:snapToGrid w:val="0"/>
          <w:kern w:val="0"/>
          <w:szCs w:val="28"/>
        </w:rPr>
      </w:pPr>
      <w:r>
        <w:rPr>
          <w:snapToGrid w:val="0"/>
          <w:kern w:val="0"/>
          <w:szCs w:val="28"/>
        </w:rPr>
        <w:t>围岩岩芯分层采取率不得小于70%。</w:t>
      </w:r>
      <w:r>
        <w:rPr>
          <w:szCs w:val="28"/>
        </w:rPr>
        <w:t>矿</w:t>
      </w:r>
      <w:r>
        <w:rPr>
          <w:snapToGrid w:val="0"/>
          <w:kern w:val="0"/>
          <w:szCs w:val="28"/>
        </w:rPr>
        <w:t>芯（包括矿体中的夹石及矿体顶底板3m～5m内的围岩）采取率按连续8m计算应大于80%。否则应采取补救措施。</w:t>
      </w:r>
    </w:p>
    <w:p w14:paraId="52CEEC8C">
      <w:pPr>
        <w:ind w:firstLine="560"/>
        <w:rPr>
          <w:snapToGrid w:val="0"/>
          <w:kern w:val="0"/>
          <w:szCs w:val="28"/>
        </w:rPr>
      </w:pPr>
      <w:r>
        <w:rPr>
          <w:snapToGrid w:val="0"/>
          <w:kern w:val="0"/>
          <w:szCs w:val="28"/>
        </w:rPr>
        <w:t>（2）钻孔弯曲度</w:t>
      </w:r>
    </w:p>
    <w:p w14:paraId="58FE2214">
      <w:pPr>
        <w:ind w:firstLine="560"/>
        <w:rPr>
          <w:snapToGrid w:val="0"/>
          <w:kern w:val="0"/>
          <w:szCs w:val="28"/>
        </w:rPr>
      </w:pPr>
      <w:r>
        <w:rPr>
          <w:snapToGrid w:val="0"/>
          <w:kern w:val="0"/>
          <w:szCs w:val="28"/>
        </w:rPr>
        <w:t>本次详查设计钻孔均为直孔，每钻进50m测一次顶角，见矿点和终孔均要进行测定。允许误差范围：直孔每50m顶角偏差不超过1°，随着钻孔加深，其顶角的偏差可以递增计算。若钻孔偏斜与设计出入较大时，及时采取补救措施。</w:t>
      </w:r>
    </w:p>
    <w:p w14:paraId="2B0B8B1C">
      <w:pPr>
        <w:ind w:firstLine="560"/>
        <w:rPr>
          <w:snapToGrid w:val="0"/>
          <w:kern w:val="0"/>
          <w:szCs w:val="28"/>
        </w:rPr>
      </w:pPr>
      <w:r>
        <w:rPr>
          <w:snapToGrid w:val="0"/>
          <w:kern w:val="0"/>
          <w:szCs w:val="28"/>
        </w:rPr>
        <w:t>（3）孔深校正</w:t>
      </w:r>
    </w:p>
    <w:p w14:paraId="4408C5D5">
      <w:pPr>
        <w:ind w:firstLine="560"/>
        <w:rPr>
          <w:snapToGrid w:val="0"/>
          <w:kern w:val="0"/>
          <w:szCs w:val="28"/>
        </w:rPr>
      </w:pPr>
      <w:r>
        <w:rPr>
          <w:snapToGrid w:val="0"/>
          <w:kern w:val="0"/>
          <w:szCs w:val="28"/>
        </w:rPr>
        <w:t>每钻进50m，矿层顶、底板、下套管前和终孔，均测量校正孔深，孔深误差允许在1/1000之内，如超差则必须查明原因后校正、修改班报表。</w:t>
      </w:r>
    </w:p>
    <w:p w14:paraId="627E5634">
      <w:pPr>
        <w:ind w:firstLine="560"/>
        <w:rPr>
          <w:snapToGrid w:val="0"/>
          <w:kern w:val="0"/>
          <w:szCs w:val="28"/>
        </w:rPr>
      </w:pPr>
      <w:r>
        <w:rPr>
          <w:snapToGrid w:val="0"/>
          <w:kern w:val="0"/>
          <w:szCs w:val="28"/>
        </w:rPr>
        <w:t>（4）简易水文观测</w:t>
      </w:r>
    </w:p>
    <w:p w14:paraId="43FBBD14">
      <w:pPr>
        <w:ind w:firstLine="560"/>
        <w:rPr>
          <w:snapToGrid w:val="0"/>
          <w:kern w:val="0"/>
          <w:szCs w:val="28"/>
        </w:rPr>
      </w:pPr>
      <w:r>
        <w:rPr>
          <w:snapToGrid w:val="0"/>
          <w:kern w:val="0"/>
          <w:szCs w:val="28"/>
        </w:rPr>
        <w:t>钻孔简易水文观测要求钻孔水位观测每班次至少1-2次，每回次观测，应在提钻后、下钻前进行，间隔时间不少于5分钟。在钻进中应详细如实记录钻孔漏水、涌水、掉块、塌壁、掉钻、卡钻等异常现象和部位。终孔后必须测量孔内稳定水位。</w:t>
      </w:r>
    </w:p>
    <w:p w14:paraId="145C7F5A">
      <w:pPr>
        <w:ind w:firstLine="560"/>
        <w:rPr>
          <w:snapToGrid w:val="0"/>
          <w:kern w:val="0"/>
          <w:szCs w:val="28"/>
        </w:rPr>
      </w:pPr>
      <w:r>
        <w:rPr>
          <w:snapToGrid w:val="0"/>
          <w:kern w:val="0"/>
          <w:szCs w:val="28"/>
        </w:rPr>
        <w:t>（5）封孔</w:t>
      </w:r>
    </w:p>
    <w:p w14:paraId="6E423FCA">
      <w:pPr>
        <w:ind w:firstLine="560"/>
        <w:rPr>
          <w:snapToGrid w:val="0"/>
          <w:kern w:val="0"/>
          <w:szCs w:val="28"/>
        </w:rPr>
      </w:pPr>
      <w:r>
        <w:rPr>
          <w:snapToGrid w:val="0"/>
          <w:kern w:val="0"/>
          <w:szCs w:val="28"/>
        </w:rPr>
        <w:t>所有钻孔均全孔封闭，封孔后必须在孔口中心处设水泥标志桩（标志桩要高出地面20cm），并在标志桩上注明孔号、孔深等。封孔水泥必须用400标号以上水泥。</w:t>
      </w:r>
    </w:p>
    <w:p w14:paraId="796B0D5A">
      <w:pPr>
        <w:ind w:firstLine="560"/>
        <w:rPr>
          <w:snapToGrid w:val="0"/>
          <w:kern w:val="0"/>
          <w:szCs w:val="28"/>
        </w:rPr>
      </w:pPr>
      <w:r>
        <w:rPr>
          <w:snapToGrid w:val="0"/>
          <w:kern w:val="0"/>
          <w:szCs w:val="28"/>
        </w:rPr>
        <w:t>（6）原始报表</w:t>
      </w:r>
    </w:p>
    <w:p w14:paraId="65462EB0">
      <w:pPr>
        <w:ind w:firstLine="560"/>
        <w:rPr>
          <w:snapToGrid w:val="0"/>
          <w:kern w:val="0"/>
          <w:szCs w:val="28"/>
        </w:rPr>
      </w:pPr>
      <w:r>
        <w:rPr>
          <w:snapToGrid w:val="0"/>
          <w:kern w:val="0"/>
          <w:szCs w:val="28"/>
        </w:rPr>
        <w:t>钻探班报表、简易水文观测记录、岩心牌和岩心编号应由钻机当班记录员用钢笔填写记录，要做到数据真实、准确、齐全、整洁。</w:t>
      </w:r>
    </w:p>
    <w:p w14:paraId="63B1198F">
      <w:pPr>
        <w:ind w:firstLine="560"/>
        <w:rPr>
          <w:snapToGrid w:val="0"/>
          <w:kern w:val="0"/>
          <w:szCs w:val="28"/>
        </w:rPr>
      </w:pPr>
      <w:r>
        <w:rPr>
          <w:snapToGrid w:val="0"/>
          <w:kern w:val="0"/>
          <w:szCs w:val="28"/>
        </w:rPr>
        <w:t>（7）环境恢复治理：在钻探施工结束后，对钻机坪台要进行填土，种植植被，保持水土，恢复原有生态环境。</w:t>
      </w:r>
    </w:p>
    <w:p w14:paraId="4A8C6962">
      <w:pPr>
        <w:pStyle w:val="4"/>
        <w:rPr>
          <w:lang w:val="en-US"/>
        </w:rPr>
      </w:pPr>
      <w:bookmarkStart w:id="301" w:name="_Toc14353"/>
      <w:bookmarkStart w:id="302" w:name="_Toc20386"/>
      <w:bookmarkStart w:id="303" w:name="_Toc5997"/>
      <w:bookmarkStart w:id="304" w:name="_Toc30174"/>
      <w:bookmarkStart w:id="305" w:name="_Toc176901246"/>
      <w:bookmarkStart w:id="306" w:name="_Toc57211356"/>
      <w:bookmarkStart w:id="307" w:name="_Toc124107408"/>
      <w:r>
        <w:rPr>
          <w:lang w:val="en-US"/>
        </w:rPr>
        <w:t>4.5 剥土工程</w:t>
      </w:r>
      <w:bookmarkEnd w:id="301"/>
      <w:bookmarkEnd w:id="302"/>
      <w:bookmarkEnd w:id="303"/>
      <w:bookmarkEnd w:id="304"/>
    </w:p>
    <w:p w14:paraId="16013191">
      <w:pPr>
        <w:ind w:firstLine="560"/>
        <w:rPr>
          <w:szCs w:val="28"/>
        </w:rPr>
      </w:pPr>
      <w:r>
        <w:rPr>
          <w:szCs w:val="28"/>
        </w:rPr>
        <w:t>为了揭露和控制地表灰岩矿层的层位、矿石特征和矿石质量，沿勘查线布置了6条剥土工程，在勘探线间较高的山峰和山脊上布置剥土地工程，预计土石方约2000m</w:t>
      </w:r>
      <w:r>
        <w:rPr>
          <w:szCs w:val="28"/>
          <w:vertAlign w:val="superscript"/>
        </w:rPr>
        <w:t>3</w:t>
      </w:r>
      <w:r>
        <w:rPr>
          <w:szCs w:val="28"/>
        </w:rPr>
        <w:t>。</w:t>
      </w:r>
    </w:p>
    <w:p w14:paraId="744A6BE1">
      <w:pPr>
        <w:pStyle w:val="5"/>
      </w:pPr>
      <w:bookmarkStart w:id="308" w:name="_Toc16985"/>
      <w:r>
        <w:rPr>
          <w:lang w:val="en-US"/>
        </w:rPr>
        <w:t xml:space="preserve">4.5.1 </w:t>
      </w:r>
      <w:r>
        <w:t>基本要求</w:t>
      </w:r>
      <w:bookmarkEnd w:id="308"/>
    </w:p>
    <w:p w14:paraId="4642A733">
      <w:pPr>
        <w:ind w:firstLine="560"/>
      </w:pPr>
      <w:r>
        <w:t>（1）工程编号简单明了、不重复，同项工程的编号应统一；尽量采用字母及数字符号；</w:t>
      </w:r>
    </w:p>
    <w:p w14:paraId="4A5C0404">
      <w:pPr>
        <w:ind w:firstLine="560"/>
      </w:pPr>
      <w:r>
        <w:t>（2）施工前对矿区范围再进行一次踏勘复查，检查（剥土）施工位置是否准确；</w:t>
      </w:r>
    </w:p>
    <w:p w14:paraId="7598C3BC">
      <w:pPr>
        <w:ind w:firstLine="560"/>
      </w:pPr>
      <w:r>
        <w:t>（3）剥土位置若存在安全隐患（如表土性质和厚度、涌水情况等不利影响），或位于不利于施工的地物（坟墓、果园、水井、房屋等）上时，可适当调整工程位置，但最大偏离距不应大于勘查线距的1/4。</w:t>
      </w:r>
    </w:p>
    <w:p w14:paraId="24428174">
      <w:pPr>
        <w:ind w:firstLine="560"/>
      </w:pPr>
      <w:r>
        <w:t>（4）剥土工程要挖至新鲜基岩。</w:t>
      </w:r>
    </w:p>
    <w:p w14:paraId="71134029">
      <w:pPr>
        <w:pStyle w:val="5"/>
      </w:pPr>
      <w:bookmarkStart w:id="309" w:name="_Toc4218"/>
      <w:r>
        <w:rPr>
          <w:lang w:val="en-US"/>
        </w:rPr>
        <w:t xml:space="preserve">4.5.2 </w:t>
      </w:r>
      <w:r>
        <w:t>剥土工程取样</w:t>
      </w:r>
      <w:bookmarkEnd w:id="309"/>
    </w:p>
    <w:p w14:paraId="4E7484BB">
      <w:pPr>
        <w:ind w:firstLine="560"/>
      </w:pPr>
      <w:r>
        <w:t>地表连续刻槽沿勘探线进行，在山坡脚、低洼、缓坡等处有粘土层、树根及基岩风化层等覆盖，需清除所遇粘土、树根、岩层风化表面等。</w:t>
      </w:r>
    </w:p>
    <w:p w14:paraId="4FCB5B09">
      <w:pPr>
        <w:pStyle w:val="4"/>
      </w:pPr>
      <w:bookmarkStart w:id="310" w:name="_Toc21215"/>
      <w:bookmarkStart w:id="311" w:name="_Toc5380"/>
      <w:bookmarkStart w:id="312" w:name="_Toc10765"/>
      <w:bookmarkStart w:id="313" w:name="_Toc30585"/>
      <w:r>
        <w:t>4.</w:t>
      </w:r>
      <w:r>
        <w:rPr>
          <w:lang w:val="en-US"/>
        </w:rPr>
        <w:t>6</w:t>
      </w:r>
      <w:r>
        <w:t xml:space="preserve"> 水文地质、工程地质、环境地质工作</w:t>
      </w:r>
      <w:bookmarkEnd w:id="305"/>
      <w:bookmarkEnd w:id="306"/>
      <w:bookmarkEnd w:id="307"/>
      <w:bookmarkEnd w:id="310"/>
      <w:bookmarkEnd w:id="311"/>
      <w:bookmarkEnd w:id="312"/>
      <w:bookmarkEnd w:id="313"/>
    </w:p>
    <w:p w14:paraId="52ED36EF">
      <w:pPr>
        <w:pStyle w:val="5"/>
      </w:pPr>
      <w:r>
        <w:t>4.</w:t>
      </w:r>
      <w:r>
        <w:rPr>
          <w:lang w:val="en-US"/>
        </w:rPr>
        <w:t>6</w:t>
      </w:r>
      <w:r>
        <w:t>.1 工作执行技术规范和标准</w:t>
      </w:r>
    </w:p>
    <w:p w14:paraId="6DBF3A0B">
      <w:pPr>
        <w:autoSpaceDE w:val="0"/>
        <w:autoSpaceDN w:val="0"/>
        <w:ind w:firstLine="560"/>
        <w:rPr>
          <w:color w:val="auto"/>
          <w:kern w:val="0"/>
          <w:szCs w:val="28"/>
        </w:rPr>
      </w:pPr>
      <w:r>
        <w:rPr>
          <w:color w:val="auto"/>
          <w:kern w:val="0"/>
          <w:szCs w:val="28"/>
        </w:rPr>
        <w:t>（1）《地表水环境质量标准》（GB 3838-2002）；</w:t>
      </w:r>
    </w:p>
    <w:p w14:paraId="36794646">
      <w:pPr>
        <w:autoSpaceDE w:val="0"/>
        <w:autoSpaceDN w:val="0"/>
        <w:ind w:firstLine="560"/>
        <w:rPr>
          <w:color w:val="auto"/>
          <w:kern w:val="0"/>
          <w:szCs w:val="28"/>
        </w:rPr>
      </w:pPr>
      <w:r>
        <w:rPr>
          <w:color w:val="auto"/>
          <w:kern w:val="0"/>
          <w:szCs w:val="28"/>
        </w:rPr>
        <w:t>（2）《建筑材料放射性核素限量》（GB 6566-2010）；</w:t>
      </w:r>
    </w:p>
    <w:p w14:paraId="0BC643C6">
      <w:pPr>
        <w:autoSpaceDE w:val="0"/>
        <w:autoSpaceDN w:val="0"/>
        <w:ind w:firstLine="560"/>
        <w:rPr>
          <w:color w:val="auto"/>
          <w:kern w:val="0"/>
          <w:szCs w:val="28"/>
        </w:rPr>
      </w:pPr>
      <w:r>
        <w:rPr>
          <w:color w:val="auto"/>
          <w:kern w:val="0"/>
          <w:szCs w:val="28"/>
        </w:rPr>
        <w:t>（3）《工程岩体分级标准》（GBT 50218-2014）；</w:t>
      </w:r>
    </w:p>
    <w:p w14:paraId="60ED87D5">
      <w:pPr>
        <w:autoSpaceDE w:val="0"/>
        <w:autoSpaceDN w:val="0"/>
        <w:ind w:firstLine="560"/>
        <w:rPr>
          <w:color w:val="auto"/>
          <w:kern w:val="0"/>
          <w:szCs w:val="28"/>
        </w:rPr>
      </w:pPr>
      <w:r>
        <w:rPr>
          <w:color w:val="auto"/>
          <w:kern w:val="0"/>
          <w:szCs w:val="28"/>
        </w:rPr>
        <w:t>（4）《固体矿产勘查工作规范》（GBT 334444-2016）；</w:t>
      </w:r>
    </w:p>
    <w:p w14:paraId="4C950339">
      <w:pPr>
        <w:autoSpaceDE w:val="0"/>
        <w:autoSpaceDN w:val="0"/>
        <w:ind w:firstLine="560"/>
        <w:rPr>
          <w:color w:val="auto"/>
          <w:kern w:val="0"/>
          <w:szCs w:val="28"/>
        </w:rPr>
      </w:pPr>
      <w:r>
        <w:rPr>
          <w:color w:val="auto"/>
          <w:kern w:val="0"/>
          <w:szCs w:val="28"/>
        </w:rPr>
        <w:t>（5）《地下水质量标准》（GBT 14848-2017）；</w:t>
      </w:r>
    </w:p>
    <w:p w14:paraId="4F8C9BEA">
      <w:pPr>
        <w:autoSpaceDE w:val="0"/>
        <w:autoSpaceDN w:val="0"/>
        <w:ind w:firstLine="560"/>
        <w:rPr>
          <w:color w:val="auto"/>
          <w:kern w:val="0"/>
          <w:szCs w:val="28"/>
        </w:rPr>
      </w:pPr>
      <w:r>
        <w:rPr>
          <w:color w:val="auto"/>
          <w:kern w:val="0"/>
          <w:szCs w:val="28"/>
        </w:rPr>
        <w:t>（6）《土壤质量环境 农用地土壤污染风险管控标准（试行）》（GB 15618-2018）；</w:t>
      </w:r>
    </w:p>
    <w:p w14:paraId="012DDEFA">
      <w:pPr>
        <w:ind w:firstLine="560"/>
        <w:rPr>
          <w:color w:val="auto"/>
        </w:rPr>
      </w:pPr>
      <w:r>
        <w:rPr>
          <w:color w:val="auto"/>
        </w:rPr>
        <w:t>（7）《地球物理测井工作规范 第1部分：固体矿产勘查》（DZ/T 0354.1-2020）；</w:t>
      </w:r>
    </w:p>
    <w:p w14:paraId="67CF0A98">
      <w:pPr>
        <w:ind w:firstLine="560"/>
        <w:rPr>
          <w:color w:val="auto"/>
        </w:rPr>
      </w:pPr>
      <w:r>
        <w:rPr>
          <w:color w:val="auto"/>
        </w:rPr>
        <w:t>（8）《工程地质测绘规程》（YS/T 5206-2020）；</w:t>
      </w:r>
    </w:p>
    <w:p w14:paraId="251EC08C">
      <w:pPr>
        <w:ind w:firstLine="560"/>
        <w:rPr>
          <w:color w:val="auto"/>
        </w:rPr>
      </w:pPr>
      <w:r>
        <w:rPr>
          <w:color w:val="auto"/>
        </w:rPr>
        <w:t>（9）《矿区水文地质工程地质勘探规范》（GBT 12719-2021）；</w:t>
      </w:r>
    </w:p>
    <w:p w14:paraId="4D18E793">
      <w:pPr>
        <w:ind w:firstLine="560"/>
        <w:rPr>
          <w:color w:val="auto"/>
        </w:rPr>
      </w:pPr>
      <w:r>
        <w:rPr>
          <w:color w:val="auto"/>
        </w:rPr>
        <w:t>（10）《生活饮用水卫生标准》（GB 5749-2022）；</w:t>
      </w:r>
    </w:p>
    <w:p w14:paraId="3A7C1297">
      <w:pPr>
        <w:ind w:firstLine="560"/>
        <w:rPr>
          <w:color w:val="auto"/>
        </w:rPr>
      </w:pPr>
      <w:r>
        <w:rPr>
          <w:color w:val="auto"/>
        </w:rPr>
        <w:t>（11）《水利水电工程岩土渗透性原位试验规程（第2部分：注水试验）》（SL/T 31.2-2025）；</w:t>
      </w:r>
    </w:p>
    <w:p w14:paraId="490C18D5">
      <w:pPr>
        <w:ind w:firstLine="560"/>
        <w:rPr>
          <w:color w:val="auto"/>
        </w:rPr>
      </w:pPr>
      <w:r>
        <w:rPr>
          <w:color w:val="auto"/>
        </w:rPr>
        <w:t>（12）《水利水电工程岩土渗透性原位试验规程（第3部分：抽水试验）》（SL/T 31.3-2025）；</w:t>
      </w:r>
    </w:p>
    <w:p w14:paraId="6E419665">
      <w:pPr>
        <w:ind w:firstLine="560"/>
        <w:rPr>
          <w:color w:val="auto"/>
        </w:rPr>
      </w:pPr>
      <w:r>
        <w:rPr>
          <w:color w:val="auto"/>
        </w:rPr>
        <w:t>（13）《重金属环境安全隐患排查评估整治技术指南（试行）》（环办固体函〔2025〕283号）</w:t>
      </w:r>
      <w:bookmarkStart w:id="314" w:name="_Toc108784032"/>
      <w:bookmarkStart w:id="315" w:name="_Toc107383430"/>
      <w:r>
        <w:rPr>
          <w:color w:val="auto"/>
        </w:rPr>
        <w:t>。</w:t>
      </w:r>
    </w:p>
    <w:p w14:paraId="6141681E">
      <w:pPr>
        <w:pStyle w:val="5"/>
        <w:rPr>
          <w:color w:val="auto"/>
          <w:lang w:val="en-US"/>
        </w:rPr>
      </w:pPr>
      <w:r>
        <w:rPr>
          <w:color w:val="auto"/>
        </w:rPr>
        <w:t>4.</w:t>
      </w:r>
      <w:r>
        <w:rPr>
          <w:color w:val="auto"/>
          <w:lang w:val="en-US"/>
        </w:rPr>
        <w:t>6</w:t>
      </w:r>
      <w:r>
        <w:rPr>
          <w:color w:val="auto"/>
        </w:rPr>
        <w:t>.2 1:</w:t>
      </w:r>
      <w:r>
        <w:rPr>
          <w:color w:val="auto"/>
          <w:lang w:val="en-US"/>
        </w:rPr>
        <w:t>5</w:t>
      </w:r>
      <w:r>
        <w:rPr>
          <w:color w:val="auto"/>
        </w:rPr>
        <w:t>000水工环地质</w:t>
      </w:r>
      <w:bookmarkEnd w:id="314"/>
      <w:bookmarkEnd w:id="315"/>
      <w:r>
        <w:rPr>
          <w:color w:val="auto"/>
          <w:lang w:val="en-US"/>
        </w:rPr>
        <w:t>测量</w:t>
      </w:r>
    </w:p>
    <w:p w14:paraId="055FB8FE">
      <w:pPr>
        <w:ind w:firstLine="560"/>
        <w:rPr>
          <w:color w:val="auto"/>
        </w:rPr>
      </w:pPr>
      <w:r>
        <w:rPr>
          <w:color w:val="auto"/>
        </w:rPr>
        <w:t>（1）矿区水文地质测量</w:t>
      </w:r>
    </w:p>
    <w:p w14:paraId="4BADC915">
      <w:pPr>
        <w:ind w:firstLine="560"/>
        <w:rPr>
          <w:color w:val="auto"/>
        </w:rPr>
      </w:pPr>
      <w:r>
        <w:rPr>
          <w:color w:val="auto"/>
        </w:rPr>
        <w:t>本次设计开展1:5000矿区水文地质测量工作，工作的主要内容如下：</w:t>
      </w:r>
    </w:p>
    <w:p w14:paraId="77848E39">
      <w:pPr>
        <w:ind w:firstLine="560"/>
        <w:rPr>
          <w:color w:val="auto"/>
        </w:rPr>
      </w:pPr>
      <w:r>
        <w:rPr>
          <w:rFonts w:hint="eastAsia" w:ascii="宋体" w:hAnsi="宋体" w:eastAsia="宋体" w:cs="宋体"/>
          <w:color w:val="auto"/>
        </w:rPr>
        <w:t>①</w:t>
      </w:r>
      <w:r>
        <w:rPr>
          <w:color w:val="auto"/>
        </w:rPr>
        <w:t>收集当地有关气象、水文资料，调查矿区及其附近地表水体和当地最高洪水位，确定采场地表汇水边界及自然排水条件；</w:t>
      </w:r>
    </w:p>
    <w:p w14:paraId="21805E8F">
      <w:pPr>
        <w:ind w:firstLine="560"/>
        <w:rPr>
          <w:color w:val="auto"/>
        </w:rPr>
      </w:pPr>
      <w:r>
        <w:rPr>
          <w:rFonts w:hint="eastAsia" w:ascii="宋体" w:hAnsi="宋体" w:eastAsia="宋体" w:cs="宋体"/>
          <w:color w:val="auto"/>
        </w:rPr>
        <w:t>②</w:t>
      </w:r>
      <w:r>
        <w:rPr>
          <w:color w:val="auto"/>
        </w:rPr>
        <w:t>详细查明直接充水含水层（茅口组、栖霞组与马平组）灰岩岩溶发育与岩性、构造等因素的关系，岩溶（溶蚀裂隙、岩溶洼地、漏斗、落水洞、溶洞等）在空间（平面、垂向）的分布及发育规律、充填深度和程度、岩溶发育程度、地下水位、富水性及其变化，地下水主要径流带的分布，确定矿坑充水因素，预计矿坑涌水量；</w:t>
      </w:r>
    </w:p>
    <w:p w14:paraId="2DDB9394">
      <w:pPr>
        <w:ind w:firstLine="560"/>
        <w:rPr>
          <w:color w:val="auto"/>
        </w:rPr>
      </w:pPr>
      <w:r>
        <w:rPr>
          <w:rFonts w:hint="eastAsia" w:ascii="宋体" w:hAnsi="宋体" w:eastAsia="宋体" w:cs="宋体"/>
          <w:color w:val="auto"/>
        </w:rPr>
        <w:t>③</w:t>
      </w:r>
      <w:r>
        <w:rPr>
          <w:color w:val="auto"/>
        </w:rPr>
        <w:t>查明整合勘查区南面F2断层性质、构造破碎带的位置、规模、性质、产状、充填与胶结程度、富水性、渗透性，可能沟通各含水层以及地表水的地段、对露天采坑充水的影响程度；</w:t>
      </w:r>
    </w:p>
    <w:p w14:paraId="6606A1E5">
      <w:pPr>
        <w:ind w:firstLine="560"/>
        <w:rPr>
          <w:color w:val="auto"/>
        </w:rPr>
      </w:pPr>
      <w:r>
        <w:rPr>
          <w:rFonts w:hint="eastAsia" w:ascii="宋体" w:hAnsi="宋体" w:eastAsia="宋体" w:cs="宋体"/>
          <w:color w:val="auto"/>
        </w:rPr>
        <w:t>④</w:t>
      </w:r>
      <w:r>
        <w:rPr>
          <w:color w:val="auto"/>
        </w:rPr>
        <w:t>收集邻近地区相似矿床的矿坑涌水量等水文地质资料，以进行类比研究，提出矿山工业用水和生活用水的水源方向；</w:t>
      </w:r>
    </w:p>
    <w:p w14:paraId="02FE03E0">
      <w:pPr>
        <w:ind w:firstLine="560"/>
        <w:rPr>
          <w:color w:val="auto"/>
        </w:rPr>
      </w:pPr>
      <w:r>
        <w:rPr>
          <w:rFonts w:hint="eastAsia" w:ascii="宋体" w:hAnsi="宋体" w:eastAsia="宋体" w:cs="宋体"/>
          <w:color w:val="auto"/>
        </w:rPr>
        <w:t>⑤</w:t>
      </w:r>
      <w:r>
        <w:rPr>
          <w:color w:val="auto"/>
        </w:rPr>
        <w:t>开展地表水及地下水位观测、水质分析等工作，研究水文地质条件，水文地质观测按规范要求提交成果图和表；</w:t>
      </w:r>
    </w:p>
    <w:p w14:paraId="21CC6FBE">
      <w:pPr>
        <w:ind w:firstLine="560"/>
        <w:rPr>
          <w:color w:val="auto"/>
        </w:rPr>
      </w:pPr>
      <w:r>
        <w:rPr>
          <w:rFonts w:hint="eastAsia" w:ascii="宋体" w:hAnsi="宋体" w:eastAsia="宋体" w:cs="宋体"/>
          <w:color w:val="auto"/>
        </w:rPr>
        <w:t>⑥</w:t>
      </w:r>
      <w:r>
        <w:rPr>
          <w:color w:val="auto"/>
        </w:rPr>
        <w:t>作出露天采场的水文地质评价，划分矿床水文地质勘探类型并确定矿床水文地质条件的复杂程度，研究供水、排水结合的可行性，提出矿山排水、防水建议；</w:t>
      </w:r>
    </w:p>
    <w:p w14:paraId="534CCC53">
      <w:pPr>
        <w:ind w:firstLine="560"/>
        <w:rPr>
          <w:color w:val="auto"/>
        </w:rPr>
      </w:pPr>
      <w:r>
        <w:rPr>
          <w:rFonts w:hint="eastAsia" w:ascii="宋体" w:hAnsi="宋体" w:eastAsia="宋体" w:cs="宋体"/>
          <w:color w:val="auto"/>
        </w:rPr>
        <w:t>⑦</w:t>
      </w:r>
      <w:r>
        <w:rPr>
          <w:color w:val="auto"/>
        </w:rPr>
        <w:t>对矿区及周边村民饮用水源点进行调查，查明水源点分布位置、饮用人口数量及是否存在分散水源地的保护地设置。</w:t>
      </w:r>
    </w:p>
    <w:p w14:paraId="028FD298">
      <w:pPr>
        <w:ind w:firstLine="560"/>
        <w:rPr>
          <w:color w:val="auto"/>
          <w:szCs w:val="28"/>
        </w:rPr>
      </w:pPr>
      <w:r>
        <w:rPr>
          <w:color w:val="auto"/>
          <w:szCs w:val="28"/>
        </w:rPr>
        <w:t>预计开展的主要工作量如下：1:5000矿区水文地质测量8.0km</w:t>
      </w:r>
      <w:r>
        <w:rPr>
          <w:color w:val="auto"/>
          <w:szCs w:val="28"/>
          <w:vertAlign w:val="superscript"/>
        </w:rPr>
        <w:t>2</w:t>
      </w:r>
      <w:r>
        <w:rPr>
          <w:color w:val="auto"/>
          <w:szCs w:val="28"/>
        </w:rPr>
        <w:t>。</w:t>
      </w:r>
    </w:p>
    <w:p w14:paraId="6B8BBCB6">
      <w:pPr>
        <w:ind w:firstLine="560"/>
        <w:rPr>
          <w:color w:val="auto"/>
        </w:rPr>
      </w:pPr>
      <w:r>
        <w:rPr>
          <w:color w:val="auto"/>
        </w:rPr>
        <w:t>（2）矿区工程地质测量</w:t>
      </w:r>
    </w:p>
    <w:p w14:paraId="76382F82">
      <w:pPr>
        <w:ind w:firstLine="560"/>
        <w:rPr>
          <w:color w:val="auto"/>
        </w:rPr>
      </w:pPr>
      <w:r>
        <w:rPr>
          <w:color w:val="auto"/>
        </w:rPr>
        <w:t>本次设计开展1:5000矿区工程地质测量工作，工作的主要内容如下：</w:t>
      </w:r>
    </w:p>
    <w:p w14:paraId="0616E200">
      <w:pPr>
        <w:ind w:firstLine="560"/>
        <w:rPr>
          <w:color w:val="auto"/>
        </w:rPr>
      </w:pPr>
      <w:r>
        <w:rPr>
          <w:rFonts w:hint="eastAsia" w:ascii="宋体" w:hAnsi="宋体" w:eastAsia="宋体" w:cs="宋体"/>
          <w:color w:val="auto"/>
        </w:rPr>
        <w:t>①</w:t>
      </w:r>
      <w:r>
        <w:rPr>
          <w:color w:val="auto"/>
        </w:rPr>
        <w:t>详细查明岩石的性质、产状、分布，地质构造、岩体结构及其构造面的发育程度、组合关系等；</w:t>
      </w:r>
    </w:p>
    <w:p w14:paraId="64944B77">
      <w:pPr>
        <w:ind w:firstLine="560"/>
        <w:rPr>
          <w:color w:val="auto"/>
        </w:rPr>
      </w:pPr>
      <w:r>
        <w:rPr>
          <w:rFonts w:hint="eastAsia" w:ascii="宋体" w:hAnsi="宋体" w:eastAsia="宋体" w:cs="宋体"/>
          <w:color w:val="auto"/>
        </w:rPr>
        <w:t>②</w:t>
      </w:r>
      <w:r>
        <w:rPr>
          <w:color w:val="auto"/>
        </w:rPr>
        <w:t>开展钻孔岩心RQD值统计，评价岩体质量，研究矿床工程地质条件，参照GB/T 13908和GB/T 12719划分矿床工程地质勘探类型；</w:t>
      </w:r>
    </w:p>
    <w:p w14:paraId="57E512DE">
      <w:pPr>
        <w:ind w:firstLine="560"/>
        <w:rPr>
          <w:color w:val="auto"/>
        </w:rPr>
      </w:pPr>
      <w:r>
        <w:rPr>
          <w:rFonts w:hint="eastAsia" w:ascii="宋体" w:hAnsi="宋体" w:eastAsia="宋体" w:cs="宋体"/>
          <w:color w:val="auto"/>
        </w:rPr>
        <w:t>③</w:t>
      </w:r>
      <w:r>
        <w:rPr>
          <w:color w:val="auto"/>
        </w:rPr>
        <w:t>查明勘查区采空区现状分布、边坡特征，研究影响矿床开采的不良工程地质岩组（风化带、软弱层、构造破碎带）及其性质、产状与分布特征，结合未来矿山开采方式，论述采场边坡稳定性，预测可能发生工程地质问题的地质体或不良地段；</w:t>
      </w:r>
    </w:p>
    <w:p w14:paraId="0EBEE87A">
      <w:pPr>
        <w:ind w:firstLine="560"/>
        <w:rPr>
          <w:color w:val="auto"/>
        </w:rPr>
      </w:pPr>
      <w:r>
        <w:rPr>
          <w:rFonts w:hint="eastAsia" w:ascii="宋体" w:hAnsi="宋体" w:eastAsia="宋体" w:cs="宋体"/>
          <w:color w:val="auto"/>
        </w:rPr>
        <w:t>④</w:t>
      </w:r>
      <w:r>
        <w:rPr>
          <w:color w:val="auto"/>
        </w:rPr>
        <w:t>查明勘查区主要构造线方向，各级结构面的分布、产状、规模及充填、充水情况、各类结构面的发育程度、组合关系，主要不良优势结构面对矿床开采的影响；</w:t>
      </w:r>
    </w:p>
    <w:p w14:paraId="3A6C8978">
      <w:pPr>
        <w:ind w:firstLine="560"/>
        <w:rPr>
          <w:color w:val="auto"/>
          <w:szCs w:val="28"/>
        </w:rPr>
      </w:pPr>
      <w:r>
        <w:rPr>
          <w:color w:val="auto"/>
          <w:szCs w:val="28"/>
        </w:rPr>
        <w:t>预计开展的主要工作量如下：1:5000矿区工程地质测量8.0km</w:t>
      </w:r>
      <w:r>
        <w:rPr>
          <w:color w:val="auto"/>
          <w:szCs w:val="28"/>
          <w:vertAlign w:val="superscript"/>
        </w:rPr>
        <w:t>2</w:t>
      </w:r>
      <w:r>
        <w:rPr>
          <w:color w:val="auto"/>
          <w:szCs w:val="28"/>
        </w:rPr>
        <w:t>。</w:t>
      </w:r>
    </w:p>
    <w:p w14:paraId="2144E95A">
      <w:pPr>
        <w:ind w:firstLine="560"/>
        <w:rPr>
          <w:color w:val="auto"/>
        </w:rPr>
      </w:pPr>
      <w:r>
        <w:rPr>
          <w:color w:val="auto"/>
        </w:rPr>
        <w:t>（3）矿区环境地质测量</w:t>
      </w:r>
    </w:p>
    <w:p w14:paraId="4DD48011">
      <w:pPr>
        <w:ind w:firstLine="560"/>
        <w:rPr>
          <w:color w:val="auto"/>
        </w:rPr>
      </w:pPr>
      <w:r>
        <w:rPr>
          <w:rFonts w:hint="eastAsia" w:ascii="宋体" w:hAnsi="宋体" w:eastAsia="宋体" w:cs="宋体"/>
          <w:color w:val="auto"/>
        </w:rPr>
        <w:t>①</w:t>
      </w:r>
      <w:r>
        <w:rPr>
          <w:color w:val="auto"/>
        </w:rPr>
        <w:t>在收集矿区及其附近地区地震活动资料基础上，根据断裂活动及工程地质条件，对区域稳定性作出评价；</w:t>
      </w:r>
    </w:p>
    <w:p w14:paraId="5FA92AF0">
      <w:pPr>
        <w:ind w:firstLine="560"/>
        <w:rPr>
          <w:color w:val="auto"/>
        </w:rPr>
      </w:pPr>
      <w:r>
        <w:rPr>
          <w:rFonts w:hint="eastAsia" w:ascii="宋体" w:hAnsi="宋体" w:eastAsia="宋体" w:cs="宋体"/>
          <w:color w:val="auto"/>
        </w:rPr>
        <w:t>②</w:t>
      </w:r>
      <w:r>
        <w:rPr>
          <w:color w:val="auto"/>
        </w:rPr>
        <w:t>详细查明整合勘查区周边环境污染及环境敏感目标分布情况、敏感目标与重点勘查地段的位置关系，如：生态保护红线、自然保护区、泉水点、饮用水源、下游3km农用地、周边溪流与主干河流、村屯人口聚集区、道路、水利设施及电力设施等；</w:t>
      </w:r>
    </w:p>
    <w:p w14:paraId="2D66ED16">
      <w:pPr>
        <w:ind w:firstLine="560"/>
        <w:rPr>
          <w:color w:val="auto"/>
        </w:rPr>
      </w:pPr>
      <w:r>
        <w:rPr>
          <w:rFonts w:hint="eastAsia" w:ascii="宋体" w:hAnsi="宋体" w:eastAsia="宋体" w:cs="宋体"/>
          <w:color w:val="auto"/>
        </w:rPr>
        <w:t>③</w:t>
      </w:r>
      <w:r>
        <w:rPr>
          <w:color w:val="auto"/>
        </w:rPr>
        <w:t>详细查明勘查区地质灾害现状（如：崩塌与滑坡、危岩、岩溶塌陷、不稳定斜坡等）、水环境（地表水、地下水）质量现状，矿体与围岩、农用地土壤等重金属特征污染物及岩体放射性背景值；</w:t>
      </w:r>
    </w:p>
    <w:p w14:paraId="0950869C">
      <w:pPr>
        <w:ind w:firstLine="560"/>
        <w:rPr>
          <w:color w:val="auto"/>
        </w:rPr>
      </w:pPr>
      <w:r>
        <w:rPr>
          <w:rFonts w:hint="eastAsia" w:ascii="宋体" w:hAnsi="宋体" w:eastAsia="宋体" w:cs="宋体"/>
          <w:color w:val="auto"/>
        </w:rPr>
        <w:t>④</w:t>
      </w:r>
      <w:r>
        <w:rPr>
          <w:color w:val="auto"/>
        </w:rPr>
        <w:t>在详细查明矿区环境质量现状的情况下，预测矿山开采地下水疏干对当地居民、工业用水的影响，预测矿山开采可能引发滑坡、崩塌、山洪泥石、采空区地面塌陷等地质灾害的危险性，提出防止引发地质灾害的防治措施。参照GB/T 12719确定地质环境类型。</w:t>
      </w:r>
    </w:p>
    <w:p w14:paraId="33C68D9B">
      <w:pPr>
        <w:ind w:firstLine="560"/>
        <w:rPr>
          <w:color w:val="auto"/>
          <w:szCs w:val="28"/>
        </w:rPr>
      </w:pPr>
      <w:r>
        <w:rPr>
          <w:color w:val="auto"/>
          <w:szCs w:val="28"/>
        </w:rPr>
        <w:t>预计开展的主要工作量如下：1:5000矿区环境地质测量8.0km</w:t>
      </w:r>
      <w:r>
        <w:rPr>
          <w:color w:val="auto"/>
          <w:szCs w:val="28"/>
          <w:vertAlign w:val="superscript"/>
        </w:rPr>
        <w:t>2</w:t>
      </w:r>
      <w:r>
        <w:rPr>
          <w:color w:val="auto"/>
          <w:szCs w:val="28"/>
        </w:rPr>
        <w:t>。</w:t>
      </w:r>
    </w:p>
    <w:p w14:paraId="1CB67801">
      <w:pPr>
        <w:pStyle w:val="5"/>
      </w:pPr>
      <w:bookmarkStart w:id="316" w:name="_Toc32034"/>
      <w:r>
        <w:rPr>
          <w:lang w:val="en-US"/>
        </w:rPr>
        <w:t xml:space="preserve">4.6.3 </w:t>
      </w:r>
      <w:r>
        <w:t>1:50000区域水文地质测量</w:t>
      </w:r>
      <w:bookmarkEnd w:id="316"/>
    </w:p>
    <w:p w14:paraId="4F5D4458">
      <w:pPr>
        <w:ind w:firstLine="560"/>
      </w:pPr>
      <w:r>
        <w:t>要求采用1:50000地形图作底图，基础地质及矿体分布等内容直接利用地质成果。野外调查采用路线调查为主，点线结合，调查路线必须穿越全部勘查矿体所在的坡地、沟谷。调查的内容包括：</w:t>
      </w:r>
    </w:p>
    <w:p w14:paraId="6198C9C4">
      <w:pPr>
        <w:ind w:firstLine="560"/>
      </w:pPr>
      <w:r>
        <w:rPr>
          <w:rFonts w:hint="eastAsia" w:ascii="宋体" w:hAnsi="宋体" w:eastAsia="宋体" w:cs="宋体"/>
        </w:rPr>
        <w:t>①</w:t>
      </w:r>
      <w:r>
        <w:t>区域地形地貌特征，第四纪沉积的成因类型，岩性等。</w:t>
      </w:r>
    </w:p>
    <w:p w14:paraId="055B1816">
      <w:pPr>
        <w:ind w:firstLine="560"/>
      </w:pPr>
      <w:r>
        <w:rPr>
          <w:rFonts w:hint="eastAsia" w:ascii="宋体" w:hAnsi="宋体" w:eastAsia="宋体" w:cs="宋体"/>
        </w:rPr>
        <w:t>②</w:t>
      </w:r>
      <w:r>
        <w:t>含（隔）水层层数岩性、厚度、产状与分布范围，含水层裂隙、溶洞发育情况与富水性、隔水层的隔水性能。</w:t>
      </w:r>
    </w:p>
    <w:p w14:paraId="0B25C448">
      <w:pPr>
        <w:ind w:firstLine="560"/>
      </w:pPr>
      <w:r>
        <w:rPr>
          <w:rFonts w:hint="eastAsia" w:ascii="宋体" w:hAnsi="宋体" w:eastAsia="宋体" w:cs="宋体"/>
        </w:rPr>
        <w:t>③</w:t>
      </w:r>
      <w:r>
        <w:t>地下水补给、径流、排泄条件，地下水物理化学成份，各含水层间及其与地表水的水力联系，圈定矿区水文地质边界。</w:t>
      </w:r>
    </w:p>
    <w:p w14:paraId="58F1B148">
      <w:pPr>
        <w:ind w:firstLine="560"/>
      </w:pPr>
      <w:r>
        <w:rPr>
          <w:rFonts w:hint="eastAsia" w:ascii="宋体" w:hAnsi="宋体" w:eastAsia="宋体" w:cs="宋体"/>
        </w:rPr>
        <w:t>④</w:t>
      </w:r>
      <w:r>
        <w:t>泉出露标高、层位、岩性、出露方式，测量流量，水位，水温，水的物理化学性质及其动态变化；井水位标高、取水层位、含水层厚度、岩性、水量、水温，开采现状，动态变化。</w:t>
      </w:r>
    </w:p>
    <w:p w14:paraId="4DFDC0D6">
      <w:pPr>
        <w:ind w:firstLine="560"/>
      </w:pPr>
      <w:r>
        <w:rPr>
          <w:rFonts w:hint="eastAsia" w:ascii="宋体" w:hAnsi="宋体" w:eastAsia="宋体" w:cs="宋体"/>
        </w:rPr>
        <w:t>⑤</w:t>
      </w:r>
      <w:r>
        <w:t>地表水分布，平水位与洪水位标高，洪水淹没范围和淹没时间，对开采有影响的地表水（水库、池塘）的水深、面积、蓄水量。</w:t>
      </w:r>
    </w:p>
    <w:p w14:paraId="2DCC5E25">
      <w:pPr>
        <w:ind w:firstLine="560"/>
      </w:pPr>
      <w:r>
        <w:rPr>
          <w:rFonts w:hint="eastAsia" w:ascii="宋体" w:hAnsi="宋体" w:eastAsia="宋体" w:cs="宋体"/>
        </w:rPr>
        <w:t>⑥</w:t>
      </w:r>
      <w:r>
        <w:t>收集供水水源、水量、水位、水质资料与开采现状与动态。</w:t>
      </w:r>
    </w:p>
    <w:p w14:paraId="6576D27D">
      <w:pPr>
        <w:ind w:firstLine="560"/>
      </w:pPr>
      <w:r>
        <w:rPr>
          <w:rFonts w:hint="eastAsia" w:ascii="宋体" w:hAnsi="宋体" w:eastAsia="宋体" w:cs="宋体"/>
        </w:rPr>
        <w:t>⑦</w:t>
      </w:r>
      <w:r>
        <w:t>对有代表意义的地表水、地下水采取水样分析。</w:t>
      </w:r>
    </w:p>
    <w:p w14:paraId="0C3A97BF">
      <w:pPr>
        <w:ind w:firstLine="560"/>
      </w:pPr>
      <w:r>
        <w:rPr>
          <w:rFonts w:hint="eastAsia" w:ascii="宋体" w:hAnsi="宋体" w:eastAsia="宋体" w:cs="宋体"/>
        </w:rPr>
        <w:t>⑧</w:t>
      </w:r>
      <w:r>
        <w:t>调查矿山开发供水水源情况。</w:t>
      </w:r>
    </w:p>
    <w:p w14:paraId="7B13003D">
      <w:pPr>
        <w:ind w:firstLine="560"/>
      </w:pPr>
      <w:r>
        <w:t>野外调查时，要注意将实地调查与访问当地群众相结合，将野外调查与地下水动态观测、钻孔水文地质资料收集等工作密切配合，要特别注意各水点的相互关系和矿体与地下水的关系的分析研究。对调查点水位埋深数据应用皮尺或钢卷尺量取，流量用堰板或流速仪测量。</w:t>
      </w:r>
    </w:p>
    <w:p w14:paraId="5072A5D5">
      <w:pPr>
        <w:ind w:firstLine="560"/>
        <w:rPr>
          <w:color w:val="auto"/>
          <w:szCs w:val="28"/>
        </w:rPr>
      </w:pPr>
      <w:r>
        <w:rPr>
          <w:color w:val="auto"/>
          <w:szCs w:val="28"/>
        </w:rPr>
        <w:t>调查范围包括矿区所处的水文地质单元，预计开展的主要工作量如下：1:5万区域水文地质测量，测量面积暂定为</w:t>
      </w:r>
      <w:r>
        <w:rPr>
          <w:rFonts w:hint="eastAsia"/>
          <w:color w:val="auto"/>
          <w:szCs w:val="28"/>
          <w:lang w:val="en-US" w:eastAsia="zh-CN"/>
        </w:rPr>
        <w:t>80</w:t>
      </w:r>
      <w:r>
        <w:rPr>
          <w:color w:val="auto"/>
          <w:szCs w:val="28"/>
        </w:rPr>
        <w:t>km</w:t>
      </w:r>
      <w:r>
        <w:rPr>
          <w:color w:val="auto"/>
          <w:szCs w:val="28"/>
          <w:vertAlign w:val="superscript"/>
        </w:rPr>
        <w:t>2</w:t>
      </w:r>
      <w:r>
        <w:rPr>
          <w:color w:val="auto"/>
          <w:szCs w:val="28"/>
        </w:rPr>
        <w:t>。</w:t>
      </w:r>
    </w:p>
    <w:p w14:paraId="3D97C1F5">
      <w:pPr>
        <w:pStyle w:val="5"/>
        <w:rPr>
          <w:rFonts w:hint="eastAsia" w:cs="Times New Roman"/>
          <w:b/>
          <w:bCs/>
          <w:kern w:val="0"/>
          <w:sz w:val="30"/>
          <w:szCs w:val="32"/>
          <w:lang w:val="en-US" w:eastAsia="zh-CN" w:bidi="ar-SA"/>
        </w:rPr>
      </w:pPr>
      <w:r>
        <w:rPr>
          <w:rFonts w:hint="eastAsia" w:cs="Times New Roman"/>
          <w:b/>
          <w:bCs/>
          <w:kern w:val="0"/>
          <w:sz w:val="30"/>
          <w:szCs w:val="32"/>
          <w:lang w:val="en-US" w:eastAsia="zh-CN" w:bidi="ar-SA"/>
        </w:rPr>
        <w:t>4.6.4 1:1000水文地质工程地质剖面测量</w:t>
      </w:r>
    </w:p>
    <w:p w14:paraId="118B30BA">
      <w:pPr>
        <w:rPr>
          <w:rFonts w:hint="default"/>
          <w:color w:val="0B5FD1"/>
          <w:lang w:val="en-US" w:eastAsia="zh-CN"/>
        </w:rPr>
      </w:pPr>
      <w:r>
        <w:rPr>
          <w:rFonts w:hint="default"/>
          <w:color w:val="0B5FD1"/>
          <w:lang w:val="en-US" w:eastAsia="zh-CN"/>
        </w:rPr>
        <w:t>本次</w:t>
      </w:r>
      <w:r>
        <w:rPr>
          <w:rFonts w:hint="eastAsia"/>
          <w:color w:val="0B5FD1"/>
          <w:lang w:val="en-US" w:eastAsia="zh-CN"/>
        </w:rPr>
        <w:t>水文地质工程地质剖面测量</w:t>
      </w:r>
      <w:r>
        <w:rPr>
          <w:rFonts w:hint="default"/>
          <w:color w:val="0B5FD1"/>
          <w:lang w:val="en-US" w:eastAsia="zh-CN"/>
        </w:rPr>
        <w:t>工作执行《矿区水文地质工程地质勘查规范》（GB/T 12719-2021）、《水文地质测绘技术规范》（DZ/T 0152-2020）及《固体矿产勘查地质填图规范》（DZ/T 0001-2019）相关要求。剖面优先沿主干</w:t>
      </w:r>
      <w:r>
        <w:rPr>
          <w:rFonts w:hint="eastAsia"/>
          <w:color w:val="0B5FD1"/>
          <w:lang w:val="en-US" w:eastAsia="zh-CN"/>
        </w:rPr>
        <w:t>勘探</w:t>
      </w:r>
      <w:r>
        <w:rPr>
          <w:rFonts w:hint="default"/>
          <w:color w:val="0B5FD1"/>
          <w:lang w:val="en-US" w:eastAsia="zh-CN"/>
        </w:rPr>
        <w:t>线布设，以地层构造为基础</w:t>
      </w:r>
      <w:r>
        <w:rPr>
          <w:rFonts w:hint="eastAsia"/>
          <w:color w:val="0B5FD1"/>
          <w:lang w:val="en-US" w:eastAsia="zh-CN"/>
        </w:rPr>
        <w:t>进行</w:t>
      </w:r>
      <w:r>
        <w:rPr>
          <w:rFonts w:hint="default"/>
          <w:color w:val="0B5FD1"/>
          <w:lang w:val="en-US" w:eastAsia="zh-CN"/>
        </w:rPr>
        <w:t>专项调查。</w:t>
      </w:r>
    </w:p>
    <w:p w14:paraId="6BBC5D3F">
      <w:pPr>
        <w:rPr>
          <w:rFonts w:hint="default"/>
          <w:color w:val="0B5FD1"/>
          <w:lang w:val="en-US" w:eastAsia="zh-CN"/>
        </w:rPr>
      </w:pPr>
      <w:r>
        <w:rPr>
          <w:rFonts w:hint="eastAsia"/>
          <w:color w:val="0B5FD1"/>
          <w:lang w:val="en-US" w:eastAsia="zh-CN"/>
        </w:rPr>
        <w:t>（1）</w:t>
      </w:r>
      <w:r>
        <w:rPr>
          <w:rFonts w:hint="default"/>
          <w:color w:val="0B5FD1"/>
          <w:lang w:val="en-US" w:eastAsia="zh-CN"/>
        </w:rPr>
        <w:t>水文地质</w:t>
      </w:r>
      <w:r>
        <w:rPr>
          <w:rFonts w:hint="eastAsia"/>
          <w:color w:val="0B5FD1"/>
          <w:lang w:val="en-US" w:eastAsia="zh-CN"/>
        </w:rPr>
        <w:t>剖面测量技术</w:t>
      </w:r>
      <w:r>
        <w:rPr>
          <w:rFonts w:hint="default"/>
          <w:color w:val="0B5FD1"/>
          <w:lang w:val="en-US" w:eastAsia="zh-CN"/>
        </w:rPr>
        <w:t>要求</w:t>
      </w:r>
    </w:p>
    <w:p w14:paraId="2655B6D8">
      <w:pPr>
        <w:rPr>
          <w:rFonts w:hint="default"/>
          <w:color w:val="0B5FD1"/>
          <w:lang w:val="en-US" w:eastAsia="zh-CN"/>
        </w:rPr>
      </w:pPr>
      <w:r>
        <w:rPr>
          <w:rFonts w:hint="default"/>
          <w:color w:val="0B5FD1"/>
          <w:lang w:val="en-US" w:eastAsia="zh-CN"/>
        </w:rPr>
        <w:t>1</w:t>
      </w:r>
      <w:r>
        <w:rPr>
          <w:rFonts w:hint="eastAsia"/>
          <w:color w:val="0B5FD1"/>
          <w:lang w:val="en-US" w:eastAsia="zh-CN"/>
        </w:rPr>
        <w:t>）</w:t>
      </w:r>
      <w:r>
        <w:rPr>
          <w:rFonts w:hint="default"/>
          <w:color w:val="0B5FD1"/>
          <w:lang w:val="en-US" w:eastAsia="zh-CN"/>
        </w:rPr>
        <w:t>逐层划分含水层、相对隔水层的顶底板深度、厚度、岩性及接触关系，标注地下水类型与富水性等级。</w:t>
      </w:r>
    </w:p>
    <w:p w14:paraId="5C259EF3">
      <w:pPr>
        <w:rPr>
          <w:rFonts w:hint="default"/>
          <w:color w:val="0B5FD1"/>
          <w:lang w:val="en-US" w:eastAsia="zh-CN"/>
        </w:rPr>
      </w:pPr>
      <w:r>
        <w:rPr>
          <w:rFonts w:hint="default"/>
          <w:color w:val="0B5FD1"/>
          <w:lang w:val="en-US" w:eastAsia="zh-CN"/>
        </w:rPr>
        <w:t>2</w:t>
      </w:r>
      <w:r>
        <w:rPr>
          <w:rFonts w:hint="eastAsia"/>
          <w:color w:val="0B5FD1"/>
          <w:lang w:val="en-US" w:eastAsia="zh-CN"/>
        </w:rPr>
        <w:t>）</w:t>
      </w:r>
      <w:r>
        <w:rPr>
          <w:rFonts w:hint="default"/>
          <w:color w:val="0B5FD1"/>
          <w:lang w:val="en-US" w:eastAsia="zh-CN"/>
        </w:rPr>
        <w:t>剖面上出露的泉、民井、岩溶出水点全部实测</w:t>
      </w:r>
      <w:r>
        <w:rPr>
          <w:rFonts w:hint="eastAsia"/>
          <w:color w:val="0B5FD1"/>
          <w:lang w:val="en-US" w:eastAsia="zh-CN"/>
        </w:rPr>
        <w:t>并</w:t>
      </w:r>
      <w:r>
        <w:rPr>
          <w:rFonts w:hint="default"/>
          <w:color w:val="0B5FD1"/>
          <w:lang w:val="en-US" w:eastAsia="zh-CN"/>
        </w:rPr>
        <w:t>测定流量，同步记录水位、水温、出露层位与高程，判定泉的成因类型；结合钻孔简易水文观测资料标定各含水层稳定水位线。</w:t>
      </w:r>
    </w:p>
    <w:p w14:paraId="58B5C35D">
      <w:pPr>
        <w:rPr>
          <w:rFonts w:hint="default"/>
          <w:color w:val="0B5FD1"/>
          <w:lang w:val="en-US" w:eastAsia="zh-CN"/>
        </w:rPr>
      </w:pPr>
      <w:r>
        <w:rPr>
          <w:rFonts w:hint="default"/>
          <w:color w:val="0B5FD1"/>
          <w:lang w:val="en-US" w:eastAsia="zh-CN"/>
        </w:rPr>
        <w:t>3</w:t>
      </w:r>
      <w:r>
        <w:rPr>
          <w:rFonts w:hint="eastAsia"/>
          <w:color w:val="0B5FD1"/>
          <w:lang w:val="en-US" w:eastAsia="zh-CN"/>
        </w:rPr>
        <w:t>）</w:t>
      </w:r>
      <w:r>
        <w:rPr>
          <w:rFonts w:hint="default"/>
          <w:color w:val="0B5FD1"/>
          <w:lang w:val="en-US" w:eastAsia="zh-CN"/>
        </w:rPr>
        <w:t>灰岩段分段统计溶蚀裂隙、溶洞、溶沟的发育规模、充填物与充填程度，划分强、中、弱岩溶发育带；统计结构面线裂隙率、张开度，判定导水性能。</w:t>
      </w:r>
    </w:p>
    <w:p w14:paraId="1E2FFFE3">
      <w:pPr>
        <w:rPr>
          <w:rFonts w:hint="default"/>
          <w:color w:val="0B5FD1"/>
          <w:lang w:val="en-US" w:eastAsia="zh-CN"/>
        </w:rPr>
      </w:pPr>
      <w:r>
        <w:rPr>
          <w:rFonts w:hint="default"/>
          <w:color w:val="0B5FD1"/>
          <w:lang w:val="en-US" w:eastAsia="zh-CN"/>
        </w:rPr>
        <w:t>4</w:t>
      </w:r>
      <w:r>
        <w:rPr>
          <w:rFonts w:hint="eastAsia"/>
          <w:color w:val="0B5FD1"/>
          <w:lang w:val="en-US" w:eastAsia="zh-CN"/>
        </w:rPr>
        <w:t>）</w:t>
      </w:r>
      <w:r>
        <w:rPr>
          <w:rFonts w:hint="default"/>
          <w:color w:val="0B5FD1"/>
          <w:lang w:val="en-US" w:eastAsia="zh-CN"/>
        </w:rPr>
        <w:t>查明断层破碎带的宽度、充填物成分与胶结程度，明确判定</w:t>
      </w:r>
      <w:r>
        <w:rPr>
          <w:rFonts w:hint="eastAsia"/>
          <w:color w:val="0B5FD1"/>
          <w:lang w:val="en-US" w:eastAsia="zh-CN"/>
        </w:rPr>
        <w:t>其</w:t>
      </w:r>
      <w:r>
        <w:rPr>
          <w:rFonts w:hint="default"/>
          <w:color w:val="0B5FD1"/>
          <w:lang w:val="en-US" w:eastAsia="zh-CN"/>
        </w:rPr>
        <w:t>导水、隔水或弱导水属性。</w:t>
      </w:r>
    </w:p>
    <w:p w14:paraId="16290B30">
      <w:pPr>
        <w:rPr>
          <w:rFonts w:hint="default"/>
          <w:color w:val="0B5FD1"/>
          <w:lang w:val="en-US" w:eastAsia="zh-CN"/>
        </w:rPr>
      </w:pPr>
      <w:r>
        <w:rPr>
          <w:rFonts w:hint="eastAsia"/>
          <w:color w:val="0B5FD1"/>
          <w:lang w:val="en-US" w:eastAsia="zh-CN"/>
        </w:rPr>
        <w:t>（2）</w:t>
      </w:r>
      <w:r>
        <w:rPr>
          <w:rFonts w:hint="default"/>
          <w:color w:val="0B5FD1"/>
          <w:lang w:val="en-US" w:eastAsia="zh-CN"/>
        </w:rPr>
        <w:t>工程地质</w:t>
      </w:r>
      <w:r>
        <w:rPr>
          <w:rFonts w:hint="eastAsia"/>
          <w:color w:val="0B5FD1"/>
          <w:lang w:val="en-US" w:eastAsia="zh-CN"/>
        </w:rPr>
        <w:t>剖面测量技术</w:t>
      </w:r>
      <w:r>
        <w:rPr>
          <w:rFonts w:hint="default"/>
          <w:color w:val="0B5FD1"/>
          <w:lang w:val="en-US" w:eastAsia="zh-CN"/>
        </w:rPr>
        <w:t>要求</w:t>
      </w:r>
    </w:p>
    <w:p w14:paraId="36975F06">
      <w:pPr>
        <w:rPr>
          <w:rFonts w:hint="default"/>
          <w:color w:val="0B5FD1"/>
          <w:lang w:val="en-US" w:eastAsia="zh-CN"/>
        </w:rPr>
      </w:pPr>
      <w:r>
        <w:rPr>
          <w:rFonts w:hint="default"/>
          <w:color w:val="0B5FD1"/>
          <w:lang w:val="en-US" w:eastAsia="zh-CN"/>
        </w:rPr>
        <w:t>1</w:t>
      </w:r>
      <w:r>
        <w:rPr>
          <w:rFonts w:hint="eastAsia"/>
          <w:color w:val="0B5FD1"/>
          <w:lang w:val="en-US" w:eastAsia="zh-CN"/>
        </w:rPr>
        <w:t>）</w:t>
      </w:r>
      <w:r>
        <w:rPr>
          <w:rFonts w:hint="default"/>
          <w:color w:val="0B5FD1"/>
          <w:lang w:val="en-US" w:eastAsia="zh-CN"/>
        </w:rPr>
        <w:t>按岩性组合、岩体强度与完整性划分工程地质岩组，界线与地层界线协调一致；软弱夹层、断层泥、破碎带单独圈定，标注产状与延伸特征。</w:t>
      </w:r>
    </w:p>
    <w:p w14:paraId="4A5A7FF9">
      <w:pPr>
        <w:rPr>
          <w:rFonts w:hint="default"/>
          <w:color w:val="0B5FD1"/>
          <w:lang w:val="en-US" w:eastAsia="zh-CN"/>
        </w:rPr>
      </w:pPr>
      <w:r>
        <w:rPr>
          <w:rFonts w:hint="eastAsia"/>
          <w:color w:val="0B5FD1"/>
          <w:lang w:val="en-US" w:eastAsia="zh-CN"/>
        </w:rPr>
        <w:t>2）</w:t>
      </w:r>
      <w:r>
        <w:rPr>
          <w:rFonts w:hint="default"/>
          <w:color w:val="0B5FD1"/>
          <w:lang w:val="en-US" w:eastAsia="zh-CN"/>
        </w:rPr>
        <w:t>各岩组分段统计裂隙产状、间距、线密度与充填特征，判定岩体完整程度。</w:t>
      </w:r>
    </w:p>
    <w:p w14:paraId="5B097CC6">
      <w:pPr>
        <w:rPr>
          <w:rFonts w:hint="default"/>
          <w:color w:val="0B5FD1"/>
          <w:lang w:val="en-US" w:eastAsia="zh-CN"/>
        </w:rPr>
      </w:pPr>
      <w:r>
        <w:rPr>
          <w:rFonts w:hint="eastAsia"/>
          <w:color w:val="0B5FD1"/>
          <w:lang w:val="en-US" w:eastAsia="zh-CN"/>
        </w:rPr>
        <w:t>3）</w:t>
      </w:r>
      <w:r>
        <w:rPr>
          <w:rFonts w:hint="default"/>
          <w:color w:val="0B5FD1"/>
          <w:lang w:val="en-US" w:eastAsia="zh-CN"/>
        </w:rPr>
        <w:t>调查剖面上的岩溶塌陷、潜在不稳定边坡等不良地质体，圈定边界与影响范围，评价其稳定状态及对矿山开采的影响。</w:t>
      </w:r>
    </w:p>
    <w:p w14:paraId="14836AD5">
      <w:pPr>
        <w:rPr>
          <w:rFonts w:hint="default"/>
          <w:color w:val="0B5FD1"/>
          <w:lang w:val="en-US" w:eastAsia="zh-CN"/>
        </w:rPr>
      </w:pPr>
      <w:r>
        <w:rPr>
          <w:rFonts w:hint="eastAsia"/>
          <w:color w:val="0B5FD1"/>
          <w:lang w:val="en-US" w:eastAsia="zh-CN"/>
        </w:rPr>
        <w:t>本次设计在3号、5号勘探线进行水文地质、工程地质剖面测量，工作量为2.78km。</w:t>
      </w:r>
    </w:p>
    <w:p w14:paraId="3E724639">
      <w:pPr>
        <w:pStyle w:val="5"/>
        <w:rPr>
          <w:color w:val="auto"/>
          <w:lang w:val="en-US"/>
        </w:rPr>
      </w:pPr>
      <w:r>
        <w:rPr>
          <w:color w:val="auto"/>
          <w:lang w:val="en-US"/>
        </w:rPr>
        <w:t>4.6.</w:t>
      </w:r>
      <w:r>
        <w:rPr>
          <w:rFonts w:hint="eastAsia"/>
          <w:color w:val="auto"/>
          <w:lang w:val="en-US" w:eastAsia="zh-CN"/>
        </w:rPr>
        <w:t>5</w:t>
      </w:r>
      <w:r>
        <w:rPr>
          <w:color w:val="auto"/>
          <w:lang w:val="en-US"/>
        </w:rPr>
        <w:t xml:space="preserve"> 钻孔简易水文动态观测</w:t>
      </w:r>
    </w:p>
    <w:p w14:paraId="52702D80">
      <w:pPr>
        <w:ind w:firstLine="560"/>
        <w:rPr>
          <w:color w:val="auto"/>
        </w:rPr>
      </w:pPr>
      <w:r>
        <w:rPr>
          <w:color w:val="auto"/>
        </w:rPr>
        <w:t>水文观测应详细记录钻孔中涌水、掉块、塌孔、缩径、涌砂等现象发生时的层位和现象，测量涌水量。重点观测第四系松散层孔隙水、茅口组、栖霞组、马平组灰岩及岩心破碎孔段钻井过程中回次动水位变化情况，根据回次动水位升降值（提钻孔后水位与下钻前水位的差值），判断划分钻孔含水岩性孔段及初见水位。在进行水位观测时必须在停泵、水位恢复稳定后开展，避免抽吸、循环液干扰观测结果。所有数据当场记入钻探班报表与专用观测记录表，注明观测时间、孔深、水位、消耗量、异常描述。遇水位骤变、涌漏水等异常情况，立即加密观测频次，锁定异常层位，同步分析水文地质成因。</w:t>
      </w:r>
    </w:p>
    <w:p w14:paraId="79A31713">
      <w:pPr>
        <w:ind w:firstLine="560"/>
        <w:rPr>
          <w:color w:val="auto"/>
        </w:rPr>
      </w:pPr>
      <w:r>
        <w:rPr>
          <w:color w:val="auto"/>
        </w:rPr>
        <w:t>本次针对计划施工的9个钻孔全部进行简易水文动态观测。</w:t>
      </w:r>
    </w:p>
    <w:p w14:paraId="2C9CFFBE">
      <w:pPr>
        <w:pStyle w:val="5"/>
      </w:pPr>
      <w:r>
        <w:t>4.</w:t>
      </w:r>
      <w:r>
        <w:rPr>
          <w:lang w:val="en-US"/>
        </w:rPr>
        <w:t>6</w:t>
      </w:r>
      <w:r>
        <w:t>.</w:t>
      </w:r>
      <w:r>
        <w:rPr>
          <w:rFonts w:hint="eastAsia"/>
          <w:lang w:val="en-US" w:eastAsia="zh-CN"/>
        </w:rPr>
        <w:t>6</w:t>
      </w:r>
      <w:r>
        <w:t xml:space="preserve"> 地表水、地下水动态观测</w:t>
      </w:r>
    </w:p>
    <w:p w14:paraId="6425E632">
      <w:pPr>
        <w:ind w:firstLine="560"/>
        <w:rPr>
          <w:color w:val="auto"/>
        </w:rPr>
      </w:pPr>
      <w:r>
        <w:rPr>
          <w:color w:val="auto"/>
        </w:rPr>
        <w:t>拟在矿区及周围设置6个长期观测点，其中地表河流点3个，井泉水点2个，</w:t>
      </w:r>
      <w:r>
        <w:rPr>
          <w:color w:val="0000FF"/>
        </w:rPr>
        <w:t>钻孔</w:t>
      </w:r>
      <w:r>
        <w:rPr>
          <w:rFonts w:hint="eastAsia"/>
          <w:color w:val="0000FF"/>
          <w:lang w:val="en-US" w:eastAsia="zh-CN"/>
        </w:rPr>
        <w:t>2</w:t>
      </w:r>
      <w:r>
        <w:rPr>
          <w:color w:val="0000FF"/>
        </w:rPr>
        <w:t>个（ZK</w:t>
      </w:r>
      <w:r>
        <w:rPr>
          <w:rFonts w:hint="eastAsia"/>
          <w:color w:val="0000FF"/>
          <w:lang w:val="en-US" w:eastAsia="zh-CN"/>
        </w:rPr>
        <w:t>306、ZK502</w:t>
      </w:r>
      <w:r>
        <w:rPr>
          <w:color w:val="0000FF"/>
        </w:rPr>
        <w:t>）</w:t>
      </w:r>
      <w:r>
        <w:rPr>
          <w:color w:val="auto"/>
        </w:rPr>
        <w:t>。</w:t>
      </w:r>
    </w:p>
    <w:p w14:paraId="503DE034">
      <w:pPr>
        <w:ind w:firstLine="560"/>
        <w:rPr>
          <w:color w:val="auto"/>
        </w:rPr>
      </w:pPr>
      <w:r>
        <w:rPr>
          <w:color w:val="auto"/>
        </w:rPr>
        <w:t>在野外工作开始之初，即应开始进行地表水、地下水动态观测，同时选取首批施工的2个钻孔进行初始观测</w:t>
      </w:r>
      <w:r>
        <w:rPr>
          <w:color w:val="0000FF"/>
        </w:rPr>
        <w:t>（ZK</w:t>
      </w:r>
      <w:r>
        <w:rPr>
          <w:rFonts w:hint="eastAsia"/>
          <w:color w:val="0000FF"/>
          <w:lang w:val="en-US" w:eastAsia="zh-CN"/>
        </w:rPr>
        <w:t>306、ZK502</w:t>
      </w:r>
      <w:r>
        <w:rPr>
          <w:color w:val="0000FF"/>
        </w:rPr>
        <w:t>）</w:t>
      </w:r>
      <w:r>
        <w:rPr>
          <w:color w:val="auto"/>
        </w:rPr>
        <w:t>，观测内容包括水质、水位、流量、水温等，连续观测时间不少于1个水文年，每10天观测一次，雨季适当加密。</w:t>
      </w:r>
    </w:p>
    <w:p w14:paraId="2E57307F">
      <w:pPr>
        <w:ind w:firstLine="560"/>
      </w:pPr>
      <w:r>
        <w:t>地下水动态观测设施应采取有效措施予以保护，详查工作结束后由生产部门继续观测。</w:t>
      </w:r>
    </w:p>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14:paraId="6DE5F096">
      <w:pPr>
        <w:pStyle w:val="5"/>
      </w:pPr>
      <w:bookmarkStart w:id="317" w:name="_Toc9186"/>
      <w:bookmarkStart w:id="318" w:name="_Toc176901247"/>
      <w:bookmarkStart w:id="319" w:name="_Toc124107409"/>
      <w:r>
        <w:rPr>
          <w:lang w:val="en-US"/>
        </w:rPr>
        <w:t>4.6.</w:t>
      </w:r>
      <w:r>
        <w:rPr>
          <w:rFonts w:hint="eastAsia"/>
          <w:lang w:val="en-US" w:eastAsia="zh-CN"/>
        </w:rPr>
        <w:t>7</w:t>
      </w:r>
      <w:r>
        <w:rPr>
          <w:lang w:val="en-US"/>
        </w:rPr>
        <w:t xml:space="preserve"> </w:t>
      </w:r>
      <w:r>
        <w:t>溶洞节理裂隙统计</w:t>
      </w:r>
      <w:bookmarkEnd w:id="317"/>
    </w:p>
    <w:p w14:paraId="6F05E6E5">
      <w:pPr>
        <w:ind w:firstLine="560"/>
        <w:rPr>
          <w:szCs w:val="28"/>
        </w:rPr>
      </w:pPr>
      <w:r>
        <w:rPr>
          <w:szCs w:val="28"/>
        </w:rPr>
        <w:t>在勘探线上选择出露好的地质剖面及施工的工程上进行溶洞节理裂隙统计，主要统计岩溶发育程度，岩溶特征，溶洞与裂隙的连通性，节理裂隙的发育程度，裂隙产状、延伸长度、开放程度、填充物、线裂隙率等，节理裂隙建议分组进行统计记录。线岩溶率指单位长度上岩溶空间形态长度之百分比，在典型的剖面线上及钻孔中进行统计，统计长度预计1000m；面岩溶率是指平面上单位面积岩溶构造所占面积之百分比，在矿区出露平面形态出露较好的岩石中进行统计，统计面积预计500m</w:t>
      </w:r>
      <w:r>
        <w:rPr>
          <w:szCs w:val="28"/>
          <w:vertAlign w:val="superscript"/>
        </w:rPr>
        <w:t>2</w:t>
      </w:r>
      <w:r>
        <w:rPr>
          <w:szCs w:val="28"/>
        </w:rPr>
        <w:t>。</w:t>
      </w:r>
    </w:p>
    <w:p w14:paraId="4BD02538">
      <w:pPr>
        <w:pStyle w:val="5"/>
        <w:rPr>
          <w:color w:val="auto"/>
          <w:lang w:val="en-US"/>
        </w:rPr>
      </w:pPr>
      <w:bookmarkStart w:id="320" w:name="_Toc14080"/>
      <w:r>
        <w:rPr>
          <w:color w:val="auto"/>
          <w:lang w:val="en-US"/>
        </w:rPr>
        <w:t>4.6.</w:t>
      </w:r>
      <w:r>
        <w:rPr>
          <w:rFonts w:hint="eastAsia"/>
          <w:color w:val="auto"/>
          <w:lang w:val="en-US" w:eastAsia="zh-CN"/>
        </w:rPr>
        <w:t>8</w:t>
      </w:r>
      <w:r>
        <w:rPr>
          <w:color w:val="auto"/>
          <w:lang w:val="en-US"/>
        </w:rPr>
        <w:t xml:space="preserve"> 水文地质钻探</w:t>
      </w:r>
    </w:p>
    <w:p w14:paraId="09BB22BE">
      <w:pPr>
        <w:ind w:firstLine="560"/>
        <w:rPr>
          <w:color w:val="auto"/>
        </w:rPr>
      </w:pPr>
      <w:r>
        <w:rPr>
          <w:color w:val="auto"/>
        </w:rPr>
        <w:t>本次设计预留</w:t>
      </w:r>
      <w:r>
        <w:rPr>
          <w:rFonts w:hint="eastAsia"/>
          <w:color w:val="auto"/>
          <w:lang w:val="en-US" w:eastAsia="zh-CN"/>
        </w:rPr>
        <w:t>2</w:t>
      </w:r>
      <w:r>
        <w:rPr>
          <w:color w:val="auto"/>
        </w:rPr>
        <w:t>个水文地质钻孔</w:t>
      </w:r>
      <w:r>
        <w:rPr>
          <w:color w:val="0000FF"/>
        </w:rPr>
        <w:t>ZK</w:t>
      </w:r>
      <w:r>
        <w:rPr>
          <w:rFonts w:hint="eastAsia"/>
          <w:color w:val="0000FF"/>
          <w:lang w:val="en-US" w:eastAsia="zh-CN"/>
        </w:rPr>
        <w:t>306、ZK502</w:t>
      </w:r>
      <w:r>
        <w:rPr>
          <w:color w:val="auto"/>
        </w:rPr>
        <w:t>，利用预留的钻孔进行抽水/注水实验。钻孔设计要求如下：</w:t>
      </w:r>
    </w:p>
    <w:p w14:paraId="4D154D64">
      <w:pPr>
        <w:ind w:firstLine="560"/>
        <w:rPr>
          <w:color w:val="auto"/>
        </w:rPr>
      </w:pPr>
      <w:r>
        <w:rPr>
          <w:rFonts w:hint="eastAsia" w:ascii="宋体" w:hAnsi="宋体" w:eastAsia="宋体" w:cs="宋体"/>
          <w:color w:val="auto"/>
        </w:rPr>
        <w:t>①</w:t>
      </w:r>
      <w:r>
        <w:rPr>
          <w:color w:val="auto"/>
        </w:rPr>
        <w:t>钻孔深度应揭露露天采场坑底50m；</w:t>
      </w:r>
    </w:p>
    <w:p w14:paraId="79FE37C7">
      <w:pPr>
        <w:ind w:firstLine="560"/>
        <w:rPr>
          <w:color w:val="auto"/>
        </w:rPr>
      </w:pPr>
      <w:r>
        <w:rPr>
          <w:rFonts w:hint="eastAsia" w:ascii="宋体" w:hAnsi="宋体" w:eastAsia="宋体" w:cs="宋体"/>
          <w:color w:val="auto"/>
        </w:rPr>
        <w:t>②</w:t>
      </w:r>
      <w:r>
        <w:rPr>
          <w:color w:val="auto"/>
        </w:rPr>
        <w:t>钻孔施工宜采用清水钻进，当地层破碎不能用清水钻进时，应在主要含水层或试验段（观测段）用清水钻进，若必须采用泥浆钻进时，应采取有效的洗井措施；</w:t>
      </w:r>
    </w:p>
    <w:p w14:paraId="4B5C4153">
      <w:pPr>
        <w:ind w:firstLine="560"/>
        <w:rPr>
          <w:color w:val="auto"/>
        </w:rPr>
      </w:pPr>
      <w:r>
        <w:rPr>
          <w:rFonts w:hint="eastAsia" w:ascii="宋体" w:hAnsi="宋体" w:eastAsia="宋体" w:cs="宋体"/>
          <w:color w:val="auto"/>
        </w:rPr>
        <w:t>③</w:t>
      </w:r>
      <w:r>
        <w:rPr>
          <w:color w:val="auto"/>
        </w:rPr>
        <w:t>钻孔孔径一般不小于91mm，水位观测孔观测段孔径应满足止水和水位观测的要求；</w:t>
      </w:r>
    </w:p>
    <w:p w14:paraId="72A0AA9A">
      <w:pPr>
        <w:ind w:firstLine="560"/>
        <w:rPr>
          <w:color w:val="auto"/>
        </w:rPr>
      </w:pPr>
      <w:r>
        <w:rPr>
          <w:rFonts w:hint="eastAsia" w:ascii="宋体" w:hAnsi="宋体" w:eastAsia="宋体" w:cs="宋体"/>
          <w:color w:val="auto"/>
        </w:rPr>
        <w:t>④</w:t>
      </w:r>
      <w:r>
        <w:rPr>
          <w:color w:val="auto"/>
        </w:rPr>
        <w:t>钻孔岩芯采取率：岩石应大于70％，破碎带应大于60％，黏土应大于70％，砂和砂砾层应大于50％。</w:t>
      </w:r>
    </w:p>
    <w:p w14:paraId="7228F3B7">
      <w:pPr>
        <w:ind w:firstLine="560"/>
        <w:rPr>
          <w:rFonts w:hint="eastAsia"/>
          <w:color w:val="0000FF"/>
          <w:lang w:val="en-US" w:eastAsia="zh-CN"/>
        </w:rPr>
      </w:pPr>
      <w:r>
        <w:rPr>
          <w:color w:val="0000FF"/>
        </w:rPr>
        <w:t>设计工作量为</w:t>
      </w:r>
      <w:r>
        <w:rPr>
          <w:rFonts w:hint="eastAsia"/>
          <w:color w:val="0000FF"/>
          <w:lang w:val="en-US" w:eastAsia="zh-CN"/>
        </w:rPr>
        <w:t>206</w:t>
      </w:r>
      <w:r>
        <w:rPr>
          <w:color w:val="0000FF"/>
        </w:rPr>
        <w:t>m</w:t>
      </w:r>
      <w:r>
        <w:rPr>
          <w:rFonts w:hint="eastAsia"/>
          <w:color w:val="0000FF"/>
          <w:lang w:eastAsia="zh-CN"/>
        </w:rPr>
        <w:t>。</w:t>
      </w:r>
    </w:p>
    <w:p w14:paraId="54B50A96">
      <w:pPr>
        <w:pStyle w:val="5"/>
        <w:rPr>
          <w:color w:val="auto"/>
        </w:rPr>
      </w:pPr>
      <w:r>
        <w:rPr>
          <w:color w:val="auto"/>
          <w:lang w:val="en-US"/>
        </w:rPr>
        <w:t>4.6.</w:t>
      </w:r>
      <w:r>
        <w:rPr>
          <w:rFonts w:hint="eastAsia"/>
          <w:color w:val="auto"/>
          <w:lang w:val="en-US" w:eastAsia="zh-CN"/>
        </w:rPr>
        <w:t>9</w:t>
      </w:r>
      <w:r>
        <w:rPr>
          <w:color w:val="auto"/>
          <w:lang w:val="en-US"/>
        </w:rPr>
        <w:t xml:space="preserve"> </w:t>
      </w:r>
      <w:r>
        <w:rPr>
          <w:color w:val="auto"/>
        </w:rPr>
        <w:t>钻孔水文地质、工程地质编录</w:t>
      </w:r>
    </w:p>
    <w:p w14:paraId="38512A08">
      <w:pPr>
        <w:ind w:firstLine="560"/>
        <w:rPr>
          <w:color w:val="auto"/>
        </w:rPr>
      </w:pPr>
      <w:r>
        <w:rPr>
          <w:color w:val="auto"/>
        </w:rPr>
        <w:t>对详查阶段施工的所有钻孔进行水文地质工程地质编录。主要编录内容为：描述岩心的岩性、结构构造、裂隙性质、密度、风化带与软弱夹层、岩石的风化程度和深度、蚀变带的位置和深度，岩溶形态、大小、充填情况、发育深度，划分含水层的厚度。按钻进回次测定岩石质量指标（RQD），确定不同岩组RQD值的范围和平均值，划分岩石质量等级和岩体质量等级等。</w:t>
      </w:r>
      <w:r>
        <w:rPr>
          <w:color w:val="0000FF"/>
        </w:rPr>
        <w:t>设计工作量为9个钻孔1</w:t>
      </w:r>
      <w:r>
        <w:rPr>
          <w:rFonts w:hint="eastAsia"/>
          <w:color w:val="0000FF"/>
          <w:lang w:val="en-US" w:eastAsia="zh-CN"/>
        </w:rPr>
        <w:t>3</w:t>
      </w:r>
      <w:r>
        <w:rPr>
          <w:color w:val="0000FF"/>
        </w:rPr>
        <w:t>22m。</w:t>
      </w:r>
    </w:p>
    <w:p w14:paraId="31248F7D">
      <w:pPr>
        <w:pStyle w:val="5"/>
      </w:pPr>
      <w:r>
        <w:rPr>
          <w:lang w:val="en-US"/>
        </w:rPr>
        <w:t>4.6.</w:t>
      </w:r>
      <w:r>
        <w:rPr>
          <w:rFonts w:hint="eastAsia"/>
          <w:lang w:val="en-US" w:eastAsia="zh-CN"/>
        </w:rPr>
        <w:t xml:space="preserve">10 </w:t>
      </w:r>
      <w:r>
        <w:t>土工试验样取样及试验要求</w:t>
      </w:r>
      <w:bookmarkEnd w:id="320"/>
    </w:p>
    <w:p w14:paraId="32B6799A">
      <w:pPr>
        <w:ind w:firstLine="560"/>
        <w:rPr>
          <w:color w:val="auto"/>
        </w:rPr>
      </w:pPr>
      <w:r>
        <w:rPr>
          <w:color w:val="auto"/>
        </w:rPr>
        <w:t>对矿区内的土壤（砂质土、粘性土）取物理力学性质试验样，测试项目如下表。土样采集原样土，可在试坑、天然地面、边坡或钻孔中采取，应让土样受到最小程度扰动，并保持土的原状结构及天然湿度。采样深度为0～20cm，取样规格1.0kg～1.5kg，每种土层至少取2个土样，设计4个土样。</w:t>
      </w:r>
    </w:p>
    <w:p w14:paraId="010C7F4A">
      <w:pPr>
        <w:spacing w:line="240" w:lineRule="auto"/>
        <w:ind w:firstLine="0" w:firstLineChars="0"/>
        <w:jc w:val="center"/>
        <w:rPr>
          <w:b/>
          <w:bCs/>
          <w:color w:val="auto"/>
          <w:sz w:val="24"/>
          <w:szCs w:val="24"/>
        </w:rPr>
      </w:pPr>
      <w:r>
        <w:rPr>
          <w:b/>
          <w:bCs/>
          <w:color w:val="auto"/>
          <w:sz w:val="24"/>
          <w:szCs w:val="24"/>
        </w:rPr>
        <w:t>表4-2  土样室内实验项目</w:t>
      </w:r>
    </w:p>
    <w:tbl>
      <w:tblPr>
        <w:tblStyle w:val="33"/>
        <w:tblW w:w="9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0"/>
        <w:gridCol w:w="567"/>
        <w:gridCol w:w="567"/>
        <w:gridCol w:w="567"/>
        <w:gridCol w:w="567"/>
        <w:gridCol w:w="567"/>
        <w:gridCol w:w="567"/>
        <w:gridCol w:w="567"/>
        <w:gridCol w:w="567"/>
        <w:gridCol w:w="567"/>
        <w:gridCol w:w="567"/>
        <w:gridCol w:w="567"/>
        <w:gridCol w:w="567"/>
        <w:gridCol w:w="567"/>
        <w:gridCol w:w="567"/>
        <w:gridCol w:w="567"/>
      </w:tblGrid>
      <w:tr w14:paraId="2997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dxa"/>
            <w:vMerge w:val="restart"/>
            <w:vAlign w:val="center"/>
          </w:tcPr>
          <w:p w14:paraId="127BB389">
            <w:pPr>
              <w:spacing w:line="240" w:lineRule="auto"/>
              <w:ind w:firstLine="0" w:firstLineChars="0"/>
              <w:jc w:val="center"/>
              <w:rPr>
                <w:color w:val="auto"/>
                <w:sz w:val="21"/>
                <w:szCs w:val="21"/>
              </w:rPr>
            </w:pPr>
            <w:r>
              <w:rPr>
                <w:color w:val="auto"/>
                <w:sz w:val="21"/>
                <w:szCs w:val="21"/>
              </w:rPr>
              <w:t>岩土类别</w:t>
            </w:r>
          </w:p>
        </w:tc>
        <w:tc>
          <w:tcPr>
            <w:tcW w:w="2268" w:type="dxa"/>
            <w:gridSpan w:val="4"/>
            <w:vAlign w:val="center"/>
          </w:tcPr>
          <w:p w14:paraId="7AD1CFC1">
            <w:pPr>
              <w:spacing w:line="240" w:lineRule="auto"/>
              <w:ind w:firstLine="0" w:firstLineChars="0"/>
              <w:jc w:val="center"/>
              <w:rPr>
                <w:color w:val="auto"/>
                <w:sz w:val="21"/>
                <w:szCs w:val="21"/>
              </w:rPr>
            </w:pPr>
            <w:r>
              <w:rPr>
                <w:color w:val="auto"/>
                <w:sz w:val="21"/>
                <w:szCs w:val="21"/>
              </w:rPr>
              <w:t>成分</w:t>
            </w:r>
          </w:p>
        </w:tc>
        <w:tc>
          <w:tcPr>
            <w:tcW w:w="5103" w:type="dxa"/>
            <w:gridSpan w:val="9"/>
            <w:vAlign w:val="center"/>
          </w:tcPr>
          <w:p w14:paraId="52C4E022">
            <w:pPr>
              <w:spacing w:line="240" w:lineRule="auto"/>
              <w:ind w:firstLine="0" w:firstLineChars="0"/>
              <w:jc w:val="center"/>
              <w:rPr>
                <w:color w:val="auto"/>
                <w:sz w:val="21"/>
                <w:szCs w:val="21"/>
              </w:rPr>
            </w:pPr>
            <w:r>
              <w:rPr>
                <w:color w:val="auto"/>
                <w:sz w:val="21"/>
                <w:szCs w:val="21"/>
              </w:rPr>
              <w:t>物理性质</w:t>
            </w:r>
          </w:p>
        </w:tc>
        <w:tc>
          <w:tcPr>
            <w:tcW w:w="1134" w:type="dxa"/>
            <w:gridSpan w:val="2"/>
            <w:vAlign w:val="center"/>
          </w:tcPr>
          <w:p w14:paraId="111A3CF2">
            <w:pPr>
              <w:spacing w:line="240" w:lineRule="auto"/>
              <w:ind w:firstLine="0" w:firstLineChars="0"/>
              <w:jc w:val="center"/>
              <w:rPr>
                <w:color w:val="auto"/>
                <w:sz w:val="21"/>
                <w:szCs w:val="21"/>
              </w:rPr>
            </w:pPr>
            <w:r>
              <w:rPr>
                <w:color w:val="auto"/>
                <w:sz w:val="21"/>
                <w:szCs w:val="21"/>
              </w:rPr>
              <w:t>化学性质</w:t>
            </w:r>
          </w:p>
        </w:tc>
      </w:tr>
      <w:tr w14:paraId="44660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dxa"/>
            <w:vMerge w:val="continue"/>
            <w:vAlign w:val="center"/>
          </w:tcPr>
          <w:p w14:paraId="2F3FE777">
            <w:pPr>
              <w:spacing w:line="240" w:lineRule="auto"/>
              <w:ind w:firstLine="0" w:firstLineChars="0"/>
              <w:jc w:val="center"/>
              <w:rPr>
                <w:color w:val="auto"/>
                <w:sz w:val="21"/>
                <w:szCs w:val="21"/>
              </w:rPr>
            </w:pPr>
          </w:p>
        </w:tc>
        <w:tc>
          <w:tcPr>
            <w:tcW w:w="567" w:type="dxa"/>
            <w:vAlign w:val="center"/>
          </w:tcPr>
          <w:p w14:paraId="53A98E9C">
            <w:pPr>
              <w:spacing w:line="240" w:lineRule="auto"/>
              <w:ind w:firstLine="0" w:firstLineChars="0"/>
              <w:jc w:val="center"/>
              <w:rPr>
                <w:color w:val="auto"/>
                <w:sz w:val="21"/>
                <w:szCs w:val="21"/>
              </w:rPr>
            </w:pPr>
            <w:r>
              <w:rPr>
                <w:color w:val="auto"/>
                <w:sz w:val="21"/>
                <w:szCs w:val="21"/>
              </w:rPr>
              <w:t>颗粒成分</w:t>
            </w:r>
          </w:p>
        </w:tc>
        <w:tc>
          <w:tcPr>
            <w:tcW w:w="567" w:type="dxa"/>
            <w:vAlign w:val="center"/>
          </w:tcPr>
          <w:p w14:paraId="1D692AA6">
            <w:pPr>
              <w:spacing w:line="240" w:lineRule="auto"/>
              <w:ind w:firstLine="0" w:firstLineChars="0"/>
              <w:jc w:val="center"/>
              <w:rPr>
                <w:color w:val="auto"/>
                <w:sz w:val="21"/>
                <w:szCs w:val="21"/>
              </w:rPr>
            </w:pPr>
            <w:r>
              <w:rPr>
                <w:color w:val="auto"/>
                <w:sz w:val="21"/>
                <w:szCs w:val="21"/>
              </w:rPr>
              <w:t>矿物成分</w:t>
            </w:r>
          </w:p>
        </w:tc>
        <w:tc>
          <w:tcPr>
            <w:tcW w:w="567" w:type="dxa"/>
            <w:vAlign w:val="center"/>
          </w:tcPr>
          <w:p w14:paraId="38262F68">
            <w:pPr>
              <w:spacing w:line="240" w:lineRule="auto"/>
              <w:ind w:firstLine="0" w:firstLineChars="0"/>
              <w:jc w:val="center"/>
              <w:rPr>
                <w:color w:val="auto"/>
                <w:sz w:val="21"/>
                <w:szCs w:val="21"/>
              </w:rPr>
            </w:pPr>
            <w:r>
              <w:rPr>
                <w:color w:val="auto"/>
                <w:sz w:val="21"/>
                <w:szCs w:val="21"/>
              </w:rPr>
              <w:t>化学成分</w:t>
            </w:r>
          </w:p>
        </w:tc>
        <w:tc>
          <w:tcPr>
            <w:tcW w:w="567" w:type="dxa"/>
            <w:vAlign w:val="center"/>
          </w:tcPr>
          <w:p w14:paraId="2468D0B4">
            <w:pPr>
              <w:spacing w:line="240" w:lineRule="auto"/>
              <w:ind w:firstLine="0" w:firstLineChars="0"/>
              <w:jc w:val="center"/>
              <w:rPr>
                <w:color w:val="auto"/>
                <w:sz w:val="21"/>
                <w:szCs w:val="21"/>
              </w:rPr>
            </w:pPr>
            <w:r>
              <w:rPr>
                <w:color w:val="auto"/>
                <w:sz w:val="21"/>
                <w:szCs w:val="21"/>
              </w:rPr>
              <w:t>黏土矿物</w:t>
            </w:r>
          </w:p>
        </w:tc>
        <w:tc>
          <w:tcPr>
            <w:tcW w:w="567" w:type="dxa"/>
            <w:vAlign w:val="center"/>
          </w:tcPr>
          <w:p w14:paraId="699DB04B">
            <w:pPr>
              <w:spacing w:line="240" w:lineRule="auto"/>
              <w:ind w:firstLine="0" w:firstLineChars="0"/>
              <w:jc w:val="center"/>
              <w:rPr>
                <w:color w:val="auto"/>
                <w:sz w:val="21"/>
                <w:szCs w:val="21"/>
              </w:rPr>
            </w:pPr>
            <w:r>
              <w:rPr>
                <w:color w:val="auto"/>
                <w:sz w:val="21"/>
                <w:szCs w:val="21"/>
              </w:rPr>
              <w:t>比重</w:t>
            </w:r>
          </w:p>
        </w:tc>
        <w:tc>
          <w:tcPr>
            <w:tcW w:w="567" w:type="dxa"/>
            <w:vAlign w:val="center"/>
          </w:tcPr>
          <w:p w14:paraId="21742CC3">
            <w:pPr>
              <w:spacing w:line="240" w:lineRule="auto"/>
              <w:ind w:firstLine="0" w:firstLineChars="0"/>
              <w:jc w:val="center"/>
              <w:rPr>
                <w:color w:val="auto"/>
                <w:sz w:val="21"/>
                <w:szCs w:val="21"/>
              </w:rPr>
            </w:pPr>
            <w:r>
              <w:rPr>
                <w:color w:val="auto"/>
                <w:sz w:val="21"/>
                <w:szCs w:val="21"/>
              </w:rPr>
              <w:t>容重</w:t>
            </w:r>
          </w:p>
        </w:tc>
        <w:tc>
          <w:tcPr>
            <w:tcW w:w="567" w:type="dxa"/>
            <w:vAlign w:val="center"/>
          </w:tcPr>
          <w:p w14:paraId="7AD57530">
            <w:pPr>
              <w:spacing w:line="240" w:lineRule="auto"/>
              <w:ind w:firstLine="0" w:firstLineChars="0"/>
              <w:jc w:val="center"/>
              <w:rPr>
                <w:color w:val="auto"/>
                <w:sz w:val="21"/>
                <w:szCs w:val="21"/>
              </w:rPr>
            </w:pPr>
            <w:r>
              <w:rPr>
                <w:color w:val="auto"/>
                <w:sz w:val="21"/>
                <w:szCs w:val="21"/>
              </w:rPr>
              <w:t>相对密度</w:t>
            </w:r>
          </w:p>
        </w:tc>
        <w:tc>
          <w:tcPr>
            <w:tcW w:w="567" w:type="dxa"/>
            <w:vAlign w:val="center"/>
          </w:tcPr>
          <w:p w14:paraId="7D396473">
            <w:pPr>
              <w:spacing w:line="240" w:lineRule="auto"/>
              <w:ind w:firstLine="0" w:firstLineChars="0"/>
              <w:jc w:val="center"/>
              <w:rPr>
                <w:color w:val="auto"/>
                <w:sz w:val="21"/>
                <w:szCs w:val="21"/>
              </w:rPr>
            </w:pPr>
            <w:r>
              <w:rPr>
                <w:color w:val="auto"/>
                <w:sz w:val="21"/>
                <w:szCs w:val="21"/>
              </w:rPr>
              <w:t>天然含水量</w:t>
            </w:r>
          </w:p>
        </w:tc>
        <w:tc>
          <w:tcPr>
            <w:tcW w:w="567" w:type="dxa"/>
            <w:vAlign w:val="center"/>
          </w:tcPr>
          <w:p w14:paraId="7ACDC2A3">
            <w:pPr>
              <w:spacing w:line="240" w:lineRule="auto"/>
              <w:ind w:firstLine="0" w:firstLineChars="0"/>
              <w:jc w:val="center"/>
              <w:rPr>
                <w:color w:val="auto"/>
                <w:sz w:val="21"/>
                <w:szCs w:val="21"/>
              </w:rPr>
            </w:pPr>
            <w:r>
              <w:rPr>
                <w:color w:val="auto"/>
                <w:sz w:val="21"/>
                <w:szCs w:val="21"/>
              </w:rPr>
              <w:t>孔隙度</w:t>
            </w:r>
          </w:p>
        </w:tc>
        <w:tc>
          <w:tcPr>
            <w:tcW w:w="567" w:type="dxa"/>
            <w:vAlign w:val="center"/>
          </w:tcPr>
          <w:p w14:paraId="34F622EC">
            <w:pPr>
              <w:spacing w:line="240" w:lineRule="auto"/>
              <w:ind w:firstLine="0" w:firstLineChars="0"/>
              <w:jc w:val="center"/>
              <w:rPr>
                <w:color w:val="auto"/>
                <w:sz w:val="21"/>
                <w:szCs w:val="21"/>
              </w:rPr>
            </w:pPr>
            <w:r>
              <w:rPr>
                <w:color w:val="auto"/>
                <w:sz w:val="21"/>
                <w:szCs w:val="21"/>
              </w:rPr>
              <w:t>界限含水量</w:t>
            </w:r>
          </w:p>
        </w:tc>
        <w:tc>
          <w:tcPr>
            <w:tcW w:w="567" w:type="dxa"/>
            <w:vAlign w:val="center"/>
          </w:tcPr>
          <w:p w14:paraId="449DB437">
            <w:pPr>
              <w:spacing w:line="240" w:lineRule="auto"/>
              <w:ind w:firstLine="0" w:firstLineChars="0"/>
              <w:jc w:val="center"/>
              <w:rPr>
                <w:color w:val="auto"/>
                <w:sz w:val="21"/>
                <w:szCs w:val="21"/>
              </w:rPr>
            </w:pPr>
            <w:r>
              <w:rPr>
                <w:color w:val="auto"/>
                <w:sz w:val="21"/>
                <w:szCs w:val="21"/>
              </w:rPr>
              <w:t>膨胀性</w:t>
            </w:r>
          </w:p>
        </w:tc>
        <w:tc>
          <w:tcPr>
            <w:tcW w:w="567" w:type="dxa"/>
            <w:vAlign w:val="center"/>
          </w:tcPr>
          <w:p w14:paraId="5D1867E4">
            <w:pPr>
              <w:spacing w:line="240" w:lineRule="auto"/>
              <w:ind w:firstLine="0" w:firstLineChars="0"/>
              <w:jc w:val="center"/>
              <w:rPr>
                <w:color w:val="auto"/>
                <w:sz w:val="21"/>
                <w:szCs w:val="21"/>
              </w:rPr>
            </w:pPr>
            <w:r>
              <w:rPr>
                <w:color w:val="auto"/>
                <w:sz w:val="21"/>
                <w:szCs w:val="21"/>
              </w:rPr>
              <w:t>安息角</w:t>
            </w:r>
          </w:p>
        </w:tc>
        <w:tc>
          <w:tcPr>
            <w:tcW w:w="567" w:type="dxa"/>
            <w:vAlign w:val="center"/>
          </w:tcPr>
          <w:p w14:paraId="23D66EC7">
            <w:pPr>
              <w:spacing w:line="240" w:lineRule="auto"/>
              <w:ind w:firstLine="0" w:firstLineChars="0"/>
              <w:jc w:val="center"/>
              <w:rPr>
                <w:color w:val="auto"/>
                <w:sz w:val="21"/>
                <w:szCs w:val="21"/>
              </w:rPr>
            </w:pPr>
            <w:r>
              <w:rPr>
                <w:color w:val="auto"/>
                <w:sz w:val="21"/>
                <w:szCs w:val="21"/>
              </w:rPr>
              <w:t>渗透系数</w:t>
            </w:r>
          </w:p>
        </w:tc>
        <w:tc>
          <w:tcPr>
            <w:tcW w:w="567" w:type="dxa"/>
            <w:vAlign w:val="center"/>
          </w:tcPr>
          <w:p w14:paraId="6630BD68">
            <w:pPr>
              <w:spacing w:line="240" w:lineRule="auto"/>
              <w:ind w:firstLine="0" w:firstLineChars="0"/>
              <w:jc w:val="center"/>
              <w:rPr>
                <w:color w:val="auto"/>
                <w:sz w:val="21"/>
                <w:szCs w:val="21"/>
              </w:rPr>
            </w:pPr>
            <w:r>
              <w:rPr>
                <w:color w:val="auto"/>
                <w:sz w:val="21"/>
                <w:szCs w:val="21"/>
              </w:rPr>
              <w:t>压缩性</w:t>
            </w:r>
          </w:p>
        </w:tc>
        <w:tc>
          <w:tcPr>
            <w:tcW w:w="567" w:type="dxa"/>
            <w:vAlign w:val="center"/>
          </w:tcPr>
          <w:p w14:paraId="7EA71F7B">
            <w:pPr>
              <w:spacing w:line="240" w:lineRule="auto"/>
              <w:ind w:firstLine="0" w:firstLineChars="0"/>
              <w:jc w:val="center"/>
              <w:rPr>
                <w:color w:val="auto"/>
                <w:sz w:val="21"/>
                <w:szCs w:val="21"/>
              </w:rPr>
            </w:pPr>
            <w:r>
              <w:rPr>
                <w:color w:val="auto"/>
                <w:sz w:val="21"/>
                <w:szCs w:val="21"/>
              </w:rPr>
              <w:t>抗剪强度</w:t>
            </w:r>
          </w:p>
        </w:tc>
      </w:tr>
      <w:tr w14:paraId="0B67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dxa"/>
            <w:vAlign w:val="center"/>
          </w:tcPr>
          <w:p w14:paraId="0A92AF3D">
            <w:pPr>
              <w:spacing w:line="240" w:lineRule="auto"/>
              <w:ind w:firstLine="0" w:firstLineChars="0"/>
              <w:jc w:val="center"/>
              <w:rPr>
                <w:color w:val="auto"/>
                <w:sz w:val="21"/>
                <w:szCs w:val="21"/>
              </w:rPr>
            </w:pPr>
            <w:r>
              <w:rPr>
                <w:color w:val="auto"/>
                <w:sz w:val="21"/>
                <w:szCs w:val="21"/>
              </w:rPr>
              <w:t>砂质土</w:t>
            </w:r>
          </w:p>
        </w:tc>
        <w:tc>
          <w:tcPr>
            <w:tcW w:w="567" w:type="dxa"/>
            <w:vAlign w:val="center"/>
          </w:tcPr>
          <w:p w14:paraId="6CC10ADE">
            <w:pPr>
              <w:spacing w:line="240" w:lineRule="auto"/>
              <w:ind w:firstLine="0" w:firstLineChars="0"/>
              <w:jc w:val="center"/>
              <w:rPr>
                <w:color w:val="auto"/>
                <w:sz w:val="21"/>
                <w:szCs w:val="21"/>
              </w:rPr>
            </w:pPr>
            <w:r>
              <w:rPr>
                <w:color w:val="auto"/>
                <w:sz w:val="21"/>
                <w:szCs w:val="21"/>
              </w:rPr>
              <w:t>√</w:t>
            </w:r>
          </w:p>
        </w:tc>
        <w:tc>
          <w:tcPr>
            <w:tcW w:w="567" w:type="dxa"/>
            <w:vAlign w:val="center"/>
          </w:tcPr>
          <w:p w14:paraId="59A959CA">
            <w:pPr>
              <w:spacing w:line="240" w:lineRule="auto"/>
              <w:ind w:firstLine="0" w:firstLineChars="0"/>
              <w:jc w:val="center"/>
              <w:rPr>
                <w:color w:val="auto"/>
                <w:sz w:val="21"/>
                <w:szCs w:val="21"/>
              </w:rPr>
            </w:pPr>
            <w:r>
              <w:rPr>
                <w:color w:val="auto"/>
                <w:sz w:val="21"/>
                <w:szCs w:val="21"/>
              </w:rPr>
              <w:t>√</w:t>
            </w:r>
          </w:p>
        </w:tc>
        <w:tc>
          <w:tcPr>
            <w:tcW w:w="567" w:type="dxa"/>
            <w:vAlign w:val="center"/>
          </w:tcPr>
          <w:p w14:paraId="027C4EFF">
            <w:pPr>
              <w:spacing w:line="240" w:lineRule="auto"/>
              <w:ind w:firstLine="0" w:firstLineChars="0"/>
              <w:jc w:val="center"/>
              <w:rPr>
                <w:color w:val="auto"/>
                <w:sz w:val="21"/>
                <w:szCs w:val="21"/>
              </w:rPr>
            </w:pPr>
          </w:p>
        </w:tc>
        <w:tc>
          <w:tcPr>
            <w:tcW w:w="567" w:type="dxa"/>
            <w:vAlign w:val="center"/>
          </w:tcPr>
          <w:p w14:paraId="03A1A593">
            <w:pPr>
              <w:spacing w:line="240" w:lineRule="auto"/>
              <w:ind w:firstLine="0" w:firstLineChars="0"/>
              <w:jc w:val="center"/>
              <w:rPr>
                <w:color w:val="auto"/>
                <w:sz w:val="21"/>
                <w:szCs w:val="21"/>
              </w:rPr>
            </w:pPr>
          </w:p>
        </w:tc>
        <w:tc>
          <w:tcPr>
            <w:tcW w:w="567" w:type="dxa"/>
            <w:vAlign w:val="center"/>
          </w:tcPr>
          <w:p w14:paraId="1162CE4A">
            <w:pPr>
              <w:spacing w:line="240" w:lineRule="auto"/>
              <w:ind w:firstLine="0" w:firstLineChars="0"/>
              <w:jc w:val="center"/>
              <w:rPr>
                <w:color w:val="auto"/>
                <w:sz w:val="21"/>
                <w:szCs w:val="21"/>
              </w:rPr>
            </w:pPr>
            <w:r>
              <w:rPr>
                <w:color w:val="auto"/>
                <w:sz w:val="21"/>
                <w:szCs w:val="21"/>
              </w:rPr>
              <w:t>√</w:t>
            </w:r>
          </w:p>
        </w:tc>
        <w:tc>
          <w:tcPr>
            <w:tcW w:w="567" w:type="dxa"/>
            <w:vAlign w:val="center"/>
          </w:tcPr>
          <w:p w14:paraId="3A181476">
            <w:pPr>
              <w:spacing w:line="240" w:lineRule="auto"/>
              <w:ind w:firstLine="0" w:firstLineChars="0"/>
              <w:jc w:val="center"/>
              <w:rPr>
                <w:color w:val="auto"/>
                <w:sz w:val="21"/>
                <w:szCs w:val="21"/>
              </w:rPr>
            </w:pPr>
            <w:r>
              <w:rPr>
                <w:color w:val="auto"/>
                <w:sz w:val="21"/>
                <w:szCs w:val="21"/>
              </w:rPr>
              <w:t>√</w:t>
            </w:r>
          </w:p>
        </w:tc>
        <w:tc>
          <w:tcPr>
            <w:tcW w:w="567" w:type="dxa"/>
            <w:vAlign w:val="center"/>
          </w:tcPr>
          <w:p w14:paraId="2993BFF6">
            <w:pPr>
              <w:spacing w:line="240" w:lineRule="auto"/>
              <w:ind w:firstLine="0" w:firstLineChars="0"/>
              <w:jc w:val="center"/>
              <w:rPr>
                <w:color w:val="auto"/>
                <w:sz w:val="21"/>
                <w:szCs w:val="21"/>
              </w:rPr>
            </w:pPr>
            <w:r>
              <w:rPr>
                <w:color w:val="auto"/>
                <w:sz w:val="21"/>
                <w:szCs w:val="21"/>
              </w:rPr>
              <w:t>√</w:t>
            </w:r>
          </w:p>
        </w:tc>
        <w:tc>
          <w:tcPr>
            <w:tcW w:w="567" w:type="dxa"/>
            <w:vAlign w:val="center"/>
          </w:tcPr>
          <w:p w14:paraId="7CB3A77D">
            <w:pPr>
              <w:spacing w:line="240" w:lineRule="auto"/>
              <w:ind w:firstLine="0" w:firstLineChars="0"/>
              <w:jc w:val="center"/>
              <w:rPr>
                <w:color w:val="auto"/>
                <w:sz w:val="21"/>
                <w:szCs w:val="21"/>
              </w:rPr>
            </w:pPr>
            <w:r>
              <w:rPr>
                <w:color w:val="auto"/>
                <w:sz w:val="21"/>
                <w:szCs w:val="21"/>
              </w:rPr>
              <w:t>√</w:t>
            </w:r>
          </w:p>
        </w:tc>
        <w:tc>
          <w:tcPr>
            <w:tcW w:w="567" w:type="dxa"/>
            <w:vAlign w:val="center"/>
          </w:tcPr>
          <w:p w14:paraId="729AC62D">
            <w:pPr>
              <w:spacing w:line="240" w:lineRule="auto"/>
              <w:ind w:firstLine="0" w:firstLineChars="0"/>
              <w:jc w:val="center"/>
              <w:rPr>
                <w:color w:val="auto"/>
                <w:sz w:val="21"/>
                <w:szCs w:val="21"/>
              </w:rPr>
            </w:pPr>
            <w:r>
              <w:rPr>
                <w:color w:val="auto"/>
                <w:sz w:val="21"/>
                <w:szCs w:val="21"/>
              </w:rPr>
              <w:t>√</w:t>
            </w:r>
          </w:p>
        </w:tc>
        <w:tc>
          <w:tcPr>
            <w:tcW w:w="567" w:type="dxa"/>
            <w:vAlign w:val="center"/>
          </w:tcPr>
          <w:p w14:paraId="6326CB7B">
            <w:pPr>
              <w:spacing w:line="240" w:lineRule="auto"/>
              <w:ind w:firstLine="0" w:firstLineChars="0"/>
              <w:jc w:val="center"/>
              <w:rPr>
                <w:color w:val="auto"/>
                <w:sz w:val="21"/>
                <w:szCs w:val="21"/>
              </w:rPr>
            </w:pPr>
          </w:p>
        </w:tc>
        <w:tc>
          <w:tcPr>
            <w:tcW w:w="567" w:type="dxa"/>
            <w:vAlign w:val="center"/>
          </w:tcPr>
          <w:p w14:paraId="1AA5E957">
            <w:pPr>
              <w:spacing w:line="240" w:lineRule="auto"/>
              <w:ind w:firstLine="0" w:firstLineChars="0"/>
              <w:jc w:val="center"/>
              <w:rPr>
                <w:color w:val="auto"/>
                <w:sz w:val="21"/>
                <w:szCs w:val="21"/>
              </w:rPr>
            </w:pPr>
          </w:p>
        </w:tc>
        <w:tc>
          <w:tcPr>
            <w:tcW w:w="567" w:type="dxa"/>
            <w:vAlign w:val="center"/>
          </w:tcPr>
          <w:p w14:paraId="265C6ECD">
            <w:pPr>
              <w:spacing w:line="240" w:lineRule="auto"/>
              <w:ind w:firstLine="0" w:firstLineChars="0"/>
              <w:jc w:val="center"/>
              <w:rPr>
                <w:color w:val="auto"/>
                <w:sz w:val="21"/>
                <w:szCs w:val="21"/>
              </w:rPr>
            </w:pPr>
            <w:r>
              <w:rPr>
                <w:color w:val="auto"/>
                <w:sz w:val="21"/>
                <w:szCs w:val="21"/>
              </w:rPr>
              <w:t>√</w:t>
            </w:r>
          </w:p>
        </w:tc>
        <w:tc>
          <w:tcPr>
            <w:tcW w:w="567" w:type="dxa"/>
            <w:vAlign w:val="center"/>
          </w:tcPr>
          <w:p w14:paraId="6B2F1F97">
            <w:pPr>
              <w:spacing w:line="240" w:lineRule="auto"/>
              <w:ind w:firstLine="0" w:firstLineChars="0"/>
              <w:jc w:val="center"/>
              <w:rPr>
                <w:color w:val="auto"/>
                <w:sz w:val="21"/>
                <w:szCs w:val="21"/>
              </w:rPr>
            </w:pPr>
            <w:r>
              <w:rPr>
                <w:color w:val="auto"/>
                <w:sz w:val="21"/>
                <w:szCs w:val="21"/>
              </w:rPr>
              <w:t>√</w:t>
            </w:r>
          </w:p>
        </w:tc>
        <w:tc>
          <w:tcPr>
            <w:tcW w:w="567" w:type="dxa"/>
            <w:vAlign w:val="center"/>
          </w:tcPr>
          <w:p w14:paraId="6EA33212">
            <w:pPr>
              <w:spacing w:line="240" w:lineRule="auto"/>
              <w:ind w:firstLine="0" w:firstLineChars="0"/>
              <w:jc w:val="center"/>
              <w:rPr>
                <w:color w:val="auto"/>
                <w:sz w:val="21"/>
                <w:szCs w:val="21"/>
              </w:rPr>
            </w:pPr>
            <w:r>
              <w:rPr>
                <w:color w:val="auto"/>
                <w:sz w:val="21"/>
                <w:szCs w:val="21"/>
              </w:rPr>
              <w:t>√</w:t>
            </w:r>
          </w:p>
        </w:tc>
        <w:tc>
          <w:tcPr>
            <w:tcW w:w="567" w:type="dxa"/>
            <w:vAlign w:val="center"/>
          </w:tcPr>
          <w:p w14:paraId="7C3D3E4F">
            <w:pPr>
              <w:spacing w:line="240" w:lineRule="auto"/>
              <w:ind w:firstLine="0" w:firstLineChars="0"/>
              <w:jc w:val="center"/>
              <w:rPr>
                <w:color w:val="auto"/>
                <w:sz w:val="21"/>
                <w:szCs w:val="21"/>
              </w:rPr>
            </w:pPr>
          </w:p>
        </w:tc>
      </w:tr>
      <w:tr w14:paraId="5159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dxa"/>
            <w:vAlign w:val="center"/>
          </w:tcPr>
          <w:p w14:paraId="7764D1B4">
            <w:pPr>
              <w:spacing w:line="240" w:lineRule="auto"/>
              <w:ind w:firstLine="0" w:firstLineChars="0"/>
              <w:jc w:val="center"/>
              <w:rPr>
                <w:color w:val="auto"/>
                <w:sz w:val="21"/>
                <w:szCs w:val="21"/>
              </w:rPr>
            </w:pPr>
            <w:r>
              <w:rPr>
                <w:color w:val="auto"/>
                <w:sz w:val="21"/>
                <w:szCs w:val="21"/>
              </w:rPr>
              <w:t>粘性土</w:t>
            </w:r>
          </w:p>
        </w:tc>
        <w:tc>
          <w:tcPr>
            <w:tcW w:w="567" w:type="dxa"/>
            <w:vAlign w:val="center"/>
          </w:tcPr>
          <w:p w14:paraId="2BEEB2D6">
            <w:pPr>
              <w:spacing w:line="240" w:lineRule="auto"/>
              <w:ind w:firstLine="0" w:firstLineChars="0"/>
              <w:jc w:val="center"/>
              <w:rPr>
                <w:color w:val="auto"/>
                <w:sz w:val="21"/>
                <w:szCs w:val="21"/>
              </w:rPr>
            </w:pPr>
            <w:r>
              <w:rPr>
                <w:color w:val="auto"/>
                <w:sz w:val="21"/>
                <w:szCs w:val="21"/>
              </w:rPr>
              <w:t>√</w:t>
            </w:r>
          </w:p>
        </w:tc>
        <w:tc>
          <w:tcPr>
            <w:tcW w:w="567" w:type="dxa"/>
            <w:vAlign w:val="center"/>
          </w:tcPr>
          <w:p w14:paraId="0FDD6A59">
            <w:pPr>
              <w:spacing w:line="240" w:lineRule="auto"/>
              <w:ind w:firstLine="0" w:firstLineChars="0"/>
              <w:jc w:val="center"/>
              <w:rPr>
                <w:color w:val="auto"/>
                <w:sz w:val="21"/>
                <w:szCs w:val="21"/>
              </w:rPr>
            </w:pPr>
            <w:r>
              <w:rPr>
                <w:color w:val="auto"/>
                <w:sz w:val="21"/>
                <w:szCs w:val="21"/>
              </w:rPr>
              <w:t>√</w:t>
            </w:r>
          </w:p>
        </w:tc>
        <w:tc>
          <w:tcPr>
            <w:tcW w:w="567" w:type="dxa"/>
            <w:vAlign w:val="center"/>
          </w:tcPr>
          <w:p w14:paraId="5D73E82A">
            <w:pPr>
              <w:spacing w:line="240" w:lineRule="auto"/>
              <w:ind w:firstLine="0" w:firstLineChars="0"/>
              <w:jc w:val="center"/>
              <w:rPr>
                <w:color w:val="auto"/>
                <w:sz w:val="21"/>
                <w:szCs w:val="21"/>
              </w:rPr>
            </w:pPr>
            <w:r>
              <w:rPr>
                <w:color w:val="auto"/>
                <w:sz w:val="21"/>
                <w:szCs w:val="21"/>
              </w:rPr>
              <w:t>√</w:t>
            </w:r>
          </w:p>
        </w:tc>
        <w:tc>
          <w:tcPr>
            <w:tcW w:w="567" w:type="dxa"/>
            <w:vAlign w:val="center"/>
          </w:tcPr>
          <w:p w14:paraId="294AF2F0">
            <w:pPr>
              <w:spacing w:line="240" w:lineRule="auto"/>
              <w:ind w:firstLine="0" w:firstLineChars="0"/>
              <w:jc w:val="center"/>
              <w:rPr>
                <w:color w:val="auto"/>
                <w:sz w:val="21"/>
                <w:szCs w:val="21"/>
              </w:rPr>
            </w:pPr>
            <w:r>
              <w:rPr>
                <w:color w:val="auto"/>
                <w:sz w:val="21"/>
                <w:szCs w:val="21"/>
              </w:rPr>
              <w:t>√</w:t>
            </w:r>
          </w:p>
        </w:tc>
        <w:tc>
          <w:tcPr>
            <w:tcW w:w="567" w:type="dxa"/>
            <w:vAlign w:val="center"/>
          </w:tcPr>
          <w:p w14:paraId="103CD8A4">
            <w:pPr>
              <w:spacing w:line="240" w:lineRule="auto"/>
              <w:ind w:firstLine="0" w:firstLineChars="0"/>
              <w:jc w:val="center"/>
              <w:rPr>
                <w:color w:val="auto"/>
                <w:sz w:val="21"/>
                <w:szCs w:val="21"/>
              </w:rPr>
            </w:pPr>
            <w:r>
              <w:rPr>
                <w:color w:val="auto"/>
                <w:sz w:val="21"/>
                <w:szCs w:val="21"/>
              </w:rPr>
              <w:t>√</w:t>
            </w:r>
          </w:p>
        </w:tc>
        <w:tc>
          <w:tcPr>
            <w:tcW w:w="567" w:type="dxa"/>
            <w:vAlign w:val="center"/>
          </w:tcPr>
          <w:p w14:paraId="3C3CD418">
            <w:pPr>
              <w:spacing w:line="240" w:lineRule="auto"/>
              <w:ind w:firstLine="0" w:firstLineChars="0"/>
              <w:jc w:val="center"/>
              <w:rPr>
                <w:color w:val="auto"/>
                <w:sz w:val="21"/>
                <w:szCs w:val="21"/>
              </w:rPr>
            </w:pPr>
            <w:r>
              <w:rPr>
                <w:color w:val="auto"/>
                <w:sz w:val="21"/>
                <w:szCs w:val="21"/>
              </w:rPr>
              <w:t>√</w:t>
            </w:r>
          </w:p>
        </w:tc>
        <w:tc>
          <w:tcPr>
            <w:tcW w:w="567" w:type="dxa"/>
            <w:vAlign w:val="center"/>
          </w:tcPr>
          <w:p w14:paraId="764C43AE">
            <w:pPr>
              <w:spacing w:line="240" w:lineRule="auto"/>
              <w:ind w:firstLine="0" w:firstLineChars="0"/>
              <w:jc w:val="center"/>
              <w:rPr>
                <w:color w:val="auto"/>
                <w:sz w:val="21"/>
                <w:szCs w:val="21"/>
              </w:rPr>
            </w:pPr>
          </w:p>
        </w:tc>
        <w:tc>
          <w:tcPr>
            <w:tcW w:w="567" w:type="dxa"/>
            <w:vAlign w:val="center"/>
          </w:tcPr>
          <w:p w14:paraId="2861137A">
            <w:pPr>
              <w:spacing w:line="240" w:lineRule="auto"/>
              <w:ind w:firstLine="0" w:firstLineChars="0"/>
              <w:jc w:val="center"/>
              <w:rPr>
                <w:color w:val="auto"/>
                <w:sz w:val="21"/>
                <w:szCs w:val="21"/>
              </w:rPr>
            </w:pPr>
            <w:r>
              <w:rPr>
                <w:color w:val="auto"/>
                <w:sz w:val="21"/>
                <w:szCs w:val="21"/>
              </w:rPr>
              <w:t>√</w:t>
            </w:r>
          </w:p>
        </w:tc>
        <w:tc>
          <w:tcPr>
            <w:tcW w:w="567" w:type="dxa"/>
            <w:vAlign w:val="center"/>
          </w:tcPr>
          <w:p w14:paraId="53737A1B">
            <w:pPr>
              <w:spacing w:line="240" w:lineRule="auto"/>
              <w:ind w:firstLine="0" w:firstLineChars="0"/>
              <w:jc w:val="center"/>
              <w:rPr>
                <w:color w:val="auto"/>
                <w:sz w:val="21"/>
                <w:szCs w:val="21"/>
              </w:rPr>
            </w:pPr>
            <w:r>
              <w:rPr>
                <w:color w:val="auto"/>
                <w:sz w:val="21"/>
                <w:szCs w:val="21"/>
              </w:rPr>
              <w:t>√</w:t>
            </w:r>
          </w:p>
        </w:tc>
        <w:tc>
          <w:tcPr>
            <w:tcW w:w="567" w:type="dxa"/>
            <w:vAlign w:val="center"/>
          </w:tcPr>
          <w:p w14:paraId="0FF38FF8">
            <w:pPr>
              <w:spacing w:line="240" w:lineRule="auto"/>
              <w:ind w:firstLine="0" w:firstLineChars="0"/>
              <w:jc w:val="center"/>
              <w:rPr>
                <w:color w:val="auto"/>
                <w:sz w:val="21"/>
                <w:szCs w:val="21"/>
              </w:rPr>
            </w:pPr>
            <w:r>
              <w:rPr>
                <w:color w:val="auto"/>
                <w:sz w:val="21"/>
                <w:szCs w:val="21"/>
              </w:rPr>
              <w:t>√</w:t>
            </w:r>
          </w:p>
        </w:tc>
        <w:tc>
          <w:tcPr>
            <w:tcW w:w="567" w:type="dxa"/>
            <w:vAlign w:val="center"/>
          </w:tcPr>
          <w:p w14:paraId="380101E7">
            <w:pPr>
              <w:spacing w:line="240" w:lineRule="auto"/>
              <w:ind w:firstLine="0" w:firstLineChars="0"/>
              <w:jc w:val="center"/>
              <w:rPr>
                <w:color w:val="auto"/>
                <w:sz w:val="21"/>
                <w:szCs w:val="21"/>
              </w:rPr>
            </w:pPr>
            <w:r>
              <w:rPr>
                <w:color w:val="auto"/>
                <w:sz w:val="21"/>
                <w:szCs w:val="21"/>
              </w:rPr>
              <w:t>√</w:t>
            </w:r>
          </w:p>
        </w:tc>
        <w:tc>
          <w:tcPr>
            <w:tcW w:w="567" w:type="dxa"/>
            <w:vAlign w:val="center"/>
          </w:tcPr>
          <w:p w14:paraId="1DBD3013">
            <w:pPr>
              <w:spacing w:line="240" w:lineRule="auto"/>
              <w:ind w:firstLine="0" w:firstLineChars="0"/>
              <w:jc w:val="center"/>
              <w:rPr>
                <w:color w:val="auto"/>
                <w:sz w:val="21"/>
                <w:szCs w:val="21"/>
              </w:rPr>
            </w:pPr>
          </w:p>
        </w:tc>
        <w:tc>
          <w:tcPr>
            <w:tcW w:w="567" w:type="dxa"/>
            <w:vAlign w:val="center"/>
          </w:tcPr>
          <w:p w14:paraId="425A2BD5">
            <w:pPr>
              <w:spacing w:line="240" w:lineRule="auto"/>
              <w:ind w:firstLine="0" w:firstLineChars="0"/>
              <w:jc w:val="center"/>
              <w:rPr>
                <w:color w:val="auto"/>
                <w:sz w:val="21"/>
                <w:szCs w:val="21"/>
              </w:rPr>
            </w:pPr>
            <w:r>
              <w:rPr>
                <w:color w:val="auto"/>
                <w:sz w:val="21"/>
                <w:szCs w:val="21"/>
              </w:rPr>
              <w:t>√</w:t>
            </w:r>
          </w:p>
        </w:tc>
        <w:tc>
          <w:tcPr>
            <w:tcW w:w="567" w:type="dxa"/>
            <w:vAlign w:val="center"/>
          </w:tcPr>
          <w:p w14:paraId="20297B89">
            <w:pPr>
              <w:spacing w:line="240" w:lineRule="auto"/>
              <w:ind w:firstLine="0" w:firstLineChars="0"/>
              <w:jc w:val="center"/>
              <w:rPr>
                <w:color w:val="auto"/>
                <w:sz w:val="21"/>
                <w:szCs w:val="21"/>
              </w:rPr>
            </w:pPr>
            <w:r>
              <w:rPr>
                <w:color w:val="auto"/>
                <w:sz w:val="21"/>
                <w:szCs w:val="21"/>
              </w:rPr>
              <w:t>√</w:t>
            </w:r>
          </w:p>
        </w:tc>
        <w:tc>
          <w:tcPr>
            <w:tcW w:w="567" w:type="dxa"/>
            <w:vAlign w:val="center"/>
          </w:tcPr>
          <w:p w14:paraId="36DB62F8">
            <w:pPr>
              <w:spacing w:line="240" w:lineRule="auto"/>
              <w:ind w:firstLine="0" w:firstLineChars="0"/>
              <w:jc w:val="center"/>
              <w:rPr>
                <w:color w:val="auto"/>
                <w:sz w:val="21"/>
                <w:szCs w:val="21"/>
              </w:rPr>
            </w:pPr>
            <w:r>
              <w:rPr>
                <w:color w:val="auto"/>
                <w:sz w:val="21"/>
                <w:szCs w:val="21"/>
              </w:rPr>
              <w:t>√</w:t>
            </w:r>
          </w:p>
        </w:tc>
      </w:tr>
    </w:tbl>
    <w:p w14:paraId="6489F645">
      <w:pPr>
        <w:pStyle w:val="5"/>
        <w:spacing w:before="190" w:beforeLines="50"/>
      </w:pPr>
      <w:bookmarkStart w:id="321" w:name="_Toc22842"/>
      <w:r>
        <w:rPr>
          <w:lang w:val="en-US"/>
        </w:rPr>
        <w:t>4.6.1</w:t>
      </w:r>
      <w:r>
        <w:rPr>
          <w:rFonts w:hint="eastAsia"/>
          <w:lang w:val="en-US" w:eastAsia="zh-CN"/>
        </w:rPr>
        <w:t>1</w:t>
      </w:r>
      <w:r>
        <w:rPr>
          <w:lang w:val="en-US"/>
        </w:rPr>
        <w:t xml:space="preserve"> </w:t>
      </w:r>
      <w:r>
        <w:t>水化学</w:t>
      </w:r>
      <w:r>
        <w:rPr>
          <w:lang w:val="en-US"/>
        </w:rPr>
        <w:t>全</w:t>
      </w:r>
      <w:r>
        <w:t>分析样</w:t>
      </w:r>
      <w:bookmarkEnd w:id="321"/>
    </w:p>
    <w:p w14:paraId="431AACA3">
      <w:pPr>
        <w:ind w:firstLine="560"/>
      </w:pPr>
      <w:r>
        <w:t>在水文地质工程地质及环境地质调查中，对有代表性水点（井、泉、河流等），采取水化学全分析样，了解地表水、地下水化学类型。水质全分析样取样体积为2.5升。</w:t>
      </w:r>
    </w:p>
    <w:p w14:paraId="72983B22">
      <w:pPr>
        <w:ind w:firstLine="560"/>
        <w:rPr>
          <w:szCs w:val="28"/>
        </w:rPr>
      </w:pPr>
      <w:r>
        <w:rPr>
          <w:szCs w:val="28"/>
        </w:rPr>
        <w:t>水质全分析主要项目：pH值、铁、氯化物、硫酸盐、硝酸盐（以氨计）、氟化物、总硬度、溶解性总固体、耗氧量COD</w:t>
      </w:r>
      <w:r>
        <w:rPr>
          <w:szCs w:val="28"/>
          <w:vertAlign w:val="subscript"/>
        </w:rPr>
        <w:t>Mn</w:t>
      </w:r>
      <w:r>
        <w:rPr>
          <w:szCs w:val="28"/>
        </w:rPr>
        <w:t>、氰化物、挥发酚、锰、铜、铅、锌、镉、六价铬、汞、钡、铍、砷、硒、钼、镍、氨氮、锡、钴、铊、锑。</w:t>
      </w:r>
    </w:p>
    <w:p w14:paraId="5C4384A8">
      <w:pPr>
        <w:keepNext w:val="0"/>
        <w:keepLines w:val="0"/>
        <w:pageBreakBefore w:val="0"/>
        <w:widowControl w:val="0"/>
        <w:kinsoku/>
        <w:wordWrap/>
        <w:overflowPunct/>
        <w:topLinePunct w:val="0"/>
        <w:autoSpaceDE/>
        <w:autoSpaceDN/>
        <w:bidi w:val="0"/>
        <w:adjustRightInd w:val="0"/>
        <w:snapToGrid w:val="0"/>
        <w:ind w:firstLine="560"/>
        <w:textAlignment w:val="auto"/>
        <w:rPr>
          <w:color w:val="0B5FD1"/>
          <w:szCs w:val="28"/>
        </w:rPr>
      </w:pPr>
      <w:r>
        <w:rPr>
          <w:color w:val="0000FF"/>
        </w:rPr>
        <w:t>水质全分析样取体积为2.5升</w:t>
      </w:r>
      <w:r>
        <w:rPr>
          <w:rFonts w:hint="eastAsia"/>
          <w:color w:val="0000FF"/>
          <w:lang w:eastAsia="zh-CN"/>
        </w:rPr>
        <w:t>，</w:t>
      </w:r>
      <w:r>
        <w:rPr>
          <w:color w:val="0000FF"/>
          <w:szCs w:val="28"/>
        </w:rPr>
        <w:t>设计采集样品</w:t>
      </w:r>
      <w:r>
        <w:rPr>
          <w:rFonts w:hint="eastAsia"/>
          <w:color w:val="0000FF"/>
          <w:szCs w:val="28"/>
          <w:lang w:val="en-US" w:eastAsia="zh-CN"/>
        </w:rPr>
        <w:t>8</w:t>
      </w:r>
      <w:r>
        <w:rPr>
          <w:color w:val="0000FF"/>
          <w:szCs w:val="28"/>
        </w:rPr>
        <w:t>件</w:t>
      </w:r>
      <w:r>
        <w:rPr>
          <w:rFonts w:hint="eastAsia"/>
          <w:color w:val="0000FF"/>
          <w:szCs w:val="28"/>
          <w:lang w:eastAsia="zh-CN"/>
        </w:rPr>
        <w:t>，</w:t>
      </w:r>
      <w:r>
        <w:rPr>
          <w:rFonts w:hint="eastAsia"/>
          <w:color w:val="0000FF"/>
          <w:szCs w:val="28"/>
          <w:lang w:val="en-US" w:eastAsia="zh-CN"/>
        </w:rPr>
        <w:t>分别取自ZK306、ZK502、明江上下游、矿区周边溪流、地下泉水出露点</w:t>
      </w:r>
      <w:r>
        <w:rPr>
          <w:color w:val="0000FF"/>
          <w:szCs w:val="28"/>
        </w:rPr>
        <w:t>。</w:t>
      </w:r>
    </w:p>
    <w:p w14:paraId="291DAA46">
      <w:pPr>
        <w:ind w:firstLine="560"/>
        <w:rPr>
          <w:szCs w:val="28"/>
        </w:rPr>
      </w:pPr>
    </w:p>
    <w:p w14:paraId="2F89B943">
      <w:pPr>
        <w:pStyle w:val="5"/>
        <w:rPr>
          <w:color w:val="auto"/>
        </w:rPr>
      </w:pPr>
      <w:bookmarkStart w:id="322" w:name="_Toc24827"/>
      <w:r>
        <w:rPr>
          <w:color w:val="auto"/>
          <w:lang w:val="en-US"/>
        </w:rPr>
        <w:t>4.6.1</w:t>
      </w:r>
      <w:r>
        <w:rPr>
          <w:rFonts w:hint="eastAsia"/>
          <w:color w:val="auto"/>
          <w:lang w:val="en-US" w:eastAsia="zh-CN"/>
        </w:rPr>
        <w:t>2</w:t>
      </w:r>
      <w:r>
        <w:rPr>
          <w:color w:val="auto"/>
          <w:lang w:val="en-US"/>
        </w:rPr>
        <w:t xml:space="preserve"> 重金属特征污染物</w:t>
      </w:r>
      <w:r>
        <w:rPr>
          <w:color w:val="auto"/>
        </w:rPr>
        <w:t>取样及分析要求</w:t>
      </w:r>
      <w:bookmarkEnd w:id="322"/>
    </w:p>
    <w:p w14:paraId="029CEEE3">
      <w:pPr>
        <w:ind w:firstLine="560"/>
      </w:pPr>
      <w:r>
        <w:t>（1）土壤重金属特征污染物取样：对矿区范围内的表土、农田、河流沉积物取土壤污染样，采样深度为0～20cm，取样规格1.0kg～1.5kg，每种土层至少取2个土样，化验测试重金属元素有：</w:t>
      </w:r>
      <w:r>
        <w:rPr>
          <w:rFonts w:hint="eastAsia"/>
        </w:rPr>
        <w:t>p</w:t>
      </w:r>
      <w:r>
        <w:t>H值、Tl、Hg、Cr、As、Cd、Co、Sb、Pb、Mn、Cu、Ni、Zn、Sn（14项）；设计4个土样，可采用试验后的土壤力学性质样进行测试。</w:t>
      </w:r>
    </w:p>
    <w:p w14:paraId="57244583">
      <w:pPr>
        <w:ind w:firstLine="560"/>
      </w:pPr>
      <w:r>
        <w:t>（2）矿石及围岩重金属特征污染物取样：对矿区内的矿石及围岩采集样品进行重金属元素浸出试验，化验测试重金属元素有：</w:t>
      </w:r>
      <w:r>
        <w:rPr>
          <w:rFonts w:hint="eastAsia"/>
        </w:rPr>
        <w:t>p</w:t>
      </w:r>
      <w:r>
        <w:t>H值、Tl、Hg、Cr、As、Cd、Co、Sb、Pb、Mn、Cu、Ni、Zn、Sn（14项）；设计样品6件，样品送至有资质的实验室承担。</w:t>
      </w:r>
    </w:p>
    <w:p w14:paraId="161609FB">
      <w:pPr>
        <w:pStyle w:val="5"/>
        <w:rPr>
          <w:lang w:val="en-US"/>
        </w:rPr>
      </w:pPr>
      <w:bookmarkStart w:id="323" w:name="_Toc1887"/>
      <w:r>
        <w:rPr>
          <w:lang w:val="en-US"/>
        </w:rPr>
        <w:t>4.6.1</w:t>
      </w:r>
      <w:r>
        <w:rPr>
          <w:rFonts w:hint="eastAsia"/>
          <w:lang w:val="en-US" w:eastAsia="zh-CN"/>
        </w:rPr>
        <w:t>3</w:t>
      </w:r>
      <w:r>
        <w:rPr>
          <w:lang w:val="en-US"/>
        </w:rPr>
        <w:t xml:space="preserve"> 土膨胀性试验取样及分析</w:t>
      </w:r>
    </w:p>
    <w:p w14:paraId="4AB02ACD">
      <w:pPr>
        <w:ind w:firstLine="560"/>
      </w:pPr>
      <w:r>
        <w:t>针对矿区范围内的岩土，采取代表性的土样，测定土膨胀性，取样规格按照实验室要求进行。设计取5件土样。</w:t>
      </w:r>
    </w:p>
    <w:bookmarkEnd w:id="323"/>
    <w:p w14:paraId="52B98C37">
      <w:pPr>
        <w:pStyle w:val="5"/>
      </w:pPr>
      <w:bookmarkStart w:id="324" w:name="_Toc109"/>
      <w:r>
        <w:rPr>
          <w:lang w:val="en-US"/>
        </w:rPr>
        <w:t>4.6.1</w:t>
      </w:r>
      <w:r>
        <w:rPr>
          <w:rFonts w:hint="eastAsia"/>
          <w:lang w:val="en-US" w:eastAsia="zh-CN"/>
        </w:rPr>
        <w:t>4</w:t>
      </w:r>
      <w:r>
        <w:rPr>
          <w:lang w:val="en-US"/>
        </w:rPr>
        <w:t xml:space="preserve"> </w:t>
      </w:r>
      <w:r>
        <w:t>试坑渗</w:t>
      </w:r>
      <w:r>
        <w:rPr>
          <w:lang w:val="en-US"/>
        </w:rPr>
        <w:t>水</w:t>
      </w:r>
      <w:r>
        <w:t>试验</w:t>
      </w:r>
    </w:p>
    <w:p w14:paraId="083E3E0F">
      <w:pPr>
        <w:ind w:firstLine="560"/>
      </w:pPr>
      <w:r>
        <w:t>本次勘查工作设计在矿区进行试坑渗水试验，求取残坡积层的渗透系数K值。试验采用双环法，外环直径0.5m，内环直径0.25m，按试验规程在矿区上覆第四系地层中进行试验。试验时内外环水柱始终保持同一高度，读取内环单位时间内加水量，直到单位时间内加水量稳定2小时以上。</w:t>
      </w:r>
    </w:p>
    <w:p w14:paraId="7CE4C05F">
      <w:pPr>
        <w:ind w:firstLine="560"/>
        <w:rPr>
          <w:kern w:val="0"/>
        </w:rPr>
      </w:pPr>
      <w:r>
        <w:t>试坑渗水试验均是开始每隔5min量测1次，连续量测5次以上，之后每隔10min量测1次，连续量测5次以上，再到每隔15min量测1次，连续量测3次以上，以后每隔30min量测一次，直到单位时间内加水量稳定2小时以上，当连续2次观测的注入量之差不大于最后一次注入量的10%才结束试验。试坑渗水试验需符合SL/T31.2-2025规范要求。</w:t>
      </w:r>
    </w:p>
    <w:p w14:paraId="5633F2D4">
      <w:pPr>
        <w:ind w:firstLine="560"/>
      </w:pPr>
      <w:r>
        <w:t>设计工作量：4处。</w:t>
      </w:r>
    </w:p>
    <w:p w14:paraId="6B498712">
      <w:pPr>
        <w:pStyle w:val="5"/>
        <w:rPr>
          <w:color w:val="auto"/>
        </w:rPr>
      </w:pPr>
      <w:r>
        <w:rPr>
          <w:color w:val="auto"/>
          <w:lang w:val="en-US"/>
        </w:rPr>
        <w:t>4.6.1</w:t>
      </w:r>
      <w:r>
        <w:rPr>
          <w:rFonts w:hint="eastAsia"/>
          <w:color w:val="auto"/>
          <w:lang w:val="en-US" w:eastAsia="zh-CN"/>
        </w:rPr>
        <w:t>5</w:t>
      </w:r>
      <w:r>
        <w:rPr>
          <w:color w:val="auto"/>
          <w:lang w:val="en-US"/>
        </w:rPr>
        <w:t xml:space="preserve"> </w:t>
      </w:r>
      <w:r>
        <w:rPr>
          <w:color w:val="auto"/>
        </w:rPr>
        <w:t>钻孔</w:t>
      </w:r>
      <w:r>
        <w:rPr>
          <w:color w:val="auto"/>
          <w:lang w:val="en-US"/>
        </w:rPr>
        <w:t>抽水/注</w:t>
      </w:r>
      <w:r>
        <w:rPr>
          <w:color w:val="auto"/>
        </w:rPr>
        <w:t>水实验</w:t>
      </w:r>
      <w:bookmarkEnd w:id="324"/>
    </w:p>
    <w:p w14:paraId="1E12057A">
      <w:pPr>
        <w:ind w:firstLine="560"/>
        <w:rPr>
          <w:color w:val="auto"/>
        </w:rPr>
      </w:pPr>
      <w:r>
        <w:rPr>
          <w:color w:val="auto"/>
        </w:rPr>
        <w:t>（1）抽水试验</w:t>
      </w:r>
    </w:p>
    <w:p w14:paraId="0E77999B">
      <w:pPr>
        <w:autoSpaceDE w:val="0"/>
        <w:autoSpaceDN w:val="0"/>
        <w:ind w:firstLine="560"/>
        <w:jc w:val="left"/>
        <w:rPr>
          <w:color w:val="0000FF"/>
          <w:kern w:val="0"/>
          <w:szCs w:val="28"/>
        </w:rPr>
      </w:pPr>
      <w:r>
        <w:rPr>
          <w:color w:val="auto"/>
          <w:kern w:val="0"/>
          <w:szCs w:val="28"/>
        </w:rPr>
        <w:t>为预测矿坑涌水量，提供矿坑直接充水含水层的水文地质参数：渗透系数K、导水系数T、影响半径R等以及通过测定钻孔涌水量及其与水位下降（降深）之间的关系，分析确定含水层的富水程度。</w:t>
      </w:r>
      <w:r>
        <w:rPr>
          <w:color w:val="0000FF"/>
          <w:kern w:val="0"/>
          <w:szCs w:val="28"/>
        </w:rPr>
        <w:t>本次暂定在</w:t>
      </w:r>
      <w:r>
        <w:rPr>
          <w:color w:val="0000FF"/>
        </w:rPr>
        <w:t>ZK</w:t>
      </w:r>
      <w:r>
        <w:rPr>
          <w:rFonts w:hint="eastAsia"/>
          <w:color w:val="0000FF"/>
          <w:lang w:val="en-US" w:eastAsia="zh-CN"/>
        </w:rPr>
        <w:t>306、ZK502</w:t>
      </w:r>
      <w:r>
        <w:rPr>
          <w:color w:val="0000FF"/>
          <w:kern w:val="0"/>
          <w:szCs w:val="28"/>
        </w:rPr>
        <w:t>进行抽水试验。</w:t>
      </w:r>
    </w:p>
    <w:p w14:paraId="019E2C15">
      <w:pPr>
        <w:autoSpaceDE w:val="0"/>
        <w:autoSpaceDN w:val="0"/>
        <w:ind w:firstLine="560"/>
        <w:jc w:val="left"/>
        <w:rPr>
          <w:color w:val="auto"/>
          <w:kern w:val="0"/>
          <w:szCs w:val="28"/>
        </w:rPr>
      </w:pPr>
      <w:r>
        <w:rPr>
          <w:color w:val="auto"/>
          <w:kern w:val="0"/>
          <w:szCs w:val="28"/>
        </w:rPr>
        <w:t>1）抽水试验类型及方法</w:t>
      </w:r>
    </w:p>
    <w:p w14:paraId="69FD6C50">
      <w:pPr>
        <w:autoSpaceDE w:val="0"/>
        <w:autoSpaceDN w:val="0"/>
        <w:ind w:firstLine="560"/>
        <w:jc w:val="left"/>
        <w:rPr>
          <w:color w:val="auto"/>
          <w:kern w:val="0"/>
          <w:szCs w:val="28"/>
        </w:rPr>
      </w:pPr>
      <w:r>
        <w:rPr>
          <w:color w:val="auto"/>
          <w:kern w:val="0"/>
          <w:szCs w:val="28"/>
        </w:rPr>
        <w:t>本次抽水试验采用单孔抽水，选择矿区主采地段进行抽水试验。拟采用地下水动力学法预测未来矿坑涌水量，为能用稳定流理论及非稳定流理论进行对比预测矿坑涌水量，因此抽水试验在进行稳定流抽水试验结束且水位恢复后，均进行非稳定流抽水试验，以了解抽水试验影响半径范围。</w:t>
      </w:r>
    </w:p>
    <w:p w14:paraId="6CC1FB92">
      <w:pPr>
        <w:autoSpaceDE w:val="0"/>
        <w:autoSpaceDN w:val="0"/>
        <w:ind w:firstLine="560"/>
        <w:jc w:val="left"/>
        <w:rPr>
          <w:color w:val="auto"/>
          <w:kern w:val="0"/>
          <w:szCs w:val="28"/>
        </w:rPr>
      </w:pPr>
      <w:r>
        <w:rPr>
          <w:color w:val="auto"/>
          <w:kern w:val="0"/>
          <w:szCs w:val="28"/>
        </w:rPr>
        <w:t>2）稳定流抽水试验</w:t>
      </w:r>
    </w:p>
    <w:p w14:paraId="7807FE0D">
      <w:pPr>
        <w:autoSpaceDE w:val="0"/>
        <w:autoSpaceDN w:val="0"/>
        <w:ind w:firstLine="560"/>
        <w:jc w:val="left"/>
        <w:rPr>
          <w:color w:val="auto"/>
          <w:kern w:val="0"/>
          <w:szCs w:val="28"/>
        </w:rPr>
      </w:pPr>
      <w:r>
        <w:rPr>
          <w:rFonts w:hint="eastAsia" w:ascii="宋体" w:hAnsi="宋体" w:eastAsia="宋体" w:cs="宋体"/>
          <w:color w:val="auto"/>
          <w:kern w:val="0"/>
          <w:szCs w:val="28"/>
        </w:rPr>
        <w:t>①</w:t>
      </w:r>
      <w:r>
        <w:rPr>
          <w:color w:val="auto"/>
          <w:kern w:val="0"/>
          <w:szCs w:val="28"/>
        </w:rPr>
        <w:t>稳定流抽水试验的水位降深：应尽设备能力作一次最大降深，一般不应小于10m。若涌水量大于140m</w:t>
      </w:r>
      <w:r>
        <w:rPr>
          <w:color w:val="auto"/>
          <w:kern w:val="0"/>
          <w:szCs w:val="28"/>
          <w:vertAlign w:val="superscript"/>
        </w:rPr>
        <w:t>3</w:t>
      </w:r>
      <w:r>
        <w:rPr>
          <w:color w:val="auto"/>
          <w:kern w:val="0"/>
          <w:szCs w:val="28"/>
        </w:rPr>
        <w:t>/h时，因条件所限降深达不到上述要求时，最小降深也不得小于3m。三次降深的间距，应尽量均匀分配。若S</w:t>
      </w:r>
      <w:r>
        <w:rPr>
          <w:color w:val="auto"/>
          <w:kern w:val="0"/>
          <w:szCs w:val="28"/>
          <w:vertAlign w:val="subscript"/>
        </w:rPr>
        <w:t>1</w:t>
      </w:r>
      <w:r>
        <w:rPr>
          <w:color w:val="auto"/>
          <w:kern w:val="0"/>
          <w:szCs w:val="28"/>
        </w:rPr>
        <w:t>=S</w:t>
      </w:r>
      <w:r>
        <w:rPr>
          <w:color w:val="auto"/>
          <w:kern w:val="0"/>
          <w:szCs w:val="28"/>
          <w:vertAlign w:val="subscript"/>
        </w:rPr>
        <w:t>max</w:t>
      </w:r>
      <w:r>
        <w:rPr>
          <w:color w:val="auto"/>
          <w:kern w:val="0"/>
          <w:szCs w:val="28"/>
        </w:rPr>
        <w:t>，则S</w:t>
      </w:r>
      <w:r>
        <w:rPr>
          <w:color w:val="auto"/>
          <w:kern w:val="0"/>
          <w:szCs w:val="28"/>
          <w:vertAlign w:val="subscript"/>
        </w:rPr>
        <w:t>2</w:t>
      </w:r>
      <w:r>
        <w:rPr>
          <w:color w:val="auto"/>
          <w:kern w:val="0"/>
          <w:szCs w:val="28"/>
        </w:rPr>
        <w:t>=2/3S</w:t>
      </w:r>
      <w:r>
        <w:rPr>
          <w:color w:val="auto"/>
          <w:kern w:val="0"/>
          <w:szCs w:val="28"/>
          <w:vertAlign w:val="subscript"/>
        </w:rPr>
        <w:t>max</w:t>
      </w:r>
      <w:r>
        <w:rPr>
          <w:color w:val="auto"/>
          <w:kern w:val="0"/>
          <w:szCs w:val="28"/>
        </w:rPr>
        <w:t>；S</w:t>
      </w:r>
      <w:r>
        <w:rPr>
          <w:color w:val="auto"/>
          <w:kern w:val="0"/>
          <w:szCs w:val="28"/>
          <w:vertAlign w:val="subscript"/>
        </w:rPr>
        <w:t>3</w:t>
      </w:r>
      <w:r>
        <w:rPr>
          <w:color w:val="auto"/>
          <w:kern w:val="0"/>
          <w:szCs w:val="28"/>
        </w:rPr>
        <w:t>=1/3S</w:t>
      </w:r>
      <w:r>
        <w:rPr>
          <w:color w:val="auto"/>
          <w:kern w:val="0"/>
          <w:szCs w:val="28"/>
          <w:vertAlign w:val="superscript"/>
        </w:rPr>
        <w:t>max</w:t>
      </w:r>
      <w:r>
        <w:rPr>
          <w:color w:val="auto"/>
          <w:kern w:val="0"/>
          <w:szCs w:val="28"/>
        </w:rPr>
        <w:t>。</w:t>
      </w:r>
    </w:p>
    <w:p w14:paraId="789A22B1">
      <w:pPr>
        <w:autoSpaceDE w:val="0"/>
        <w:autoSpaceDN w:val="0"/>
        <w:ind w:firstLine="560"/>
        <w:jc w:val="left"/>
        <w:rPr>
          <w:color w:val="auto"/>
          <w:kern w:val="0"/>
          <w:szCs w:val="28"/>
        </w:rPr>
      </w:pPr>
      <w:r>
        <w:rPr>
          <w:rFonts w:hint="eastAsia" w:ascii="宋体" w:hAnsi="宋体" w:eastAsia="宋体" w:cs="宋体"/>
          <w:color w:val="auto"/>
          <w:kern w:val="0"/>
          <w:szCs w:val="28"/>
        </w:rPr>
        <w:t>②</w:t>
      </w:r>
      <w:r>
        <w:rPr>
          <w:color w:val="auto"/>
          <w:kern w:val="0"/>
          <w:szCs w:val="28"/>
        </w:rPr>
        <w:t>抽水试验的稳定延续时间：稳定延续时间要求为16-24小时。</w:t>
      </w:r>
    </w:p>
    <w:p w14:paraId="6B806097">
      <w:pPr>
        <w:autoSpaceDE w:val="0"/>
        <w:autoSpaceDN w:val="0"/>
        <w:ind w:firstLine="560"/>
        <w:jc w:val="left"/>
        <w:rPr>
          <w:color w:val="auto"/>
          <w:kern w:val="0"/>
          <w:szCs w:val="28"/>
        </w:rPr>
      </w:pPr>
      <w:r>
        <w:rPr>
          <w:rFonts w:hint="eastAsia" w:ascii="宋体" w:hAnsi="宋体" w:eastAsia="宋体" w:cs="宋体"/>
          <w:color w:val="auto"/>
          <w:kern w:val="0"/>
          <w:szCs w:val="28"/>
        </w:rPr>
        <w:t>③</w:t>
      </w:r>
      <w:r>
        <w:rPr>
          <w:color w:val="auto"/>
          <w:kern w:val="0"/>
          <w:szCs w:val="28"/>
        </w:rPr>
        <w:t>对稳定标准的要求：在抽水过程中，水位和涌水量历时曲线不能有逐渐增大或逐渐减小的趋势。在稳定阶段，水位误差不得超过水位降低平均值的1%，稳定水位幅度不得超过3-5cm，观测孔水位波动不超过2-3cm。流量误差不超过平均稳定流量的3%，当井（孔）流量很小时，可适当放宽。</w:t>
      </w:r>
    </w:p>
    <w:p w14:paraId="5EAC3D84">
      <w:pPr>
        <w:autoSpaceDE w:val="0"/>
        <w:autoSpaceDN w:val="0"/>
        <w:ind w:firstLine="560"/>
        <w:jc w:val="left"/>
        <w:rPr>
          <w:color w:val="auto"/>
          <w:kern w:val="0"/>
          <w:szCs w:val="28"/>
        </w:rPr>
      </w:pPr>
      <w:r>
        <w:rPr>
          <w:rFonts w:hint="eastAsia" w:ascii="宋体" w:hAnsi="宋体" w:eastAsia="宋体" w:cs="宋体"/>
          <w:color w:val="auto"/>
          <w:kern w:val="0"/>
          <w:szCs w:val="28"/>
        </w:rPr>
        <w:t>④</w:t>
      </w:r>
      <w:r>
        <w:rPr>
          <w:color w:val="auto"/>
          <w:kern w:val="0"/>
          <w:szCs w:val="28"/>
        </w:rPr>
        <w:t>水位、流量的观测时间间隔：一般在开始抽水后的第1、2、3、4、5、10、20、30、40、50、60min各测一次，出现稳定趋势后每隔30min观测一次，直至结束，但具体要结合动水位下降幅度的大小来确定。观测孔与主孔的流量、水位都必须同时观测。特别应注意认真测准抽水初始阶段的动水位和出水量。</w:t>
      </w:r>
    </w:p>
    <w:p w14:paraId="415A6A68">
      <w:pPr>
        <w:autoSpaceDE w:val="0"/>
        <w:autoSpaceDN w:val="0"/>
        <w:ind w:firstLine="560"/>
        <w:jc w:val="left"/>
        <w:rPr>
          <w:color w:val="auto"/>
          <w:kern w:val="0"/>
          <w:szCs w:val="28"/>
        </w:rPr>
      </w:pPr>
      <w:r>
        <w:rPr>
          <w:rFonts w:hint="eastAsia" w:ascii="宋体" w:hAnsi="宋体" w:eastAsia="宋体" w:cs="宋体"/>
          <w:color w:val="auto"/>
          <w:kern w:val="0"/>
          <w:szCs w:val="28"/>
        </w:rPr>
        <w:t>⑤</w:t>
      </w:r>
      <w:r>
        <w:rPr>
          <w:color w:val="auto"/>
          <w:kern w:val="0"/>
          <w:szCs w:val="28"/>
        </w:rPr>
        <w:t>水温、气温观测：每日的0、6、12、18小时各测一次。水温、气温同时观测。</w:t>
      </w:r>
    </w:p>
    <w:p w14:paraId="48C2E5E2">
      <w:pPr>
        <w:autoSpaceDE w:val="0"/>
        <w:autoSpaceDN w:val="0"/>
        <w:ind w:firstLine="560"/>
        <w:jc w:val="left"/>
        <w:rPr>
          <w:color w:val="auto"/>
          <w:kern w:val="0"/>
          <w:szCs w:val="28"/>
        </w:rPr>
      </w:pPr>
      <w:r>
        <w:rPr>
          <w:rFonts w:hint="eastAsia" w:ascii="宋体" w:hAnsi="宋体" w:eastAsia="宋体" w:cs="宋体"/>
          <w:color w:val="auto"/>
          <w:kern w:val="0"/>
          <w:szCs w:val="28"/>
        </w:rPr>
        <w:t>⑥</w:t>
      </w:r>
      <w:r>
        <w:rPr>
          <w:color w:val="auto"/>
          <w:kern w:val="0"/>
          <w:szCs w:val="28"/>
        </w:rPr>
        <w:t>停止抽水后，应立即观测恢复水位，观测时间间隔一般可按1、2、3、4、6、8、10、15、20、25、30min的时间间隔进行，以后都每隔30min观测一次，直至结束。</w:t>
      </w:r>
    </w:p>
    <w:p w14:paraId="154C4454">
      <w:pPr>
        <w:autoSpaceDE w:val="0"/>
        <w:autoSpaceDN w:val="0"/>
        <w:ind w:firstLine="560"/>
        <w:jc w:val="left"/>
        <w:rPr>
          <w:color w:val="auto"/>
          <w:kern w:val="0"/>
          <w:szCs w:val="28"/>
        </w:rPr>
      </w:pPr>
      <w:r>
        <w:rPr>
          <w:rFonts w:hint="eastAsia" w:ascii="宋体" w:hAnsi="宋体" w:eastAsia="宋体" w:cs="宋体"/>
          <w:color w:val="auto"/>
          <w:kern w:val="0"/>
          <w:szCs w:val="28"/>
        </w:rPr>
        <w:t>⑦</w:t>
      </w:r>
      <w:r>
        <w:rPr>
          <w:color w:val="auto"/>
          <w:kern w:val="0"/>
          <w:szCs w:val="28"/>
        </w:rPr>
        <w:t>当抽水尚未达到目的前，因故中断抽水时，则应观测恢复水位，待水位达到稳定后再重新抽水。</w:t>
      </w:r>
    </w:p>
    <w:p w14:paraId="3D685A7A">
      <w:pPr>
        <w:ind w:firstLine="560"/>
        <w:rPr>
          <w:color w:val="auto"/>
        </w:rPr>
      </w:pPr>
      <w:bookmarkStart w:id="325" w:name="_Hlk176767367"/>
      <w:r>
        <w:rPr>
          <w:color w:val="auto"/>
        </w:rPr>
        <w:fldChar w:fldCharType="begin"/>
      </w:r>
      <w:r>
        <w:rPr>
          <w:color w:val="auto"/>
        </w:rPr>
        <w:instrText xml:space="preserve"> = 8 \* GB3 \* MERGEFORMAT </w:instrText>
      </w:r>
      <w:r>
        <w:rPr>
          <w:color w:val="auto"/>
        </w:rPr>
        <w:fldChar w:fldCharType="separate"/>
      </w:r>
      <w:r>
        <w:rPr>
          <w:rFonts w:hint="eastAsia" w:ascii="宋体" w:hAnsi="宋体" w:eastAsia="宋体" w:cs="宋体"/>
          <w:color w:val="auto"/>
        </w:rPr>
        <w:t>⑧</w:t>
      </w:r>
      <w:r>
        <w:rPr>
          <w:color w:val="auto"/>
        </w:rPr>
        <w:fldChar w:fldCharType="end"/>
      </w:r>
      <w:r>
        <w:rPr>
          <w:color w:val="auto"/>
        </w:rPr>
        <w:t>当钻孔水量不足时，应采用三通接头，使抽出的部分地下水回流钻内，增加钻孔回水量，调小排出量进行调节控制，以保证抽水试验能持续进行。若所有钻孔内未揭露地下水或水量极小无法进行抽水试验，则进行注水试验，以求取岩层的渗透系数。</w:t>
      </w:r>
      <w:bookmarkEnd w:id="325"/>
    </w:p>
    <w:p w14:paraId="2C158C7E">
      <w:pPr>
        <w:autoSpaceDE w:val="0"/>
        <w:autoSpaceDN w:val="0"/>
        <w:ind w:firstLine="560"/>
        <w:jc w:val="left"/>
        <w:rPr>
          <w:color w:val="auto"/>
          <w:kern w:val="0"/>
          <w:szCs w:val="28"/>
        </w:rPr>
      </w:pPr>
      <w:r>
        <w:rPr>
          <w:color w:val="auto"/>
          <w:kern w:val="0"/>
          <w:szCs w:val="28"/>
        </w:rPr>
        <w:fldChar w:fldCharType="begin"/>
      </w:r>
      <w:r>
        <w:rPr>
          <w:color w:val="auto"/>
          <w:kern w:val="0"/>
          <w:szCs w:val="28"/>
        </w:rPr>
        <w:instrText xml:space="preserve"> = 9 \* GB3 \* MERGEFORMAT </w:instrText>
      </w:r>
      <w:r>
        <w:rPr>
          <w:color w:val="auto"/>
          <w:kern w:val="0"/>
          <w:szCs w:val="28"/>
        </w:rPr>
        <w:fldChar w:fldCharType="separate"/>
      </w:r>
      <w:r>
        <w:rPr>
          <w:rFonts w:hint="eastAsia" w:ascii="宋体" w:hAnsi="宋体" w:eastAsia="宋体" w:cs="宋体"/>
          <w:color w:val="auto"/>
        </w:rPr>
        <w:t>⑨</w:t>
      </w:r>
      <w:r>
        <w:rPr>
          <w:color w:val="auto"/>
          <w:kern w:val="0"/>
          <w:szCs w:val="28"/>
        </w:rPr>
        <w:fldChar w:fldCharType="end"/>
      </w:r>
      <w:r>
        <w:rPr>
          <w:color w:val="auto"/>
          <w:kern w:val="0"/>
          <w:szCs w:val="28"/>
        </w:rPr>
        <w:t>稳定流抽水试验现场资料整理的要求</w:t>
      </w:r>
    </w:p>
    <w:p w14:paraId="5AC4C8C6">
      <w:pPr>
        <w:autoSpaceDE w:val="0"/>
        <w:autoSpaceDN w:val="0"/>
        <w:ind w:firstLine="560"/>
        <w:jc w:val="left"/>
        <w:rPr>
          <w:color w:val="auto"/>
          <w:kern w:val="0"/>
          <w:szCs w:val="28"/>
        </w:rPr>
      </w:pPr>
      <w:r>
        <w:rPr>
          <w:color w:val="auto"/>
          <w:kern w:val="0"/>
          <w:szCs w:val="28"/>
        </w:rPr>
        <w:t>a、绘制出水量、动水位与时间关系的过程曲线图（Q、S-t曲线图）；</w:t>
      </w:r>
    </w:p>
    <w:p w14:paraId="09EAB79E">
      <w:pPr>
        <w:autoSpaceDE w:val="0"/>
        <w:autoSpaceDN w:val="0"/>
        <w:ind w:firstLine="560"/>
        <w:jc w:val="left"/>
        <w:rPr>
          <w:color w:val="auto"/>
          <w:kern w:val="0"/>
          <w:szCs w:val="28"/>
        </w:rPr>
      </w:pPr>
      <w:r>
        <w:rPr>
          <w:color w:val="auto"/>
          <w:kern w:val="0"/>
          <w:szCs w:val="28"/>
        </w:rPr>
        <w:t>b、绘制出水量与水位降深关系的曲线图（Q=f（s）曲线图）；</w:t>
      </w:r>
    </w:p>
    <w:p w14:paraId="3A6E6435">
      <w:pPr>
        <w:autoSpaceDE w:val="0"/>
        <w:autoSpaceDN w:val="0"/>
        <w:ind w:firstLine="560"/>
        <w:jc w:val="left"/>
        <w:rPr>
          <w:color w:val="auto"/>
          <w:kern w:val="0"/>
          <w:szCs w:val="28"/>
        </w:rPr>
      </w:pPr>
      <w:r>
        <w:rPr>
          <w:color w:val="auto"/>
          <w:kern w:val="0"/>
          <w:szCs w:val="28"/>
        </w:rPr>
        <w:t>c、绘制单位出水量与水位降深的关系曲线图（q=f（s）曲线图）；</w:t>
      </w:r>
    </w:p>
    <w:p w14:paraId="226ED4B4">
      <w:pPr>
        <w:autoSpaceDE w:val="0"/>
        <w:autoSpaceDN w:val="0"/>
        <w:ind w:firstLine="560"/>
        <w:jc w:val="left"/>
        <w:rPr>
          <w:color w:val="auto"/>
          <w:kern w:val="0"/>
          <w:szCs w:val="28"/>
        </w:rPr>
      </w:pPr>
      <w:r>
        <w:rPr>
          <w:color w:val="auto"/>
          <w:kern w:val="0"/>
          <w:szCs w:val="28"/>
        </w:rPr>
        <w:t>（10）稳定流抽水试验资料的室内整理要求</w:t>
      </w:r>
    </w:p>
    <w:p w14:paraId="202722A5">
      <w:pPr>
        <w:autoSpaceDE w:val="0"/>
        <w:autoSpaceDN w:val="0"/>
        <w:ind w:firstLine="560"/>
        <w:jc w:val="left"/>
        <w:rPr>
          <w:color w:val="auto"/>
          <w:kern w:val="0"/>
          <w:szCs w:val="28"/>
        </w:rPr>
      </w:pPr>
      <w:r>
        <w:rPr>
          <w:color w:val="auto"/>
          <w:kern w:val="0"/>
          <w:szCs w:val="28"/>
        </w:rPr>
        <w:t>a、绘制抽水试验综合成果图；</w:t>
      </w:r>
    </w:p>
    <w:p w14:paraId="121FD52C">
      <w:pPr>
        <w:autoSpaceDE w:val="0"/>
        <w:autoSpaceDN w:val="0"/>
        <w:ind w:firstLine="560"/>
        <w:jc w:val="left"/>
        <w:rPr>
          <w:color w:val="auto"/>
          <w:kern w:val="0"/>
          <w:szCs w:val="28"/>
        </w:rPr>
      </w:pPr>
      <w:r>
        <w:rPr>
          <w:color w:val="auto"/>
          <w:kern w:val="0"/>
          <w:szCs w:val="28"/>
        </w:rPr>
        <w:t>b、计算水文地质参数和推测钻孔最大可能出水量；</w:t>
      </w:r>
    </w:p>
    <w:p w14:paraId="7CB471FD">
      <w:pPr>
        <w:ind w:firstLine="560"/>
        <w:rPr>
          <w:color w:val="auto"/>
        </w:rPr>
      </w:pPr>
      <w:r>
        <w:rPr>
          <w:color w:val="auto"/>
          <w:kern w:val="0"/>
          <w:szCs w:val="28"/>
        </w:rPr>
        <w:t>c、抽水试验的文字总结，包括试验的目的与要求及方法措施，获得的主要成果，质量评述和试验结论。</w:t>
      </w:r>
      <w:r>
        <w:rPr>
          <w:color w:val="0000FF"/>
          <w:kern w:val="0"/>
          <w:szCs w:val="28"/>
        </w:rPr>
        <w:t>本次工作设计</w:t>
      </w:r>
      <w:r>
        <w:rPr>
          <w:rFonts w:hint="eastAsia"/>
          <w:color w:val="0000FF"/>
          <w:kern w:val="0"/>
          <w:szCs w:val="28"/>
          <w:lang w:val="en-US" w:eastAsia="zh-CN"/>
        </w:rPr>
        <w:t>4段/2孔</w:t>
      </w:r>
      <w:r>
        <w:rPr>
          <w:color w:val="0000FF"/>
          <w:kern w:val="0"/>
          <w:szCs w:val="28"/>
        </w:rPr>
        <w:t>。</w:t>
      </w:r>
    </w:p>
    <w:p w14:paraId="56EF0B37">
      <w:pPr>
        <w:ind w:firstLine="560"/>
      </w:pPr>
      <w:r>
        <w:t>（2）注水试验</w:t>
      </w:r>
    </w:p>
    <w:p w14:paraId="62BDACD2">
      <w:pPr>
        <w:ind w:firstLine="560"/>
      </w:pPr>
      <w:r>
        <w:t>钻孔注水试验是以定流量连续往孔内注水，形成稳定的水位，以此计算岩层岩石的渗透系数。钻孔注水试验要求：</w:t>
      </w:r>
    </w:p>
    <w:p w14:paraId="696C4987">
      <w:pPr>
        <w:ind w:firstLine="560"/>
      </w:pPr>
      <w:r>
        <w:t>1）注水试验前必须洗孔，若钻孔中有水位，必须测定洗孔前后的静止水位。</w:t>
      </w:r>
    </w:p>
    <w:p w14:paraId="587F92FF">
      <w:pPr>
        <w:ind w:firstLine="560"/>
      </w:pPr>
      <w:r>
        <w:t>2）注水试验水位和流量观测时间间隔：开泵后第在0、3、5、10、15、20、25、35、45、55、65、75、90、105、130、145、160分钟进行观测，水位和流量同时观测，以后每隔30分钟观测一次。</w:t>
      </w:r>
    </w:p>
    <w:p w14:paraId="65065DED">
      <w:pPr>
        <w:ind w:firstLine="560"/>
      </w:pPr>
      <w:r>
        <w:t>3）水温、气温观测：每日的0、6、12、18小时各测一次。</w:t>
      </w:r>
    </w:p>
    <w:p w14:paraId="700A50E6">
      <w:pPr>
        <w:ind w:firstLine="560"/>
      </w:pPr>
      <w:r>
        <w:t>4）注水试验的稳定标准：在稳定时间内，注水量和水位的波动不得超过一定范围，且不得有持续上升或下降的趋势。</w:t>
      </w:r>
    </w:p>
    <w:p w14:paraId="6EF75194">
      <w:pPr>
        <w:ind w:firstLine="560"/>
      </w:pPr>
      <w:r>
        <w:t>A、水位波动相对误差不大于1%。</w:t>
      </w:r>
    </w:p>
    <w:p w14:paraId="2465E52F">
      <w:pPr>
        <w:ind w:firstLine="560"/>
      </w:pPr>
      <w:r>
        <w:t>B、流量波动相对误差：当单位涌水量大于1.0l/s.m时，不大于其平均值的3%，当单位涌水量等于或小于1.0l/s.m时，不大于其平均值的5%。</w:t>
      </w:r>
    </w:p>
    <w:p w14:paraId="75389890">
      <w:pPr>
        <w:ind w:firstLine="0" w:firstLineChars="0"/>
      </w:pPr>
      <w:r>
        <w:t>波动相对误差计算公式：</w:t>
      </w:r>
      <w:r>
        <w:rPr>
          <w:position w:val="-26"/>
          <w:sz w:val="18"/>
          <w:szCs w:val="18"/>
        </w:rPr>
        <w:object>
          <v:shape id="_x0000_i1025" o:spt="75" type="#_x0000_t75" style="height:36.4pt;width:304.8pt;" o:ole="t" filled="f" o:preferrelative="t" stroked="f" coordsize="21600,21600">
            <v:path/>
            <v:fill on="f" focussize="0,0"/>
            <v:stroke on="f" joinstyle="miter"/>
            <v:imagedata r:id="rId19" o:title=""/>
            <o:lock v:ext="edit" aspectratio="t"/>
            <w10:wrap type="none"/>
            <w10:anchorlock/>
          </v:shape>
          <o:OLEObject Type="Embed" ProgID="Equation.3" ShapeID="_x0000_i1025" DrawAspect="Content" ObjectID="_1468075725" r:id="rId18">
            <o:LockedField>false</o:LockedField>
          </o:OLEObject>
        </w:object>
      </w:r>
    </w:p>
    <w:p w14:paraId="4E015DF7">
      <w:pPr>
        <w:ind w:firstLine="560"/>
      </w:pPr>
      <w:r>
        <w:t>5）注水试验稳定延续时间为8小时。</w:t>
      </w:r>
    </w:p>
    <w:p w14:paraId="0F641FD9">
      <w:pPr>
        <w:ind w:firstLine="560"/>
      </w:pPr>
      <w:r>
        <w:t>6）恢复水位观测：注水试验停泵后立即连续观测恢复水位，观测时间间隔与注水试验水位观测时间要求相同。</w:t>
      </w:r>
    </w:p>
    <w:p w14:paraId="59E2CC58">
      <w:pPr>
        <w:ind w:firstLine="560"/>
      </w:pPr>
      <w:r>
        <w:t>注水试验过程及数据记录整理要求符合《水利水电工程岩土渗透性原位试验规程（第2部分：注水试验）》（SL/T31.2-2025）。</w:t>
      </w:r>
    </w:p>
    <w:p w14:paraId="459F1FB1">
      <w:pPr>
        <w:pStyle w:val="5"/>
        <w:rPr>
          <w:color w:val="0000FF"/>
          <w:lang w:val="en-US"/>
        </w:rPr>
      </w:pPr>
      <w:bookmarkStart w:id="326" w:name="_Toc9510"/>
      <w:bookmarkStart w:id="327" w:name="_Toc2693"/>
      <w:bookmarkStart w:id="328" w:name="_Toc30146"/>
      <w:r>
        <w:rPr>
          <w:color w:val="0000FF"/>
          <w:lang w:val="en-US"/>
        </w:rPr>
        <w:t>4.6.1</w:t>
      </w:r>
      <w:r>
        <w:rPr>
          <w:rFonts w:hint="eastAsia"/>
          <w:color w:val="0000FF"/>
          <w:lang w:val="en-US" w:eastAsia="zh-CN"/>
        </w:rPr>
        <w:t>6</w:t>
      </w:r>
      <w:r>
        <w:rPr>
          <w:color w:val="0000FF"/>
          <w:lang w:val="en-US"/>
        </w:rPr>
        <w:t xml:space="preserve"> 水文物探测井</w:t>
      </w:r>
    </w:p>
    <w:p w14:paraId="53013385">
      <w:pPr>
        <w:ind w:firstLine="560"/>
        <w:rPr>
          <w:rFonts w:hint="eastAsia"/>
          <w:color w:val="0000FF"/>
          <w:szCs w:val="28"/>
        </w:rPr>
      </w:pPr>
      <w:r>
        <w:rPr>
          <w:rFonts w:hint="eastAsia"/>
          <w:color w:val="0000FF"/>
          <w:szCs w:val="28"/>
        </w:rPr>
        <w:t>本次详查在水文地质钻孔ZK306、ZK502开展水文物探测井工作，单孔同步实施视电阻率测井、声波测井、扩散法井液电阻率测井，</w:t>
      </w:r>
      <w:r>
        <w:rPr>
          <w:rFonts w:hint="eastAsia"/>
          <w:color w:val="0000FF"/>
          <w:szCs w:val="28"/>
          <w:lang w:val="en-US" w:eastAsia="zh-CN"/>
        </w:rPr>
        <w:t>单项设计</w:t>
      </w:r>
      <w:r>
        <w:rPr>
          <w:rFonts w:hint="eastAsia"/>
          <w:color w:val="0000FF"/>
          <w:szCs w:val="28"/>
        </w:rPr>
        <w:t>工作量</w:t>
      </w:r>
      <w:r>
        <w:rPr>
          <w:rFonts w:hint="eastAsia"/>
          <w:color w:val="0000FF"/>
          <w:szCs w:val="28"/>
          <w:lang w:val="en-US" w:eastAsia="zh-CN"/>
        </w:rPr>
        <w:t>分别都为</w:t>
      </w:r>
      <w:r>
        <w:rPr>
          <w:rFonts w:hint="eastAsia"/>
          <w:color w:val="0000FF"/>
          <w:szCs w:val="28"/>
        </w:rPr>
        <w:t>206m。工作以划分岩溶裂隙含水层、识别溶洞与溶蚀裂隙发育带、精准定位涌水层位为核心目标，执行《地球物理测井规范》（DZ/T 0080-2018）及水文地质测井相关技术要求，统一安排于钻孔终孔后、井管下放前实施，具体技术要求如下：</w:t>
      </w:r>
    </w:p>
    <w:p w14:paraId="3D7CFD50">
      <w:pPr>
        <w:ind w:firstLine="560"/>
        <w:rPr>
          <w:rFonts w:hint="eastAsia"/>
          <w:color w:val="0000FF"/>
          <w:szCs w:val="28"/>
        </w:rPr>
      </w:pPr>
      <w:r>
        <w:rPr>
          <w:rFonts w:hint="eastAsia"/>
          <w:color w:val="0000FF"/>
          <w:szCs w:val="28"/>
          <w:lang w:eastAsia="zh-CN"/>
        </w:rPr>
        <w:t>（</w:t>
      </w:r>
      <w:r>
        <w:rPr>
          <w:rFonts w:hint="eastAsia"/>
          <w:color w:val="0000FF"/>
          <w:szCs w:val="28"/>
          <w:lang w:val="en-US" w:eastAsia="zh-CN"/>
        </w:rPr>
        <w:t>1</w:t>
      </w:r>
      <w:r>
        <w:rPr>
          <w:rFonts w:hint="eastAsia"/>
          <w:color w:val="0000FF"/>
          <w:szCs w:val="28"/>
          <w:lang w:eastAsia="zh-CN"/>
        </w:rPr>
        <w:t>）</w:t>
      </w:r>
      <w:r>
        <w:rPr>
          <w:rFonts w:hint="eastAsia"/>
          <w:color w:val="0000FF"/>
          <w:szCs w:val="28"/>
        </w:rPr>
        <w:t>视电阻率测井</w:t>
      </w:r>
    </w:p>
    <w:p w14:paraId="20E08692">
      <w:pPr>
        <w:ind w:firstLine="560"/>
        <w:rPr>
          <w:rFonts w:hint="eastAsia"/>
          <w:color w:val="0000FF"/>
          <w:szCs w:val="28"/>
        </w:rPr>
      </w:pPr>
      <w:r>
        <w:rPr>
          <w:rFonts w:hint="eastAsia"/>
          <w:color w:val="0000FF"/>
          <w:szCs w:val="28"/>
        </w:rPr>
        <w:t>采用数字测井系统，配套0.5m电位电极系与2m梯度电极系组合施工，电位电极系保障薄层岩溶、小型溶洞的横向识别精度，梯度电极系保障厚层含水层划分与围岩整体电性的探测深度。测量电极极化电位差控制在2mV以内，供电接地极接地电阻≤10Ω，测量信噪比不低于10:1，采样点距设置为0.1m。仪器下放速度不超过600m/h，提升测量速度严格控制在300m/h以内，按先梯度、后电位的顺序完成全孔测量。全孔选取不少于10%的井段重复测量，岩溶异常段、含水层段必须全段复测，重复测量相对误差≤5%，测量前后基线漂移不超过2mV，保障层位识别与数据解释的准确性。</w:t>
      </w:r>
    </w:p>
    <w:p w14:paraId="5C28F265">
      <w:pPr>
        <w:ind w:firstLine="560"/>
        <w:rPr>
          <w:rFonts w:hint="eastAsia"/>
          <w:color w:val="0000FF"/>
          <w:szCs w:val="28"/>
        </w:rPr>
      </w:pPr>
      <w:r>
        <w:rPr>
          <w:rFonts w:hint="eastAsia"/>
          <w:color w:val="0000FF"/>
          <w:szCs w:val="28"/>
          <w:lang w:eastAsia="zh-CN"/>
        </w:rPr>
        <w:t>（</w:t>
      </w:r>
      <w:r>
        <w:rPr>
          <w:rFonts w:hint="eastAsia"/>
          <w:color w:val="0000FF"/>
          <w:szCs w:val="28"/>
          <w:lang w:val="en-US" w:eastAsia="zh-CN"/>
        </w:rPr>
        <w:t>2</w:t>
      </w:r>
      <w:r>
        <w:rPr>
          <w:rFonts w:hint="eastAsia"/>
          <w:color w:val="0000FF"/>
          <w:szCs w:val="28"/>
          <w:lang w:eastAsia="zh-CN"/>
        </w:rPr>
        <w:t>）</w:t>
      </w:r>
      <w:r>
        <w:rPr>
          <w:rFonts w:hint="eastAsia"/>
          <w:color w:val="0000FF"/>
          <w:szCs w:val="28"/>
        </w:rPr>
        <w:t>声波测井</w:t>
      </w:r>
    </w:p>
    <w:p w14:paraId="2CBF81CC">
      <w:pPr>
        <w:ind w:firstLine="560"/>
        <w:rPr>
          <w:rFonts w:hint="eastAsia"/>
          <w:color w:val="0000FF"/>
          <w:szCs w:val="28"/>
        </w:rPr>
      </w:pPr>
      <w:r>
        <w:rPr>
          <w:rFonts w:hint="eastAsia"/>
          <w:color w:val="0000FF"/>
          <w:szCs w:val="28"/>
        </w:rPr>
        <w:t>采用单发双收声波测井探头，工作频率20~50kHz，配套具备全波列采集功能的数字测井主机与标准铝制刻度棒，测前完成仪器刻度校准，测量误差控制在1%以内。孔内保持泥浆或清水均匀、无大量气泡，保证声波耦合效果，采样点距0.1m，声波采样率不低于100kHz。仪器下放速度不超过600m/h，孔底静置3~5min消除温漂影响，提升测量速度不超过200m/h，全程通过扶正器保持探头居中，避免贴壁造成波形失真。主要含水层、岩溶发育段及时差异常井段加密复测，重复测量时差相对误差≤2%，精准标定溶洞、裂隙发育带的顶底板深度，辅助评价岩体完整性与孔隙发育程度。</w:t>
      </w:r>
    </w:p>
    <w:p w14:paraId="28130117">
      <w:pPr>
        <w:ind w:firstLine="560"/>
        <w:rPr>
          <w:rFonts w:hint="eastAsia"/>
          <w:color w:val="0000FF"/>
          <w:szCs w:val="28"/>
        </w:rPr>
      </w:pPr>
      <w:r>
        <w:rPr>
          <w:rFonts w:hint="eastAsia"/>
          <w:color w:val="0000FF"/>
          <w:szCs w:val="28"/>
          <w:lang w:eastAsia="zh-CN"/>
        </w:rPr>
        <w:t>（</w:t>
      </w:r>
      <w:r>
        <w:rPr>
          <w:rFonts w:hint="eastAsia"/>
          <w:color w:val="0000FF"/>
          <w:szCs w:val="28"/>
          <w:lang w:val="en-US" w:eastAsia="zh-CN"/>
        </w:rPr>
        <w:t>3</w:t>
      </w:r>
      <w:r>
        <w:rPr>
          <w:rFonts w:hint="eastAsia"/>
          <w:color w:val="0000FF"/>
          <w:szCs w:val="28"/>
          <w:lang w:eastAsia="zh-CN"/>
        </w:rPr>
        <w:t>）</w:t>
      </w:r>
      <w:r>
        <w:rPr>
          <w:rFonts w:hint="eastAsia"/>
          <w:color w:val="0000FF"/>
          <w:szCs w:val="28"/>
        </w:rPr>
        <w:t>扩散法井液电阻率测井</w:t>
      </w:r>
    </w:p>
    <w:p w14:paraId="1C0C32DA">
      <w:pPr>
        <w:ind w:firstLine="560"/>
        <w:rPr>
          <w:color w:val="0B5FD1"/>
          <w:szCs w:val="28"/>
        </w:rPr>
      </w:pPr>
      <w:r>
        <w:rPr>
          <w:rFonts w:hint="eastAsia"/>
          <w:color w:val="0000FF"/>
          <w:szCs w:val="28"/>
        </w:rPr>
        <w:t>采用电极式井液电阻率测井探头，测量范围覆盖盐化前后电阻率变化区间。测前钻孔静置不少于4小时，先测定全孔井液电阻率作为原始基线，根据钻孔孔径与水柱体积计算投盐量，使盐化后井液电阻率降至原始基线的1/3~1/2，岩溶发育钻孔增加10%~20%投盐量以补偿溶洞漏失损耗。盐化后充分搅拌至全孔电阻率差值≤10%，按0min、5min、10min、20min、30min的时间间隔完成不少于4条时间序列测量；常规井段采样点距0.2m，预判涌水异常段加密至0.1m，测量速度不超过200m/h，各次测量深度偏差控制在0.1m以内。依据电阻率回升速率判定涌水层位及相对涌水强度，主涌水层段可追加 60min 复测验证，为分层抽水试验段设计与止水层位选取提供依据。</w:t>
      </w:r>
    </w:p>
    <w:p w14:paraId="510DCAB2">
      <w:pPr>
        <w:pStyle w:val="4"/>
      </w:pPr>
      <w:bookmarkStart w:id="329" w:name="_Toc3221"/>
      <w:r>
        <w:t>4.</w:t>
      </w:r>
      <w:r>
        <w:rPr>
          <w:lang w:val="en-US"/>
        </w:rPr>
        <w:t>7</w:t>
      </w:r>
      <w:r>
        <w:t xml:space="preserve"> 取样化验工作</w:t>
      </w:r>
      <w:bookmarkEnd w:id="318"/>
      <w:bookmarkEnd w:id="319"/>
      <w:bookmarkEnd w:id="326"/>
      <w:bookmarkEnd w:id="327"/>
      <w:bookmarkEnd w:id="328"/>
      <w:bookmarkEnd w:id="329"/>
    </w:p>
    <w:p w14:paraId="4D054C96">
      <w:pPr>
        <w:pStyle w:val="5"/>
      </w:pPr>
      <w:bookmarkStart w:id="330" w:name="_Toc32216"/>
      <w:r>
        <w:rPr>
          <w:lang w:val="en-US"/>
        </w:rPr>
        <w:t xml:space="preserve">4.7.1 </w:t>
      </w:r>
      <w:r>
        <w:t>化学取样</w:t>
      </w:r>
      <w:bookmarkEnd w:id="330"/>
    </w:p>
    <w:p w14:paraId="5622C8FF">
      <w:pPr>
        <w:ind w:firstLine="560"/>
        <w:rPr>
          <w:szCs w:val="28"/>
        </w:rPr>
      </w:pPr>
      <w:r>
        <w:rPr>
          <w:szCs w:val="28"/>
        </w:rPr>
        <w:t>（1）基本分析样取样：基本分析样品布置在钻孔和剥土工程中，基本分析样品在勘查工程中分层、分段连续采取。钻孔中采样用1/2切心法，样长（真厚度）一般为4m，剥土中采用刻槽法，</w:t>
      </w:r>
      <w:r>
        <w:rPr>
          <w:color w:val="auto"/>
          <w:szCs w:val="28"/>
        </w:rPr>
        <w:t>断面规格为10cm×3cm，</w:t>
      </w:r>
      <w:r>
        <w:rPr>
          <w:szCs w:val="28"/>
        </w:rPr>
        <w:t>样长为4m。采样时应保证质量，要求不重号、不漏采、不重采、不混入外来物质。对肉眼可以区别的夹石，其厚度超过0.5m者应单独采样分析。分析项目为CaO、MgO、K</w:t>
      </w:r>
      <w:r>
        <w:rPr>
          <w:szCs w:val="28"/>
          <w:vertAlign w:val="subscript"/>
        </w:rPr>
        <w:t>2</w:t>
      </w:r>
      <w:r>
        <w:rPr>
          <w:szCs w:val="28"/>
        </w:rPr>
        <w:t>O、Na</w:t>
      </w:r>
      <w:r>
        <w:rPr>
          <w:szCs w:val="28"/>
          <w:vertAlign w:val="subscript"/>
        </w:rPr>
        <w:t>2</w:t>
      </w:r>
      <w:r>
        <w:rPr>
          <w:szCs w:val="28"/>
        </w:rPr>
        <w:t>O</w:t>
      </w:r>
      <w:r>
        <w:rPr>
          <w:rFonts w:hint="eastAsia"/>
          <w:szCs w:val="28"/>
          <w:lang w:eastAsia="zh-CN"/>
        </w:rPr>
        <w:t>、</w:t>
      </w:r>
      <w:r>
        <w:rPr>
          <w:i/>
          <w:iCs/>
          <w:szCs w:val="28"/>
        </w:rPr>
        <w:t xml:space="preserve">f </w:t>
      </w:r>
      <w:r>
        <w:rPr>
          <w:szCs w:val="28"/>
        </w:rPr>
        <w:t>SiO</w:t>
      </w:r>
      <w:r>
        <w:rPr>
          <w:szCs w:val="28"/>
          <w:vertAlign w:val="subscript"/>
        </w:rPr>
        <w:t>2</w:t>
      </w:r>
      <w:r>
        <w:rPr>
          <w:szCs w:val="28"/>
        </w:rPr>
        <w:t>，当有害组分超限时要增加分析SO</w:t>
      </w:r>
      <w:r>
        <w:rPr>
          <w:szCs w:val="28"/>
          <w:vertAlign w:val="subscript"/>
        </w:rPr>
        <w:t>3</w:t>
      </w:r>
      <w:r>
        <w:rPr>
          <w:szCs w:val="28"/>
        </w:rPr>
        <w:t>、Cl</w:t>
      </w:r>
      <w:r>
        <w:rPr>
          <w:szCs w:val="28"/>
          <w:vertAlign w:val="superscript"/>
        </w:rPr>
        <w:t>-</w:t>
      </w:r>
      <w:r>
        <w:rPr>
          <w:szCs w:val="28"/>
        </w:rPr>
        <w:t>。</w:t>
      </w:r>
    </w:p>
    <w:p w14:paraId="489C663F">
      <w:pPr>
        <w:ind w:firstLine="560"/>
        <w:rPr>
          <w:color w:val="0000FF"/>
          <w:szCs w:val="28"/>
        </w:rPr>
      </w:pPr>
      <w:r>
        <w:rPr>
          <w:color w:val="0000FF"/>
          <w:szCs w:val="28"/>
        </w:rPr>
        <w:t>预计钻孔半心取样长1</w:t>
      </w:r>
      <w:r>
        <w:rPr>
          <w:rFonts w:hint="eastAsia"/>
          <w:color w:val="0000FF"/>
          <w:szCs w:val="28"/>
          <w:lang w:val="en-US" w:eastAsia="zh-CN"/>
        </w:rPr>
        <w:t>3</w:t>
      </w:r>
      <w:r>
        <w:rPr>
          <w:color w:val="0000FF"/>
          <w:szCs w:val="28"/>
        </w:rPr>
        <w:t>22m，剥土刻槽样长4230m。基本分析样预计共取13</w:t>
      </w:r>
      <w:r>
        <w:rPr>
          <w:rFonts w:hint="eastAsia"/>
          <w:color w:val="0000FF"/>
          <w:szCs w:val="28"/>
          <w:lang w:val="en-US" w:eastAsia="zh-CN"/>
        </w:rPr>
        <w:t>90</w:t>
      </w:r>
      <w:r>
        <w:rPr>
          <w:color w:val="0000FF"/>
          <w:szCs w:val="28"/>
        </w:rPr>
        <w:t>件，其中水泥用基本分析样</w:t>
      </w:r>
      <w:r>
        <w:rPr>
          <w:rFonts w:hint="eastAsia"/>
          <w:color w:val="0000FF"/>
          <w:szCs w:val="28"/>
          <w:lang w:val="en-US" w:eastAsia="zh-CN"/>
        </w:rPr>
        <w:t>1370</w:t>
      </w:r>
      <w:r>
        <w:rPr>
          <w:color w:val="0000FF"/>
          <w:szCs w:val="28"/>
        </w:rPr>
        <w:t>件，水泥配料基本分析样20件。</w:t>
      </w:r>
    </w:p>
    <w:p w14:paraId="39E886D7">
      <w:pPr>
        <w:widowControl/>
        <w:ind w:firstLine="560"/>
        <w:rPr>
          <w:szCs w:val="28"/>
        </w:rPr>
      </w:pPr>
      <w:r>
        <w:rPr>
          <w:szCs w:val="28"/>
        </w:rPr>
        <w:t>（2）组合分析样取样：组合分析样品按勘查工程分层由基本分析的副样中按所代表的厚度比例组合而成。组合分析样品代表厚度为8m，对基本分析中已做过的分析项目，组合分析项目中一般不再做此项分析。选取代表性的剖面(工程)做组合分析，分析项目：SiO</w:t>
      </w:r>
      <w:r>
        <w:rPr>
          <w:szCs w:val="28"/>
          <w:vertAlign w:val="subscript"/>
        </w:rPr>
        <w:t>2</w:t>
      </w:r>
      <w:r>
        <w:rPr>
          <w:szCs w:val="28"/>
        </w:rPr>
        <w:t>、Al</w:t>
      </w:r>
      <w:r>
        <w:rPr>
          <w:szCs w:val="28"/>
          <w:vertAlign w:val="subscript"/>
        </w:rPr>
        <w:t>2</w:t>
      </w:r>
      <w:r>
        <w:rPr>
          <w:szCs w:val="28"/>
        </w:rPr>
        <w:t>O</w:t>
      </w:r>
      <w:r>
        <w:rPr>
          <w:szCs w:val="28"/>
          <w:vertAlign w:val="subscript"/>
        </w:rPr>
        <w:t>3</w:t>
      </w:r>
      <w:r>
        <w:rPr>
          <w:szCs w:val="28"/>
        </w:rPr>
        <w:t>、Fe</w:t>
      </w:r>
      <w:r>
        <w:rPr>
          <w:szCs w:val="28"/>
          <w:vertAlign w:val="subscript"/>
        </w:rPr>
        <w:t>2</w:t>
      </w:r>
      <w:r>
        <w:rPr>
          <w:szCs w:val="28"/>
        </w:rPr>
        <w:t>O</w:t>
      </w:r>
      <w:r>
        <w:rPr>
          <w:szCs w:val="28"/>
          <w:vertAlign w:val="subscript"/>
        </w:rPr>
        <w:t>3</w:t>
      </w:r>
      <w:r>
        <w:rPr>
          <w:szCs w:val="28"/>
        </w:rPr>
        <w:t>、K</w:t>
      </w:r>
      <w:r>
        <w:rPr>
          <w:szCs w:val="28"/>
          <w:vertAlign w:val="subscript"/>
        </w:rPr>
        <w:t>2</w:t>
      </w:r>
      <w:r>
        <w:rPr>
          <w:szCs w:val="28"/>
        </w:rPr>
        <w:t>O、Na</w:t>
      </w:r>
      <w:r>
        <w:rPr>
          <w:szCs w:val="28"/>
          <w:vertAlign w:val="subscript"/>
        </w:rPr>
        <w:t>2</w:t>
      </w:r>
      <w:r>
        <w:rPr>
          <w:szCs w:val="28"/>
        </w:rPr>
        <w:t>O、SO</w:t>
      </w:r>
      <w:r>
        <w:rPr>
          <w:szCs w:val="28"/>
          <w:vertAlign w:val="subscript"/>
        </w:rPr>
        <w:t>3</w:t>
      </w:r>
      <w:r>
        <w:rPr>
          <w:szCs w:val="28"/>
        </w:rPr>
        <w:t>、Cl</w:t>
      </w:r>
      <w:r>
        <w:rPr>
          <w:szCs w:val="28"/>
          <w:vertAlign w:val="superscript"/>
        </w:rPr>
        <w:t>-</w:t>
      </w:r>
      <w:r>
        <w:rPr>
          <w:szCs w:val="28"/>
        </w:rPr>
        <w:t>、</w:t>
      </w:r>
      <w:r>
        <w:rPr>
          <w:rFonts w:hint="eastAsia"/>
          <w:color w:val="0000FF"/>
          <w:szCs w:val="28"/>
          <w:highlight w:val="none"/>
          <w:vertAlign w:val="baseline"/>
          <w:lang w:val="en-US" w:eastAsia="zh-CN"/>
        </w:rPr>
        <w:t>P</w:t>
      </w:r>
      <w:r>
        <w:rPr>
          <w:rFonts w:hint="eastAsia"/>
          <w:color w:val="0000FF"/>
          <w:szCs w:val="28"/>
          <w:highlight w:val="none"/>
          <w:vertAlign w:val="subscript"/>
          <w:lang w:val="en-US" w:eastAsia="zh-CN"/>
        </w:rPr>
        <w:t>2</w:t>
      </w:r>
      <w:r>
        <w:rPr>
          <w:rFonts w:hint="eastAsia"/>
          <w:color w:val="0000FF"/>
          <w:szCs w:val="28"/>
          <w:highlight w:val="none"/>
          <w:vertAlign w:val="baseline"/>
          <w:lang w:val="en-US" w:eastAsia="zh-CN"/>
        </w:rPr>
        <w:t>O</w:t>
      </w:r>
      <w:r>
        <w:rPr>
          <w:rFonts w:hint="eastAsia"/>
          <w:color w:val="0000FF"/>
          <w:szCs w:val="28"/>
          <w:highlight w:val="none"/>
          <w:vertAlign w:val="subscript"/>
          <w:lang w:val="en-US" w:eastAsia="zh-CN"/>
        </w:rPr>
        <w:t>5</w:t>
      </w:r>
      <w:r>
        <w:rPr>
          <w:rFonts w:hint="eastAsia"/>
          <w:color w:val="0000FF"/>
          <w:szCs w:val="28"/>
          <w:highlight w:val="none"/>
          <w:vertAlign w:val="baseline"/>
          <w:lang w:val="en-US" w:eastAsia="zh-CN"/>
        </w:rPr>
        <w:t>、</w:t>
      </w:r>
      <w:r>
        <w:rPr>
          <w:szCs w:val="28"/>
        </w:rPr>
        <w:t>灼失量，当矿石含石英、燧石时，增加</w:t>
      </w:r>
      <w:r>
        <w:rPr>
          <w:i/>
          <w:iCs/>
          <w:szCs w:val="28"/>
        </w:rPr>
        <w:t xml:space="preserve">f </w:t>
      </w:r>
      <w:r>
        <w:rPr>
          <w:szCs w:val="28"/>
        </w:rPr>
        <w:t>SiO</w:t>
      </w:r>
      <w:r>
        <w:rPr>
          <w:szCs w:val="28"/>
          <w:vertAlign w:val="subscript"/>
        </w:rPr>
        <w:t>2</w:t>
      </w:r>
      <w:r>
        <w:rPr>
          <w:szCs w:val="28"/>
        </w:rPr>
        <w:t>。预计50件。</w:t>
      </w:r>
    </w:p>
    <w:p w14:paraId="78C7D4E6">
      <w:pPr>
        <w:ind w:firstLine="560"/>
      </w:pPr>
      <w:r>
        <w:t>（3）化学全分析样取样</w:t>
      </w:r>
    </w:p>
    <w:p w14:paraId="1ADAE652">
      <w:pPr>
        <w:widowControl/>
        <w:ind w:firstLine="560"/>
        <w:rPr>
          <w:kern w:val="0"/>
          <w:szCs w:val="21"/>
        </w:rPr>
      </w:pPr>
      <w:r>
        <w:rPr>
          <w:kern w:val="0"/>
          <w:szCs w:val="21"/>
        </w:rPr>
        <w:t>多元素分析样品是按矿层、矿石类型从基本分析样品的副样中抽取。—般多元素分析项目为CaO、MgO、SiO</w:t>
      </w:r>
      <w:r>
        <w:rPr>
          <w:kern w:val="0"/>
          <w:szCs w:val="21"/>
          <w:vertAlign w:val="subscript"/>
        </w:rPr>
        <w:t>2</w:t>
      </w:r>
      <w:r>
        <w:rPr>
          <w:kern w:val="0"/>
          <w:szCs w:val="21"/>
        </w:rPr>
        <w:t>、A1</w:t>
      </w:r>
      <w:r>
        <w:rPr>
          <w:kern w:val="0"/>
          <w:szCs w:val="21"/>
          <w:vertAlign w:val="subscript"/>
        </w:rPr>
        <w:t>2</w:t>
      </w:r>
      <w:r>
        <w:rPr>
          <w:kern w:val="0"/>
          <w:szCs w:val="21"/>
        </w:rPr>
        <w:t>O</w:t>
      </w:r>
      <w:r>
        <w:rPr>
          <w:kern w:val="0"/>
          <w:szCs w:val="21"/>
          <w:vertAlign w:val="subscript"/>
        </w:rPr>
        <w:t>3</w:t>
      </w:r>
      <w:r>
        <w:rPr>
          <w:kern w:val="0"/>
          <w:szCs w:val="21"/>
        </w:rPr>
        <w:t>、Fe</w:t>
      </w:r>
      <w:r>
        <w:rPr>
          <w:kern w:val="0"/>
          <w:szCs w:val="21"/>
          <w:vertAlign w:val="subscript"/>
        </w:rPr>
        <w:t>2</w:t>
      </w:r>
      <w:r>
        <w:rPr>
          <w:kern w:val="0"/>
          <w:szCs w:val="21"/>
        </w:rPr>
        <w:t>O</w:t>
      </w:r>
      <w:r>
        <w:rPr>
          <w:kern w:val="0"/>
          <w:szCs w:val="21"/>
          <w:vertAlign w:val="subscript"/>
        </w:rPr>
        <w:t>3</w:t>
      </w:r>
      <w:r>
        <w:rPr>
          <w:kern w:val="0"/>
          <w:szCs w:val="21"/>
        </w:rPr>
        <w:t>、K</w:t>
      </w:r>
      <w:r>
        <w:rPr>
          <w:kern w:val="0"/>
          <w:szCs w:val="21"/>
          <w:vertAlign w:val="subscript"/>
        </w:rPr>
        <w:t>2</w:t>
      </w:r>
      <w:r>
        <w:rPr>
          <w:kern w:val="0"/>
          <w:szCs w:val="21"/>
        </w:rPr>
        <w:t>O、Na</w:t>
      </w:r>
      <w:r>
        <w:rPr>
          <w:kern w:val="0"/>
          <w:szCs w:val="21"/>
          <w:vertAlign w:val="subscript"/>
        </w:rPr>
        <w:t>2</w:t>
      </w:r>
      <w:r>
        <w:rPr>
          <w:kern w:val="0"/>
          <w:szCs w:val="21"/>
        </w:rPr>
        <w:t>O、SO</w:t>
      </w:r>
      <w:r>
        <w:rPr>
          <w:kern w:val="0"/>
          <w:szCs w:val="21"/>
          <w:vertAlign w:val="subscript"/>
        </w:rPr>
        <w:t>3</w:t>
      </w:r>
      <w:r>
        <w:rPr>
          <w:kern w:val="0"/>
          <w:szCs w:val="21"/>
        </w:rPr>
        <w:t>、TiO</w:t>
      </w:r>
      <w:r>
        <w:rPr>
          <w:kern w:val="0"/>
          <w:szCs w:val="21"/>
          <w:vertAlign w:val="subscript"/>
        </w:rPr>
        <w:t>2</w:t>
      </w:r>
      <w:r>
        <w:rPr>
          <w:kern w:val="0"/>
          <w:szCs w:val="21"/>
        </w:rPr>
        <w:t>、P</w:t>
      </w:r>
      <w:r>
        <w:rPr>
          <w:kern w:val="0"/>
          <w:szCs w:val="21"/>
          <w:vertAlign w:val="subscript"/>
        </w:rPr>
        <w:t>2</w:t>
      </w:r>
      <w:r>
        <w:rPr>
          <w:kern w:val="0"/>
          <w:szCs w:val="21"/>
        </w:rPr>
        <w:t>O</w:t>
      </w:r>
      <w:r>
        <w:rPr>
          <w:kern w:val="0"/>
          <w:szCs w:val="21"/>
          <w:vertAlign w:val="subscript"/>
        </w:rPr>
        <w:t>5</w:t>
      </w:r>
      <w:r>
        <w:rPr>
          <w:kern w:val="0"/>
          <w:szCs w:val="21"/>
        </w:rPr>
        <w:t>、Mn</w:t>
      </w:r>
      <w:r>
        <w:rPr>
          <w:kern w:val="0"/>
          <w:szCs w:val="21"/>
          <w:vertAlign w:val="subscript"/>
        </w:rPr>
        <w:t>3</w:t>
      </w:r>
      <w:r>
        <w:rPr>
          <w:kern w:val="0"/>
          <w:szCs w:val="21"/>
        </w:rPr>
        <w:t>O</w:t>
      </w:r>
      <w:r>
        <w:rPr>
          <w:kern w:val="0"/>
          <w:szCs w:val="21"/>
          <w:vertAlign w:val="subscript"/>
        </w:rPr>
        <w:t>4</w:t>
      </w:r>
      <w:r>
        <w:rPr>
          <w:kern w:val="0"/>
          <w:szCs w:val="21"/>
        </w:rPr>
        <w:t>、Cl</w:t>
      </w:r>
      <w:r>
        <w:rPr>
          <w:kern w:val="0"/>
          <w:szCs w:val="21"/>
          <w:vertAlign w:val="superscript"/>
        </w:rPr>
        <w:t>-</w:t>
      </w:r>
      <w:r>
        <w:rPr>
          <w:kern w:val="0"/>
          <w:szCs w:val="21"/>
        </w:rPr>
        <w:t>和烧失量。预计共10件。</w:t>
      </w:r>
    </w:p>
    <w:p w14:paraId="4C92A371">
      <w:pPr>
        <w:widowControl/>
        <w:ind w:firstLine="560"/>
        <w:rPr>
          <w:kern w:val="0"/>
          <w:szCs w:val="21"/>
        </w:rPr>
      </w:pPr>
      <w:r>
        <w:rPr>
          <w:kern w:val="0"/>
          <w:szCs w:val="21"/>
        </w:rPr>
        <w:t>（4）覆盖层、岩溶充填物样取样</w:t>
      </w:r>
    </w:p>
    <w:p w14:paraId="59A4DD7C">
      <w:pPr>
        <w:widowControl/>
        <w:ind w:firstLine="560"/>
        <w:rPr>
          <w:kern w:val="0"/>
          <w:szCs w:val="21"/>
        </w:rPr>
      </w:pPr>
      <w:r>
        <w:rPr>
          <w:kern w:val="0"/>
          <w:szCs w:val="21"/>
        </w:rPr>
        <w:t>覆盖层、岩溶充填物按不同种类分别采取有代表性样品2件～3件。分析项目为CaO、MgO、SiO</w:t>
      </w:r>
      <w:r>
        <w:rPr>
          <w:kern w:val="0"/>
          <w:szCs w:val="21"/>
          <w:vertAlign w:val="subscript"/>
        </w:rPr>
        <w:t>2</w:t>
      </w:r>
      <w:r>
        <w:rPr>
          <w:kern w:val="0"/>
          <w:szCs w:val="21"/>
        </w:rPr>
        <w:t>、AI</w:t>
      </w:r>
      <w:r>
        <w:rPr>
          <w:kern w:val="0"/>
          <w:szCs w:val="21"/>
          <w:vertAlign w:val="subscript"/>
        </w:rPr>
        <w:t>2</w:t>
      </w:r>
      <w:r>
        <w:rPr>
          <w:kern w:val="0"/>
          <w:szCs w:val="21"/>
        </w:rPr>
        <w:t>O</w:t>
      </w:r>
      <w:r>
        <w:rPr>
          <w:kern w:val="0"/>
          <w:szCs w:val="21"/>
          <w:vertAlign w:val="subscript"/>
        </w:rPr>
        <w:t>3</w:t>
      </w:r>
      <w:r>
        <w:rPr>
          <w:kern w:val="0"/>
          <w:szCs w:val="21"/>
        </w:rPr>
        <w:t>、Fe</w:t>
      </w:r>
      <w:r>
        <w:rPr>
          <w:kern w:val="0"/>
          <w:szCs w:val="21"/>
          <w:vertAlign w:val="subscript"/>
        </w:rPr>
        <w:t>2</w:t>
      </w:r>
      <w:r>
        <w:rPr>
          <w:kern w:val="0"/>
          <w:szCs w:val="21"/>
        </w:rPr>
        <w:t>O</w:t>
      </w:r>
      <w:r>
        <w:rPr>
          <w:kern w:val="0"/>
          <w:szCs w:val="21"/>
          <w:vertAlign w:val="subscript"/>
        </w:rPr>
        <w:t>3</w:t>
      </w:r>
      <w:r>
        <w:rPr>
          <w:kern w:val="0"/>
          <w:szCs w:val="21"/>
        </w:rPr>
        <w:t>、K</w:t>
      </w:r>
      <w:r>
        <w:rPr>
          <w:kern w:val="0"/>
          <w:szCs w:val="21"/>
          <w:vertAlign w:val="subscript"/>
        </w:rPr>
        <w:t>2</w:t>
      </w:r>
      <w:r>
        <w:rPr>
          <w:kern w:val="0"/>
          <w:szCs w:val="21"/>
        </w:rPr>
        <w:t>O、Na</w:t>
      </w:r>
      <w:r>
        <w:rPr>
          <w:kern w:val="0"/>
          <w:szCs w:val="21"/>
          <w:vertAlign w:val="subscript"/>
        </w:rPr>
        <w:t>2</w:t>
      </w:r>
      <w:r>
        <w:rPr>
          <w:kern w:val="0"/>
          <w:szCs w:val="21"/>
        </w:rPr>
        <w:t>O、SO</w:t>
      </w:r>
      <w:r>
        <w:rPr>
          <w:kern w:val="0"/>
          <w:szCs w:val="21"/>
          <w:vertAlign w:val="subscript"/>
        </w:rPr>
        <w:t>3</w:t>
      </w:r>
      <w:r>
        <w:rPr>
          <w:kern w:val="0"/>
          <w:szCs w:val="21"/>
        </w:rPr>
        <w:t>、C</w:t>
      </w:r>
      <w:r>
        <w:rPr>
          <w:szCs w:val="28"/>
        </w:rPr>
        <w:t>l</w:t>
      </w:r>
      <w:r>
        <w:rPr>
          <w:szCs w:val="28"/>
          <w:vertAlign w:val="superscript"/>
        </w:rPr>
        <w:t>-</w:t>
      </w:r>
      <w:r>
        <w:rPr>
          <w:kern w:val="0"/>
          <w:szCs w:val="21"/>
        </w:rPr>
        <w:t>和烧失量。采样数量预计10件。</w:t>
      </w:r>
    </w:p>
    <w:p w14:paraId="20B8311D">
      <w:pPr>
        <w:pStyle w:val="5"/>
      </w:pPr>
      <w:bookmarkStart w:id="331" w:name="_Toc24735"/>
      <w:r>
        <w:rPr>
          <w:lang w:val="en-US"/>
        </w:rPr>
        <w:t xml:space="preserve">4.7.2 </w:t>
      </w:r>
      <w:r>
        <w:t>化学分析质量检查</w:t>
      </w:r>
      <w:bookmarkEnd w:id="331"/>
    </w:p>
    <w:p w14:paraId="3E676B27">
      <w:pPr>
        <w:ind w:firstLine="560"/>
      </w:pPr>
      <w:r>
        <w:t>（1）内检：内检样由送样单位及时地从基本分析副样中分期、分批次按矿石类型、品级抽取，送原测试单位进行复测。基本分析内检样的数量不少于基本分析样总数的10％，组合分析样内检样的数量应不少于组合分析样总数的5％。合格率要求≥90％。内检样预计160件。</w:t>
      </w:r>
    </w:p>
    <w:p w14:paraId="0A0439F6">
      <w:pPr>
        <w:ind w:firstLine="560"/>
      </w:pPr>
      <w:r>
        <w:t>（2）外检：外检样品由原送样单位分期、分批按矿石类型、品级从内检合格的正余样中选取，由基本分析实验室负责送有认证资质的实验室检查。外检样品的数量不少于参与资源量估算的基本分析样总数的5％，合格率要求≥90%。外检样品预计80件。</w:t>
      </w:r>
    </w:p>
    <w:p w14:paraId="0E156E2C">
      <w:pPr>
        <w:pStyle w:val="5"/>
      </w:pPr>
      <w:bookmarkStart w:id="332" w:name="_Toc2182"/>
      <w:r>
        <w:rPr>
          <w:lang w:val="en-US"/>
        </w:rPr>
        <w:t xml:space="preserve">4.7.3 </w:t>
      </w:r>
      <w:r>
        <w:t>岩矿石物理性能测试</w:t>
      </w:r>
      <w:bookmarkEnd w:id="332"/>
    </w:p>
    <w:p w14:paraId="12615BEF">
      <w:pPr>
        <w:ind w:firstLine="560"/>
      </w:pPr>
      <w:r>
        <w:t>（1）岩矿鉴定</w:t>
      </w:r>
    </w:p>
    <w:p w14:paraId="0AA1C7AD">
      <w:pPr>
        <w:ind w:firstLine="560"/>
      </w:pPr>
      <w:r>
        <w:t>按矿石类型采取有代表性样品鉴定，夹层、覆盖层、近矿围岩等也采取有代表性样品鉴定。全面查明矿石类型、矿物组成及含量，主要矿物的嵌布特征、粒度、形状和相互关系。采样数量预计10件。</w:t>
      </w:r>
    </w:p>
    <w:p w14:paraId="46A704DF">
      <w:pPr>
        <w:ind w:firstLine="560"/>
      </w:pPr>
      <w:r>
        <w:t>（2）体积质量样、含水率</w:t>
      </w:r>
    </w:p>
    <w:p w14:paraId="16DF105D">
      <w:pPr>
        <w:ind w:firstLine="560"/>
        <w:rPr>
          <w:color w:val="0000FF"/>
          <w:kern w:val="0"/>
          <w:szCs w:val="21"/>
        </w:rPr>
      </w:pPr>
      <w:r>
        <w:rPr>
          <w:kern w:val="0"/>
          <w:szCs w:val="21"/>
        </w:rPr>
        <w:t>采取有代表性的小体积质量样、含水率样品进行测试．对边坡围岩、大夹层也采取少量样品测试小体积质量样和含水率样，其总数不得少于30件。样品体积为60cm</w:t>
      </w:r>
      <w:r>
        <w:rPr>
          <w:kern w:val="0"/>
          <w:szCs w:val="21"/>
          <w:vertAlign w:val="superscript"/>
        </w:rPr>
        <w:t>3</w:t>
      </w:r>
      <w:r>
        <w:rPr>
          <w:kern w:val="0"/>
          <w:szCs w:val="21"/>
        </w:rPr>
        <w:t>～120cm</w:t>
      </w:r>
      <w:r>
        <w:rPr>
          <w:kern w:val="0"/>
          <w:szCs w:val="21"/>
          <w:vertAlign w:val="superscript"/>
        </w:rPr>
        <w:t>3</w:t>
      </w:r>
      <w:r>
        <w:rPr>
          <w:kern w:val="0"/>
          <w:szCs w:val="21"/>
        </w:rPr>
        <w:t>，对于水泥配料，当矿石呈松散状态时，应采集大体积质量样，规格为50cm×50cm×50cm。体积质量测试时同时进行湿度测定，当湿度＞3%时应进行湿度校正。采样数量预计50件。</w:t>
      </w:r>
    </w:p>
    <w:p w14:paraId="5AF92A4A">
      <w:pPr>
        <w:pageBreakBefore w:val="0"/>
        <w:wordWrap/>
        <w:topLinePunct w:val="0"/>
        <w:bidi w:val="0"/>
        <w:adjustRightInd w:val="0"/>
        <w:snapToGrid w:val="0"/>
        <w:ind w:firstLine="560"/>
        <w:rPr>
          <w:rFonts w:hint="default" w:eastAsia="仿宋"/>
          <w:color w:val="0000FF"/>
          <w:highlight w:val="none"/>
          <w:lang w:val="en-US" w:eastAsia="zh-CN"/>
        </w:rPr>
      </w:pPr>
      <w:r>
        <w:rPr>
          <w:color w:val="0000FF"/>
          <w:highlight w:val="none"/>
        </w:rPr>
        <w:t>（3）</w:t>
      </w:r>
      <w:r>
        <w:rPr>
          <w:rFonts w:hint="eastAsia"/>
          <w:color w:val="0000FF"/>
          <w:highlight w:val="none"/>
          <w:lang w:val="en-US" w:eastAsia="zh-CN"/>
        </w:rPr>
        <w:t>物理力学性能测试样</w:t>
      </w:r>
    </w:p>
    <w:p w14:paraId="2E134D34">
      <w:pPr>
        <w:pageBreakBefore w:val="0"/>
        <w:wordWrap/>
        <w:topLinePunct w:val="0"/>
        <w:bidi w:val="0"/>
        <w:adjustRightInd w:val="0"/>
        <w:snapToGrid w:val="0"/>
        <w:ind w:firstLine="560"/>
        <w:rPr>
          <w:rFonts w:hint="default" w:eastAsia="仿宋"/>
          <w:color w:val="0000FF"/>
          <w:highlight w:val="none"/>
          <w:lang w:val="en-US" w:eastAsia="zh-CN"/>
        </w:rPr>
      </w:pPr>
      <w:r>
        <w:rPr>
          <w:rFonts w:hint="eastAsia"/>
          <w:color w:val="0000FF"/>
          <w:highlight w:val="none"/>
          <w:lang w:val="en-US" w:eastAsia="zh-CN"/>
        </w:rPr>
        <w:t>本次物理力学性能测试样检测的项目有：抗压强度（干、湿各一组）、抗剪强度（干、湿各一组，包含裂隙面）、渗透系数、天然容重。</w:t>
      </w:r>
    </w:p>
    <w:p w14:paraId="72E6E9B0">
      <w:pPr>
        <w:pageBreakBefore w:val="0"/>
        <w:wordWrap/>
        <w:topLinePunct w:val="0"/>
        <w:bidi w:val="0"/>
        <w:adjustRightInd w:val="0"/>
        <w:snapToGrid w:val="0"/>
        <w:ind w:firstLine="560"/>
        <w:rPr>
          <w:color w:val="0000FF"/>
          <w:highlight w:val="none"/>
        </w:rPr>
      </w:pPr>
      <w:r>
        <w:rPr>
          <w:rFonts w:hint="eastAsia"/>
          <w:color w:val="0000FF"/>
          <w:highlight w:val="none"/>
          <w:lang w:val="en-US" w:eastAsia="zh-CN"/>
        </w:rPr>
        <w:t>矿区内分布有茅口组微晶灰岩、亮晶灰岩、生物碎屑灰岩，栖霞组微晶灰岩、马平组微晶灰岩以及汪门组砂岩、泥岩，对不同地层具有代表性岩石分别取样，每种岩石各取1组，共7组，每组每项试验各取3块，每组共计取18块</w:t>
      </w:r>
      <w:r>
        <w:rPr>
          <w:rFonts w:hint="eastAsia"/>
          <w:color w:val="0000FF"/>
          <w:highlight w:val="none"/>
          <w:lang w:eastAsia="zh-CN"/>
        </w:rPr>
        <w:t>，</w:t>
      </w:r>
      <w:r>
        <w:rPr>
          <w:color w:val="0000FF"/>
          <w:highlight w:val="none"/>
        </w:rPr>
        <w:t>试样规格</w:t>
      </w:r>
      <w:r>
        <w:rPr>
          <w:rFonts w:hint="eastAsia"/>
          <w:color w:val="0000FF"/>
          <w:highlight w:val="none"/>
          <w:lang w:val="en-US" w:eastAsia="zh-CN"/>
        </w:rPr>
        <w:t>1</w:t>
      </w:r>
      <w:r>
        <w:rPr>
          <w:color w:val="0000FF"/>
          <w:highlight w:val="none"/>
        </w:rPr>
        <w:t>5×</w:t>
      </w:r>
      <w:r>
        <w:rPr>
          <w:rFonts w:hint="eastAsia"/>
          <w:color w:val="0000FF"/>
          <w:highlight w:val="none"/>
          <w:lang w:val="en-US" w:eastAsia="zh-CN"/>
        </w:rPr>
        <w:t>1</w:t>
      </w:r>
      <w:r>
        <w:rPr>
          <w:color w:val="0000FF"/>
          <w:highlight w:val="none"/>
        </w:rPr>
        <w:t>5×</w:t>
      </w:r>
      <w:r>
        <w:rPr>
          <w:rFonts w:hint="eastAsia"/>
          <w:color w:val="0000FF"/>
          <w:highlight w:val="none"/>
          <w:lang w:val="en-US" w:eastAsia="zh-CN"/>
        </w:rPr>
        <w:t>1</w:t>
      </w:r>
      <w:r>
        <w:rPr>
          <w:color w:val="0000FF"/>
          <w:highlight w:val="none"/>
        </w:rPr>
        <w:t>5cm，</w:t>
      </w:r>
      <w:r>
        <w:rPr>
          <w:rFonts w:hint="eastAsia"/>
          <w:color w:val="0000FF"/>
          <w:highlight w:val="none"/>
          <w:lang w:val="en-US" w:eastAsia="zh-CN"/>
        </w:rPr>
        <w:t>最后设</w:t>
      </w:r>
      <w:r>
        <w:rPr>
          <w:color w:val="0000FF"/>
          <w:highlight w:val="none"/>
        </w:rPr>
        <w:t>计采样</w:t>
      </w:r>
      <w:r>
        <w:rPr>
          <w:rFonts w:hint="eastAsia"/>
          <w:color w:val="0000FF"/>
          <w:highlight w:val="none"/>
          <w:lang w:val="en-US" w:eastAsia="zh-CN"/>
        </w:rPr>
        <w:t>126块/7组</w:t>
      </w:r>
      <w:r>
        <w:rPr>
          <w:color w:val="0000FF"/>
          <w:highlight w:val="none"/>
        </w:rPr>
        <w:t>。</w:t>
      </w:r>
    </w:p>
    <w:p w14:paraId="4AFE9D29">
      <w:pPr>
        <w:ind w:firstLine="560"/>
        <w:rPr>
          <w:kern w:val="0"/>
          <w:szCs w:val="21"/>
        </w:rPr>
      </w:pPr>
      <w:r>
        <w:rPr>
          <w:kern w:val="0"/>
          <w:szCs w:val="21"/>
        </w:rPr>
        <w:t>（5）坚固性、压碎值样</w:t>
      </w:r>
      <w:r>
        <w:rPr>
          <w:szCs w:val="28"/>
        </w:rPr>
        <w:t>（粗集料）</w:t>
      </w:r>
    </w:p>
    <w:p w14:paraId="4672A4AB">
      <w:pPr>
        <w:ind w:firstLine="560"/>
      </w:pPr>
      <w:r>
        <w:t>在地表不同矿层位置及岩矿心中有代表性分别采取，每组样品同时采自同一位置的同种岩性，取样重量大于40kg，规格5mm～60mm，采样数量预计10件。</w:t>
      </w:r>
    </w:p>
    <w:p w14:paraId="469FA860">
      <w:pPr>
        <w:ind w:firstLine="560"/>
      </w:pPr>
      <w:r>
        <w:t>（6）放射性样</w:t>
      </w:r>
    </w:p>
    <w:p w14:paraId="2A50BCC5">
      <w:pPr>
        <w:ind w:firstLine="560"/>
      </w:pPr>
      <w:r>
        <w:t>放射性样在矿区内多点采集5件样品。</w:t>
      </w:r>
    </w:p>
    <w:p w14:paraId="790F2999">
      <w:pPr>
        <w:ind w:firstLine="560"/>
      </w:pPr>
      <w:r>
        <w:t>以上测试均送至具备相应资质单位严格按有关规范及操作规程进行测试。</w:t>
      </w:r>
    </w:p>
    <w:p w14:paraId="7E705061">
      <w:pPr>
        <w:pStyle w:val="5"/>
      </w:pPr>
      <w:r>
        <w:t>4.</w:t>
      </w:r>
      <w:r>
        <w:rPr>
          <w:lang w:val="en-US"/>
        </w:rPr>
        <w:t>7</w:t>
      </w:r>
      <w:r>
        <w:t>.</w:t>
      </w:r>
      <w:r>
        <w:rPr>
          <w:lang w:val="en-US"/>
        </w:rPr>
        <w:t>4</w:t>
      </w:r>
      <w:r>
        <w:t xml:space="preserve"> 样品加工</w:t>
      </w:r>
    </w:p>
    <w:p w14:paraId="7691C5D5">
      <w:pPr>
        <w:ind w:firstLine="560"/>
        <w:rPr>
          <w:color w:val="auto"/>
        </w:rPr>
      </w:pPr>
      <w:r>
        <w:rPr>
          <w:color w:val="auto"/>
        </w:rPr>
        <w:t>化学分析样品的加工依次包含样品验收烘干、多级破碎、分级过筛、拌匀、逐级缩分、细磨筛分六道程序。样品缩分遵循切乔特公式：Q=Kd</w:t>
      </w:r>
      <w:r>
        <w:rPr>
          <w:color w:val="auto"/>
          <w:vertAlign w:val="superscript"/>
        </w:rPr>
        <w:t>2</w:t>
      </w:r>
      <w:r>
        <w:rPr>
          <w:color w:val="auto"/>
        </w:rPr>
        <w:t>，式中：Q-样品最小保留质量（kg）；d-样品最大颗粒直径（mm）；K-石灰岩样品缩分系数，本详查项目K值采用0.1。</w:t>
      </w:r>
    </w:p>
    <w:p w14:paraId="57ED47E4">
      <w:pPr>
        <w:ind w:firstLine="560"/>
        <w:rPr>
          <w:color w:val="auto"/>
        </w:rPr>
      </w:pPr>
      <w:r>
        <w:rPr>
          <w:color w:val="auto"/>
        </w:rPr>
        <w:t>样品加工流程为：原始灰岩采样样品→现场验收、编号建档→粗碎（＜20mm）→一级缩分（留存粗副样）→中碎（＜2mm）→二级缩分（留存光谱副样）→细碎研磨（＜0.15mm）→精磨至200目（＜0.074mm）→标准筛筛分→分取化学分析正样送检+全部副样密封入库归档。</w:t>
      </w:r>
    </w:p>
    <w:p w14:paraId="040DA808">
      <w:pPr>
        <w:ind w:firstLine="560"/>
        <w:rPr>
          <w:color w:val="auto"/>
        </w:rPr>
      </w:pPr>
      <w:r>
        <w:rPr>
          <w:color w:val="auto"/>
        </w:rPr>
        <w:t>样品加工全过程防交叉污染、各级副样密封归档留存，</w:t>
      </w:r>
      <w:r>
        <w:rPr>
          <w:color w:val="auto"/>
          <w:kern w:val="0"/>
          <w:szCs w:val="28"/>
        </w:rPr>
        <w:t>均送至具备相应资质单位严格按有关规范进行测试。</w:t>
      </w:r>
      <w:r>
        <w:rPr>
          <w:color w:val="auto"/>
        </w:rPr>
        <w:t>样品加工质量及全过程质量检查办法应按《地质矿产实验室测试质量管理规范》（DZ/T0130-2006）及《岩矿分析试样制备规程》要求执行。</w:t>
      </w:r>
    </w:p>
    <w:bookmarkEnd w:id="300"/>
    <w:p w14:paraId="523A129B">
      <w:pPr>
        <w:pStyle w:val="4"/>
      </w:pPr>
      <w:bookmarkStart w:id="333" w:name="_Toc176901249"/>
      <w:bookmarkStart w:id="334" w:name="_Toc124107411"/>
      <w:bookmarkStart w:id="335" w:name="_Toc9828"/>
      <w:bookmarkStart w:id="336" w:name="_Toc13385"/>
      <w:bookmarkStart w:id="337" w:name="_Toc23190"/>
      <w:bookmarkStart w:id="338" w:name="_Toc11500"/>
      <w:bookmarkStart w:id="339" w:name="_Toc77068914"/>
      <w:bookmarkStart w:id="340" w:name="_Toc76913751"/>
      <w:bookmarkStart w:id="341" w:name="_Toc410248246"/>
      <w:bookmarkStart w:id="342" w:name="_Toc77084099"/>
      <w:bookmarkStart w:id="343" w:name="_Toc322539679"/>
      <w:bookmarkStart w:id="344" w:name="_Toc135903572"/>
      <w:bookmarkStart w:id="345" w:name="_Toc168994971"/>
      <w:bookmarkStart w:id="346" w:name="_Toc243801040"/>
      <w:bookmarkStart w:id="347" w:name="_Toc405882911"/>
      <w:bookmarkStart w:id="348" w:name="_Toc92271949"/>
      <w:bookmarkStart w:id="349" w:name="_Toc92070550"/>
      <w:bookmarkStart w:id="350" w:name="_Toc92470978"/>
      <w:bookmarkStart w:id="351" w:name="_Toc407654178"/>
      <w:bookmarkStart w:id="352" w:name="_Toc407653962"/>
      <w:r>
        <w:t>4.</w:t>
      </w:r>
      <w:r>
        <w:rPr>
          <w:lang w:val="en-US"/>
        </w:rPr>
        <w:t>8</w:t>
      </w:r>
      <w:r>
        <w:t xml:space="preserve"> 原始地质编录、资料综合整理</w:t>
      </w:r>
      <w:bookmarkEnd w:id="333"/>
      <w:bookmarkEnd w:id="334"/>
      <w:bookmarkEnd w:id="335"/>
      <w:bookmarkEnd w:id="336"/>
      <w:bookmarkEnd w:id="337"/>
      <w:bookmarkEnd w:id="338"/>
    </w:p>
    <w:p w14:paraId="58CDEAB9">
      <w:pPr>
        <w:pStyle w:val="5"/>
      </w:pPr>
      <w:r>
        <w:t>4.</w:t>
      </w:r>
      <w:r>
        <w:rPr>
          <w:lang w:val="en-US"/>
        </w:rPr>
        <w:t>8</w:t>
      </w:r>
      <w:r>
        <w:t>.1 原始地质编录</w:t>
      </w:r>
    </w:p>
    <w:p w14:paraId="1CBA6BEF">
      <w:pPr>
        <w:ind w:firstLine="560"/>
      </w:pPr>
      <w:r>
        <w:t>原始地质编录是观察研究地质现象的现场记录和观察研究手段的记录，应真实、客观、完整，包括地质填图、探矿工程、采样的编录等；必须经检查、验收，验收、检查不合格的不得利用。</w:t>
      </w:r>
    </w:p>
    <w:p w14:paraId="275854E2">
      <w:pPr>
        <w:pStyle w:val="5"/>
      </w:pPr>
      <w:r>
        <w:t>4.</w:t>
      </w:r>
      <w:r>
        <w:rPr>
          <w:lang w:val="en-US"/>
        </w:rPr>
        <w:t>8</w:t>
      </w:r>
      <w:r>
        <w:t>.2 资料综合整理</w:t>
      </w:r>
    </w:p>
    <w:p w14:paraId="3B369B2D">
      <w:pPr>
        <w:ind w:firstLine="560"/>
      </w:pPr>
      <w:r>
        <w:t>地质资料综合整理是地质勘查工作中的重要环节，必须贯穿地质勘查工作的始终，包括对地质填图、探矿工程、水文地质和工程地质、化学样品的分析、测试、岩矿石物理技术性能测试、测量、物探等数据和资料进行统计、分析、汇总、研究，并编制综合图件、综合图表及估算资源量等；资料综合整理成果必须经过严格质量检查和验收。数据、图表、图件等应积极采用计算机技术进行数据处理和制图。</w:t>
      </w:r>
    </w:p>
    <w:p w14:paraId="502A92E2">
      <w:pPr>
        <w:ind w:firstLine="560"/>
        <w:rPr>
          <w:rFonts w:eastAsia="仿宋_GB2312"/>
          <w:kern w:val="0"/>
          <w:szCs w:val="28"/>
        </w:rPr>
        <w:sectPr>
          <w:pgSz w:w="11906" w:h="16838"/>
          <w:pgMar w:top="1418" w:right="1418" w:bottom="1418" w:left="1418" w:header="851" w:footer="992" w:gutter="0"/>
          <w:cols w:space="720" w:num="1"/>
          <w:docGrid w:type="lines" w:linePitch="381" w:charSpace="0"/>
        </w:sectPr>
      </w:pPr>
    </w:p>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14:paraId="3E4D8273">
      <w:pPr>
        <w:pStyle w:val="3"/>
      </w:pPr>
      <w:bookmarkStart w:id="353" w:name="_Toc124107413"/>
      <w:bookmarkStart w:id="354" w:name="_Toc14671"/>
      <w:bookmarkStart w:id="355" w:name="_Toc26412"/>
      <w:bookmarkStart w:id="356" w:name="_Toc7222"/>
      <w:bookmarkStart w:id="357" w:name="_Toc17952"/>
      <w:bookmarkStart w:id="358" w:name="_Toc176773719"/>
      <w:bookmarkStart w:id="359" w:name="_Toc176901250"/>
      <w:bookmarkStart w:id="360" w:name="_Toc25752"/>
      <w:bookmarkStart w:id="361" w:name="_Toc124107414"/>
      <w:bookmarkStart w:id="362" w:name="_Toc50618398"/>
      <w:r>
        <w:t xml:space="preserve">5 </w:t>
      </w:r>
      <w:bookmarkEnd w:id="353"/>
      <w:bookmarkStart w:id="363" w:name="_Toc50618397"/>
      <w:bookmarkStart w:id="364" w:name="_Toc397498217"/>
      <w:bookmarkStart w:id="365" w:name="_Toc322437307"/>
      <w:r>
        <w:t>资源量预算</w:t>
      </w:r>
      <w:bookmarkEnd w:id="354"/>
      <w:bookmarkEnd w:id="355"/>
      <w:bookmarkEnd w:id="356"/>
      <w:bookmarkEnd w:id="357"/>
      <w:bookmarkEnd w:id="358"/>
      <w:bookmarkEnd w:id="359"/>
      <w:bookmarkEnd w:id="360"/>
      <w:bookmarkEnd w:id="363"/>
      <w:bookmarkEnd w:id="364"/>
      <w:bookmarkEnd w:id="365"/>
    </w:p>
    <w:bookmarkEnd w:id="361"/>
    <w:bookmarkEnd w:id="362"/>
    <w:p w14:paraId="7EF16956">
      <w:pPr>
        <w:pStyle w:val="4"/>
      </w:pPr>
      <w:bookmarkStart w:id="366" w:name="_Toc176901251"/>
      <w:bookmarkStart w:id="367" w:name="_Toc28463"/>
      <w:bookmarkStart w:id="368" w:name="_Toc31211"/>
      <w:bookmarkStart w:id="369" w:name="_Toc5905"/>
      <w:bookmarkStart w:id="370" w:name="_Toc3183"/>
      <w:bookmarkStart w:id="371" w:name="_Toc12649"/>
      <w:bookmarkStart w:id="372" w:name="_Toc176901252"/>
      <w:bookmarkStart w:id="373" w:name="_Toc1328"/>
      <w:bookmarkStart w:id="374" w:name="_Toc13859"/>
      <w:r>
        <w:t>5.1 工业指标</w:t>
      </w:r>
      <w:bookmarkEnd w:id="366"/>
      <w:bookmarkEnd w:id="367"/>
      <w:bookmarkEnd w:id="368"/>
      <w:bookmarkEnd w:id="369"/>
      <w:bookmarkEnd w:id="370"/>
    </w:p>
    <w:p w14:paraId="4DD02DFE">
      <w:pPr>
        <w:ind w:firstLine="560"/>
      </w:pPr>
      <w:r>
        <w:t>本次水泥原料工业指标参考《矿产地质勘查规范 石灰岩/水泥配料类》（DZ/T0213—2020)中的一般工业指标要求，矿区采用的工业指标如下：</w:t>
      </w:r>
    </w:p>
    <w:p w14:paraId="61EFFEAC">
      <w:pPr>
        <w:ind w:firstLine="560"/>
      </w:pPr>
      <w:r>
        <w:rPr>
          <w:rFonts w:hint="eastAsia" w:ascii="宋体" w:hAnsi="宋体" w:eastAsia="宋体" w:cs="宋体"/>
        </w:rPr>
        <w:t>①</w:t>
      </w:r>
      <w:r>
        <w:t>质量要求，见表5-1。</w:t>
      </w:r>
    </w:p>
    <w:p w14:paraId="4D861668">
      <w:pPr>
        <w:spacing w:line="240" w:lineRule="auto"/>
        <w:ind w:firstLine="0" w:firstLineChars="0"/>
        <w:jc w:val="center"/>
        <w:rPr>
          <w:b/>
          <w:sz w:val="24"/>
          <w:szCs w:val="24"/>
        </w:rPr>
      </w:pPr>
      <w:r>
        <w:rPr>
          <w:b/>
          <w:sz w:val="24"/>
          <w:szCs w:val="24"/>
        </w:rPr>
        <w:t>表5-1  水泥配料类矿石化学成分一般要求</w:t>
      </w:r>
    </w:p>
    <w:tbl>
      <w:tblPr>
        <w:tblStyle w:val="32"/>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1134"/>
        <w:gridCol w:w="1474"/>
        <w:gridCol w:w="907"/>
        <w:gridCol w:w="1134"/>
        <w:gridCol w:w="1134"/>
        <w:gridCol w:w="1134"/>
      </w:tblGrid>
      <w:tr w14:paraId="335E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134" w:type="dxa"/>
            <w:vMerge w:val="restart"/>
            <w:vAlign w:val="center"/>
          </w:tcPr>
          <w:p w14:paraId="07FC3077">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类别</w:t>
            </w:r>
          </w:p>
        </w:tc>
        <w:tc>
          <w:tcPr>
            <w:tcW w:w="8051" w:type="dxa"/>
            <w:gridSpan w:val="7"/>
            <w:vAlign w:val="center"/>
          </w:tcPr>
          <w:p w14:paraId="6C2DC7CC">
            <w:pPr>
              <w:pageBreakBefore w:val="0"/>
              <w:wordWrap/>
              <w:topLinePunct w:val="0"/>
              <w:bidi w:val="0"/>
              <w:adjustRightInd w:val="0"/>
              <w:snapToGrid w:val="0"/>
              <w:spacing w:line="460" w:lineRule="exact"/>
              <w:ind w:firstLine="48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化学成分质量分数（％）</w:t>
            </w:r>
          </w:p>
        </w:tc>
      </w:tr>
      <w:tr w14:paraId="4EF1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1134" w:type="dxa"/>
            <w:vMerge w:val="continue"/>
            <w:vAlign w:val="center"/>
          </w:tcPr>
          <w:p w14:paraId="76A00F8B">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p>
        </w:tc>
        <w:tc>
          <w:tcPr>
            <w:tcW w:w="1134" w:type="dxa"/>
            <w:vMerge w:val="restart"/>
            <w:vAlign w:val="center"/>
          </w:tcPr>
          <w:p w14:paraId="05838D20">
            <w:pPr>
              <w:pageBreakBefore w:val="0"/>
              <w:wordWrap/>
              <w:topLinePunct w:val="0"/>
              <w:bidi w:val="0"/>
              <w:adjustRightInd w:val="0"/>
              <w:snapToGrid w:val="0"/>
              <w:spacing w:line="240" w:lineRule="exact"/>
              <w:ind w:firstLine="0" w:firstLineChars="0"/>
              <w:jc w:val="center"/>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t>Ca</w:t>
            </w:r>
            <w:r>
              <w:rPr>
                <w:rFonts w:hint="eastAsia" w:ascii="Times New Roman" w:hAnsi="Times New Roman" w:cs="Times New Roman"/>
                <w:color w:val="auto"/>
                <w:sz w:val="24"/>
                <w:szCs w:val="24"/>
                <w:lang w:val="en-US" w:eastAsia="zh-CN"/>
              </w:rPr>
              <w:t>O</w:t>
            </w:r>
          </w:p>
        </w:tc>
        <w:tc>
          <w:tcPr>
            <w:tcW w:w="1134" w:type="dxa"/>
            <w:vMerge w:val="restart"/>
            <w:vAlign w:val="center"/>
          </w:tcPr>
          <w:p w14:paraId="37804DCD">
            <w:pPr>
              <w:pageBreakBefore w:val="0"/>
              <w:wordWrap/>
              <w:topLinePunct w:val="0"/>
              <w:bidi w:val="0"/>
              <w:adjustRightInd w:val="0"/>
              <w:snapToGrid w:val="0"/>
              <w:spacing w:line="240" w:lineRule="exact"/>
              <w:ind w:firstLine="0" w:firstLineChars="0"/>
              <w:jc w:val="center"/>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t>Mg</w:t>
            </w:r>
            <w:r>
              <w:rPr>
                <w:rFonts w:hint="eastAsia" w:ascii="Times New Roman" w:hAnsi="Times New Roman" w:cs="Times New Roman"/>
                <w:color w:val="auto"/>
                <w:sz w:val="24"/>
                <w:szCs w:val="24"/>
                <w:lang w:val="en-US" w:eastAsia="zh-CN"/>
              </w:rPr>
              <w:t>O</w:t>
            </w:r>
          </w:p>
        </w:tc>
        <w:tc>
          <w:tcPr>
            <w:tcW w:w="1474" w:type="dxa"/>
            <w:vMerge w:val="restart"/>
            <w:vAlign w:val="center"/>
          </w:tcPr>
          <w:p w14:paraId="534D2D20">
            <w:pPr>
              <w:pageBreakBefore w:val="0"/>
              <w:wordWrap/>
              <w:topLinePunct w:val="0"/>
              <w:bidi w:val="0"/>
              <w:adjustRightInd w:val="0"/>
              <w:snapToGrid w:val="0"/>
              <w:spacing w:line="24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K</w:t>
            </w:r>
            <w:r>
              <w:rPr>
                <w:rFonts w:hint="default" w:ascii="Times New Roman" w:hAnsi="Times New Roman" w:eastAsia="仿宋" w:cs="Times New Roman"/>
                <w:color w:val="auto"/>
                <w:sz w:val="24"/>
                <w:szCs w:val="24"/>
                <w:vertAlign w:val="subscript"/>
              </w:rPr>
              <w:t>2</w:t>
            </w:r>
            <w:r>
              <w:rPr>
                <w:rFonts w:hint="default" w:ascii="Times New Roman" w:hAnsi="Times New Roman" w:eastAsia="仿宋" w:cs="Times New Roman"/>
                <w:color w:val="auto"/>
                <w:sz w:val="24"/>
                <w:szCs w:val="24"/>
              </w:rPr>
              <w:t>O+ Na</w:t>
            </w:r>
            <w:r>
              <w:rPr>
                <w:rFonts w:hint="default" w:ascii="Times New Roman" w:hAnsi="Times New Roman" w:eastAsia="仿宋" w:cs="Times New Roman"/>
                <w:color w:val="auto"/>
                <w:sz w:val="24"/>
                <w:szCs w:val="24"/>
                <w:vertAlign w:val="subscript"/>
              </w:rPr>
              <w:t>2</w:t>
            </w:r>
            <w:r>
              <w:rPr>
                <w:rFonts w:hint="default" w:ascii="Times New Roman" w:hAnsi="Times New Roman" w:eastAsia="仿宋" w:cs="Times New Roman"/>
                <w:color w:val="auto"/>
                <w:sz w:val="24"/>
                <w:szCs w:val="24"/>
              </w:rPr>
              <w:t>O</w:t>
            </w:r>
          </w:p>
        </w:tc>
        <w:tc>
          <w:tcPr>
            <w:tcW w:w="907" w:type="dxa"/>
            <w:vMerge w:val="restart"/>
            <w:vAlign w:val="center"/>
          </w:tcPr>
          <w:p w14:paraId="7FAD521A">
            <w:pPr>
              <w:pageBreakBefore w:val="0"/>
              <w:wordWrap/>
              <w:topLinePunct w:val="0"/>
              <w:bidi w:val="0"/>
              <w:adjustRightInd w:val="0"/>
              <w:snapToGrid w:val="0"/>
              <w:spacing w:line="24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SO</w:t>
            </w:r>
            <w:r>
              <w:rPr>
                <w:rFonts w:hint="default" w:ascii="Times New Roman" w:hAnsi="Times New Roman" w:eastAsia="仿宋" w:cs="Times New Roman"/>
                <w:color w:val="auto"/>
                <w:sz w:val="24"/>
                <w:szCs w:val="24"/>
                <w:vertAlign w:val="subscript"/>
              </w:rPr>
              <w:t>3</w:t>
            </w:r>
          </w:p>
        </w:tc>
        <w:tc>
          <w:tcPr>
            <w:tcW w:w="1134" w:type="dxa"/>
            <w:vMerge w:val="restart"/>
            <w:vAlign w:val="center"/>
          </w:tcPr>
          <w:p w14:paraId="28BF088B">
            <w:pPr>
              <w:pageBreakBefore w:val="0"/>
              <w:wordWrap/>
              <w:topLinePunct w:val="0"/>
              <w:bidi w:val="0"/>
              <w:adjustRightInd w:val="0"/>
              <w:snapToGrid w:val="0"/>
              <w:spacing w:line="240" w:lineRule="exact"/>
              <w:ind w:firstLine="0" w:firstLineChars="0"/>
              <w:jc w:val="center"/>
              <w:rPr>
                <w:rFonts w:hint="default" w:ascii="Times New Roman" w:hAnsi="Times New Roman" w:eastAsia="仿宋" w:cs="Times New Roman"/>
                <w:color w:val="0000FF"/>
                <w:sz w:val="24"/>
                <w:szCs w:val="24"/>
                <w:highlight w:val="none"/>
                <w:lang w:val="en-US" w:eastAsia="zh-CN"/>
              </w:rPr>
            </w:pPr>
            <w:r>
              <w:rPr>
                <w:rFonts w:hint="eastAsia" w:cs="Times New Roman"/>
                <w:color w:val="0000FF"/>
                <w:sz w:val="24"/>
                <w:szCs w:val="24"/>
                <w:highlight w:val="none"/>
                <w:lang w:val="en-US" w:eastAsia="zh-CN"/>
              </w:rPr>
              <w:t>Cl</w:t>
            </w:r>
            <w:r>
              <w:rPr>
                <w:rFonts w:hint="eastAsia" w:cs="Times New Roman"/>
                <w:color w:val="0000FF"/>
                <w:sz w:val="24"/>
                <w:szCs w:val="24"/>
                <w:highlight w:val="none"/>
                <w:vertAlign w:val="superscript"/>
                <w:lang w:val="en-US" w:eastAsia="zh-CN"/>
              </w:rPr>
              <w:t>-</w:t>
            </w:r>
          </w:p>
        </w:tc>
        <w:tc>
          <w:tcPr>
            <w:tcW w:w="2268" w:type="dxa"/>
            <w:gridSpan w:val="2"/>
            <w:vAlign w:val="center"/>
          </w:tcPr>
          <w:p w14:paraId="2B5F71F5">
            <w:pPr>
              <w:pageBreakBefore w:val="0"/>
              <w:wordWrap/>
              <w:topLinePunct w:val="0"/>
              <w:bidi w:val="0"/>
              <w:adjustRightInd w:val="0"/>
              <w:snapToGrid w:val="0"/>
              <w:spacing w:line="300" w:lineRule="exact"/>
              <w:ind w:firstLine="0" w:firstLineChars="0"/>
              <w:jc w:val="center"/>
              <w:rPr>
                <w:rFonts w:hint="default" w:ascii="Times New Roman" w:hAnsi="Times New Roman" w:eastAsia="仿宋" w:cs="Times New Roman"/>
                <w:i/>
                <w:iCs/>
                <w:color w:val="auto"/>
                <w:sz w:val="24"/>
                <w:szCs w:val="24"/>
              </w:rPr>
            </w:pPr>
            <w:r>
              <w:rPr>
                <w:rFonts w:hint="default" w:ascii="Times New Roman" w:hAnsi="Times New Roman" w:eastAsia="仿宋" w:cs="Times New Roman"/>
                <w:i/>
                <w:iCs/>
                <w:color w:val="auto"/>
                <w:sz w:val="24"/>
                <w:szCs w:val="24"/>
              </w:rPr>
              <w:t>f</w:t>
            </w:r>
            <w:r>
              <w:rPr>
                <w:rFonts w:hint="default" w:ascii="Times New Roman" w:hAnsi="Times New Roman" w:eastAsia="仿宋" w:cs="Times New Roman"/>
                <w:color w:val="auto"/>
                <w:sz w:val="24"/>
                <w:szCs w:val="24"/>
                <w:vertAlign w:val="subscript"/>
              </w:rPr>
              <w:t>SiO2</w:t>
            </w:r>
          </w:p>
        </w:tc>
      </w:tr>
      <w:tr w14:paraId="70B2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34" w:type="dxa"/>
            <w:vMerge w:val="continue"/>
            <w:vAlign w:val="center"/>
          </w:tcPr>
          <w:p w14:paraId="595FE8C8">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p>
        </w:tc>
        <w:tc>
          <w:tcPr>
            <w:tcW w:w="1134" w:type="dxa"/>
            <w:vMerge w:val="continue"/>
            <w:vAlign w:val="center"/>
          </w:tcPr>
          <w:p w14:paraId="5A3B1466">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p>
        </w:tc>
        <w:tc>
          <w:tcPr>
            <w:tcW w:w="1134" w:type="dxa"/>
            <w:vMerge w:val="continue"/>
            <w:vAlign w:val="center"/>
          </w:tcPr>
          <w:p w14:paraId="7C5DABF6">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p>
        </w:tc>
        <w:tc>
          <w:tcPr>
            <w:tcW w:w="1474" w:type="dxa"/>
            <w:vMerge w:val="continue"/>
            <w:vAlign w:val="center"/>
          </w:tcPr>
          <w:p w14:paraId="10707972">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p>
        </w:tc>
        <w:tc>
          <w:tcPr>
            <w:tcW w:w="907" w:type="dxa"/>
            <w:vMerge w:val="continue"/>
            <w:vAlign w:val="center"/>
          </w:tcPr>
          <w:p w14:paraId="2693C9F9">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p>
        </w:tc>
        <w:tc>
          <w:tcPr>
            <w:tcW w:w="1134" w:type="dxa"/>
            <w:vMerge w:val="continue"/>
            <w:vAlign w:val="center"/>
          </w:tcPr>
          <w:p w14:paraId="64FFC662">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0000FF"/>
                <w:sz w:val="24"/>
                <w:szCs w:val="24"/>
                <w:highlight w:val="none"/>
              </w:rPr>
            </w:pPr>
          </w:p>
        </w:tc>
        <w:tc>
          <w:tcPr>
            <w:tcW w:w="1134" w:type="dxa"/>
            <w:vAlign w:val="center"/>
          </w:tcPr>
          <w:p w14:paraId="5B4916A8">
            <w:pPr>
              <w:pageBreakBefore w:val="0"/>
              <w:wordWrap/>
              <w:topLinePunct w:val="0"/>
              <w:bidi w:val="0"/>
              <w:adjustRightInd w:val="0"/>
              <w:snapToGrid w:val="0"/>
              <w:spacing w:line="30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石英质</w:t>
            </w:r>
          </w:p>
        </w:tc>
        <w:tc>
          <w:tcPr>
            <w:tcW w:w="1134" w:type="dxa"/>
            <w:vAlign w:val="center"/>
          </w:tcPr>
          <w:p w14:paraId="588C5CD0">
            <w:pPr>
              <w:pageBreakBefore w:val="0"/>
              <w:wordWrap/>
              <w:topLinePunct w:val="0"/>
              <w:bidi w:val="0"/>
              <w:adjustRightInd w:val="0"/>
              <w:snapToGrid w:val="0"/>
              <w:spacing w:line="30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燧石质</w:t>
            </w:r>
          </w:p>
        </w:tc>
      </w:tr>
      <w:tr w14:paraId="3168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134" w:type="dxa"/>
            <w:vAlign w:val="center"/>
          </w:tcPr>
          <w:p w14:paraId="4CCE6F8C">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Ⅰ级品</w:t>
            </w:r>
          </w:p>
        </w:tc>
        <w:tc>
          <w:tcPr>
            <w:tcW w:w="1134" w:type="dxa"/>
            <w:vAlign w:val="center"/>
          </w:tcPr>
          <w:p w14:paraId="694AEF9F">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48</w:t>
            </w:r>
          </w:p>
        </w:tc>
        <w:tc>
          <w:tcPr>
            <w:tcW w:w="1134" w:type="dxa"/>
            <w:vAlign w:val="center"/>
          </w:tcPr>
          <w:p w14:paraId="2F7772BF">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3.0</w:t>
            </w:r>
          </w:p>
        </w:tc>
        <w:tc>
          <w:tcPr>
            <w:tcW w:w="1474" w:type="dxa"/>
            <w:vAlign w:val="center"/>
          </w:tcPr>
          <w:p w14:paraId="08D3D48A">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0.6</w:t>
            </w:r>
          </w:p>
        </w:tc>
        <w:tc>
          <w:tcPr>
            <w:tcW w:w="907" w:type="dxa"/>
            <w:vAlign w:val="center"/>
          </w:tcPr>
          <w:p w14:paraId="7653B269">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0.5</w:t>
            </w:r>
          </w:p>
        </w:tc>
        <w:tc>
          <w:tcPr>
            <w:tcW w:w="1134" w:type="dxa"/>
            <w:vAlign w:val="center"/>
          </w:tcPr>
          <w:p w14:paraId="44FF8124">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0000FF"/>
                <w:sz w:val="24"/>
                <w:szCs w:val="24"/>
                <w:highlight w:val="none"/>
                <w:lang w:val="en-US" w:eastAsia="zh-CN"/>
              </w:rPr>
            </w:pPr>
            <w:r>
              <w:rPr>
                <w:rFonts w:hint="eastAsia" w:cs="Times New Roman"/>
                <w:color w:val="0000FF"/>
                <w:sz w:val="24"/>
                <w:szCs w:val="24"/>
                <w:highlight w:val="none"/>
                <w:lang w:val="en-US" w:eastAsia="zh-CN"/>
              </w:rPr>
              <w:t>0.02</w:t>
            </w:r>
          </w:p>
        </w:tc>
        <w:tc>
          <w:tcPr>
            <w:tcW w:w="1134" w:type="dxa"/>
            <w:vAlign w:val="center"/>
          </w:tcPr>
          <w:p w14:paraId="42CE7950">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6</w:t>
            </w:r>
          </w:p>
        </w:tc>
        <w:tc>
          <w:tcPr>
            <w:tcW w:w="1134" w:type="dxa"/>
            <w:vAlign w:val="center"/>
          </w:tcPr>
          <w:p w14:paraId="45A5EA3F">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w:t>
            </w:r>
          </w:p>
        </w:tc>
      </w:tr>
      <w:tr w14:paraId="46EB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1134" w:type="dxa"/>
            <w:vAlign w:val="center"/>
          </w:tcPr>
          <w:p w14:paraId="7BD3CC16">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Ⅱ级品</w:t>
            </w:r>
          </w:p>
        </w:tc>
        <w:tc>
          <w:tcPr>
            <w:tcW w:w="1134" w:type="dxa"/>
            <w:vAlign w:val="center"/>
          </w:tcPr>
          <w:p w14:paraId="7E15598B">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45</w:t>
            </w:r>
          </w:p>
        </w:tc>
        <w:tc>
          <w:tcPr>
            <w:tcW w:w="1134" w:type="dxa"/>
            <w:vAlign w:val="center"/>
          </w:tcPr>
          <w:p w14:paraId="1136D2E1">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3.5</w:t>
            </w:r>
          </w:p>
        </w:tc>
        <w:tc>
          <w:tcPr>
            <w:tcW w:w="1474" w:type="dxa"/>
            <w:vAlign w:val="center"/>
          </w:tcPr>
          <w:p w14:paraId="23EF2114">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0.6</w:t>
            </w:r>
          </w:p>
        </w:tc>
        <w:tc>
          <w:tcPr>
            <w:tcW w:w="907" w:type="dxa"/>
            <w:vAlign w:val="center"/>
          </w:tcPr>
          <w:p w14:paraId="6D7B43CC">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0.5</w:t>
            </w:r>
          </w:p>
        </w:tc>
        <w:tc>
          <w:tcPr>
            <w:tcW w:w="1134" w:type="dxa"/>
            <w:vAlign w:val="center"/>
          </w:tcPr>
          <w:p w14:paraId="0772F32A">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0000FF"/>
                <w:sz w:val="24"/>
                <w:szCs w:val="24"/>
                <w:highlight w:val="none"/>
                <w:lang w:val="en-US" w:eastAsia="zh-CN"/>
              </w:rPr>
            </w:pPr>
            <w:r>
              <w:rPr>
                <w:rFonts w:hint="eastAsia" w:cs="Times New Roman"/>
                <w:color w:val="0000FF"/>
                <w:sz w:val="24"/>
                <w:szCs w:val="24"/>
                <w:highlight w:val="none"/>
                <w:lang w:val="en-US" w:eastAsia="zh-CN"/>
              </w:rPr>
              <w:t>0.03</w:t>
            </w:r>
          </w:p>
        </w:tc>
        <w:tc>
          <w:tcPr>
            <w:tcW w:w="1134" w:type="dxa"/>
            <w:vAlign w:val="center"/>
          </w:tcPr>
          <w:p w14:paraId="3D909945">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8</w:t>
            </w:r>
          </w:p>
        </w:tc>
        <w:tc>
          <w:tcPr>
            <w:tcW w:w="1134" w:type="dxa"/>
            <w:vAlign w:val="center"/>
          </w:tcPr>
          <w:p w14:paraId="43E3EB78">
            <w:pPr>
              <w:pageBreakBefore w:val="0"/>
              <w:wordWrap/>
              <w:topLinePunct w:val="0"/>
              <w:bidi w:val="0"/>
              <w:adjustRightInd w:val="0"/>
              <w:snapToGrid w:val="0"/>
              <w:spacing w:line="460" w:lineRule="exact"/>
              <w:ind w:firstLine="0" w:firstLine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w:t>
            </w:r>
          </w:p>
        </w:tc>
      </w:tr>
    </w:tbl>
    <w:p w14:paraId="2113EB69">
      <w:pPr>
        <w:spacing w:before="381" w:beforeLines="100"/>
        <w:ind w:firstLine="560"/>
      </w:pPr>
      <w:r>
        <w:rPr>
          <w:rFonts w:hint="eastAsia" w:ascii="宋体" w:hAnsi="宋体" w:eastAsia="宋体" w:cs="宋体"/>
        </w:rPr>
        <w:t>②</w:t>
      </w:r>
      <w:r>
        <w:t>矿山开采技术条件要求：</w:t>
      </w:r>
    </w:p>
    <w:p w14:paraId="72989F75">
      <w:pPr>
        <w:ind w:firstLine="560"/>
      </w:pPr>
      <w:r>
        <w:t>a、最低可采标高：+372m；</w:t>
      </w:r>
    </w:p>
    <w:p w14:paraId="44E36FFB">
      <w:pPr>
        <w:ind w:firstLine="560"/>
      </w:pPr>
      <w:r>
        <w:t>b、剥采比不大于0.5:1(m</w:t>
      </w:r>
      <w:r>
        <w:rPr>
          <w:vertAlign w:val="superscript"/>
        </w:rPr>
        <w:t>3</w:t>
      </w:r>
      <w:r>
        <w:t>：m</w:t>
      </w:r>
      <w:r>
        <w:rPr>
          <w:vertAlign w:val="superscript"/>
        </w:rPr>
        <w:t>3</w:t>
      </w:r>
      <w:r>
        <w:t>)；</w:t>
      </w:r>
    </w:p>
    <w:p w14:paraId="50FDF11B">
      <w:pPr>
        <w:ind w:firstLine="560"/>
      </w:pPr>
      <w:r>
        <w:t>c、可采厚度：4m；</w:t>
      </w:r>
    </w:p>
    <w:p w14:paraId="56EBB442">
      <w:pPr>
        <w:ind w:firstLine="560"/>
      </w:pPr>
      <w:r>
        <w:t>d、夹石剔除厚度：2m；</w:t>
      </w:r>
    </w:p>
    <w:p w14:paraId="5030F02F">
      <w:pPr>
        <w:ind w:firstLine="560"/>
      </w:pPr>
      <w:r>
        <w:t>e、采场最终边坡角：60°；</w:t>
      </w:r>
    </w:p>
    <w:p w14:paraId="00AD46A3">
      <w:pPr>
        <w:ind w:firstLine="560"/>
      </w:pPr>
      <w:r>
        <w:t>f、采场最终底盘最小宽度：不小于60m。</w:t>
      </w:r>
    </w:p>
    <w:p w14:paraId="451E27B3">
      <w:pPr>
        <w:ind w:firstLine="560"/>
      </w:pPr>
      <w:r>
        <w:t>e、爆破安全距离：矿床开采边界对公路、铁路、高压线、居民区和其他主要建筑物的爆破安全距离一般不小于300m，</w:t>
      </w:r>
    </w:p>
    <w:p w14:paraId="7AAAE65E">
      <w:pPr>
        <w:pStyle w:val="4"/>
      </w:pPr>
      <w:bookmarkStart w:id="375" w:name="_Toc7558"/>
      <w:r>
        <w:t>5.2 矿体圈定原则</w:t>
      </w:r>
      <w:bookmarkEnd w:id="371"/>
      <w:bookmarkEnd w:id="372"/>
      <w:bookmarkEnd w:id="373"/>
      <w:bookmarkEnd w:id="374"/>
      <w:bookmarkEnd w:id="375"/>
    </w:p>
    <w:p w14:paraId="47AAD43B">
      <w:pPr>
        <w:ind w:firstLine="560"/>
        <w:rPr>
          <w:kern w:val="0"/>
          <w:szCs w:val="28"/>
        </w:rPr>
      </w:pPr>
      <w:r>
        <w:rPr>
          <w:kern w:val="0"/>
          <w:szCs w:val="28"/>
        </w:rPr>
        <w:t>矿体按矿床地质特征、工业指标、资源量估算范围界线及矿床最低开采标高进行圈定。矿区范围内所有矿石均符合资源量估算工业指标要求，全部均可圈为矿体。矿体底界以最低开采标高+372m来圈定，平面以拟设采矿权范围界线作为资源量估算范围界线。</w:t>
      </w:r>
    </w:p>
    <w:p w14:paraId="7C2CD32F">
      <w:pPr>
        <w:pStyle w:val="4"/>
      </w:pPr>
      <w:bookmarkStart w:id="376" w:name="_Toc6456"/>
      <w:bookmarkStart w:id="377" w:name="_Toc176901253"/>
      <w:bookmarkStart w:id="378" w:name="_Toc19293"/>
      <w:bookmarkStart w:id="379" w:name="_Toc4226"/>
      <w:bookmarkStart w:id="380" w:name="_Toc12505"/>
      <w:r>
        <w:t>5.3 预算方法</w:t>
      </w:r>
      <w:bookmarkEnd w:id="376"/>
      <w:bookmarkEnd w:id="377"/>
      <w:bookmarkEnd w:id="378"/>
      <w:bookmarkEnd w:id="379"/>
      <w:bookmarkEnd w:id="380"/>
    </w:p>
    <w:p w14:paraId="0ACA71AF">
      <w:pPr>
        <w:ind w:firstLine="560"/>
      </w:pPr>
      <w:r>
        <w:t>矿体形态规则，为单斜层状，产状整体较稳定，矿山地形变化较大，工程布置采用了基本垂直矿体走向的平行勘探线法，因此本次设计采用水平断面法预算资源储量。</w:t>
      </w:r>
    </w:p>
    <w:p w14:paraId="4050E82E">
      <w:pPr>
        <w:ind w:firstLine="560"/>
      </w:pPr>
      <w:r>
        <w:t>为科学配置资源和采矿权出让，考虑今后矿山年度储量动态监测衔接，要求详查成果提交的资源储量采用水平断面法估算。</w:t>
      </w:r>
    </w:p>
    <w:p w14:paraId="053A0B9D">
      <w:pPr>
        <w:ind w:firstLine="560"/>
        <w:rPr>
          <w:szCs w:val="28"/>
        </w:rPr>
      </w:pPr>
      <w:r>
        <w:rPr>
          <w:szCs w:val="28"/>
        </w:rPr>
        <w:t>（1）体积计算公式：</w:t>
      </w:r>
    </w:p>
    <w:p w14:paraId="27FBB28B">
      <w:pPr>
        <w:ind w:firstLine="560"/>
        <w:rPr>
          <w:szCs w:val="28"/>
        </w:rPr>
      </w:pPr>
      <w:r>
        <w:rPr>
          <w:szCs w:val="28"/>
        </w:rPr>
        <w:t>当相邻两断面上矿层之相对面积差(S</w:t>
      </w:r>
      <w:r>
        <w:rPr>
          <w:szCs w:val="28"/>
          <w:vertAlign w:val="subscript"/>
        </w:rPr>
        <w:t>1</w:t>
      </w:r>
      <w:r>
        <w:rPr>
          <w:szCs w:val="28"/>
        </w:rPr>
        <w:t>-S</w:t>
      </w:r>
      <w:r>
        <w:rPr>
          <w:szCs w:val="28"/>
          <w:vertAlign w:val="subscript"/>
        </w:rPr>
        <w:t>2</w:t>
      </w:r>
      <w:r>
        <w:rPr>
          <w:szCs w:val="28"/>
        </w:rPr>
        <w:t>)/S</w:t>
      </w:r>
      <w:r>
        <w:rPr>
          <w:szCs w:val="28"/>
          <w:vertAlign w:val="subscript"/>
        </w:rPr>
        <w:t>1</w:t>
      </w:r>
      <w:r>
        <w:rPr>
          <w:szCs w:val="28"/>
        </w:rPr>
        <w:t>≤40%时，用梯形体积公式：V=(S</w:t>
      </w:r>
      <w:r>
        <w:rPr>
          <w:szCs w:val="28"/>
          <w:vertAlign w:val="subscript"/>
        </w:rPr>
        <w:t>1</w:t>
      </w:r>
      <w:r>
        <w:rPr>
          <w:szCs w:val="28"/>
        </w:rPr>
        <w:t>+S</w:t>
      </w:r>
      <w:r>
        <w:rPr>
          <w:szCs w:val="28"/>
          <w:vertAlign w:val="subscript"/>
        </w:rPr>
        <w:t>2</w:t>
      </w:r>
      <w:r>
        <w:rPr>
          <w:szCs w:val="28"/>
        </w:rPr>
        <w:t>)·L/2；</w:t>
      </w:r>
    </w:p>
    <w:p w14:paraId="630E778B">
      <w:pPr>
        <w:ind w:firstLine="560"/>
        <w:rPr>
          <w:szCs w:val="28"/>
        </w:rPr>
      </w:pPr>
      <w:r>
        <w:rPr>
          <w:szCs w:val="28"/>
        </w:rPr>
        <w:t>当相相邻两断面上矿层之相对面积差(S</w:t>
      </w:r>
      <w:r>
        <w:rPr>
          <w:szCs w:val="28"/>
          <w:vertAlign w:val="subscript"/>
        </w:rPr>
        <w:t>1</w:t>
      </w:r>
      <w:r>
        <w:rPr>
          <w:szCs w:val="28"/>
        </w:rPr>
        <w:t>-S</w:t>
      </w:r>
      <w:r>
        <w:rPr>
          <w:szCs w:val="28"/>
          <w:vertAlign w:val="subscript"/>
        </w:rPr>
        <w:t>2</w:t>
      </w:r>
      <w:r>
        <w:rPr>
          <w:szCs w:val="28"/>
        </w:rPr>
        <w:t>)/S</w:t>
      </w:r>
      <w:r>
        <w:rPr>
          <w:szCs w:val="28"/>
          <w:vertAlign w:val="subscript"/>
        </w:rPr>
        <w:t>1</w:t>
      </w:r>
      <w:r>
        <w:rPr>
          <w:szCs w:val="28"/>
        </w:rPr>
        <w:t>&gt;40%时，用截锥体积公式：V=(S</w:t>
      </w:r>
      <w:r>
        <w:rPr>
          <w:szCs w:val="28"/>
          <w:vertAlign w:val="subscript"/>
        </w:rPr>
        <w:t>1</w:t>
      </w:r>
      <w:r>
        <w:rPr>
          <w:szCs w:val="28"/>
        </w:rPr>
        <w:t>+S</w:t>
      </w:r>
      <w:r>
        <w:rPr>
          <w:szCs w:val="28"/>
          <w:vertAlign w:val="subscript"/>
        </w:rPr>
        <w:t>2</w:t>
      </w:r>
      <w:r>
        <w:rPr>
          <w:szCs w:val="28"/>
        </w:rPr>
        <w:t>+</w:t>
      </w:r>
      <w:r>
        <w:rPr>
          <w:position w:val="-14"/>
          <w:szCs w:val="28"/>
        </w:rPr>
        <w:object>
          <v:shape id="_x0000_i1026" o:spt="75" type="#_x0000_t75" style="height:24.75pt;width:46.5pt;" o:ole="t" filled="f" o:preferrelative="t" stroked="f" coordsize="21600,21600">
            <v:path/>
            <v:fill on="f" focussize="0,0"/>
            <v:stroke on="f" joinstyle="miter"/>
            <v:imagedata r:id="rId21" o:title=""/>
            <o:lock v:ext="edit" aspectratio="t"/>
            <w10:wrap type="none"/>
            <w10:anchorlock/>
          </v:shape>
          <o:OLEObject Type="Embed" ProgID="Equation.DSMT4" ShapeID="_x0000_i1026" DrawAspect="Content" ObjectID="_1468075726" r:id="rId20">
            <o:LockedField>false</o:LockedField>
          </o:OLEObject>
        </w:object>
      </w:r>
      <w:r>
        <w:rPr>
          <w:szCs w:val="28"/>
        </w:rPr>
        <w:t>)·L/3；</w:t>
      </w:r>
    </w:p>
    <w:p w14:paraId="25167CB5">
      <w:pPr>
        <w:ind w:firstLine="560"/>
        <w:rPr>
          <w:szCs w:val="28"/>
        </w:rPr>
      </w:pPr>
      <w:r>
        <w:rPr>
          <w:szCs w:val="28"/>
        </w:rPr>
        <w:t>当单断面外推呈楔形尖灭时，用楔形公式预算块段体积：V=L·S/2，当呈点尖灭时用锥体公式：V=L·S/3。</w:t>
      </w:r>
    </w:p>
    <w:p w14:paraId="5B538390">
      <w:pPr>
        <w:ind w:firstLine="560"/>
        <w:rPr>
          <w:szCs w:val="28"/>
        </w:rPr>
      </w:pPr>
      <w:r>
        <w:rPr>
          <w:szCs w:val="28"/>
        </w:rPr>
        <w:t>式中：V—相邻两断面矿层体积(m</w:t>
      </w:r>
      <w:r>
        <w:rPr>
          <w:szCs w:val="28"/>
          <w:vertAlign w:val="superscript"/>
        </w:rPr>
        <w:t>3</w:t>
      </w:r>
      <w:r>
        <w:rPr>
          <w:szCs w:val="28"/>
        </w:rPr>
        <w:t>)；L—相邻两断面之间距或至尖灭点的距离(m)；S</w:t>
      </w:r>
      <w:r>
        <w:rPr>
          <w:szCs w:val="28"/>
          <w:vertAlign w:val="subscript"/>
        </w:rPr>
        <w:t>1</w:t>
      </w:r>
      <w:r>
        <w:rPr>
          <w:szCs w:val="28"/>
        </w:rPr>
        <w:t>、S</w:t>
      </w:r>
      <w:r>
        <w:rPr>
          <w:szCs w:val="28"/>
          <w:vertAlign w:val="subscript"/>
        </w:rPr>
        <w:t>2</w:t>
      </w:r>
      <w:r>
        <w:rPr>
          <w:szCs w:val="28"/>
        </w:rPr>
        <w:t>—相邻两断面上的矿层面积(m</w:t>
      </w:r>
      <w:r>
        <w:rPr>
          <w:szCs w:val="28"/>
          <w:vertAlign w:val="superscript"/>
        </w:rPr>
        <w:t>2</w:t>
      </w:r>
      <w:r>
        <w:rPr>
          <w:szCs w:val="28"/>
        </w:rPr>
        <w:t>)。</w:t>
      </w:r>
    </w:p>
    <w:p w14:paraId="32B5C5D2">
      <w:pPr>
        <w:ind w:firstLine="560"/>
        <w:rPr>
          <w:szCs w:val="28"/>
        </w:rPr>
      </w:pPr>
      <w:r>
        <w:rPr>
          <w:szCs w:val="28"/>
        </w:rPr>
        <w:t>（2）资源/储量预算公式：Q</w:t>
      </w:r>
      <w:r>
        <w:rPr>
          <w:szCs w:val="28"/>
          <w:vertAlign w:val="subscript"/>
        </w:rPr>
        <w:t>i</w:t>
      </w:r>
      <w:r>
        <w:rPr>
          <w:szCs w:val="28"/>
        </w:rPr>
        <w:t>=V</w:t>
      </w:r>
      <w:r>
        <w:rPr>
          <w:szCs w:val="28"/>
          <w:vertAlign w:val="subscript"/>
        </w:rPr>
        <w:t>i</w:t>
      </w:r>
      <w:r>
        <w:rPr>
          <w:szCs w:val="28"/>
        </w:rPr>
        <w:t>·D÷10000，</w:t>
      </w:r>
    </w:p>
    <w:p w14:paraId="120A46DB">
      <w:pPr>
        <w:ind w:firstLine="560"/>
        <w:rPr>
          <w:szCs w:val="28"/>
        </w:rPr>
      </w:pPr>
      <w:r>
        <w:rPr>
          <w:szCs w:val="28"/>
        </w:rPr>
        <w:t>矿区总资源/储量：Q总=∑(Q</w:t>
      </w:r>
      <w:r>
        <w:rPr>
          <w:szCs w:val="28"/>
          <w:vertAlign w:val="subscript"/>
        </w:rPr>
        <w:t>1</w:t>
      </w:r>
      <w:r>
        <w:rPr>
          <w:szCs w:val="28"/>
        </w:rPr>
        <w:t>+Q</w:t>
      </w:r>
      <w:r>
        <w:rPr>
          <w:szCs w:val="28"/>
          <w:vertAlign w:val="subscript"/>
        </w:rPr>
        <w:t>2</w:t>
      </w:r>
      <w:r>
        <w:rPr>
          <w:szCs w:val="28"/>
        </w:rPr>
        <w:t>+…Q</w:t>
      </w:r>
      <w:r>
        <w:rPr>
          <w:szCs w:val="28"/>
          <w:vertAlign w:val="subscript"/>
        </w:rPr>
        <w:t>i</w:t>
      </w:r>
      <w:r>
        <w:rPr>
          <w:szCs w:val="28"/>
        </w:rPr>
        <w:t>)。</w:t>
      </w:r>
    </w:p>
    <w:p w14:paraId="40E59918">
      <w:pPr>
        <w:ind w:firstLine="560"/>
        <w:rPr>
          <w:szCs w:val="28"/>
        </w:rPr>
      </w:pPr>
      <w:r>
        <w:rPr>
          <w:szCs w:val="28"/>
        </w:rPr>
        <w:t>Qi：块段矿石资源/储量(万t)，V</w:t>
      </w:r>
      <w:r>
        <w:rPr>
          <w:szCs w:val="28"/>
          <w:vertAlign w:val="subscript"/>
        </w:rPr>
        <w:t>i</w:t>
      </w:r>
      <w:r>
        <w:rPr>
          <w:szCs w:val="28"/>
        </w:rPr>
        <w:t>：块段矿石体积(m</w:t>
      </w:r>
      <w:r>
        <w:rPr>
          <w:szCs w:val="28"/>
          <w:vertAlign w:val="superscript"/>
        </w:rPr>
        <w:t>3</w:t>
      </w:r>
      <w:r>
        <w:rPr>
          <w:szCs w:val="28"/>
        </w:rPr>
        <w:t>)，D：矿石干体重(t/m</w:t>
      </w:r>
      <w:r>
        <w:rPr>
          <w:szCs w:val="28"/>
          <w:vertAlign w:val="superscript"/>
        </w:rPr>
        <w:t>3</w:t>
      </w:r>
      <w:r>
        <w:rPr>
          <w:szCs w:val="28"/>
        </w:rPr>
        <w:t>)，Q总：矿区总资源/储量。</w:t>
      </w:r>
    </w:p>
    <w:p w14:paraId="22471D61">
      <w:pPr>
        <w:pStyle w:val="4"/>
      </w:pPr>
      <w:bookmarkStart w:id="381" w:name="_Toc4193"/>
      <w:bookmarkStart w:id="382" w:name="_Toc27098"/>
      <w:bookmarkStart w:id="383" w:name="_Toc24183"/>
      <w:bookmarkStart w:id="384" w:name="_Toc176901254"/>
      <w:bookmarkStart w:id="385" w:name="_Toc16841"/>
      <w:r>
        <w:t>5.4 资源量预算参数</w:t>
      </w:r>
      <w:bookmarkEnd w:id="381"/>
      <w:bookmarkEnd w:id="382"/>
      <w:bookmarkEnd w:id="383"/>
      <w:bookmarkEnd w:id="384"/>
      <w:bookmarkEnd w:id="385"/>
    </w:p>
    <w:p w14:paraId="0B47C81D">
      <w:pPr>
        <w:ind w:firstLine="560"/>
        <w:rPr>
          <w:kern w:val="0"/>
          <w:szCs w:val="28"/>
        </w:rPr>
      </w:pPr>
      <w:r>
        <w:rPr>
          <w:kern w:val="0"/>
          <w:szCs w:val="28"/>
        </w:rPr>
        <w:t>L：在资源储量预算平面图上用CAD软件直接量取；</w:t>
      </w:r>
    </w:p>
    <w:p w14:paraId="2865C103">
      <w:pPr>
        <w:ind w:firstLine="560"/>
        <w:rPr>
          <w:kern w:val="0"/>
          <w:szCs w:val="28"/>
        </w:rPr>
      </w:pPr>
      <w:r>
        <w:rPr>
          <w:kern w:val="0"/>
          <w:szCs w:val="28"/>
        </w:rPr>
        <w:t>S</w:t>
      </w:r>
      <w:r>
        <w:rPr>
          <w:kern w:val="0"/>
          <w:szCs w:val="28"/>
          <w:vertAlign w:val="subscript"/>
        </w:rPr>
        <w:t>1</w:t>
      </w:r>
      <w:r>
        <w:rPr>
          <w:kern w:val="0"/>
          <w:szCs w:val="28"/>
        </w:rPr>
        <w:t>、S</w:t>
      </w:r>
      <w:r>
        <w:rPr>
          <w:kern w:val="0"/>
          <w:szCs w:val="28"/>
          <w:vertAlign w:val="subscript"/>
        </w:rPr>
        <w:t>2</w:t>
      </w:r>
      <w:r>
        <w:rPr>
          <w:kern w:val="0"/>
          <w:szCs w:val="28"/>
        </w:rPr>
        <w:t>：资源储量预算剖面图上用CAD软件直接量取；</w:t>
      </w:r>
    </w:p>
    <w:p w14:paraId="11FDA679">
      <w:pPr>
        <w:ind w:firstLine="560"/>
      </w:pPr>
      <w:r>
        <w:rPr>
          <w:kern w:val="0"/>
          <w:szCs w:val="28"/>
        </w:rPr>
        <w:t>D：采用历史详查报告中矿山石灰岩体积密度(体重)测试值2.70t/m</w:t>
      </w:r>
      <w:r>
        <w:rPr>
          <w:kern w:val="0"/>
          <w:szCs w:val="28"/>
          <w:vertAlign w:val="superscript"/>
        </w:rPr>
        <w:t>3</w:t>
      </w:r>
      <w:r>
        <w:rPr>
          <w:kern w:val="0"/>
          <w:szCs w:val="28"/>
        </w:rPr>
        <w:t>。</w:t>
      </w:r>
    </w:p>
    <w:p w14:paraId="6728A865">
      <w:pPr>
        <w:pStyle w:val="4"/>
      </w:pPr>
      <w:bookmarkStart w:id="386" w:name="_Toc10857"/>
      <w:bookmarkStart w:id="387" w:name="_Toc176901255"/>
      <w:bookmarkStart w:id="388" w:name="_Toc9177"/>
      <w:bookmarkStart w:id="389" w:name="_Toc29989"/>
      <w:bookmarkStart w:id="390" w:name="_Toc4656"/>
      <w:r>
        <w:t>5.5 资源量预算结果</w:t>
      </w:r>
      <w:bookmarkEnd w:id="386"/>
      <w:bookmarkEnd w:id="387"/>
      <w:bookmarkEnd w:id="388"/>
      <w:bookmarkEnd w:id="389"/>
      <w:bookmarkEnd w:id="390"/>
    </w:p>
    <w:p w14:paraId="0FA8CBCD">
      <w:pPr>
        <w:ind w:firstLine="560"/>
        <w:rPr>
          <w:highlight w:val="yellow"/>
        </w:rPr>
      </w:pPr>
      <w:r>
        <w:t>资源量预估算范围为整个拟整合采矿权范围，根据计算，采空资源量为3200.84万m</w:t>
      </w:r>
      <w:r>
        <w:rPr>
          <w:vertAlign w:val="superscript"/>
        </w:rPr>
        <w:t>3</w:t>
      </w:r>
      <w:r>
        <w:t>（合0.864亿t），预期提交水泥用灰岩矿总资源量（控制+推断）6325.88万m</w:t>
      </w:r>
      <w:r>
        <w:rPr>
          <w:vertAlign w:val="superscript"/>
        </w:rPr>
        <w:t>3</w:t>
      </w:r>
      <w:r>
        <w:t>（合1.708亿t），其中控制资源量4527.26万m</w:t>
      </w:r>
      <w:r>
        <w:rPr>
          <w:vertAlign w:val="superscript"/>
        </w:rPr>
        <w:t>3</w:t>
      </w:r>
      <w:r>
        <w:t>（合1.222亿t），占比71.57%；推断资源量1798.61万m</w:t>
      </w:r>
      <w:r>
        <w:rPr>
          <w:vertAlign w:val="superscript"/>
        </w:rPr>
        <w:t>3</w:t>
      </w:r>
      <w:r>
        <w:t>（合0.486亿t），占比28.43%。水泥用灰岩矿资源量预估算结果详见表5-2。</w:t>
      </w:r>
    </w:p>
    <w:p w14:paraId="23F9D153">
      <w:pPr>
        <w:ind w:firstLine="560"/>
        <w:rPr>
          <w:highlight w:val="yellow"/>
        </w:rPr>
        <w:sectPr>
          <w:pgSz w:w="11906" w:h="16838"/>
          <w:pgMar w:top="1247" w:right="1134" w:bottom="1247" w:left="1247" w:header="720" w:footer="720" w:gutter="0"/>
          <w:cols w:space="720" w:num="1"/>
          <w:docGrid w:type="lines" w:linePitch="381" w:charSpace="0"/>
        </w:sectPr>
      </w:pPr>
    </w:p>
    <w:p w14:paraId="1ECF3373">
      <w:pPr>
        <w:spacing w:line="240" w:lineRule="auto"/>
        <w:ind w:firstLine="0" w:firstLineChars="0"/>
        <w:jc w:val="center"/>
        <w:rPr>
          <w:b/>
          <w:bCs/>
        </w:rPr>
      </w:pPr>
      <w:r>
        <w:rPr>
          <w:b/>
          <w:bCs/>
        </w:rPr>
        <w:t>表5-2  资源量估算表</w:t>
      </w:r>
    </w:p>
    <w:tbl>
      <w:tblPr>
        <w:tblStyle w:val="32"/>
        <w:tblW w:w="14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863"/>
        <w:gridCol w:w="794"/>
        <w:gridCol w:w="1438"/>
        <w:gridCol w:w="1151"/>
        <w:gridCol w:w="1171"/>
        <w:gridCol w:w="1110"/>
        <w:gridCol w:w="2548"/>
        <w:gridCol w:w="1109"/>
        <w:gridCol w:w="1069"/>
        <w:gridCol w:w="1109"/>
        <w:gridCol w:w="1080"/>
      </w:tblGrid>
      <w:tr w14:paraId="0D67D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blHeader/>
        </w:trPr>
        <w:tc>
          <w:tcPr>
            <w:tcW w:w="1137" w:type="dxa"/>
            <w:vAlign w:val="center"/>
          </w:tcPr>
          <w:p w14:paraId="7391E7B9">
            <w:pPr>
              <w:widowControl/>
              <w:spacing w:line="240" w:lineRule="auto"/>
              <w:ind w:firstLine="0" w:firstLineChars="0"/>
              <w:jc w:val="center"/>
              <w:rPr>
                <w:kern w:val="0"/>
                <w:sz w:val="21"/>
                <w:szCs w:val="21"/>
              </w:rPr>
            </w:pPr>
            <w:r>
              <w:rPr>
                <w:kern w:val="0"/>
                <w:sz w:val="21"/>
                <w:szCs w:val="21"/>
              </w:rPr>
              <w:t>矿石</w:t>
            </w:r>
          </w:p>
          <w:p w14:paraId="12A67761">
            <w:pPr>
              <w:widowControl/>
              <w:spacing w:line="240" w:lineRule="auto"/>
              <w:ind w:firstLine="0" w:firstLineChars="0"/>
              <w:jc w:val="center"/>
              <w:rPr>
                <w:kern w:val="0"/>
                <w:sz w:val="21"/>
                <w:szCs w:val="21"/>
              </w:rPr>
            </w:pPr>
            <w:r>
              <w:rPr>
                <w:kern w:val="0"/>
                <w:sz w:val="21"/>
                <w:szCs w:val="21"/>
              </w:rPr>
              <w:t>类型</w:t>
            </w:r>
          </w:p>
        </w:tc>
        <w:tc>
          <w:tcPr>
            <w:tcW w:w="863" w:type="dxa"/>
            <w:vAlign w:val="center"/>
          </w:tcPr>
          <w:p w14:paraId="62ACFBC8">
            <w:pPr>
              <w:widowControl/>
              <w:spacing w:line="240" w:lineRule="auto"/>
              <w:ind w:firstLine="0" w:firstLineChars="0"/>
              <w:jc w:val="center"/>
              <w:rPr>
                <w:kern w:val="0"/>
                <w:sz w:val="21"/>
                <w:szCs w:val="21"/>
              </w:rPr>
            </w:pPr>
            <w:r>
              <w:rPr>
                <w:kern w:val="0"/>
                <w:sz w:val="21"/>
                <w:szCs w:val="21"/>
              </w:rPr>
              <w:t>资源量类别</w:t>
            </w:r>
          </w:p>
        </w:tc>
        <w:tc>
          <w:tcPr>
            <w:tcW w:w="794" w:type="dxa"/>
            <w:vAlign w:val="center"/>
          </w:tcPr>
          <w:p w14:paraId="4C3C0065">
            <w:pPr>
              <w:widowControl/>
              <w:spacing w:line="240" w:lineRule="auto"/>
              <w:ind w:firstLine="0" w:firstLineChars="0"/>
              <w:jc w:val="center"/>
              <w:rPr>
                <w:kern w:val="0"/>
                <w:sz w:val="21"/>
                <w:szCs w:val="21"/>
              </w:rPr>
            </w:pPr>
            <w:r>
              <w:rPr>
                <w:kern w:val="0"/>
                <w:sz w:val="21"/>
                <w:szCs w:val="21"/>
              </w:rPr>
              <w:t>块段编号</w:t>
            </w:r>
          </w:p>
        </w:tc>
        <w:tc>
          <w:tcPr>
            <w:tcW w:w="1438" w:type="dxa"/>
            <w:vAlign w:val="center"/>
          </w:tcPr>
          <w:p w14:paraId="5F2E6336">
            <w:pPr>
              <w:widowControl/>
              <w:spacing w:line="240" w:lineRule="auto"/>
              <w:ind w:firstLine="0" w:firstLineChars="0"/>
              <w:jc w:val="center"/>
              <w:rPr>
                <w:kern w:val="0"/>
                <w:sz w:val="21"/>
                <w:szCs w:val="21"/>
              </w:rPr>
            </w:pPr>
            <w:r>
              <w:rPr>
                <w:kern w:val="0"/>
                <w:sz w:val="21"/>
                <w:szCs w:val="21"/>
              </w:rPr>
              <w:t>中段编号</w:t>
            </w:r>
          </w:p>
        </w:tc>
        <w:tc>
          <w:tcPr>
            <w:tcW w:w="1151" w:type="dxa"/>
            <w:vAlign w:val="center"/>
          </w:tcPr>
          <w:p w14:paraId="5D752093">
            <w:pPr>
              <w:widowControl/>
              <w:spacing w:line="240" w:lineRule="auto"/>
              <w:ind w:firstLine="0" w:firstLineChars="0"/>
              <w:jc w:val="center"/>
              <w:rPr>
                <w:kern w:val="0"/>
                <w:sz w:val="21"/>
                <w:szCs w:val="21"/>
              </w:rPr>
            </w:pPr>
            <w:r>
              <w:rPr>
                <w:kern w:val="0"/>
                <w:sz w:val="21"/>
                <w:szCs w:val="21"/>
              </w:rPr>
              <w:t>面积编号</w:t>
            </w:r>
          </w:p>
        </w:tc>
        <w:tc>
          <w:tcPr>
            <w:tcW w:w="1171" w:type="dxa"/>
            <w:vAlign w:val="center"/>
          </w:tcPr>
          <w:p w14:paraId="4E26BB14">
            <w:pPr>
              <w:widowControl/>
              <w:spacing w:line="240" w:lineRule="auto"/>
              <w:ind w:firstLine="0" w:firstLineChars="0"/>
              <w:jc w:val="center"/>
              <w:rPr>
                <w:kern w:val="0"/>
                <w:sz w:val="21"/>
                <w:szCs w:val="21"/>
              </w:rPr>
            </w:pPr>
            <w:r>
              <w:rPr>
                <w:kern w:val="0"/>
                <w:sz w:val="21"/>
                <w:szCs w:val="21"/>
              </w:rPr>
              <w:t>断面面积S(m</w:t>
            </w:r>
            <w:r>
              <w:rPr>
                <w:kern w:val="0"/>
                <w:sz w:val="21"/>
                <w:szCs w:val="21"/>
                <w:vertAlign w:val="superscript"/>
              </w:rPr>
              <w:t>2</w:t>
            </w:r>
            <w:r>
              <w:rPr>
                <w:kern w:val="0"/>
                <w:sz w:val="21"/>
                <w:szCs w:val="21"/>
              </w:rPr>
              <w:t>)</w:t>
            </w:r>
          </w:p>
        </w:tc>
        <w:tc>
          <w:tcPr>
            <w:tcW w:w="1110" w:type="dxa"/>
            <w:vAlign w:val="center"/>
          </w:tcPr>
          <w:p w14:paraId="135DBA2D">
            <w:pPr>
              <w:widowControl/>
              <w:spacing w:line="240" w:lineRule="auto"/>
              <w:ind w:firstLine="0" w:firstLineChars="0"/>
              <w:jc w:val="center"/>
              <w:rPr>
                <w:kern w:val="0"/>
                <w:sz w:val="21"/>
                <w:szCs w:val="21"/>
              </w:rPr>
            </w:pPr>
            <w:r>
              <w:rPr>
                <w:kern w:val="0"/>
                <w:sz w:val="21"/>
                <w:szCs w:val="21"/>
              </w:rPr>
              <w:t>平面间距 L(m)</w:t>
            </w:r>
          </w:p>
        </w:tc>
        <w:tc>
          <w:tcPr>
            <w:tcW w:w="2548" w:type="dxa"/>
            <w:vAlign w:val="center"/>
          </w:tcPr>
          <w:p w14:paraId="6D53CF46">
            <w:pPr>
              <w:widowControl/>
              <w:spacing w:line="240" w:lineRule="auto"/>
              <w:ind w:firstLine="0" w:firstLineChars="0"/>
              <w:jc w:val="center"/>
              <w:rPr>
                <w:kern w:val="0"/>
                <w:sz w:val="21"/>
                <w:szCs w:val="21"/>
              </w:rPr>
            </w:pPr>
            <w:r>
              <w:rPr>
                <w:kern w:val="0"/>
                <w:sz w:val="21"/>
                <w:szCs w:val="21"/>
              </w:rPr>
              <w:t>矿石体积计算公式V(m</w:t>
            </w:r>
            <w:r>
              <w:rPr>
                <w:kern w:val="0"/>
                <w:sz w:val="21"/>
                <w:szCs w:val="21"/>
                <w:vertAlign w:val="superscript"/>
              </w:rPr>
              <w:t>3</w:t>
            </w:r>
            <w:r>
              <w:rPr>
                <w:kern w:val="0"/>
                <w:sz w:val="21"/>
                <w:szCs w:val="21"/>
              </w:rPr>
              <w:t>)</w:t>
            </w:r>
          </w:p>
        </w:tc>
        <w:tc>
          <w:tcPr>
            <w:tcW w:w="1109" w:type="dxa"/>
            <w:vAlign w:val="center"/>
          </w:tcPr>
          <w:p w14:paraId="407328DD">
            <w:pPr>
              <w:widowControl/>
              <w:spacing w:line="240" w:lineRule="auto"/>
              <w:ind w:firstLine="0" w:firstLineChars="0"/>
              <w:jc w:val="center"/>
              <w:rPr>
                <w:kern w:val="0"/>
                <w:sz w:val="21"/>
                <w:szCs w:val="21"/>
              </w:rPr>
            </w:pPr>
            <w:r>
              <w:rPr>
                <w:kern w:val="0"/>
                <w:sz w:val="21"/>
                <w:szCs w:val="21"/>
              </w:rPr>
              <w:t>矿石体重D(t/m</w:t>
            </w:r>
            <w:r>
              <w:rPr>
                <w:kern w:val="0"/>
                <w:sz w:val="21"/>
                <w:szCs w:val="21"/>
                <w:vertAlign w:val="superscript"/>
              </w:rPr>
              <w:t>3</w:t>
            </w:r>
            <w:r>
              <w:rPr>
                <w:kern w:val="0"/>
                <w:sz w:val="21"/>
                <w:szCs w:val="21"/>
              </w:rPr>
              <w:t>)</w:t>
            </w:r>
          </w:p>
        </w:tc>
        <w:tc>
          <w:tcPr>
            <w:tcW w:w="1069" w:type="dxa"/>
            <w:vAlign w:val="center"/>
          </w:tcPr>
          <w:p w14:paraId="712CAF0B">
            <w:pPr>
              <w:widowControl/>
              <w:spacing w:line="240" w:lineRule="auto"/>
              <w:ind w:firstLine="0" w:firstLineChars="0"/>
              <w:jc w:val="center"/>
              <w:rPr>
                <w:kern w:val="0"/>
                <w:sz w:val="21"/>
                <w:szCs w:val="21"/>
              </w:rPr>
            </w:pPr>
            <w:r>
              <w:rPr>
                <w:kern w:val="0"/>
                <w:sz w:val="21"/>
                <w:szCs w:val="21"/>
              </w:rPr>
              <w:t>矿体体积（万m</w:t>
            </w:r>
            <w:r>
              <w:rPr>
                <w:kern w:val="0"/>
                <w:sz w:val="21"/>
                <w:szCs w:val="21"/>
                <w:vertAlign w:val="superscript"/>
              </w:rPr>
              <w:t>3</w:t>
            </w:r>
            <w:r>
              <w:rPr>
                <w:kern w:val="0"/>
                <w:sz w:val="21"/>
                <w:szCs w:val="21"/>
              </w:rPr>
              <w:t>）</w:t>
            </w:r>
          </w:p>
        </w:tc>
        <w:tc>
          <w:tcPr>
            <w:tcW w:w="1109" w:type="dxa"/>
            <w:vAlign w:val="center"/>
          </w:tcPr>
          <w:p w14:paraId="262DC232">
            <w:pPr>
              <w:widowControl/>
              <w:spacing w:line="240" w:lineRule="auto"/>
              <w:ind w:firstLine="0" w:firstLineChars="0"/>
              <w:jc w:val="center"/>
              <w:rPr>
                <w:kern w:val="0"/>
                <w:sz w:val="21"/>
                <w:szCs w:val="21"/>
              </w:rPr>
            </w:pPr>
            <w:r>
              <w:rPr>
                <w:kern w:val="0"/>
                <w:sz w:val="21"/>
                <w:szCs w:val="21"/>
              </w:rPr>
              <w:t>块段资源储量Q（万m</w:t>
            </w:r>
            <w:r>
              <w:rPr>
                <w:kern w:val="0"/>
                <w:sz w:val="21"/>
                <w:szCs w:val="21"/>
                <w:vertAlign w:val="superscript"/>
              </w:rPr>
              <w:t>3</w:t>
            </w:r>
            <w:r>
              <w:rPr>
                <w:kern w:val="0"/>
                <w:sz w:val="21"/>
                <w:szCs w:val="21"/>
              </w:rPr>
              <w:t>）</w:t>
            </w:r>
          </w:p>
        </w:tc>
        <w:tc>
          <w:tcPr>
            <w:tcW w:w="1080" w:type="dxa"/>
            <w:vAlign w:val="center"/>
          </w:tcPr>
          <w:p w14:paraId="2BE4F412">
            <w:pPr>
              <w:widowControl/>
              <w:spacing w:line="240" w:lineRule="auto"/>
              <w:ind w:firstLine="0" w:firstLineChars="0"/>
              <w:jc w:val="center"/>
              <w:rPr>
                <w:kern w:val="0"/>
                <w:sz w:val="21"/>
                <w:szCs w:val="21"/>
              </w:rPr>
            </w:pPr>
            <w:r>
              <w:rPr>
                <w:kern w:val="0"/>
                <w:sz w:val="21"/>
                <w:szCs w:val="21"/>
              </w:rPr>
              <w:t>块段资源储量Q（万t）</w:t>
            </w:r>
          </w:p>
        </w:tc>
      </w:tr>
      <w:tr w14:paraId="352C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restart"/>
            <w:noWrap/>
            <w:vAlign w:val="center"/>
          </w:tcPr>
          <w:p w14:paraId="73914B48">
            <w:pPr>
              <w:widowControl/>
              <w:spacing w:line="240" w:lineRule="auto"/>
              <w:ind w:firstLine="0" w:firstLineChars="0"/>
              <w:jc w:val="center"/>
              <w:rPr>
                <w:kern w:val="0"/>
                <w:sz w:val="21"/>
                <w:szCs w:val="21"/>
              </w:rPr>
            </w:pPr>
            <w:r>
              <w:rPr>
                <w:kern w:val="0"/>
                <w:sz w:val="21"/>
                <w:szCs w:val="21"/>
              </w:rPr>
              <w:t>整合区+506.8m~372.0m标高范围内总矿石量</w:t>
            </w:r>
          </w:p>
        </w:tc>
        <w:tc>
          <w:tcPr>
            <w:tcW w:w="863" w:type="dxa"/>
            <w:vMerge w:val="restart"/>
            <w:noWrap/>
            <w:vAlign w:val="center"/>
          </w:tcPr>
          <w:p w14:paraId="6916F839">
            <w:pPr>
              <w:widowControl/>
              <w:spacing w:line="240" w:lineRule="auto"/>
              <w:ind w:firstLine="0" w:firstLineChars="0"/>
              <w:jc w:val="center"/>
              <w:rPr>
                <w:kern w:val="0"/>
                <w:sz w:val="21"/>
                <w:szCs w:val="21"/>
              </w:rPr>
            </w:pPr>
            <w:r>
              <w:rPr>
                <w:kern w:val="0"/>
                <w:sz w:val="21"/>
                <w:szCs w:val="21"/>
              </w:rPr>
              <w:t>控制资源量</w:t>
            </w:r>
          </w:p>
        </w:tc>
        <w:tc>
          <w:tcPr>
            <w:tcW w:w="794" w:type="dxa"/>
            <w:vMerge w:val="restart"/>
            <w:noWrap/>
            <w:vAlign w:val="center"/>
          </w:tcPr>
          <w:p w14:paraId="31B55F2F">
            <w:pPr>
              <w:widowControl/>
              <w:spacing w:line="240" w:lineRule="auto"/>
              <w:ind w:firstLine="0" w:firstLineChars="0"/>
              <w:jc w:val="center"/>
              <w:rPr>
                <w:kern w:val="0"/>
                <w:sz w:val="21"/>
                <w:szCs w:val="21"/>
              </w:rPr>
            </w:pPr>
            <w:r>
              <w:rPr>
                <w:kern w:val="0"/>
                <w:sz w:val="21"/>
                <w:szCs w:val="21"/>
              </w:rPr>
              <w:t>KZ-1</w:t>
            </w:r>
          </w:p>
        </w:tc>
        <w:tc>
          <w:tcPr>
            <w:tcW w:w="1438" w:type="dxa"/>
            <w:vMerge w:val="restart"/>
            <w:noWrap/>
            <w:vAlign w:val="center"/>
          </w:tcPr>
          <w:p w14:paraId="1EC2AA99">
            <w:pPr>
              <w:widowControl/>
              <w:spacing w:line="240" w:lineRule="auto"/>
              <w:ind w:firstLine="0" w:firstLineChars="0"/>
              <w:jc w:val="center"/>
              <w:rPr>
                <w:kern w:val="0"/>
                <w:sz w:val="21"/>
                <w:szCs w:val="21"/>
              </w:rPr>
            </w:pPr>
            <w:r>
              <w:rPr>
                <w:kern w:val="0"/>
                <w:sz w:val="21"/>
                <w:szCs w:val="21"/>
              </w:rPr>
              <w:t>490~480m</w:t>
            </w:r>
          </w:p>
        </w:tc>
        <w:tc>
          <w:tcPr>
            <w:tcW w:w="1151" w:type="dxa"/>
            <w:noWrap/>
            <w:vAlign w:val="center"/>
          </w:tcPr>
          <w:p w14:paraId="0D37A92A">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KZ-490</w:t>
            </w:r>
          </w:p>
        </w:tc>
        <w:tc>
          <w:tcPr>
            <w:tcW w:w="1171" w:type="dxa"/>
            <w:noWrap/>
            <w:vAlign w:val="center"/>
          </w:tcPr>
          <w:p w14:paraId="4A04E224">
            <w:pPr>
              <w:widowControl/>
              <w:spacing w:line="240" w:lineRule="auto"/>
              <w:ind w:firstLine="0" w:firstLineChars="0"/>
              <w:jc w:val="center"/>
              <w:rPr>
                <w:kern w:val="0"/>
                <w:sz w:val="21"/>
                <w:szCs w:val="21"/>
              </w:rPr>
            </w:pPr>
            <w:r>
              <w:rPr>
                <w:kern w:val="0"/>
                <w:sz w:val="21"/>
                <w:szCs w:val="21"/>
              </w:rPr>
              <w:t>0</w:t>
            </w:r>
          </w:p>
        </w:tc>
        <w:tc>
          <w:tcPr>
            <w:tcW w:w="1110" w:type="dxa"/>
            <w:vMerge w:val="restart"/>
            <w:noWrap/>
            <w:vAlign w:val="center"/>
          </w:tcPr>
          <w:p w14:paraId="55EA8FBD">
            <w:pPr>
              <w:widowControl/>
              <w:spacing w:line="240" w:lineRule="auto"/>
              <w:ind w:firstLine="0" w:firstLineChars="0"/>
              <w:jc w:val="center"/>
              <w:rPr>
                <w:kern w:val="0"/>
                <w:sz w:val="21"/>
                <w:szCs w:val="21"/>
              </w:rPr>
            </w:pPr>
            <w:r>
              <w:rPr>
                <w:kern w:val="0"/>
                <w:sz w:val="21"/>
                <w:szCs w:val="21"/>
              </w:rPr>
              <w:t>10</w:t>
            </w:r>
          </w:p>
        </w:tc>
        <w:tc>
          <w:tcPr>
            <w:tcW w:w="2548" w:type="dxa"/>
            <w:vMerge w:val="restart"/>
            <w:noWrap/>
            <w:vAlign w:val="center"/>
          </w:tcPr>
          <w:p w14:paraId="1B6668EF">
            <w:pPr>
              <w:widowControl/>
              <w:spacing w:line="240" w:lineRule="auto"/>
              <w:ind w:firstLine="0" w:firstLineChars="0"/>
              <w:jc w:val="center"/>
              <w:rPr>
                <w:kern w:val="0"/>
                <w:sz w:val="21"/>
                <w:szCs w:val="21"/>
              </w:rPr>
            </w:pPr>
            <w:r>
              <w:rPr>
                <w:kern w:val="0"/>
                <w:sz w:val="21"/>
                <w:szCs w:val="21"/>
              </w:rPr>
              <w:t>V=S·L/2</w:t>
            </w:r>
          </w:p>
        </w:tc>
        <w:tc>
          <w:tcPr>
            <w:tcW w:w="1109" w:type="dxa"/>
            <w:vMerge w:val="restart"/>
            <w:noWrap/>
            <w:vAlign w:val="center"/>
          </w:tcPr>
          <w:p w14:paraId="0F48A7BE">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6BA740C5">
            <w:pPr>
              <w:widowControl/>
              <w:spacing w:line="240" w:lineRule="auto"/>
              <w:ind w:firstLine="0" w:firstLineChars="0"/>
              <w:jc w:val="center"/>
              <w:rPr>
                <w:kern w:val="0"/>
                <w:sz w:val="21"/>
                <w:szCs w:val="21"/>
              </w:rPr>
            </w:pPr>
            <w:r>
              <w:rPr>
                <w:kern w:val="0"/>
                <w:sz w:val="21"/>
                <w:szCs w:val="21"/>
              </w:rPr>
              <w:t>8.04</w:t>
            </w:r>
          </w:p>
        </w:tc>
        <w:tc>
          <w:tcPr>
            <w:tcW w:w="1109" w:type="dxa"/>
            <w:vMerge w:val="restart"/>
            <w:noWrap/>
            <w:vAlign w:val="center"/>
          </w:tcPr>
          <w:p w14:paraId="662B39D0">
            <w:pPr>
              <w:widowControl/>
              <w:spacing w:line="240" w:lineRule="auto"/>
              <w:ind w:firstLine="0" w:firstLineChars="0"/>
              <w:jc w:val="center"/>
              <w:rPr>
                <w:kern w:val="0"/>
                <w:sz w:val="21"/>
                <w:szCs w:val="21"/>
              </w:rPr>
            </w:pPr>
            <w:r>
              <w:rPr>
                <w:kern w:val="0"/>
                <w:sz w:val="21"/>
                <w:szCs w:val="21"/>
              </w:rPr>
              <w:t>4527.26</w:t>
            </w:r>
          </w:p>
        </w:tc>
        <w:tc>
          <w:tcPr>
            <w:tcW w:w="1080" w:type="dxa"/>
            <w:vMerge w:val="restart"/>
            <w:noWrap/>
            <w:vAlign w:val="center"/>
          </w:tcPr>
          <w:p w14:paraId="3449309A">
            <w:pPr>
              <w:widowControl/>
              <w:spacing w:line="240" w:lineRule="auto"/>
              <w:ind w:firstLine="0" w:firstLineChars="0"/>
              <w:jc w:val="center"/>
              <w:rPr>
                <w:kern w:val="0"/>
                <w:sz w:val="21"/>
                <w:szCs w:val="21"/>
              </w:rPr>
            </w:pPr>
            <w:r>
              <w:rPr>
                <w:kern w:val="0"/>
                <w:sz w:val="21"/>
                <w:szCs w:val="21"/>
              </w:rPr>
              <w:t>12223.61</w:t>
            </w:r>
          </w:p>
        </w:tc>
      </w:tr>
      <w:tr w14:paraId="5C9E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194251C8">
            <w:pPr>
              <w:widowControl/>
              <w:spacing w:line="240" w:lineRule="auto"/>
              <w:ind w:firstLine="0" w:firstLineChars="0"/>
              <w:jc w:val="center"/>
              <w:rPr>
                <w:kern w:val="0"/>
                <w:sz w:val="21"/>
                <w:szCs w:val="21"/>
              </w:rPr>
            </w:pPr>
          </w:p>
        </w:tc>
        <w:tc>
          <w:tcPr>
            <w:tcW w:w="863" w:type="dxa"/>
            <w:vMerge w:val="continue"/>
            <w:vAlign w:val="center"/>
          </w:tcPr>
          <w:p w14:paraId="45232C36">
            <w:pPr>
              <w:widowControl/>
              <w:spacing w:line="240" w:lineRule="auto"/>
              <w:ind w:firstLine="0" w:firstLineChars="0"/>
              <w:jc w:val="center"/>
              <w:rPr>
                <w:kern w:val="0"/>
                <w:sz w:val="21"/>
                <w:szCs w:val="21"/>
              </w:rPr>
            </w:pPr>
          </w:p>
        </w:tc>
        <w:tc>
          <w:tcPr>
            <w:tcW w:w="794" w:type="dxa"/>
            <w:vMerge w:val="continue"/>
            <w:noWrap/>
            <w:vAlign w:val="center"/>
          </w:tcPr>
          <w:p w14:paraId="3A7E4BCE">
            <w:pPr>
              <w:widowControl/>
              <w:spacing w:line="240" w:lineRule="auto"/>
              <w:ind w:firstLine="0" w:firstLineChars="0"/>
              <w:jc w:val="center"/>
              <w:rPr>
                <w:kern w:val="0"/>
                <w:sz w:val="21"/>
                <w:szCs w:val="21"/>
              </w:rPr>
            </w:pPr>
          </w:p>
        </w:tc>
        <w:tc>
          <w:tcPr>
            <w:tcW w:w="1438" w:type="dxa"/>
            <w:vMerge w:val="continue"/>
            <w:noWrap/>
            <w:vAlign w:val="center"/>
          </w:tcPr>
          <w:p w14:paraId="3E0F8A2B">
            <w:pPr>
              <w:widowControl/>
              <w:spacing w:line="240" w:lineRule="auto"/>
              <w:ind w:firstLine="0" w:firstLineChars="0"/>
              <w:jc w:val="center"/>
              <w:rPr>
                <w:kern w:val="0"/>
                <w:sz w:val="21"/>
                <w:szCs w:val="21"/>
              </w:rPr>
            </w:pPr>
          </w:p>
        </w:tc>
        <w:tc>
          <w:tcPr>
            <w:tcW w:w="1151" w:type="dxa"/>
            <w:noWrap/>
            <w:vAlign w:val="center"/>
          </w:tcPr>
          <w:p w14:paraId="58FD030D">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KZ-480</w:t>
            </w:r>
          </w:p>
        </w:tc>
        <w:tc>
          <w:tcPr>
            <w:tcW w:w="1171" w:type="dxa"/>
            <w:noWrap/>
            <w:vAlign w:val="center"/>
          </w:tcPr>
          <w:p w14:paraId="770F847B">
            <w:pPr>
              <w:widowControl/>
              <w:spacing w:line="240" w:lineRule="auto"/>
              <w:ind w:firstLine="0" w:firstLineChars="0"/>
              <w:jc w:val="center"/>
              <w:rPr>
                <w:kern w:val="0"/>
                <w:sz w:val="21"/>
                <w:szCs w:val="21"/>
              </w:rPr>
            </w:pPr>
            <w:r>
              <w:rPr>
                <w:kern w:val="0"/>
                <w:sz w:val="21"/>
                <w:szCs w:val="21"/>
              </w:rPr>
              <w:t>16073</w:t>
            </w:r>
          </w:p>
        </w:tc>
        <w:tc>
          <w:tcPr>
            <w:tcW w:w="1110" w:type="dxa"/>
            <w:vMerge w:val="continue"/>
            <w:vAlign w:val="center"/>
          </w:tcPr>
          <w:p w14:paraId="725FBD01">
            <w:pPr>
              <w:widowControl/>
              <w:spacing w:line="240" w:lineRule="auto"/>
              <w:ind w:firstLine="0" w:firstLineChars="0"/>
              <w:jc w:val="center"/>
              <w:rPr>
                <w:kern w:val="0"/>
                <w:sz w:val="21"/>
                <w:szCs w:val="21"/>
              </w:rPr>
            </w:pPr>
          </w:p>
        </w:tc>
        <w:tc>
          <w:tcPr>
            <w:tcW w:w="2548" w:type="dxa"/>
            <w:vMerge w:val="continue"/>
            <w:vAlign w:val="center"/>
          </w:tcPr>
          <w:p w14:paraId="0634E759">
            <w:pPr>
              <w:widowControl/>
              <w:spacing w:line="240" w:lineRule="auto"/>
              <w:ind w:firstLine="0" w:firstLineChars="0"/>
              <w:jc w:val="center"/>
              <w:rPr>
                <w:kern w:val="0"/>
                <w:sz w:val="21"/>
                <w:szCs w:val="21"/>
              </w:rPr>
            </w:pPr>
          </w:p>
        </w:tc>
        <w:tc>
          <w:tcPr>
            <w:tcW w:w="1109" w:type="dxa"/>
            <w:vMerge w:val="continue"/>
            <w:vAlign w:val="center"/>
          </w:tcPr>
          <w:p w14:paraId="2A4C9C55">
            <w:pPr>
              <w:widowControl/>
              <w:spacing w:line="240" w:lineRule="auto"/>
              <w:ind w:firstLine="0" w:firstLineChars="0"/>
              <w:jc w:val="center"/>
              <w:rPr>
                <w:kern w:val="0"/>
                <w:sz w:val="21"/>
                <w:szCs w:val="21"/>
              </w:rPr>
            </w:pPr>
          </w:p>
        </w:tc>
        <w:tc>
          <w:tcPr>
            <w:tcW w:w="1069" w:type="dxa"/>
            <w:vMerge w:val="continue"/>
            <w:vAlign w:val="center"/>
          </w:tcPr>
          <w:p w14:paraId="45450554">
            <w:pPr>
              <w:widowControl/>
              <w:spacing w:line="240" w:lineRule="auto"/>
              <w:ind w:firstLine="0" w:firstLineChars="0"/>
              <w:jc w:val="center"/>
              <w:rPr>
                <w:kern w:val="0"/>
                <w:sz w:val="21"/>
                <w:szCs w:val="21"/>
              </w:rPr>
            </w:pPr>
          </w:p>
        </w:tc>
        <w:tc>
          <w:tcPr>
            <w:tcW w:w="1109" w:type="dxa"/>
            <w:vMerge w:val="continue"/>
            <w:vAlign w:val="center"/>
          </w:tcPr>
          <w:p w14:paraId="0E75A9E1">
            <w:pPr>
              <w:widowControl/>
              <w:spacing w:line="240" w:lineRule="auto"/>
              <w:ind w:firstLine="0" w:firstLineChars="0"/>
              <w:jc w:val="center"/>
              <w:rPr>
                <w:kern w:val="0"/>
                <w:sz w:val="21"/>
                <w:szCs w:val="21"/>
              </w:rPr>
            </w:pPr>
          </w:p>
        </w:tc>
        <w:tc>
          <w:tcPr>
            <w:tcW w:w="1080" w:type="dxa"/>
            <w:vMerge w:val="continue"/>
            <w:vAlign w:val="center"/>
          </w:tcPr>
          <w:p w14:paraId="7ABD4A46">
            <w:pPr>
              <w:widowControl/>
              <w:spacing w:line="240" w:lineRule="auto"/>
              <w:ind w:firstLine="0" w:firstLineChars="0"/>
              <w:jc w:val="center"/>
              <w:rPr>
                <w:kern w:val="0"/>
                <w:sz w:val="21"/>
                <w:szCs w:val="21"/>
              </w:rPr>
            </w:pPr>
          </w:p>
        </w:tc>
      </w:tr>
      <w:tr w14:paraId="7B1E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2ECE077C">
            <w:pPr>
              <w:widowControl/>
              <w:spacing w:line="240" w:lineRule="auto"/>
              <w:ind w:firstLine="0" w:firstLineChars="0"/>
              <w:jc w:val="center"/>
              <w:rPr>
                <w:kern w:val="0"/>
                <w:sz w:val="21"/>
                <w:szCs w:val="21"/>
              </w:rPr>
            </w:pPr>
          </w:p>
        </w:tc>
        <w:tc>
          <w:tcPr>
            <w:tcW w:w="863" w:type="dxa"/>
            <w:vMerge w:val="continue"/>
            <w:vAlign w:val="center"/>
          </w:tcPr>
          <w:p w14:paraId="44D84147">
            <w:pPr>
              <w:widowControl/>
              <w:spacing w:line="240" w:lineRule="auto"/>
              <w:ind w:firstLine="0" w:firstLineChars="0"/>
              <w:jc w:val="center"/>
              <w:rPr>
                <w:kern w:val="0"/>
                <w:sz w:val="21"/>
                <w:szCs w:val="21"/>
              </w:rPr>
            </w:pPr>
          </w:p>
        </w:tc>
        <w:tc>
          <w:tcPr>
            <w:tcW w:w="794" w:type="dxa"/>
            <w:vMerge w:val="continue"/>
            <w:noWrap/>
            <w:vAlign w:val="center"/>
          </w:tcPr>
          <w:p w14:paraId="591FC5F0">
            <w:pPr>
              <w:widowControl/>
              <w:spacing w:line="240" w:lineRule="auto"/>
              <w:ind w:firstLine="0" w:firstLineChars="0"/>
              <w:jc w:val="center"/>
              <w:rPr>
                <w:kern w:val="0"/>
                <w:sz w:val="21"/>
                <w:szCs w:val="21"/>
              </w:rPr>
            </w:pPr>
          </w:p>
        </w:tc>
        <w:tc>
          <w:tcPr>
            <w:tcW w:w="1438" w:type="dxa"/>
            <w:vMerge w:val="restart"/>
            <w:noWrap/>
            <w:vAlign w:val="center"/>
          </w:tcPr>
          <w:p w14:paraId="7ED039BC">
            <w:pPr>
              <w:widowControl/>
              <w:spacing w:line="240" w:lineRule="auto"/>
              <w:ind w:firstLine="0" w:firstLineChars="0"/>
              <w:jc w:val="center"/>
              <w:rPr>
                <w:kern w:val="0"/>
                <w:sz w:val="21"/>
                <w:szCs w:val="21"/>
              </w:rPr>
            </w:pPr>
            <w:r>
              <w:rPr>
                <w:kern w:val="0"/>
                <w:sz w:val="21"/>
                <w:szCs w:val="21"/>
              </w:rPr>
              <w:t>480~470m</w:t>
            </w:r>
          </w:p>
        </w:tc>
        <w:tc>
          <w:tcPr>
            <w:tcW w:w="1151" w:type="dxa"/>
            <w:noWrap/>
            <w:vAlign w:val="center"/>
          </w:tcPr>
          <w:p w14:paraId="3571FC43">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KZ-480</w:t>
            </w:r>
          </w:p>
        </w:tc>
        <w:tc>
          <w:tcPr>
            <w:tcW w:w="1171" w:type="dxa"/>
            <w:noWrap/>
            <w:vAlign w:val="center"/>
          </w:tcPr>
          <w:p w14:paraId="57780ECE">
            <w:pPr>
              <w:widowControl/>
              <w:spacing w:line="240" w:lineRule="auto"/>
              <w:ind w:firstLine="0" w:firstLineChars="0"/>
              <w:jc w:val="center"/>
              <w:rPr>
                <w:kern w:val="0"/>
                <w:sz w:val="21"/>
                <w:szCs w:val="21"/>
              </w:rPr>
            </w:pPr>
            <w:r>
              <w:rPr>
                <w:kern w:val="0"/>
                <w:sz w:val="21"/>
                <w:szCs w:val="21"/>
              </w:rPr>
              <w:t>16076</w:t>
            </w:r>
          </w:p>
        </w:tc>
        <w:tc>
          <w:tcPr>
            <w:tcW w:w="1110" w:type="dxa"/>
            <w:vMerge w:val="restart"/>
            <w:noWrap/>
            <w:vAlign w:val="center"/>
          </w:tcPr>
          <w:p w14:paraId="0FE13DCF">
            <w:pPr>
              <w:widowControl/>
              <w:spacing w:line="240" w:lineRule="auto"/>
              <w:ind w:firstLine="0" w:firstLineChars="0"/>
              <w:jc w:val="center"/>
              <w:rPr>
                <w:kern w:val="0"/>
                <w:sz w:val="21"/>
                <w:szCs w:val="21"/>
              </w:rPr>
            </w:pPr>
            <w:r>
              <w:rPr>
                <w:kern w:val="0"/>
                <w:sz w:val="21"/>
                <w:szCs w:val="21"/>
              </w:rPr>
              <w:t>10</w:t>
            </w:r>
          </w:p>
        </w:tc>
        <w:tc>
          <w:tcPr>
            <w:tcW w:w="2548" w:type="dxa"/>
            <w:vMerge w:val="restart"/>
            <w:noWrap/>
            <w:vAlign w:val="center"/>
          </w:tcPr>
          <w:p w14:paraId="7A187A9A">
            <w:pPr>
              <w:widowControl/>
              <w:spacing w:line="240" w:lineRule="auto"/>
              <w:ind w:firstLine="0" w:firstLineChars="0"/>
              <w:jc w:val="center"/>
              <w:rPr>
                <w:kern w:val="0"/>
                <w:sz w:val="21"/>
                <w:szCs w:val="21"/>
              </w:rPr>
            </w:pPr>
            <w:r>
              <w:rPr>
                <w:sz w:val="21"/>
                <w:szCs w:val="21"/>
              </w:rPr>
              <w:t>V=(S</w:t>
            </w:r>
            <w:r>
              <w:rPr>
                <w:sz w:val="21"/>
                <w:szCs w:val="21"/>
                <w:vertAlign w:val="subscript"/>
              </w:rPr>
              <w:t>1</w:t>
            </w:r>
            <w:r>
              <w:rPr>
                <w:sz w:val="21"/>
                <w:szCs w:val="21"/>
              </w:rPr>
              <w:t>+S</w:t>
            </w:r>
            <w:r>
              <w:rPr>
                <w:sz w:val="21"/>
                <w:szCs w:val="21"/>
                <w:vertAlign w:val="subscript"/>
              </w:rPr>
              <w:t>2</w:t>
            </w:r>
            <w:r>
              <w:rPr>
                <w:sz w:val="21"/>
                <w:szCs w:val="21"/>
              </w:rPr>
              <w:t>+</w:t>
            </w:r>
            <w:r>
              <w:rPr>
                <w:position w:val="-14"/>
                <w:sz w:val="21"/>
                <w:szCs w:val="21"/>
              </w:rPr>
              <w:object>
                <v:shape id="_x0000_i1027" o:spt="75" type="#_x0000_t75" style="height:24.75pt;width:46.5pt;" o:ole="t" filled="f" o:preferrelative="t" stroked="f" coordsize="21600,21600">
                  <v:path/>
                  <v:fill on="f" focussize="0,0"/>
                  <v:stroke on="f" joinstyle="miter"/>
                  <v:imagedata r:id="rId21" o:title=""/>
                  <o:lock v:ext="edit" aspectratio="t"/>
                  <w10:wrap type="none"/>
                  <w10:anchorlock/>
                </v:shape>
                <o:OLEObject Type="Embed" ProgID="Equation.DSMT4" ShapeID="_x0000_i1027" DrawAspect="Content" ObjectID="_1468075727" r:id="rId22">
                  <o:LockedField>false</o:LockedField>
                </o:OLEObject>
              </w:object>
            </w:r>
            <w:r>
              <w:rPr>
                <w:sz w:val="21"/>
                <w:szCs w:val="21"/>
              </w:rPr>
              <w:t>)·L/3</w:t>
            </w:r>
          </w:p>
        </w:tc>
        <w:tc>
          <w:tcPr>
            <w:tcW w:w="1109" w:type="dxa"/>
            <w:vMerge w:val="restart"/>
            <w:noWrap/>
            <w:vAlign w:val="center"/>
          </w:tcPr>
          <w:p w14:paraId="7A1C96F2">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71D8AC13">
            <w:pPr>
              <w:widowControl/>
              <w:spacing w:line="240" w:lineRule="auto"/>
              <w:ind w:firstLine="0" w:firstLineChars="0"/>
              <w:jc w:val="center"/>
              <w:rPr>
                <w:kern w:val="0"/>
                <w:sz w:val="21"/>
                <w:szCs w:val="21"/>
              </w:rPr>
            </w:pPr>
            <w:r>
              <w:rPr>
                <w:kern w:val="0"/>
                <w:sz w:val="21"/>
                <w:szCs w:val="21"/>
              </w:rPr>
              <w:t>32.66</w:t>
            </w:r>
          </w:p>
        </w:tc>
        <w:tc>
          <w:tcPr>
            <w:tcW w:w="1109" w:type="dxa"/>
            <w:vMerge w:val="continue"/>
            <w:noWrap/>
            <w:vAlign w:val="center"/>
          </w:tcPr>
          <w:p w14:paraId="7D5F7D5F">
            <w:pPr>
              <w:widowControl/>
              <w:spacing w:line="240" w:lineRule="auto"/>
              <w:ind w:firstLine="0" w:firstLineChars="0"/>
              <w:jc w:val="center"/>
              <w:rPr>
                <w:kern w:val="0"/>
                <w:sz w:val="21"/>
                <w:szCs w:val="21"/>
              </w:rPr>
            </w:pPr>
          </w:p>
        </w:tc>
        <w:tc>
          <w:tcPr>
            <w:tcW w:w="1080" w:type="dxa"/>
            <w:vMerge w:val="continue"/>
            <w:noWrap/>
            <w:vAlign w:val="center"/>
          </w:tcPr>
          <w:p w14:paraId="23BEBAA0">
            <w:pPr>
              <w:widowControl/>
              <w:spacing w:line="240" w:lineRule="auto"/>
              <w:ind w:firstLine="0" w:firstLineChars="0"/>
              <w:jc w:val="center"/>
              <w:rPr>
                <w:kern w:val="0"/>
                <w:sz w:val="21"/>
                <w:szCs w:val="21"/>
              </w:rPr>
            </w:pPr>
          </w:p>
        </w:tc>
      </w:tr>
      <w:tr w14:paraId="5218F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2F9E3ADC">
            <w:pPr>
              <w:widowControl/>
              <w:spacing w:line="240" w:lineRule="auto"/>
              <w:ind w:firstLine="0" w:firstLineChars="0"/>
              <w:jc w:val="center"/>
              <w:rPr>
                <w:kern w:val="0"/>
                <w:sz w:val="21"/>
                <w:szCs w:val="21"/>
              </w:rPr>
            </w:pPr>
          </w:p>
        </w:tc>
        <w:tc>
          <w:tcPr>
            <w:tcW w:w="863" w:type="dxa"/>
            <w:vMerge w:val="continue"/>
            <w:vAlign w:val="center"/>
          </w:tcPr>
          <w:p w14:paraId="478769C3">
            <w:pPr>
              <w:widowControl/>
              <w:spacing w:line="240" w:lineRule="auto"/>
              <w:ind w:firstLine="0" w:firstLineChars="0"/>
              <w:jc w:val="center"/>
              <w:rPr>
                <w:kern w:val="0"/>
                <w:sz w:val="21"/>
                <w:szCs w:val="21"/>
              </w:rPr>
            </w:pPr>
          </w:p>
        </w:tc>
        <w:tc>
          <w:tcPr>
            <w:tcW w:w="794" w:type="dxa"/>
            <w:vMerge w:val="continue"/>
            <w:noWrap/>
            <w:vAlign w:val="center"/>
          </w:tcPr>
          <w:p w14:paraId="5CC2262B">
            <w:pPr>
              <w:widowControl/>
              <w:spacing w:line="240" w:lineRule="auto"/>
              <w:ind w:firstLine="0" w:firstLineChars="0"/>
              <w:jc w:val="center"/>
              <w:rPr>
                <w:kern w:val="0"/>
                <w:sz w:val="21"/>
                <w:szCs w:val="21"/>
              </w:rPr>
            </w:pPr>
          </w:p>
        </w:tc>
        <w:tc>
          <w:tcPr>
            <w:tcW w:w="1438" w:type="dxa"/>
            <w:vMerge w:val="continue"/>
            <w:noWrap/>
            <w:vAlign w:val="center"/>
          </w:tcPr>
          <w:p w14:paraId="4BC41958">
            <w:pPr>
              <w:widowControl/>
              <w:spacing w:line="240" w:lineRule="auto"/>
              <w:ind w:firstLine="0" w:firstLineChars="0"/>
              <w:jc w:val="center"/>
              <w:rPr>
                <w:kern w:val="0"/>
                <w:sz w:val="21"/>
                <w:szCs w:val="21"/>
              </w:rPr>
            </w:pPr>
          </w:p>
        </w:tc>
        <w:tc>
          <w:tcPr>
            <w:tcW w:w="1151" w:type="dxa"/>
            <w:noWrap/>
            <w:vAlign w:val="center"/>
          </w:tcPr>
          <w:p w14:paraId="7C8E2C4F">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KZ-470</w:t>
            </w:r>
          </w:p>
        </w:tc>
        <w:tc>
          <w:tcPr>
            <w:tcW w:w="1171" w:type="dxa"/>
            <w:noWrap/>
            <w:vAlign w:val="center"/>
          </w:tcPr>
          <w:p w14:paraId="2392A98E">
            <w:pPr>
              <w:widowControl/>
              <w:spacing w:line="240" w:lineRule="auto"/>
              <w:ind w:firstLine="0" w:firstLineChars="0"/>
              <w:jc w:val="center"/>
              <w:rPr>
                <w:kern w:val="0"/>
                <w:sz w:val="21"/>
                <w:szCs w:val="21"/>
              </w:rPr>
            </w:pPr>
            <w:r>
              <w:rPr>
                <w:kern w:val="0"/>
                <w:sz w:val="21"/>
                <w:szCs w:val="21"/>
              </w:rPr>
              <w:t>52776</w:t>
            </w:r>
          </w:p>
        </w:tc>
        <w:tc>
          <w:tcPr>
            <w:tcW w:w="1110" w:type="dxa"/>
            <w:vMerge w:val="continue"/>
            <w:vAlign w:val="center"/>
          </w:tcPr>
          <w:p w14:paraId="6ACBCD9D">
            <w:pPr>
              <w:widowControl/>
              <w:spacing w:line="240" w:lineRule="auto"/>
              <w:ind w:firstLine="0" w:firstLineChars="0"/>
              <w:jc w:val="center"/>
              <w:rPr>
                <w:kern w:val="0"/>
                <w:sz w:val="21"/>
                <w:szCs w:val="21"/>
              </w:rPr>
            </w:pPr>
          </w:p>
        </w:tc>
        <w:tc>
          <w:tcPr>
            <w:tcW w:w="2548" w:type="dxa"/>
            <w:vMerge w:val="continue"/>
            <w:vAlign w:val="center"/>
          </w:tcPr>
          <w:p w14:paraId="2E41EC80">
            <w:pPr>
              <w:widowControl/>
              <w:spacing w:line="240" w:lineRule="auto"/>
              <w:ind w:firstLine="0" w:firstLineChars="0"/>
              <w:jc w:val="center"/>
              <w:rPr>
                <w:kern w:val="0"/>
                <w:sz w:val="21"/>
                <w:szCs w:val="21"/>
              </w:rPr>
            </w:pPr>
          </w:p>
        </w:tc>
        <w:tc>
          <w:tcPr>
            <w:tcW w:w="1109" w:type="dxa"/>
            <w:vMerge w:val="continue"/>
            <w:vAlign w:val="center"/>
          </w:tcPr>
          <w:p w14:paraId="26962036">
            <w:pPr>
              <w:widowControl/>
              <w:spacing w:line="240" w:lineRule="auto"/>
              <w:ind w:firstLine="0" w:firstLineChars="0"/>
              <w:jc w:val="center"/>
              <w:rPr>
                <w:kern w:val="0"/>
                <w:sz w:val="21"/>
                <w:szCs w:val="21"/>
              </w:rPr>
            </w:pPr>
          </w:p>
        </w:tc>
        <w:tc>
          <w:tcPr>
            <w:tcW w:w="1069" w:type="dxa"/>
            <w:vMerge w:val="continue"/>
            <w:vAlign w:val="center"/>
          </w:tcPr>
          <w:p w14:paraId="330D9589">
            <w:pPr>
              <w:widowControl/>
              <w:spacing w:line="240" w:lineRule="auto"/>
              <w:ind w:firstLine="0" w:firstLineChars="0"/>
              <w:jc w:val="center"/>
              <w:rPr>
                <w:kern w:val="0"/>
                <w:sz w:val="21"/>
                <w:szCs w:val="21"/>
              </w:rPr>
            </w:pPr>
          </w:p>
        </w:tc>
        <w:tc>
          <w:tcPr>
            <w:tcW w:w="1109" w:type="dxa"/>
            <w:vMerge w:val="continue"/>
            <w:vAlign w:val="center"/>
          </w:tcPr>
          <w:p w14:paraId="1345E557">
            <w:pPr>
              <w:widowControl/>
              <w:spacing w:line="240" w:lineRule="auto"/>
              <w:ind w:firstLine="0" w:firstLineChars="0"/>
              <w:jc w:val="center"/>
              <w:rPr>
                <w:kern w:val="0"/>
                <w:sz w:val="21"/>
                <w:szCs w:val="21"/>
              </w:rPr>
            </w:pPr>
          </w:p>
        </w:tc>
        <w:tc>
          <w:tcPr>
            <w:tcW w:w="1080" w:type="dxa"/>
            <w:vMerge w:val="continue"/>
            <w:vAlign w:val="center"/>
          </w:tcPr>
          <w:p w14:paraId="02F6199C">
            <w:pPr>
              <w:widowControl/>
              <w:spacing w:line="240" w:lineRule="auto"/>
              <w:ind w:firstLine="0" w:firstLineChars="0"/>
              <w:jc w:val="center"/>
              <w:rPr>
                <w:kern w:val="0"/>
                <w:sz w:val="21"/>
                <w:szCs w:val="21"/>
              </w:rPr>
            </w:pPr>
          </w:p>
        </w:tc>
      </w:tr>
      <w:tr w14:paraId="65FE6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2E1A681E">
            <w:pPr>
              <w:widowControl/>
              <w:spacing w:line="240" w:lineRule="auto"/>
              <w:ind w:firstLine="0" w:firstLineChars="0"/>
              <w:jc w:val="center"/>
              <w:rPr>
                <w:kern w:val="0"/>
                <w:sz w:val="21"/>
                <w:szCs w:val="21"/>
              </w:rPr>
            </w:pPr>
          </w:p>
        </w:tc>
        <w:tc>
          <w:tcPr>
            <w:tcW w:w="863" w:type="dxa"/>
            <w:vMerge w:val="continue"/>
            <w:vAlign w:val="center"/>
          </w:tcPr>
          <w:p w14:paraId="272AB1C0">
            <w:pPr>
              <w:widowControl/>
              <w:spacing w:line="240" w:lineRule="auto"/>
              <w:ind w:firstLine="0" w:firstLineChars="0"/>
              <w:jc w:val="center"/>
              <w:rPr>
                <w:kern w:val="0"/>
                <w:sz w:val="21"/>
                <w:szCs w:val="21"/>
              </w:rPr>
            </w:pPr>
          </w:p>
        </w:tc>
        <w:tc>
          <w:tcPr>
            <w:tcW w:w="794" w:type="dxa"/>
            <w:vMerge w:val="continue"/>
            <w:noWrap/>
            <w:vAlign w:val="center"/>
          </w:tcPr>
          <w:p w14:paraId="2626C22B">
            <w:pPr>
              <w:widowControl/>
              <w:spacing w:line="240" w:lineRule="auto"/>
              <w:ind w:firstLine="0" w:firstLineChars="0"/>
              <w:jc w:val="center"/>
              <w:rPr>
                <w:kern w:val="0"/>
                <w:sz w:val="21"/>
                <w:szCs w:val="21"/>
              </w:rPr>
            </w:pPr>
          </w:p>
        </w:tc>
        <w:tc>
          <w:tcPr>
            <w:tcW w:w="1438" w:type="dxa"/>
            <w:vMerge w:val="restart"/>
            <w:noWrap/>
            <w:vAlign w:val="center"/>
          </w:tcPr>
          <w:p w14:paraId="7BF0124A">
            <w:pPr>
              <w:widowControl/>
              <w:spacing w:line="240" w:lineRule="auto"/>
              <w:ind w:firstLine="0" w:firstLineChars="0"/>
              <w:jc w:val="center"/>
              <w:rPr>
                <w:kern w:val="0"/>
                <w:sz w:val="21"/>
                <w:szCs w:val="21"/>
              </w:rPr>
            </w:pPr>
            <w:r>
              <w:rPr>
                <w:kern w:val="0"/>
                <w:sz w:val="21"/>
                <w:szCs w:val="21"/>
              </w:rPr>
              <w:t>470~460m</w:t>
            </w:r>
          </w:p>
        </w:tc>
        <w:tc>
          <w:tcPr>
            <w:tcW w:w="1151" w:type="dxa"/>
            <w:noWrap/>
            <w:vAlign w:val="center"/>
          </w:tcPr>
          <w:p w14:paraId="2709505F">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KZ-470</w:t>
            </w:r>
          </w:p>
        </w:tc>
        <w:tc>
          <w:tcPr>
            <w:tcW w:w="1171" w:type="dxa"/>
            <w:noWrap/>
            <w:vAlign w:val="center"/>
          </w:tcPr>
          <w:p w14:paraId="37B5F1E4">
            <w:pPr>
              <w:widowControl/>
              <w:spacing w:line="240" w:lineRule="auto"/>
              <w:ind w:firstLine="0" w:firstLineChars="0"/>
              <w:jc w:val="center"/>
              <w:rPr>
                <w:kern w:val="0"/>
                <w:sz w:val="21"/>
                <w:szCs w:val="21"/>
              </w:rPr>
            </w:pPr>
            <w:r>
              <w:rPr>
                <w:kern w:val="0"/>
                <w:sz w:val="21"/>
                <w:szCs w:val="21"/>
              </w:rPr>
              <w:t>52776</w:t>
            </w:r>
          </w:p>
        </w:tc>
        <w:tc>
          <w:tcPr>
            <w:tcW w:w="1110" w:type="dxa"/>
            <w:vMerge w:val="restart"/>
            <w:noWrap/>
            <w:vAlign w:val="center"/>
          </w:tcPr>
          <w:p w14:paraId="2B7F055F">
            <w:pPr>
              <w:widowControl/>
              <w:spacing w:line="240" w:lineRule="auto"/>
              <w:ind w:firstLine="0" w:firstLineChars="0"/>
              <w:jc w:val="center"/>
              <w:rPr>
                <w:kern w:val="0"/>
                <w:sz w:val="21"/>
                <w:szCs w:val="21"/>
              </w:rPr>
            </w:pPr>
            <w:r>
              <w:rPr>
                <w:kern w:val="0"/>
                <w:sz w:val="21"/>
                <w:szCs w:val="21"/>
              </w:rPr>
              <w:t>10</w:t>
            </w:r>
          </w:p>
        </w:tc>
        <w:tc>
          <w:tcPr>
            <w:tcW w:w="2548" w:type="dxa"/>
            <w:vMerge w:val="restart"/>
            <w:noWrap/>
            <w:vAlign w:val="center"/>
          </w:tcPr>
          <w:p w14:paraId="60F7527F">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noWrap/>
            <w:vAlign w:val="center"/>
          </w:tcPr>
          <w:p w14:paraId="6E341F9F">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4AC14E81">
            <w:pPr>
              <w:widowControl/>
              <w:spacing w:line="240" w:lineRule="auto"/>
              <w:ind w:firstLine="0" w:firstLineChars="0"/>
              <w:jc w:val="center"/>
              <w:rPr>
                <w:kern w:val="0"/>
                <w:sz w:val="21"/>
                <w:szCs w:val="21"/>
              </w:rPr>
            </w:pPr>
            <w:r>
              <w:rPr>
                <w:kern w:val="0"/>
                <w:sz w:val="21"/>
                <w:szCs w:val="21"/>
              </w:rPr>
              <w:t>65.31</w:t>
            </w:r>
          </w:p>
        </w:tc>
        <w:tc>
          <w:tcPr>
            <w:tcW w:w="1109" w:type="dxa"/>
            <w:vMerge w:val="continue"/>
            <w:noWrap/>
            <w:vAlign w:val="center"/>
          </w:tcPr>
          <w:p w14:paraId="57E60FA7">
            <w:pPr>
              <w:widowControl/>
              <w:spacing w:line="240" w:lineRule="auto"/>
              <w:ind w:firstLine="0" w:firstLineChars="0"/>
              <w:jc w:val="center"/>
              <w:rPr>
                <w:kern w:val="0"/>
                <w:sz w:val="21"/>
                <w:szCs w:val="21"/>
              </w:rPr>
            </w:pPr>
          </w:p>
        </w:tc>
        <w:tc>
          <w:tcPr>
            <w:tcW w:w="1080" w:type="dxa"/>
            <w:vMerge w:val="continue"/>
            <w:noWrap/>
            <w:vAlign w:val="center"/>
          </w:tcPr>
          <w:p w14:paraId="373436D6">
            <w:pPr>
              <w:widowControl/>
              <w:spacing w:line="240" w:lineRule="auto"/>
              <w:ind w:firstLine="0" w:firstLineChars="0"/>
              <w:jc w:val="center"/>
              <w:rPr>
                <w:kern w:val="0"/>
                <w:sz w:val="21"/>
                <w:szCs w:val="21"/>
              </w:rPr>
            </w:pPr>
          </w:p>
        </w:tc>
      </w:tr>
      <w:tr w14:paraId="4823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279EEB76">
            <w:pPr>
              <w:widowControl/>
              <w:spacing w:line="240" w:lineRule="auto"/>
              <w:ind w:firstLine="0" w:firstLineChars="0"/>
              <w:jc w:val="center"/>
              <w:rPr>
                <w:kern w:val="0"/>
                <w:sz w:val="21"/>
                <w:szCs w:val="21"/>
              </w:rPr>
            </w:pPr>
          </w:p>
        </w:tc>
        <w:tc>
          <w:tcPr>
            <w:tcW w:w="863" w:type="dxa"/>
            <w:vMerge w:val="continue"/>
            <w:vAlign w:val="center"/>
          </w:tcPr>
          <w:p w14:paraId="1F7C2937">
            <w:pPr>
              <w:widowControl/>
              <w:spacing w:line="240" w:lineRule="auto"/>
              <w:ind w:firstLine="0" w:firstLineChars="0"/>
              <w:jc w:val="center"/>
              <w:rPr>
                <w:kern w:val="0"/>
                <w:sz w:val="21"/>
                <w:szCs w:val="21"/>
              </w:rPr>
            </w:pPr>
          </w:p>
        </w:tc>
        <w:tc>
          <w:tcPr>
            <w:tcW w:w="794" w:type="dxa"/>
            <w:vMerge w:val="continue"/>
            <w:noWrap/>
            <w:vAlign w:val="center"/>
          </w:tcPr>
          <w:p w14:paraId="458AF280">
            <w:pPr>
              <w:widowControl/>
              <w:spacing w:line="240" w:lineRule="auto"/>
              <w:ind w:firstLine="0" w:firstLineChars="0"/>
              <w:jc w:val="center"/>
              <w:rPr>
                <w:kern w:val="0"/>
                <w:sz w:val="21"/>
                <w:szCs w:val="21"/>
              </w:rPr>
            </w:pPr>
          </w:p>
        </w:tc>
        <w:tc>
          <w:tcPr>
            <w:tcW w:w="1438" w:type="dxa"/>
            <w:vMerge w:val="continue"/>
            <w:noWrap/>
            <w:vAlign w:val="center"/>
          </w:tcPr>
          <w:p w14:paraId="6D170F45">
            <w:pPr>
              <w:widowControl/>
              <w:spacing w:line="240" w:lineRule="auto"/>
              <w:ind w:firstLine="0" w:firstLineChars="0"/>
              <w:jc w:val="center"/>
              <w:rPr>
                <w:kern w:val="0"/>
                <w:sz w:val="21"/>
                <w:szCs w:val="21"/>
              </w:rPr>
            </w:pPr>
          </w:p>
        </w:tc>
        <w:tc>
          <w:tcPr>
            <w:tcW w:w="1151" w:type="dxa"/>
            <w:noWrap/>
            <w:vAlign w:val="center"/>
          </w:tcPr>
          <w:p w14:paraId="444A4AB1">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KZ-460</w:t>
            </w:r>
          </w:p>
        </w:tc>
        <w:tc>
          <w:tcPr>
            <w:tcW w:w="1171" w:type="dxa"/>
            <w:noWrap/>
            <w:vAlign w:val="center"/>
          </w:tcPr>
          <w:p w14:paraId="01C007AA">
            <w:pPr>
              <w:widowControl/>
              <w:spacing w:line="240" w:lineRule="auto"/>
              <w:ind w:firstLine="0" w:firstLineChars="0"/>
              <w:jc w:val="center"/>
              <w:rPr>
                <w:kern w:val="0"/>
                <w:sz w:val="21"/>
                <w:szCs w:val="21"/>
              </w:rPr>
            </w:pPr>
            <w:r>
              <w:rPr>
                <w:kern w:val="0"/>
                <w:sz w:val="21"/>
                <w:szCs w:val="21"/>
              </w:rPr>
              <w:t>73531</w:t>
            </w:r>
          </w:p>
        </w:tc>
        <w:tc>
          <w:tcPr>
            <w:tcW w:w="1110" w:type="dxa"/>
            <w:vMerge w:val="continue"/>
            <w:vAlign w:val="center"/>
          </w:tcPr>
          <w:p w14:paraId="538332D7">
            <w:pPr>
              <w:widowControl/>
              <w:spacing w:line="240" w:lineRule="auto"/>
              <w:ind w:firstLine="0" w:firstLineChars="0"/>
              <w:jc w:val="center"/>
              <w:rPr>
                <w:kern w:val="0"/>
                <w:sz w:val="21"/>
                <w:szCs w:val="21"/>
              </w:rPr>
            </w:pPr>
          </w:p>
        </w:tc>
        <w:tc>
          <w:tcPr>
            <w:tcW w:w="2548" w:type="dxa"/>
            <w:vMerge w:val="continue"/>
            <w:vAlign w:val="center"/>
          </w:tcPr>
          <w:p w14:paraId="4396D235">
            <w:pPr>
              <w:widowControl/>
              <w:spacing w:line="240" w:lineRule="auto"/>
              <w:ind w:firstLine="0" w:firstLineChars="0"/>
              <w:jc w:val="center"/>
              <w:rPr>
                <w:kern w:val="0"/>
                <w:sz w:val="21"/>
                <w:szCs w:val="21"/>
              </w:rPr>
            </w:pPr>
          </w:p>
        </w:tc>
        <w:tc>
          <w:tcPr>
            <w:tcW w:w="1109" w:type="dxa"/>
            <w:vMerge w:val="continue"/>
            <w:vAlign w:val="center"/>
          </w:tcPr>
          <w:p w14:paraId="10D37624">
            <w:pPr>
              <w:widowControl/>
              <w:spacing w:line="240" w:lineRule="auto"/>
              <w:ind w:firstLine="0" w:firstLineChars="0"/>
              <w:jc w:val="center"/>
              <w:rPr>
                <w:kern w:val="0"/>
                <w:sz w:val="21"/>
                <w:szCs w:val="21"/>
              </w:rPr>
            </w:pPr>
          </w:p>
        </w:tc>
        <w:tc>
          <w:tcPr>
            <w:tcW w:w="1069" w:type="dxa"/>
            <w:vMerge w:val="continue"/>
            <w:vAlign w:val="center"/>
          </w:tcPr>
          <w:p w14:paraId="77E812B8">
            <w:pPr>
              <w:widowControl/>
              <w:spacing w:line="240" w:lineRule="auto"/>
              <w:ind w:firstLine="0" w:firstLineChars="0"/>
              <w:jc w:val="center"/>
              <w:rPr>
                <w:kern w:val="0"/>
                <w:sz w:val="21"/>
                <w:szCs w:val="21"/>
              </w:rPr>
            </w:pPr>
          </w:p>
        </w:tc>
        <w:tc>
          <w:tcPr>
            <w:tcW w:w="1109" w:type="dxa"/>
            <w:vMerge w:val="continue"/>
            <w:vAlign w:val="center"/>
          </w:tcPr>
          <w:p w14:paraId="4B2F4327">
            <w:pPr>
              <w:widowControl/>
              <w:spacing w:line="240" w:lineRule="auto"/>
              <w:ind w:firstLine="0" w:firstLineChars="0"/>
              <w:jc w:val="center"/>
              <w:rPr>
                <w:kern w:val="0"/>
                <w:sz w:val="21"/>
                <w:szCs w:val="21"/>
              </w:rPr>
            </w:pPr>
          </w:p>
        </w:tc>
        <w:tc>
          <w:tcPr>
            <w:tcW w:w="1080" w:type="dxa"/>
            <w:vMerge w:val="continue"/>
            <w:vAlign w:val="center"/>
          </w:tcPr>
          <w:p w14:paraId="2A42828D">
            <w:pPr>
              <w:widowControl/>
              <w:spacing w:line="240" w:lineRule="auto"/>
              <w:ind w:firstLine="0" w:firstLineChars="0"/>
              <w:jc w:val="center"/>
              <w:rPr>
                <w:kern w:val="0"/>
                <w:sz w:val="21"/>
                <w:szCs w:val="21"/>
              </w:rPr>
            </w:pPr>
          </w:p>
        </w:tc>
      </w:tr>
      <w:tr w14:paraId="4659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6562DB4B">
            <w:pPr>
              <w:widowControl/>
              <w:spacing w:line="240" w:lineRule="auto"/>
              <w:ind w:firstLine="0" w:firstLineChars="0"/>
              <w:jc w:val="center"/>
              <w:rPr>
                <w:kern w:val="0"/>
                <w:sz w:val="21"/>
                <w:szCs w:val="21"/>
              </w:rPr>
            </w:pPr>
          </w:p>
        </w:tc>
        <w:tc>
          <w:tcPr>
            <w:tcW w:w="863" w:type="dxa"/>
            <w:vMerge w:val="continue"/>
            <w:vAlign w:val="center"/>
          </w:tcPr>
          <w:p w14:paraId="296496C4">
            <w:pPr>
              <w:widowControl/>
              <w:spacing w:line="240" w:lineRule="auto"/>
              <w:ind w:firstLine="0" w:firstLineChars="0"/>
              <w:jc w:val="center"/>
              <w:rPr>
                <w:kern w:val="0"/>
                <w:sz w:val="21"/>
                <w:szCs w:val="21"/>
              </w:rPr>
            </w:pPr>
          </w:p>
        </w:tc>
        <w:tc>
          <w:tcPr>
            <w:tcW w:w="794" w:type="dxa"/>
            <w:vMerge w:val="continue"/>
            <w:noWrap/>
            <w:vAlign w:val="center"/>
          </w:tcPr>
          <w:p w14:paraId="54EC5E66">
            <w:pPr>
              <w:widowControl/>
              <w:spacing w:line="240" w:lineRule="auto"/>
              <w:ind w:firstLine="0" w:firstLineChars="0"/>
              <w:jc w:val="center"/>
              <w:rPr>
                <w:kern w:val="0"/>
                <w:sz w:val="21"/>
                <w:szCs w:val="21"/>
              </w:rPr>
            </w:pPr>
          </w:p>
        </w:tc>
        <w:tc>
          <w:tcPr>
            <w:tcW w:w="1438" w:type="dxa"/>
            <w:vMerge w:val="restart"/>
            <w:noWrap/>
            <w:vAlign w:val="center"/>
          </w:tcPr>
          <w:p w14:paraId="310652AA">
            <w:pPr>
              <w:widowControl/>
              <w:spacing w:line="240" w:lineRule="auto"/>
              <w:ind w:firstLine="0" w:firstLineChars="0"/>
              <w:jc w:val="center"/>
              <w:rPr>
                <w:kern w:val="0"/>
                <w:sz w:val="21"/>
                <w:szCs w:val="21"/>
              </w:rPr>
            </w:pPr>
            <w:r>
              <w:rPr>
                <w:kern w:val="0"/>
                <w:sz w:val="21"/>
                <w:szCs w:val="21"/>
              </w:rPr>
              <w:t>460~450m</w:t>
            </w:r>
          </w:p>
        </w:tc>
        <w:tc>
          <w:tcPr>
            <w:tcW w:w="1151" w:type="dxa"/>
            <w:noWrap/>
            <w:vAlign w:val="center"/>
          </w:tcPr>
          <w:p w14:paraId="5AA8B130">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KZ-466</w:t>
            </w:r>
          </w:p>
        </w:tc>
        <w:tc>
          <w:tcPr>
            <w:tcW w:w="1171" w:type="dxa"/>
            <w:noWrap/>
            <w:vAlign w:val="center"/>
          </w:tcPr>
          <w:p w14:paraId="73B77D5C">
            <w:pPr>
              <w:widowControl/>
              <w:spacing w:line="240" w:lineRule="auto"/>
              <w:ind w:firstLine="0" w:firstLineChars="0"/>
              <w:jc w:val="center"/>
              <w:rPr>
                <w:kern w:val="0"/>
                <w:sz w:val="21"/>
                <w:szCs w:val="21"/>
              </w:rPr>
            </w:pPr>
            <w:r>
              <w:rPr>
                <w:kern w:val="0"/>
                <w:sz w:val="21"/>
                <w:szCs w:val="21"/>
              </w:rPr>
              <w:t>73531</w:t>
            </w:r>
          </w:p>
        </w:tc>
        <w:tc>
          <w:tcPr>
            <w:tcW w:w="1110" w:type="dxa"/>
            <w:vMerge w:val="restart"/>
            <w:noWrap/>
            <w:vAlign w:val="center"/>
          </w:tcPr>
          <w:p w14:paraId="7ADD867D">
            <w:pPr>
              <w:widowControl/>
              <w:spacing w:line="240" w:lineRule="auto"/>
              <w:ind w:firstLine="0" w:firstLineChars="0"/>
              <w:jc w:val="center"/>
              <w:rPr>
                <w:kern w:val="0"/>
                <w:sz w:val="21"/>
                <w:szCs w:val="21"/>
              </w:rPr>
            </w:pPr>
            <w:r>
              <w:rPr>
                <w:kern w:val="0"/>
                <w:sz w:val="21"/>
                <w:szCs w:val="21"/>
              </w:rPr>
              <w:t>10</w:t>
            </w:r>
          </w:p>
        </w:tc>
        <w:tc>
          <w:tcPr>
            <w:tcW w:w="2548" w:type="dxa"/>
            <w:vMerge w:val="restart"/>
            <w:noWrap/>
            <w:vAlign w:val="center"/>
          </w:tcPr>
          <w:p w14:paraId="5E832902">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noWrap/>
            <w:vAlign w:val="center"/>
          </w:tcPr>
          <w:p w14:paraId="7EEB4254">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5F10A248">
            <w:pPr>
              <w:widowControl/>
              <w:spacing w:line="240" w:lineRule="auto"/>
              <w:ind w:firstLine="0" w:firstLineChars="0"/>
              <w:jc w:val="center"/>
              <w:rPr>
                <w:kern w:val="0"/>
                <w:sz w:val="21"/>
                <w:szCs w:val="21"/>
              </w:rPr>
            </w:pPr>
            <w:r>
              <w:rPr>
                <w:kern w:val="0"/>
                <w:sz w:val="21"/>
                <w:szCs w:val="21"/>
              </w:rPr>
              <w:t>85.24</w:t>
            </w:r>
          </w:p>
        </w:tc>
        <w:tc>
          <w:tcPr>
            <w:tcW w:w="1109" w:type="dxa"/>
            <w:vMerge w:val="continue"/>
            <w:noWrap/>
            <w:vAlign w:val="center"/>
          </w:tcPr>
          <w:p w14:paraId="517B005F">
            <w:pPr>
              <w:widowControl/>
              <w:spacing w:line="240" w:lineRule="auto"/>
              <w:ind w:firstLine="0" w:firstLineChars="0"/>
              <w:jc w:val="center"/>
              <w:rPr>
                <w:kern w:val="0"/>
                <w:sz w:val="21"/>
                <w:szCs w:val="21"/>
              </w:rPr>
            </w:pPr>
          </w:p>
        </w:tc>
        <w:tc>
          <w:tcPr>
            <w:tcW w:w="1080" w:type="dxa"/>
            <w:vMerge w:val="continue"/>
            <w:noWrap/>
            <w:vAlign w:val="center"/>
          </w:tcPr>
          <w:p w14:paraId="254859F2">
            <w:pPr>
              <w:widowControl/>
              <w:spacing w:line="240" w:lineRule="auto"/>
              <w:ind w:firstLine="0" w:firstLineChars="0"/>
              <w:jc w:val="center"/>
              <w:rPr>
                <w:kern w:val="0"/>
                <w:sz w:val="21"/>
                <w:szCs w:val="21"/>
              </w:rPr>
            </w:pPr>
          </w:p>
        </w:tc>
      </w:tr>
      <w:tr w14:paraId="7F6F6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674D89AA">
            <w:pPr>
              <w:widowControl/>
              <w:spacing w:line="240" w:lineRule="auto"/>
              <w:ind w:firstLine="0" w:firstLineChars="0"/>
              <w:jc w:val="center"/>
              <w:rPr>
                <w:kern w:val="0"/>
                <w:sz w:val="21"/>
                <w:szCs w:val="21"/>
              </w:rPr>
            </w:pPr>
          </w:p>
        </w:tc>
        <w:tc>
          <w:tcPr>
            <w:tcW w:w="863" w:type="dxa"/>
            <w:vMerge w:val="continue"/>
            <w:vAlign w:val="center"/>
          </w:tcPr>
          <w:p w14:paraId="77B2CFAB">
            <w:pPr>
              <w:widowControl/>
              <w:spacing w:line="240" w:lineRule="auto"/>
              <w:ind w:firstLine="0" w:firstLineChars="0"/>
              <w:jc w:val="center"/>
              <w:rPr>
                <w:kern w:val="0"/>
                <w:sz w:val="21"/>
                <w:szCs w:val="21"/>
              </w:rPr>
            </w:pPr>
          </w:p>
        </w:tc>
        <w:tc>
          <w:tcPr>
            <w:tcW w:w="794" w:type="dxa"/>
            <w:vMerge w:val="continue"/>
            <w:noWrap/>
            <w:vAlign w:val="center"/>
          </w:tcPr>
          <w:p w14:paraId="53AF9DCB">
            <w:pPr>
              <w:widowControl/>
              <w:spacing w:line="240" w:lineRule="auto"/>
              <w:ind w:firstLine="0" w:firstLineChars="0"/>
              <w:jc w:val="center"/>
              <w:rPr>
                <w:kern w:val="0"/>
                <w:sz w:val="21"/>
                <w:szCs w:val="21"/>
              </w:rPr>
            </w:pPr>
          </w:p>
        </w:tc>
        <w:tc>
          <w:tcPr>
            <w:tcW w:w="1438" w:type="dxa"/>
            <w:vMerge w:val="continue"/>
            <w:noWrap/>
            <w:vAlign w:val="center"/>
          </w:tcPr>
          <w:p w14:paraId="4386C8D6">
            <w:pPr>
              <w:widowControl/>
              <w:spacing w:line="240" w:lineRule="auto"/>
              <w:ind w:firstLine="0" w:firstLineChars="0"/>
              <w:jc w:val="center"/>
              <w:rPr>
                <w:kern w:val="0"/>
                <w:sz w:val="21"/>
                <w:szCs w:val="21"/>
              </w:rPr>
            </w:pPr>
          </w:p>
        </w:tc>
        <w:tc>
          <w:tcPr>
            <w:tcW w:w="1151" w:type="dxa"/>
            <w:noWrap/>
            <w:vAlign w:val="center"/>
          </w:tcPr>
          <w:p w14:paraId="7F545DC3">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KZ-450-1</w:t>
            </w:r>
          </w:p>
        </w:tc>
        <w:tc>
          <w:tcPr>
            <w:tcW w:w="1171" w:type="dxa"/>
            <w:noWrap/>
            <w:vAlign w:val="center"/>
          </w:tcPr>
          <w:p w14:paraId="1BD3F385">
            <w:pPr>
              <w:widowControl/>
              <w:spacing w:line="240" w:lineRule="auto"/>
              <w:ind w:firstLine="0" w:firstLineChars="0"/>
              <w:jc w:val="center"/>
              <w:rPr>
                <w:kern w:val="0"/>
                <w:sz w:val="21"/>
                <w:szCs w:val="21"/>
              </w:rPr>
            </w:pPr>
            <w:r>
              <w:rPr>
                <w:kern w:val="0"/>
                <w:sz w:val="21"/>
                <w:szCs w:val="21"/>
              </w:rPr>
              <w:t>96911</w:t>
            </w:r>
          </w:p>
        </w:tc>
        <w:tc>
          <w:tcPr>
            <w:tcW w:w="1110" w:type="dxa"/>
            <w:vMerge w:val="continue"/>
            <w:noWrap/>
            <w:vAlign w:val="center"/>
          </w:tcPr>
          <w:p w14:paraId="77E558B9">
            <w:pPr>
              <w:widowControl/>
              <w:spacing w:line="240" w:lineRule="auto"/>
              <w:ind w:firstLine="0" w:firstLineChars="0"/>
              <w:jc w:val="center"/>
              <w:rPr>
                <w:kern w:val="0"/>
                <w:sz w:val="21"/>
                <w:szCs w:val="21"/>
              </w:rPr>
            </w:pPr>
          </w:p>
        </w:tc>
        <w:tc>
          <w:tcPr>
            <w:tcW w:w="2548" w:type="dxa"/>
            <w:vMerge w:val="continue"/>
            <w:noWrap/>
            <w:vAlign w:val="center"/>
          </w:tcPr>
          <w:p w14:paraId="40EA743B">
            <w:pPr>
              <w:widowControl/>
              <w:spacing w:line="240" w:lineRule="auto"/>
              <w:ind w:firstLine="0" w:firstLineChars="0"/>
              <w:jc w:val="center"/>
              <w:rPr>
                <w:kern w:val="0"/>
                <w:sz w:val="21"/>
                <w:szCs w:val="21"/>
              </w:rPr>
            </w:pPr>
          </w:p>
        </w:tc>
        <w:tc>
          <w:tcPr>
            <w:tcW w:w="1109" w:type="dxa"/>
            <w:vMerge w:val="continue"/>
            <w:noWrap/>
            <w:vAlign w:val="center"/>
          </w:tcPr>
          <w:p w14:paraId="03C4BBDE">
            <w:pPr>
              <w:widowControl/>
              <w:spacing w:line="240" w:lineRule="auto"/>
              <w:ind w:firstLine="0" w:firstLineChars="0"/>
              <w:jc w:val="center"/>
              <w:rPr>
                <w:kern w:val="0"/>
                <w:sz w:val="21"/>
                <w:szCs w:val="21"/>
              </w:rPr>
            </w:pPr>
          </w:p>
        </w:tc>
        <w:tc>
          <w:tcPr>
            <w:tcW w:w="1069" w:type="dxa"/>
            <w:vMerge w:val="continue"/>
            <w:noWrap/>
            <w:vAlign w:val="center"/>
          </w:tcPr>
          <w:p w14:paraId="5A0DEC88">
            <w:pPr>
              <w:widowControl/>
              <w:spacing w:line="240" w:lineRule="auto"/>
              <w:ind w:firstLine="0" w:firstLineChars="0"/>
              <w:jc w:val="center"/>
              <w:rPr>
                <w:kern w:val="0"/>
                <w:sz w:val="21"/>
                <w:szCs w:val="21"/>
              </w:rPr>
            </w:pPr>
          </w:p>
        </w:tc>
        <w:tc>
          <w:tcPr>
            <w:tcW w:w="1109" w:type="dxa"/>
            <w:vMerge w:val="continue"/>
            <w:noWrap/>
            <w:vAlign w:val="center"/>
          </w:tcPr>
          <w:p w14:paraId="17E468E1">
            <w:pPr>
              <w:widowControl/>
              <w:spacing w:line="240" w:lineRule="auto"/>
              <w:ind w:firstLine="0" w:firstLineChars="0"/>
              <w:jc w:val="center"/>
              <w:rPr>
                <w:kern w:val="0"/>
                <w:sz w:val="21"/>
                <w:szCs w:val="21"/>
              </w:rPr>
            </w:pPr>
          </w:p>
        </w:tc>
        <w:tc>
          <w:tcPr>
            <w:tcW w:w="1080" w:type="dxa"/>
            <w:vMerge w:val="continue"/>
            <w:noWrap/>
            <w:vAlign w:val="center"/>
          </w:tcPr>
          <w:p w14:paraId="198EED54">
            <w:pPr>
              <w:widowControl/>
              <w:spacing w:line="240" w:lineRule="auto"/>
              <w:ind w:firstLine="0" w:firstLineChars="0"/>
              <w:jc w:val="center"/>
              <w:rPr>
                <w:kern w:val="0"/>
                <w:sz w:val="21"/>
                <w:szCs w:val="21"/>
              </w:rPr>
            </w:pPr>
          </w:p>
        </w:tc>
      </w:tr>
      <w:tr w14:paraId="0FAC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567125C5">
            <w:pPr>
              <w:widowControl/>
              <w:spacing w:line="240" w:lineRule="auto"/>
              <w:ind w:firstLine="0" w:firstLineChars="0"/>
              <w:jc w:val="center"/>
              <w:rPr>
                <w:kern w:val="0"/>
                <w:sz w:val="21"/>
                <w:szCs w:val="21"/>
              </w:rPr>
            </w:pPr>
          </w:p>
        </w:tc>
        <w:tc>
          <w:tcPr>
            <w:tcW w:w="863" w:type="dxa"/>
            <w:vMerge w:val="continue"/>
            <w:vAlign w:val="center"/>
          </w:tcPr>
          <w:p w14:paraId="67146D43">
            <w:pPr>
              <w:widowControl/>
              <w:spacing w:line="240" w:lineRule="auto"/>
              <w:ind w:firstLine="0" w:firstLineChars="0"/>
              <w:jc w:val="center"/>
              <w:rPr>
                <w:kern w:val="0"/>
                <w:sz w:val="21"/>
                <w:szCs w:val="21"/>
              </w:rPr>
            </w:pPr>
          </w:p>
        </w:tc>
        <w:tc>
          <w:tcPr>
            <w:tcW w:w="794" w:type="dxa"/>
            <w:vMerge w:val="continue"/>
            <w:noWrap/>
            <w:vAlign w:val="center"/>
          </w:tcPr>
          <w:p w14:paraId="4B37B478">
            <w:pPr>
              <w:widowControl/>
              <w:spacing w:line="240" w:lineRule="auto"/>
              <w:ind w:firstLine="0" w:firstLineChars="0"/>
              <w:jc w:val="center"/>
              <w:rPr>
                <w:kern w:val="0"/>
                <w:sz w:val="21"/>
                <w:szCs w:val="21"/>
              </w:rPr>
            </w:pPr>
          </w:p>
        </w:tc>
        <w:tc>
          <w:tcPr>
            <w:tcW w:w="1438" w:type="dxa"/>
            <w:vMerge w:val="restart"/>
            <w:noWrap/>
            <w:vAlign w:val="center"/>
          </w:tcPr>
          <w:p w14:paraId="6C92DAEB">
            <w:pPr>
              <w:widowControl/>
              <w:spacing w:line="240" w:lineRule="auto"/>
              <w:ind w:firstLine="0" w:firstLineChars="0"/>
              <w:jc w:val="center"/>
              <w:rPr>
                <w:kern w:val="0"/>
                <w:sz w:val="21"/>
                <w:szCs w:val="21"/>
              </w:rPr>
            </w:pPr>
            <w:r>
              <w:rPr>
                <w:kern w:val="0"/>
                <w:sz w:val="21"/>
                <w:szCs w:val="21"/>
              </w:rPr>
              <w:t>454~450m</w:t>
            </w:r>
          </w:p>
        </w:tc>
        <w:tc>
          <w:tcPr>
            <w:tcW w:w="1151" w:type="dxa"/>
            <w:noWrap/>
            <w:vAlign w:val="center"/>
          </w:tcPr>
          <w:p w14:paraId="16C09EE4">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KZ-454</w:t>
            </w:r>
          </w:p>
        </w:tc>
        <w:tc>
          <w:tcPr>
            <w:tcW w:w="1171" w:type="dxa"/>
            <w:noWrap/>
            <w:vAlign w:val="center"/>
          </w:tcPr>
          <w:p w14:paraId="239F3CBA">
            <w:pPr>
              <w:widowControl/>
              <w:spacing w:line="240" w:lineRule="auto"/>
              <w:ind w:firstLine="0" w:firstLineChars="0"/>
              <w:jc w:val="center"/>
              <w:rPr>
                <w:kern w:val="0"/>
                <w:sz w:val="21"/>
                <w:szCs w:val="21"/>
              </w:rPr>
            </w:pPr>
            <w:r>
              <w:rPr>
                <w:kern w:val="0"/>
                <w:sz w:val="21"/>
                <w:szCs w:val="21"/>
              </w:rPr>
              <w:t>0</w:t>
            </w:r>
          </w:p>
        </w:tc>
        <w:tc>
          <w:tcPr>
            <w:tcW w:w="1110" w:type="dxa"/>
            <w:vMerge w:val="restart"/>
            <w:noWrap/>
            <w:vAlign w:val="center"/>
          </w:tcPr>
          <w:p w14:paraId="03F2D054">
            <w:pPr>
              <w:widowControl/>
              <w:spacing w:line="240" w:lineRule="auto"/>
              <w:ind w:firstLine="0" w:firstLineChars="0"/>
              <w:jc w:val="center"/>
              <w:rPr>
                <w:kern w:val="0"/>
                <w:sz w:val="21"/>
                <w:szCs w:val="21"/>
              </w:rPr>
            </w:pPr>
            <w:r>
              <w:rPr>
                <w:kern w:val="0"/>
                <w:sz w:val="21"/>
                <w:szCs w:val="21"/>
              </w:rPr>
              <w:t>4</w:t>
            </w:r>
          </w:p>
        </w:tc>
        <w:tc>
          <w:tcPr>
            <w:tcW w:w="2548" w:type="dxa"/>
            <w:vMerge w:val="restart"/>
            <w:noWrap/>
            <w:vAlign w:val="center"/>
          </w:tcPr>
          <w:p w14:paraId="777F8DC6">
            <w:pPr>
              <w:widowControl/>
              <w:spacing w:line="240" w:lineRule="auto"/>
              <w:ind w:firstLine="0" w:firstLineChars="0"/>
              <w:jc w:val="center"/>
              <w:rPr>
                <w:kern w:val="0"/>
                <w:sz w:val="21"/>
                <w:szCs w:val="21"/>
              </w:rPr>
            </w:pPr>
            <w:r>
              <w:rPr>
                <w:kern w:val="0"/>
                <w:sz w:val="21"/>
                <w:szCs w:val="21"/>
              </w:rPr>
              <w:t>V=S·L/3</w:t>
            </w:r>
          </w:p>
        </w:tc>
        <w:tc>
          <w:tcPr>
            <w:tcW w:w="1109" w:type="dxa"/>
            <w:vMerge w:val="restart"/>
            <w:noWrap/>
            <w:vAlign w:val="center"/>
          </w:tcPr>
          <w:p w14:paraId="35EE439C">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0318A054">
            <w:pPr>
              <w:widowControl/>
              <w:spacing w:line="240" w:lineRule="auto"/>
              <w:ind w:firstLine="0" w:firstLineChars="0"/>
              <w:jc w:val="center"/>
              <w:rPr>
                <w:kern w:val="0"/>
                <w:sz w:val="21"/>
                <w:szCs w:val="21"/>
              </w:rPr>
            </w:pPr>
            <w:r>
              <w:rPr>
                <w:kern w:val="0"/>
                <w:sz w:val="21"/>
                <w:szCs w:val="21"/>
              </w:rPr>
              <w:t>0.04</w:t>
            </w:r>
          </w:p>
        </w:tc>
        <w:tc>
          <w:tcPr>
            <w:tcW w:w="1109" w:type="dxa"/>
            <w:vMerge w:val="continue"/>
            <w:noWrap/>
            <w:vAlign w:val="center"/>
          </w:tcPr>
          <w:p w14:paraId="33998E73">
            <w:pPr>
              <w:widowControl/>
              <w:spacing w:line="240" w:lineRule="auto"/>
              <w:ind w:firstLine="0" w:firstLineChars="0"/>
              <w:jc w:val="center"/>
              <w:rPr>
                <w:kern w:val="0"/>
                <w:sz w:val="21"/>
                <w:szCs w:val="21"/>
              </w:rPr>
            </w:pPr>
          </w:p>
        </w:tc>
        <w:tc>
          <w:tcPr>
            <w:tcW w:w="1080" w:type="dxa"/>
            <w:vMerge w:val="continue"/>
            <w:noWrap/>
            <w:vAlign w:val="center"/>
          </w:tcPr>
          <w:p w14:paraId="3979CD47">
            <w:pPr>
              <w:widowControl/>
              <w:spacing w:line="240" w:lineRule="auto"/>
              <w:ind w:firstLine="0" w:firstLineChars="0"/>
              <w:jc w:val="center"/>
              <w:rPr>
                <w:kern w:val="0"/>
                <w:sz w:val="21"/>
                <w:szCs w:val="21"/>
              </w:rPr>
            </w:pPr>
          </w:p>
        </w:tc>
      </w:tr>
      <w:tr w14:paraId="178A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572F560F">
            <w:pPr>
              <w:widowControl/>
              <w:spacing w:line="240" w:lineRule="auto"/>
              <w:ind w:firstLine="0" w:firstLineChars="0"/>
              <w:jc w:val="center"/>
              <w:rPr>
                <w:kern w:val="0"/>
                <w:sz w:val="21"/>
                <w:szCs w:val="21"/>
              </w:rPr>
            </w:pPr>
          </w:p>
        </w:tc>
        <w:tc>
          <w:tcPr>
            <w:tcW w:w="863" w:type="dxa"/>
            <w:vMerge w:val="continue"/>
            <w:vAlign w:val="center"/>
          </w:tcPr>
          <w:p w14:paraId="3F27AEBB">
            <w:pPr>
              <w:widowControl/>
              <w:spacing w:line="240" w:lineRule="auto"/>
              <w:ind w:firstLine="0" w:firstLineChars="0"/>
              <w:jc w:val="center"/>
              <w:rPr>
                <w:kern w:val="0"/>
                <w:sz w:val="21"/>
                <w:szCs w:val="21"/>
              </w:rPr>
            </w:pPr>
          </w:p>
        </w:tc>
        <w:tc>
          <w:tcPr>
            <w:tcW w:w="794" w:type="dxa"/>
            <w:vMerge w:val="continue"/>
            <w:noWrap/>
            <w:vAlign w:val="center"/>
          </w:tcPr>
          <w:p w14:paraId="62F61E5F">
            <w:pPr>
              <w:widowControl/>
              <w:spacing w:line="240" w:lineRule="auto"/>
              <w:ind w:firstLine="0" w:firstLineChars="0"/>
              <w:jc w:val="center"/>
              <w:rPr>
                <w:kern w:val="0"/>
                <w:sz w:val="21"/>
                <w:szCs w:val="21"/>
              </w:rPr>
            </w:pPr>
          </w:p>
        </w:tc>
        <w:tc>
          <w:tcPr>
            <w:tcW w:w="1438" w:type="dxa"/>
            <w:vMerge w:val="continue"/>
            <w:noWrap/>
            <w:vAlign w:val="center"/>
          </w:tcPr>
          <w:p w14:paraId="2F8684F4">
            <w:pPr>
              <w:widowControl/>
              <w:spacing w:line="240" w:lineRule="auto"/>
              <w:ind w:firstLine="0" w:firstLineChars="0"/>
              <w:jc w:val="center"/>
              <w:rPr>
                <w:kern w:val="0"/>
                <w:sz w:val="21"/>
                <w:szCs w:val="21"/>
              </w:rPr>
            </w:pPr>
          </w:p>
        </w:tc>
        <w:tc>
          <w:tcPr>
            <w:tcW w:w="1151" w:type="dxa"/>
            <w:noWrap/>
            <w:vAlign w:val="center"/>
          </w:tcPr>
          <w:p w14:paraId="724FFE9E">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KZ-450-2</w:t>
            </w:r>
          </w:p>
        </w:tc>
        <w:tc>
          <w:tcPr>
            <w:tcW w:w="1171" w:type="dxa"/>
            <w:noWrap/>
            <w:vAlign w:val="center"/>
          </w:tcPr>
          <w:p w14:paraId="7CB88472">
            <w:pPr>
              <w:widowControl/>
              <w:spacing w:line="240" w:lineRule="auto"/>
              <w:ind w:firstLine="0" w:firstLineChars="0"/>
              <w:jc w:val="center"/>
              <w:rPr>
                <w:kern w:val="0"/>
                <w:sz w:val="21"/>
                <w:szCs w:val="21"/>
              </w:rPr>
            </w:pPr>
            <w:r>
              <w:rPr>
                <w:kern w:val="0"/>
                <w:sz w:val="21"/>
                <w:szCs w:val="21"/>
              </w:rPr>
              <w:t>282</w:t>
            </w:r>
          </w:p>
        </w:tc>
        <w:tc>
          <w:tcPr>
            <w:tcW w:w="1110" w:type="dxa"/>
            <w:vMerge w:val="continue"/>
            <w:vAlign w:val="center"/>
          </w:tcPr>
          <w:p w14:paraId="5C76F2B3">
            <w:pPr>
              <w:widowControl/>
              <w:spacing w:line="240" w:lineRule="auto"/>
              <w:ind w:firstLine="0" w:firstLineChars="0"/>
              <w:jc w:val="center"/>
              <w:rPr>
                <w:kern w:val="0"/>
                <w:sz w:val="21"/>
                <w:szCs w:val="21"/>
              </w:rPr>
            </w:pPr>
          </w:p>
        </w:tc>
        <w:tc>
          <w:tcPr>
            <w:tcW w:w="2548" w:type="dxa"/>
            <w:vMerge w:val="continue"/>
            <w:vAlign w:val="center"/>
          </w:tcPr>
          <w:p w14:paraId="0554B873">
            <w:pPr>
              <w:widowControl/>
              <w:spacing w:line="240" w:lineRule="auto"/>
              <w:ind w:firstLine="0" w:firstLineChars="0"/>
              <w:jc w:val="center"/>
              <w:rPr>
                <w:kern w:val="0"/>
                <w:sz w:val="21"/>
                <w:szCs w:val="21"/>
              </w:rPr>
            </w:pPr>
          </w:p>
        </w:tc>
        <w:tc>
          <w:tcPr>
            <w:tcW w:w="1109" w:type="dxa"/>
            <w:vMerge w:val="continue"/>
            <w:vAlign w:val="center"/>
          </w:tcPr>
          <w:p w14:paraId="4CAEB6B2">
            <w:pPr>
              <w:widowControl/>
              <w:spacing w:line="240" w:lineRule="auto"/>
              <w:ind w:firstLine="0" w:firstLineChars="0"/>
              <w:jc w:val="center"/>
              <w:rPr>
                <w:kern w:val="0"/>
                <w:sz w:val="21"/>
                <w:szCs w:val="21"/>
              </w:rPr>
            </w:pPr>
          </w:p>
        </w:tc>
        <w:tc>
          <w:tcPr>
            <w:tcW w:w="1069" w:type="dxa"/>
            <w:vMerge w:val="continue"/>
            <w:vAlign w:val="center"/>
          </w:tcPr>
          <w:p w14:paraId="4A7AE4A6">
            <w:pPr>
              <w:widowControl/>
              <w:spacing w:line="240" w:lineRule="auto"/>
              <w:ind w:firstLine="0" w:firstLineChars="0"/>
              <w:jc w:val="center"/>
              <w:rPr>
                <w:kern w:val="0"/>
                <w:sz w:val="21"/>
                <w:szCs w:val="21"/>
              </w:rPr>
            </w:pPr>
          </w:p>
        </w:tc>
        <w:tc>
          <w:tcPr>
            <w:tcW w:w="1109" w:type="dxa"/>
            <w:vMerge w:val="continue"/>
            <w:vAlign w:val="center"/>
          </w:tcPr>
          <w:p w14:paraId="0439DA3C">
            <w:pPr>
              <w:widowControl/>
              <w:spacing w:line="240" w:lineRule="auto"/>
              <w:ind w:firstLine="0" w:firstLineChars="0"/>
              <w:jc w:val="center"/>
              <w:rPr>
                <w:kern w:val="0"/>
                <w:sz w:val="21"/>
                <w:szCs w:val="21"/>
              </w:rPr>
            </w:pPr>
          </w:p>
        </w:tc>
        <w:tc>
          <w:tcPr>
            <w:tcW w:w="1080" w:type="dxa"/>
            <w:vMerge w:val="continue"/>
            <w:vAlign w:val="center"/>
          </w:tcPr>
          <w:p w14:paraId="48BD3661">
            <w:pPr>
              <w:widowControl/>
              <w:spacing w:line="240" w:lineRule="auto"/>
              <w:ind w:firstLine="0" w:firstLineChars="0"/>
              <w:jc w:val="center"/>
              <w:rPr>
                <w:kern w:val="0"/>
                <w:sz w:val="21"/>
                <w:szCs w:val="21"/>
              </w:rPr>
            </w:pPr>
          </w:p>
        </w:tc>
      </w:tr>
      <w:tr w14:paraId="0401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5F5C36E5">
            <w:pPr>
              <w:widowControl/>
              <w:spacing w:line="240" w:lineRule="auto"/>
              <w:ind w:firstLine="0" w:firstLineChars="0"/>
              <w:jc w:val="center"/>
              <w:rPr>
                <w:kern w:val="0"/>
                <w:sz w:val="21"/>
                <w:szCs w:val="21"/>
              </w:rPr>
            </w:pPr>
          </w:p>
        </w:tc>
        <w:tc>
          <w:tcPr>
            <w:tcW w:w="863" w:type="dxa"/>
            <w:vMerge w:val="continue"/>
            <w:vAlign w:val="center"/>
          </w:tcPr>
          <w:p w14:paraId="06740512">
            <w:pPr>
              <w:widowControl/>
              <w:spacing w:line="240" w:lineRule="auto"/>
              <w:ind w:firstLine="0" w:firstLineChars="0"/>
              <w:jc w:val="center"/>
              <w:rPr>
                <w:kern w:val="0"/>
                <w:sz w:val="21"/>
                <w:szCs w:val="21"/>
              </w:rPr>
            </w:pPr>
          </w:p>
        </w:tc>
        <w:tc>
          <w:tcPr>
            <w:tcW w:w="794" w:type="dxa"/>
            <w:vMerge w:val="continue"/>
            <w:noWrap/>
            <w:vAlign w:val="center"/>
          </w:tcPr>
          <w:p w14:paraId="0E2B6EC4">
            <w:pPr>
              <w:widowControl/>
              <w:spacing w:line="240" w:lineRule="auto"/>
              <w:ind w:firstLine="0" w:firstLineChars="0"/>
              <w:jc w:val="center"/>
              <w:rPr>
                <w:kern w:val="0"/>
                <w:sz w:val="21"/>
                <w:szCs w:val="21"/>
              </w:rPr>
            </w:pPr>
          </w:p>
        </w:tc>
        <w:tc>
          <w:tcPr>
            <w:tcW w:w="1438" w:type="dxa"/>
            <w:vMerge w:val="restart"/>
            <w:noWrap/>
            <w:vAlign w:val="center"/>
          </w:tcPr>
          <w:p w14:paraId="46271171">
            <w:pPr>
              <w:widowControl/>
              <w:spacing w:line="240" w:lineRule="auto"/>
              <w:ind w:firstLine="0" w:firstLineChars="0"/>
              <w:jc w:val="center"/>
              <w:rPr>
                <w:kern w:val="0"/>
                <w:sz w:val="21"/>
                <w:szCs w:val="21"/>
              </w:rPr>
            </w:pPr>
            <w:r>
              <w:rPr>
                <w:kern w:val="0"/>
                <w:sz w:val="21"/>
                <w:szCs w:val="21"/>
              </w:rPr>
              <w:t>450~440m</w:t>
            </w:r>
          </w:p>
        </w:tc>
        <w:tc>
          <w:tcPr>
            <w:tcW w:w="1151" w:type="dxa"/>
            <w:noWrap/>
            <w:vAlign w:val="center"/>
          </w:tcPr>
          <w:p w14:paraId="7AFF59AD">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KZ-450-1+2</w:t>
            </w:r>
          </w:p>
        </w:tc>
        <w:tc>
          <w:tcPr>
            <w:tcW w:w="1171" w:type="dxa"/>
            <w:noWrap/>
            <w:vAlign w:val="center"/>
          </w:tcPr>
          <w:p w14:paraId="7ACFF193">
            <w:pPr>
              <w:widowControl/>
              <w:spacing w:line="240" w:lineRule="auto"/>
              <w:ind w:firstLine="0" w:firstLineChars="0"/>
              <w:jc w:val="center"/>
              <w:rPr>
                <w:kern w:val="0"/>
                <w:sz w:val="21"/>
                <w:szCs w:val="21"/>
              </w:rPr>
            </w:pPr>
            <w:r>
              <w:rPr>
                <w:kern w:val="0"/>
                <w:sz w:val="21"/>
                <w:szCs w:val="21"/>
              </w:rPr>
              <w:t>97226</w:t>
            </w:r>
          </w:p>
        </w:tc>
        <w:tc>
          <w:tcPr>
            <w:tcW w:w="1110" w:type="dxa"/>
            <w:vMerge w:val="restart"/>
            <w:noWrap/>
            <w:vAlign w:val="center"/>
          </w:tcPr>
          <w:p w14:paraId="627ACF7B">
            <w:pPr>
              <w:widowControl/>
              <w:spacing w:line="240" w:lineRule="auto"/>
              <w:ind w:firstLine="0" w:firstLineChars="0"/>
              <w:jc w:val="center"/>
              <w:rPr>
                <w:kern w:val="0"/>
                <w:sz w:val="21"/>
                <w:szCs w:val="21"/>
              </w:rPr>
            </w:pPr>
            <w:r>
              <w:rPr>
                <w:kern w:val="0"/>
                <w:sz w:val="21"/>
                <w:szCs w:val="21"/>
              </w:rPr>
              <w:t>10</w:t>
            </w:r>
          </w:p>
        </w:tc>
        <w:tc>
          <w:tcPr>
            <w:tcW w:w="2548" w:type="dxa"/>
            <w:vMerge w:val="restart"/>
            <w:noWrap/>
            <w:vAlign w:val="center"/>
          </w:tcPr>
          <w:p w14:paraId="4A847B82">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noWrap/>
            <w:vAlign w:val="center"/>
          </w:tcPr>
          <w:p w14:paraId="7FFB5E09">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3D590571">
            <w:pPr>
              <w:widowControl/>
              <w:spacing w:line="240" w:lineRule="auto"/>
              <w:ind w:firstLine="0" w:firstLineChars="0"/>
              <w:jc w:val="center"/>
              <w:rPr>
                <w:kern w:val="0"/>
                <w:sz w:val="21"/>
                <w:szCs w:val="21"/>
              </w:rPr>
            </w:pPr>
            <w:r>
              <w:rPr>
                <w:kern w:val="0"/>
                <w:sz w:val="21"/>
                <w:szCs w:val="21"/>
              </w:rPr>
              <w:t>120.14</w:t>
            </w:r>
          </w:p>
        </w:tc>
        <w:tc>
          <w:tcPr>
            <w:tcW w:w="1109" w:type="dxa"/>
            <w:vMerge w:val="continue"/>
            <w:noWrap/>
            <w:vAlign w:val="center"/>
          </w:tcPr>
          <w:p w14:paraId="4DF84348">
            <w:pPr>
              <w:widowControl/>
              <w:spacing w:line="240" w:lineRule="auto"/>
              <w:ind w:firstLine="0" w:firstLineChars="0"/>
              <w:jc w:val="center"/>
              <w:rPr>
                <w:kern w:val="0"/>
                <w:sz w:val="21"/>
                <w:szCs w:val="21"/>
              </w:rPr>
            </w:pPr>
          </w:p>
        </w:tc>
        <w:tc>
          <w:tcPr>
            <w:tcW w:w="1080" w:type="dxa"/>
            <w:vMerge w:val="continue"/>
            <w:noWrap/>
            <w:vAlign w:val="center"/>
          </w:tcPr>
          <w:p w14:paraId="4A9D02CF">
            <w:pPr>
              <w:widowControl/>
              <w:spacing w:line="240" w:lineRule="auto"/>
              <w:ind w:firstLine="0" w:firstLineChars="0"/>
              <w:jc w:val="center"/>
              <w:rPr>
                <w:kern w:val="0"/>
                <w:sz w:val="21"/>
                <w:szCs w:val="21"/>
              </w:rPr>
            </w:pPr>
          </w:p>
        </w:tc>
      </w:tr>
      <w:tr w14:paraId="21B1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7733508E">
            <w:pPr>
              <w:widowControl/>
              <w:spacing w:line="240" w:lineRule="auto"/>
              <w:ind w:firstLine="0" w:firstLineChars="0"/>
              <w:jc w:val="center"/>
              <w:rPr>
                <w:kern w:val="0"/>
                <w:sz w:val="21"/>
                <w:szCs w:val="21"/>
              </w:rPr>
            </w:pPr>
          </w:p>
        </w:tc>
        <w:tc>
          <w:tcPr>
            <w:tcW w:w="863" w:type="dxa"/>
            <w:vMerge w:val="continue"/>
            <w:vAlign w:val="center"/>
          </w:tcPr>
          <w:p w14:paraId="2FE6E94F">
            <w:pPr>
              <w:widowControl/>
              <w:spacing w:line="240" w:lineRule="auto"/>
              <w:ind w:firstLine="0" w:firstLineChars="0"/>
              <w:jc w:val="center"/>
              <w:rPr>
                <w:kern w:val="0"/>
                <w:sz w:val="21"/>
                <w:szCs w:val="21"/>
              </w:rPr>
            </w:pPr>
          </w:p>
        </w:tc>
        <w:tc>
          <w:tcPr>
            <w:tcW w:w="794" w:type="dxa"/>
            <w:vMerge w:val="continue"/>
            <w:noWrap/>
            <w:vAlign w:val="center"/>
          </w:tcPr>
          <w:p w14:paraId="15899804">
            <w:pPr>
              <w:widowControl/>
              <w:spacing w:line="240" w:lineRule="auto"/>
              <w:ind w:firstLine="0" w:firstLineChars="0"/>
              <w:jc w:val="center"/>
              <w:rPr>
                <w:kern w:val="0"/>
                <w:sz w:val="21"/>
                <w:szCs w:val="21"/>
              </w:rPr>
            </w:pPr>
          </w:p>
        </w:tc>
        <w:tc>
          <w:tcPr>
            <w:tcW w:w="1438" w:type="dxa"/>
            <w:vMerge w:val="continue"/>
            <w:noWrap/>
            <w:vAlign w:val="center"/>
          </w:tcPr>
          <w:p w14:paraId="0E38E5E6">
            <w:pPr>
              <w:widowControl/>
              <w:spacing w:line="240" w:lineRule="auto"/>
              <w:ind w:firstLine="0" w:firstLineChars="0"/>
              <w:jc w:val="center"/>
              <w:rPr>
                <w:kern w:val="0"/>
                <w:sz w:val="21"/>
                <w:szCs w:val="21"/>
              </w:rPr>
            </w:pPr>
          </w:p>
        </w:tc>
        <w:tc>
          <w:tcPr>
            <w:tcW w:w="1151" w:type="dxa"/>
            <w:noWrap/>
            <w:vAlign w:val="center"/>
          </w:tcPr>
          <w:p w14:paraId="144EB770">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KZ-440-1</w:t>
            </w:r>
          </w:p>
        </w:tc>
        <w:tc>
          <w:tcPr>
            <w:tcW w:w="1171" w:type="dxa"/>
            <w:noWrap/>
            <w:vAlign w:val="center"/>
          </w:tcPr>
          <w:p w14:paraId="548317DC">
            <w:pPr>
              <w:widowControl/>
              <w:spacing w:line="240" w:lineRule="auto"/>
              <w:ind w:firstLine="0" w:firstLineChars="0"/>
              <w:jc w:val="center"/>
              <w:rPr>
                <w:kern w:val="0"/>
                <w:sz w:val="21"/>
                <w:szCs w:val="21"/>
              </w:rPr>
            </w:pPr>
            <w:r>
              <w:rPr>
                <w:kern w:val="0"/>
                <w:sz w:val="21"/>
                <w:szCs w:val="21"/>
              </w:rPr>
              <w:t>144608</w:t>
            </w:r>
          </w:p>
        </w:tc>
        <w:tc>
          <w:tcPr>
            <w:tcW w:w="1110" w:type="dxa"/>
            <w:vMerge w:val="continue"/>
            <w:vAlign w:val="center"/>
          </w:tcPr>
          <w:p w14:paraId="25E02F48">
            <w:pPr>
              <w:widowControl/>
              <w:spacing w:line="240" w:lineRule="auto"/>
              <w:ind w:firstLine="0" w:firstLineChars="0"/>
              <w:jc w:val="center"/>
              <w:rPr>
                <w:kern w:val="0"/>
                <w:sz w:val="21"/>
                <w:szCs w:val="21"/>
              </w:rPr>
            </w:pPr>
          </w:p>
        </w:tc>
        <w:tc>
          <w:tcPr>
            <w:tcW w:w="2548" w:type="dxa"/>
            <w:vMerge w:val="continue"/>
            <w:vAlign w:val="center"/>
          </w:tcPr>
          <w:p w14:paraId="2FAFD872">
            <w:pPr>
              <w:widowControl/>
              <w:spacing w:line="240" w:lineRule="auto"/>
              <w:ind w:firstLine="0" w:firstLineChars="0"/>
              <w:jc w:val="center"/>
              <w:rPr>
                <w:kern w:val="0"/>
                <w:sz w:val="21"/>
                <w:szCs w:val="21"/>
              </w:rPr>
            </w:pPr>
          </w:p>
        </w:tc>
        <w:tc>
          <w:tcPr>
            <w:tcW w:w="1109" w:type="dxa"/>
            <w:vMerge w:val="continue"/>
            <w:vAlign w:val="center"/>
          </w:tcPr>
          <w:p w14:paraId="4C7FC3E6">
            <w:pPr>
              <w:widowControl/>
              <w:spacing w:line="240" w:lineRule="auto"/>
              <w:ind w:firstLine="0" w:firstLineChars="0"/>
              <w:jc w:val="center"/>
              <w:rPr>
                <w:kern w:val="0"/>
                <w:sz w:val="21"/>
                <w:szCs w:val="21"/>
              </w:rPr>
            </w:pPr>
          </w:p>
        </w:tc>
        <w:tc>
          <w:tcPr>
            <w:tcW w:w="1069" w:type="dxa"/>
            <w:vMerge w:val="continue"/>
            <w:vAlign w:val="center"/>
          </w:tcPr>
          <w:p w14:paraId="165DF50A">
            <w:pPr>
              <w:widowControl/>
              <w:spacing w:line="240" w:lineRule="auto"/>
              <w:ind w:firstLine="0" w:firstLineChars="0"/>
              <w:jc w:val="center"/>
              <w:rPr>
                <w:kern w:val="0"/>
                <w:sz w:val="21"/>
                <w:szCs w:val="21"/>
              </w:rPr>
            </w:pPr>
          </w:p>
        </w:tc>
        <w:tc>
          <w:tcPr>
            <w:tcW w:w="1109" w:type="dxa"/>
            <w:vMerge w:val="continue"/>
            <w:vAlign w:val="center"/>
          </w:tcPr>
          <w:p w14:paraId="1F898030">
            <w:pPr>
              <w:widowControl/>
              <w:spacing w:line="240" w:lineRule="auto"/>
              <w:ind w:firstLine="0" w:firstLineChars="0"/>
              <w:jc w:val="center"/>
              <w:rPr>
                <w:kern w:val="0"/>
                <w:sz w:val="21"/>
                <w:szCs w:val="21"/>
              </w:rPr>
            </w:pPr>
          </w:p>
        </w:tc>
        <w:tc>
          <w:tcPr>
            <w:tcW w:w="1080" w:type="dxa"/>
            <w:vMerge w:val="continue"/>
            <w:vAlign w:val="center"/>
          </w:tcPr>
          <w:p w14:paraId="0CBC2C75">
            <w:pPr>
              <w:widowControl/>
              <w:spacing w:line="240" w:lineRule="auto"/>
              <w:ind w:firstLine="0" w:firstLineChars="0"/>
              <w:jc w:val="center"/>
              <w:rPr>
                <w:kern w:val="0"/>
                <w:sz w:val="21"/>
                <w:szCs w:val="21"/>
              </w:rPr>
            </w:pPr>
          </w:p>
        </w:tc>
      </w:tr>
      <w:tr w14:paraId="0282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2" w:hRule="atLeast"/>
        </w:trPr>
        <w:tc>
          <w:tcPr>
            <w:tcW w:w="1137" w:type="dxa"/>
            <w:vMerge w:val="continue"/>
            <w:vAlign w:val="center"/>
          </w:tcPr>
          <w:p w14:paraId="14457712">
            <w:pPr>
              <w:widowControl/>
              <w:spacing w:line="240" w:lineRule="auto"/>
              <w:ind w:firstLine="0" w:firstLineChars="0"/>
              <w:jc w:val="center"/>
              <w:rPr>
                <w:kern w:val="0"/>
                <w:sz w:val="21"/>
                <w:szCs w:val="21"/>
              </w:rPr>
            </w:pPr>
          </w:p>
        </w:tc>
        <w:tc>
          <w:tcPr>
            <w:tcW w:w="863" w:type="dxa"/>
            <w:vMerge w:val="continue"/>
            <w:vAlign w:val="center"/>
          </w:tcPr>
          <w:p w14:paraId="6FB08A01">
            <w:pPr>
              <w:widowControl/>
              <w:spacing w:line="240" w:lineRule="auto"/>
              <w:ind w:firstLine="0" w:firstLineChars="0"/>
              <w:jc w:val="center"/>
              <w:rPr>
                <w:kern w:val="0"/>
                <w:sz w:val="21"/>
                <w:szCs w:val="21"/>
              </w:rPr>
            </w:pPr>
          </w:p>
        </w:tc>
        <w:tc>
          <w:tcPr>
            <w:tcW w:w="794" w:type="dxa"/>
            <w:vMerge w:val="continue"/>
            <w:noWrap/>
            <w:vAlign w:val="center"/>
          </w:tcPr>
          <w:p w14:paraId="048074E5">
            <w:pPr>
              <w:widowControl/>
              <w:spacing w:line="240" w:lineRule="auto"/>
              <w:ind w:firstLine="0" w:firstLineChars="0"/>
              <w:jc w:val="center"/>
              <w:rPr>
                <w:kern w:val="0"/>
                <w:sz w:val="21"/>
                <w:szCs w:val="21"/>
              </w:rPr>
            </w:pPr>
          </w:p>
        </w:tc>
        <w:tc>
          <w:tcPr>
            <w:tcW w:w="1438" w:type="dxa"/>
            <w:vMerge w:val="restart"/>
            <w:noWrap/>
            <w:vAlign w:val="center"/>
          </w:tcPr>
          <w:p w14:paraId="42406B70">
            <w:pPr>
              <w:widowControl/>
              <w:spacing w:line="240" w:lineRule="auto"/>
              <w:ind w:firstLine="0" w:firstLineChars="0"/>
              <w:jc w:val="center"/>
              <w:rPr>
                <w:kern w:val="0"/>
                <w:sz w:val="21"/>
                <w:szCs w:val="21"/>
              </w:rPr>
            </w:pPr>
            <w:r>
              <w:rPr>
                <w:kern w:val="0"/>
                <w:sz w:val="21"/>
                <w:szCs w:val="21"/>
              </w:rPr>
              <w:t>447~440m</w:t>
            </w:r>
          </w:p>
        </w:tc>
        <w:tc>
          <w:tcPr>
            <w:tcW w:w="1151" w:type="dxa"/>
            <w:shd w:val="clear" w:color="auto" w:fill="auto"/>
            <w:noWrap/>
            <w:vAlign w:val="center"/>
          </w:tcPr>
          <w:p w14:paraId="11FFF8E4">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KZ-447</w:t>
            </w:r>
          </w:p>
        </w:tc>
        <w:tc>
          <w:tcPr>
            <w:tcW w:w="1171" w:type="dxa"/>
            <w:shd w:val="clear" w:color="auto" w:fill="auto"/>
            <w:noWrap/>
            <w:vAlign w:val="center"/>
          </w:tcPr>
          <w:p w14:paraId="438D8C4D">
            <w:pPr>
              <w:widowControl/>
              <w:spacing w:line="240" w:lineRule="auto"/>
              <w:ind w:firstLine="0" w:firstLineChars="0"/>
              <w:jc w:val="center"/>
              <w:rPr>
                <w:kern w:val="0"/>
                <w:sz w:val="21"/>
                <w:szCs w:val="21"/>
              </w:rPr>
            </w:pPr>
            <w:r>
              <w:rPr>
                <w:kern w:val="0"/>
                <w:sz w:val="21"/>
                <w:szCs w:val="21"/>
              </w:rPr>
              <w:t>0</w:t>
            </w:r>
          </w:p>
        </w:tc>
        <w:tc>
          <w:tcPr>
            <w:tcW w:w="1110" w:type="dxa"/>
            <w:vMerge w:val="restart"/>
            <w:vAlign w:val="center"/>
          </w:tcPr>
          <w:p w14:paraId="4A5CCA37">
            <w:pPr>
              <w:widowControl/>
              <w:spacing w:line="240" w:lineRule="auto"/>
              <w:ind w:firstLine="0" w:firstLineChars="0"/>
              <w:jc w:val="center"/>
              <w:rPr>
                <w:kern w:val="0"/>
                <w:sz w:val="21"/>
                <w:szCs w:val="21"/>
              </w:rPr>
            </w:pPr>
            <w:r>
              <w:rPr>
                <w:kern w:val="0"/>
                <w:sz w:val="21"/>
                <w:szCs w:val="21"/>
              </w:rPr>
              <w:t>7</w:t>
            </w:r>
          </w:p>
        </w:tc>
        <w:tc>
          <w:tcPr>
            <w:tcW w:w="2548" w:type="dxa"/>
            <w:vMerge w:val="restart"/>
            <w:vAlign w:val="center"/>
          </w:tcPr>
          <w:p w14:paraId="44E410CE">
            <w:pPr>
              <w:widowControl/>
              <w:spacing w:line="240" w:lineRule="auto"/>
              <w:ind w:firstLine="0" w:firstLineChars="0"/>
              <w:jc w:val="center"/>
              <w:rPr>
                <w:kern w:val="0"/>
                <w:sz w:val="21"/>
                <w:szCs w:val="21"/>
              </w:rPr>
            </w:pPr>
            <w:r>
              <w:rPr>
                <w:kern w:val="0"/>
                <w:sz w:val="21"/>
                <w:szCs w:val="21"/>
              </w:rPr>
              <w:t>V=S·L/2</w:t>
            </w:r>
          </w:p>
        </w:tc>
        <w:tc>
          <w:tcPr>
            <w:tcW w:w="1109" w:type="dxa"/>
            <w:vMerge w:val="restart"/>
            <w:vAlign w:val="center"/>
          </w:tcPr>
          <w:p w14:paraId="15E91B33">
            <w:pPr>
              <w:widowControl/>
              <w:spacing w:line="240" w:lineRule="auto"/>
              <w:ind w:firstLine="0" w:firstLineChars="0"/>
              <w:jc w:val="center"/>
              <w:rPr>
                <w:kern w:val="0"/>
                <w:sz w:val="21"/>
                <w:szCs w:val="21"/>
              </w:rPr>
            </w:pPr>
            <w:r>
              <w:rPr>
                <w:kern w:val="0"/>
                <w:sz w:val="21"/>
                <w:szCs w:val="21"/>
              </w:rPr>
              <w:t>2.7</w:t>
            </w:r>
          </w:p>
        </w:tc>
        <w:tc>
          <w:tcPr>
            <w:tcW w:w="1069" w:type="dxa"/>
            <w:vMerge w:val="restart"/>
            <w:vAlign w:val="center"/>
          </w:tcPr>
          <w:p w14:paraId="276B36FE">
            <w:pPr>
              <w:widowControl/>
              <w:spacing w:line="240" w:lineRule="auto"/>
              <w:ind w:firstLine="0" w:firstLineChars="0"/>
              <w:jc w:val="center"/>
              <w:rPr>
                <w:kern w:val="0"/>
                <w:sz w:val="21"/>
                <w:szCs w:val="21"/>
              </w:rPr>
            </w:pPr>
            <w:r>
              <w:rPr>
                <w:kern w:val="0"/>
                <w:sz w:val="21"/>
                <w:szCs w:val="21"/>
              </w:rPr>
              <w:t>1.59</w:t>
            </w:r>
          </w:p>
        </w:tc>
        <w:tc>
          <w:tcPr>
            <w:tcW w:w="1109" w:type="dxa"/>
            <w:vMerge w:val="continue"/>
            <w:vAlign w:val="center"/>
          </w:tcPr>
          <w:p w14:paraId="04704A94">
            <w:pPr>
              <w:widowControl/>
              <w:spacing w:line="240" w:lineRule="auto"/>
              <w:ind w:firstLine="0" w:firstLineChars="0"/>
              <w:jc w:val="center"/>
              <w:rPr>
                <w:kern w:val="0"/>
                <w:sz w:val="21"/>
                <w:szCs w:val="21"/>
              </w:rPr>
            </w:pPr>
          </w:p>
        </w:tc>
        <w:tc>
          <w:tcPr>
            <w:tcW w:w="1080" w:type="dxa"/>
            <w:vMerge w:val="continue"/>
            <w:vAlign w:val="center"/>
          </w:tcPr>
          <w:p w14:paraId="52F029B3">
            <w:pPr>
              <w:widowControl/>
              <w:spacing w:line="240" w:lineRule="auto"/>
              <w:ind w:firstLine="0" w:firstLineChars="0"/>
              <w:jc w:val="center"/>
              <w:rPr>
                <w:kern w:val="0"/>
                <w:sz w:val="21"/>
                <w:szCs w:val="21"/>
              </w:rPr>
            </w:pPr>
          </w:p>
        </w:tc>
      </w:tr>
      <w:tr w14:paraId="3666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65791232">
            <w:pPr>
              <w:widowControl/>
              <w:spacing w:line="240" w:lineRule="auto"/>
              <w:ind w:firstLine="0" w:firstLineChars="0"/>
              <w:jc w:val="center"/>
              <w:rPr>
                <w:kern w:val="0"/>
                <w:sz w:val="21"/>
                <w:szCs w:val="21"/>
              </w:rPr>
            </w:pPr>
          </w:p>
        </w:tc>
        <w:tc>
          <w:tcPr>
            <w:tcW w:w="863" w:type="dxa"/>
            <w:vMerge w:val="continue"/>
            <w:vAlign w:val="center"/>
          </w:tcPr>
          <w:p w14:paraId="798748F0">
            <w:pPr>
              <w:widowControl/>
              <w:spacing w:line="240" w:lineRule="auto"/>
              <w:ind w:firstLine="0" w:firstLineChars="0"/>
              <w:jc w:val="center"/>
              <w:rPr>
                <w:kern w:val="0"/>
                <w:sz w:val="21"/>
                <w:szCs w:val="21"/>
              </w:rPr>
            </w:pPr>
          </w:p>
        </w:tc>
        <w:tc>
          <w:tcPr>
            <w:tcW w:w="794" w:type="dxa"/>
            <w:vMerge w:val="continue"/>
            <w:noWrap/>
            <w:vAlign w:val="center"/>
          </w:tcPr>
          <w:p w14:paraId="37CCA608">
            <w:pPr>
              <w:widowControl/>
              <w:spacing w:line="240" w:lineRule="auto"/>
              <w:ind w:firstLine="0" w:firstLineChars="0"/>
              <w:jc w:val="center"/>
              <w:rPr>
                <w:kern w:val="0"/>
                <w:sz w:val="21"/>
                <w:szCs w:val="21"/>
              </w:rPr>
            </w:pPr>
          </w:p>
        </w:tc>
        <w:tc>
          <w:tcPr>
            <w:tcW w:w="1438" w:type="dxa"/>
            <w:vMerge w:val="continue"/>
            <w:noWrap/>
            <w:vAlign w:val="center"/>
          </w:tcPr>
          <w:p w14:paraId="358AA1BB">
            <w:pPr>
              <w:widowControl/>
              <w:spacing w:line="240" w:lineRule="auto"/>
              <w:ind w:firstLine="0" w:firstLineChars="0"/>
              <w:jc w:val="center"/>
              <w:rPr>
                <w:kern w:val="0"/>
                <w:sz w:val="21"/>
                <w:szCs w:val="21"/>
              </w:rPr>
            </w:pPr>
          </w:p>
        </w:tc>
        <w:tc>
          <w:tcPr>
            <w:tcW w:w="1151" w:type="dxa"/>
            <w:shd w:val="clear" w:color="auto" w:fill="auto"/>
            <w:noWrap/>
            <w:vAlign w:val="center"/>
          </w:tcPr>
          <w:p w14:paraId="6A9F5870">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KZ-440-2</w:t>
            </w:r>
          </w:p>
        </w:tc>
        <w:tc>
          <w:tcPr>
            <w:tcW w:w="1171" w:type="dxa"/>
            <w:shd w:val="clear" w:color="auto" w:fill="auto"/>
            <w:noWrap/>
            <w:vAlign w:val="center"/>
          </w:tcPr>
          <w:p w14:paraId="5EFF6FB2">
            <w:pPr>
              <w:widowControl/>
              <w:spacing w:line="240" w:lineRule="auto"/>
              <w:ind w:firstLine="0" w:firstLineChars="0"/>
              <w:jc w:val="center"/>
              <w:rPr>
                <w:kern w:val="0"/>
                <w:sz w:val="21"/>
                <w:szCs w:val="21"/>
              </w:rPr>
            </w:pPr>
            <w:r>
              <w:rPr>
                <w:kern w:val="0"/>
                <w:sz w:val="21"/>
                <w:szCs w:val="21"/>
              </w:rPr>
              <w:t>4539</w:t>
            </w:r>
          </w:p>
        </w:tc>
        <w:tc>
          <w:tcPr>
            <w:tcW w:w="1110" w:type="dxa"/>
            <w:vMerge w:val="continue"/>
            <w:vAlign w:val="center"/>
          </w:tcPr>
          <w:p w14:paraId="437B2350">
            <w:pPr>
              <w:widowControl/>
              <w:spacing w:line="240" w:lineRule="auto"/>
              <w:ind w:firstLine="0" w:firstLineChars="0"/>
              <w:jc w:val="center"/>
              <w:rPr>
                <w:kern w:val="0"/>
                <w:sz w:val="21"/>
                <w:szCs w:val="21"/>
              </w:rPr>
            </w:pPr>
          </w:p>
        </w:tc>
        <w:tc>
          <w:tcPr>
            <w:tcW w:w="2548" w:type="dxa"/>
            <w:vMerge w:val="continue"/>
            <w:vAlign w:val="center"/>
          </w:tcPr>
          <w:p w14:paraId="03066CFB">
            <w:pPr>
              <w:widowControl/>
              <w:spacing w:line="240" w:lineRule="auto"/>
              <w:ind w:firstLine="0" w:firstLineChars="0"/>
              <w:jc w:val="center"/>
              <w:rPr>
                <w:kern w:val="0"/>
                <w:sz w:val="21"/>
                <w:szCs w:val="21"/>
              </w:rPr>
            </w:pPr>
          </w:p>
        </w:tc>
        <w:tc>
          <w:tcPr>
            <w:tcW w:w="1109" w:type="dxa"/>
            <w:vMerge w:val="continue"/>
            <w:vAlign w:val="center"/>
          </w:tcPr>
          <w:p w14:paraId="7F8D5F95">
            <w:pPr>
              <w:widowControl/>
              <w:spacing w:line="240" w:lineRule="auto"/>
              <w:ind w:firstLine="0" w:firstLineChars="0"/>
              <w:jc w:val="center"/>
              <w:rPr>
                <w:kern w:val="0"/>
                <w:sz w:val="21"/>
                <w:szCs w:val="21"/>
              </w:rPr>
            </w:pPr>
          </w:p>
        </w:tc>
        <w:tc>
          <w:tcPr>
            <w:tcW w:w="1069" w:type="dxa"/>
            <w:vMerge w:val="continue"/>
            <w:shd w:val="clear" w:color="auto" w:fill="auto"/>
            <w:vAlign w:val="center"/>
          </w:tcPr>
          <w:p w14:paraId="1D60534E">
            <w:pPr>
              <w:widowControl/>
              <w:spacing w:line="240" w:lineRule="auto"/>
              <w:ind w:firstLine="0" w:firstLineChars="0"/>
              <w:jc w:val="center"/>
              <w:rPr>
                <w:kern w:val="0"/>
                <w:sz w:val="21"/>
                <w:szCs w:val="21"/>
              </w:rPr>
            </w:pPr>
          </w:p>
        </w:tc>
        <w:tc>
          <w:tcPr>
            <w:tcW w:w="1109" w:type="dxa"/>
            <w:vMerge w:val="continue"/>
            <w:vAlign w:val="center"/>
          </w:tcPr>
          <w:p w14:paraId="20353E93">
            <w:pPr>
              <w:widowControl/>
              <w:spacing w:line="240" w:lineRule="auto"/>
              <w:ind w:firstLine="0" w:firstLineChars="0"/>
              <w:jc w:val="center"/>
              <w:rPr>
                <w:kern w:val="0"/>
                <w:sz w:val="21"/>
                <w:szCs w:val="21"/>
              </w:rPr>
            </w:pPr>
          </w:p>
        </w:tc>
        <w:tc>
          <w:tcPr>
            <w:tcW w:w="1080" w:type="dxa"/>
            <w:vMerge w:val="continue"/>
            <w:vAlign w:val="center"/>
          </w:tcPr>
          <w:p w14:paraId="24845F78">
            <w:pPr>
              <w:widowControl/>
              <w:spacing w:line="240" w:lineRule="auto"/>
              <w:ind w:firstLine="0" w:firstLineChars="0"/>
              <w:jc w:val="center"/>
              <w:rPr>
                <w:kern w:val="0"/>
                <w:sz w:val="21"/>
                <w:szCs w:val="21"/>
              </w:rPr>
            </w:pPr>
          </w:p>
        </w:tc>
      </w:tr>
      <w:tr w14:paraId="2A38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70C33719">
            <w:pPr>
              <w:widowControl/>
              <w:spacing w:line="240" w:lineRule="auto"/>
              <w:ind w:firstLine="0" w:firstLineChars="0"/>
              <w:jc w:val="center"/>
              <w:rPr>
                <w:kern w:val="0"/>
                <w:sz w:val="21"/>
                <w:szCs w:val="21"/>
              </w:rPr>
            </w:pPr>
          </w:p>
        </w:tc>
        <w:tc>
          <w:tcPr>
            <w:tcW w:w="863" w:type="dxa"/>
            <w:vMerge w:val="continue"/>
            <w:vAlign w:val="center"/>
          </w:tcPr>
          <w:p w14:paraId="10E5E645">
            <w:pPr>
              <w:widowControl/>
              <w:spacing w:line="240" w:lineRule="auto"/>
              <w:ind w:firstLine="0" w:firstLineChars="0"/>
              <w:jc w:val="center"/>
              <w:rPr>
                <w:kern w:val="0"/>
                <w:sz w:val="21"/>
                <w:szCs w:val="21"/>
              </w:rPr>
            </w:pPr>
          </w:p>
        </w:tc>
        <w:tc>
          <w:tcPr>
            <w:tcW w:w="794" w:type="dxa"/>
            <w:vMerge w:val="continue"/>
            <w:noWrap/>
            <w:vAlign w:val="center"/>
          </w:tcPr>
          <w:p w14:paraId="4961BFEE">
            <w:pPr>
              <w:widowControl/>
              <w:spacing w:line="240" w:lineRule="auto"/>
              <w:ind w:firstLine="0" w:firstLineChars="0"/>
              <w:jc w:val="center"/>
              <w:rPr>
                <w:kern w:val="0"/>
                <w:sz w:val="21"/>
                <w:szCs w:val="21"/>
              </w:rPr>
            </w:pPr>
          </w:p>
        </w:tc>
        <w:tc>
          <w:tcPr>
            <w:tcW w:w="1438" w:type="dxa"/>
            <w:vMerge w:val="restart"/>
            <w:noWrap/>
            <w:vAlign w:val="center"/>
          </w:tcPr>
          <w:p w14:paraId="1E090FAB">
            <w:pPr>
              <w:widowControl/>
              <w:spacing w:line="240" w:lineRule="auto"/>
              <w:ind w:firstLine="0" w:firstLineChars="0"/>
              <w:jc w:val="center"/>
              <w:rPr>
                <w:kern w:val="0"/>
                <w:sz w:val="21"/>
                <w:szCs w:val="21"/>
              </w:rPr>
            </w:pPr>
            <w:r>
              <w:rPr>
                <w:kern w:val="0"/>
                <w:sz w:val="21"/>
                <w:szCs w:val="21"/>
              </w:rPr>
              <w:t>440~430m</w:t>
            </w:r>
          </w:p>
        </w:tc>
        <w:tc>
          <w:tcPr>
            <w:tcW w:w="1151" w:type="dxa"/>
            <w:noWrap/>
            <w:vAlign w:val="center"/>
          </w:tcPr>
          <w:p w14:paraId="2667F37F">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KZ-440-1</w:t>
            </w:r>
          </w:p>
        </w:tc>
        <w:tc>
          <w:tcPr>
            <w:tcW w:w="1171" w:type="dxa"/>
            <w:noWrap/>
            <w:vAlign w:val="center"/>
          </w:tcPr>
          <w:p w14:paraId="2DF79E21">
            <w:pPr>
              <w:widowControl/>
              <w:spacing w:line="240" w:lineRule="auto"/>
              <w:ind w:firstLine="0" w:firstLineChars="0"/>
              <w:jc w:val="center"/>
              <w:rPr>
                <w:kern w:val="0"/>
                <w:sz w:val="21"/>
                <w:szCs w:val="21"/>
              </w:rPr>
            </w:pPr>
            <w:r>
              <w:rPr>
                <w:kern w:val="0"/>
                <w:sz w:val="21"/>
                <w:szCs w:val="21"/>
              </w:rPr>
              <w:t>144608</w:t>
            </w:r>
          </w:p>
        </w:tc>
        <w:tc>
          <w:tcPr>
            <w:tcW w:w="1110" w:type="dxa"/>
            <w:vMerge w:val="restart"/>
            <w:noWrap/>
            <w:vAlign w:val="center"/>
          </w:tcPr>
          <w:p w14:paraId="75285202">
            <w:pPr>
              <w:widowControl/>
              <w:spacing w:line="240" w:lineRule="auto"/>
              <w:ind w:firstLine="0" w:firstLineChars="0"/>
              <w:jc w:val="center"/>
              <w:rPr>
                <w:kern w:val="0"/>
                <w:sz w:val="21"/>
                <w:szCs w:val="21"/>
              </w:rPr>
            </w:pPr>
            <w:r>
              <w:rPr>
                <w:kern w:val="0"/>
                <w:sz w:val="21"/>
                <w:szCs w:val="21"/>
              </w:rPr>
              <w:t>10</w:t>
            </w:r>
          </w:p>
        </w:tc>
        <w:tc>
          <w:tcPr>
            <w:tcW w:w="2548" w:type="dxa"/>
            <w:vMerge w:val="restart"/>
            <w:noWrap/>
            <w:vAlign w:val="center"/>
          </w:tcPr>
          <w:p w14:paraId="22FA1439">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noWrap/>
            <w:vAlign w:val="center"/>
          </w:tcPr>
          <w:p w14:paraId="0D041A66">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6A6101F1">
            <w:pPr>
              <w:widowControl/>
              <w:spacing w:line="240" w:lineRule="auto"/>
              <w:ind w:firstLine="0" w:firstLineChars="0"/>
              <w:jc w:val="center"/>
              <w:rPr>
                <w:kern w:val="0"/>
                <w:sz w:val="21"/>
                <w:szCs w:val="21"/>
              </w:rPr>
            </w:pPr>
            <w:r>
              <w:rPr>
                <w:kern w:val="0"/>
                <w:sz w:val="21"/>
                <w:szCs w:val="21"/>
              </w:rPr>
              <w:t>169.23</w:t>
            </w:r>
          </w:p>
        </w:tc>
        <w:tc>
          <w:tcPr>
            <w:tcW w:w="1109" w:type="dxa"/>
            <w:vMerge w:val="continue"/>
            <w:noWrap/>
            <w:vAlign w:val="center"/>
          </w:tcPr>
          <w:p w14:paraId="6F4CF6F3">
            <w:pPr>
              <w:widowControl/>
              <w:spacing w:line="240" w:lineRule="auto"/>
              <w:ind w:firstLine="0" w:firstLineChars="0"/>
              <w:jc w:val="center"/>
              <w:rPr>
                <w:kern w:val="0"/>
                <w:sz w:val="21"/>
                <w:szCs w:val="21"/>
              </w:rPr>
            </w:pPr>
          </w:p>
        </w:tc>
        <w:tc>
          <w:tcPr>
            <w:tcW w:w="1080" w:type="dxa"/>
            <w:vMerge w:val="continue"/>
            <w:noWrap/>
            <w:vAlign w:val="center"/>
          </w:tcPr>
          <w:p w14:paraId="606B4B0C">
            <w:pPr>
              <w:widowControl/>
              <w:spacing w:line="240" w:lineRule="auto"/>
              <w:ind w:firstLine="0" w:firstLineChars="0"/>
              <w:jc w:val="center"/>
              <w:rPr>
                <w:kern w:val="0"/>
                <w:sz w:val="21"/>
                <w:szCs w:val="21"/>
              </w:rPr>
            </w:pPr>
          </w:p>
        </w:tc>
      </w:tr>
      <w:tr w14:paraId="5A1D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137" w:type="dxa"/>
            <w:vMerge w:val="continue"/>
            <w:vAlign w:val="center"/>
          </w:tcPr>
          <w:p w14:paraId="380561BA">
            <w:pPr>
              <w:widowControl/>
              <w:spacing w:line="240" w:lineRule="auto"/>
              <w:ind w:firstLine="0" w:firstLineChars="0"/>
              <w:jc w:val="center"/>
              <w:rPr>
                <w:kern w:val="0"/>
                <w:sz w:val="21"/>
                <w:szCs w:val="21"/>
              </w:rPr>
            </w:pPr>
          </w:p>
        </w:tc>
        <w:tc>
          <w:tcPr>
            <w:tcW w:w="863" w:type="dxa"/>
            <w:vMerge w:val="continue"/>
            <w:vAlign w:val="center"/>
          </w:tcPr>
          <w:p w14:paraId="286F41B1">
            <w:pPr>
              <w:widowControl/>
              <w:spacing w:line="240" w:lineRule="auto"/>
              <w:ind w:firstLine="0" w:firstLineChars="0"/>
              <w:jc w:val="center"/>
              <w:rPr>
                <w:kern w:val="0"/>
                <w:sz w:val="21"/>
                <w:szCs w:val="21"/>
              </w:rPr>
            </w:pPr>
          </w:p>
        </w:tc>
        <w:tc>
          <w:tcPr>
            <w:tcW w:w="794" w:type="dxa"/>
            <w:vMerge w:val="continue"/>
            <w:noWrap/>
            <w:vAlign w:val="center"/>
          </w:tcPr>
          <w:p w14:paraId="1704C016">
            <w:pPr>
              <w:widowControl/>
              <w:spacing w:line="240" w:lineRule="auto"/>
              <w:ind w:firstLine="0" w:firstLineChars="0"/>
              <w:jc w:val="center"/>
              <w:rPr>
                <w:kern w:val="0"/>
                <w:sz w:val="21"/>
                <w:szCs w:val="21"/>
              </w:rPr>
            </w:pPr>
          </w:p>
        </w:tc>
        <w:tc>
          <w:tcPr>
            <w:tcW w:w="1438" w:type="dxa"/>
            <w:vMerge w:val="continue"/>
            <w:noWrap/>
            <w:vAlign w:val="center"/>
          </w:tcPr>
          <w:p w14:paraId="028851BA">
            <w:pPr>
              <w:widowControl/>
              <w:spacing w:line="240" w:lineRule="auto"/>
              <w:ind w:firstLine="0" w:firstLineChars="0"/>
              <w:jc w:val="center"/>
              <w:rPr>
                <w:kern w:val="0"/>
                <w:sz w:val="21"/>
                <w:szCs w:val="21"/>
              </w:rPr>
            </w:pPr>
          </w:p>
        </w:tc>
        <w:tc>
          <w:tcPr>
            <w:tcW w:w="1151" w:type="dxa"/>
            <w:noWrap/>
            <w:vAlign w:val="center"/>
          </w:tcPr>
          <w:p w14:paraId="6F94DD69">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KZ-430-1</w:t>
            </w:r>
          </w:p>
        </w:tc>
        <w:tc>
          <w:tcPr>
            <w:tcW w:w="1171" w:type="dxa"/>
            <w:noWrap/>
            <w:vAlign w:val="center"/>
          </w:tcPr>
          <w:p w14:paraId="456C043D">
            <w:pPr>
              <w:widowControl/>
              <w:spacing w:line="240" w:lineRule="auto"/>
              <w:ind w:firstLine="0" w:firstLineChars="0"/>
              <w:jc w:val="center"/>
              <w:rPr>
                <w:kern w:val="0"/>
                <w:sz w:val="21"/>
                <w:szCs w:val="21"/>
              </w:rPr>
            </w:pPr>
            <w:r>
              <w:rPr>
                <w:kern w:val="0"/>
                <w:sz w:val="21"/>
                <w:szCs w:val="21"/>
              </w:rPr>
              <w:t>166239</w:t>
            </w:r>
          </w:p>
        </w:tc>
        <w:tc>
          <w:tcPr>
            <w:tcW w:w="1110" w:type="dxa"/>
            <w:vMerge w:val="continue"/>
            <w:vAlign w:val="center"/>
          </w:tcPr>
          <w:p w14:paraId="11CE74D1">
            <w:pPr>
              <w:widowControl/>
              <w:spacing w:line="240" w:lineRule="auto"/>
              <w:ind w:firstLine="0" w:firstLineChars="0"/>
              <w:jc w:val="center"/>
              <w:rPr>
                <w:kern w:val="0"/>
                <w:sz w:val="21"/>
                <w:szCs w:val="21"/>
              </w:rPr>
            </w:pPr>
          </w:p>
        </w:tc>
        <w:tc>
          <w:tcPr>
            <w:tcW w:w="2548" w:type="dxa"/>
            <w:vMerge w:val="continue"/>
            <w:vAlign w:val="center"/>
          </w:tcPr>
          <w:p w14:paraId="6DF7580E">
            <w:pPr>
              <w:widowControl/>
              <w:spacing w:line="240" w:lineRule="auto"/>
              <w:ind w:firstLine="0" w:firstLineChars="0"/>
              <w:jc w:val="center"/>
              <w:rPr>
                <w:kern w:val="0"/>
                <w:sz w:val="21"/>
                <w:szCs w:val="21"/>
              </w:rPr>
            </w:pPr>
          </w:p>
        </w:tc>
        <w:tc>
          <w:tcPr>
            <w:tcW w:w="1109" w:type="dxa"/>
            <w:vMerge w:val="continue"/>
            <w:vAlign w:val="center"/>
          </w:tcPr>
          <w:p w14:paraId="11043D48">
            <w:pPr>
              <w:widowControl/>
              <w:spacing w:line="240" w:lineRule="auto"/>
              <w:ind w:firstLine="0" w:firstLineChars="0"/>
              <w:jc w:val="center"/>
              <w:rPr>
                <w:kern w:val="0"/>
                <w:sz w:val="21"/>
                <w:szCs w:val="21"/>
              </w:rPr>
            </w:pPr>
          </w:p>
        </w:tc>
        <w:tc>
          <w:tcPr>
            <w:tcW w:w="1069" w:type="dxa"/>
            <w:vMerge w:val="continue"/>
            <w:vAlign w:val="center"/>
          </w:tcPr>
          <w:p w14:paraId="0986551A">
            <w:pPr>
              <w:widowControl/>
              <w:spacing w:line="240" w:lineRule="auto"/>
              <w:ind w:firstLine="0" w:firstLineChars="0"/>
              <w:jc w:val="center"/>
              <w:rPr>
                <w:kern w:val="0"/>
                <w:sz w:val="21"/>
                <w:szCs w:val="21"/>
              </w:rPr>
            </w:pPr>
          </w:p>
        </w:tc>
        <w:tc>
          <w:tcPr>
            <w:tcW w:w="1109" w:type="dxa"/>
            <w:vMerge w:val="continue"/>
            <w:vAlign w:val="center"/>
          </w:tcPr>
          <w:p w14:paraId="49CF7047">
            <w:pPr>
              <w:widowControl/>
              <w:spacing w:line="240" w:lineRule="auto"/>
              <w:ind w:firstLine="0" w:firstLineChars="0"/>
              <w:jc w:val="center"/>
              <w:rPr>
                <w:kern w:val="0"/>
                <w:sz w:val="21"/>
                <w:szCs w:val="21"/>
              </w:rPr>
            </w:pPr>
          </w:p>
        </w:tc>
        <w:tc>
          <w:tcPr>
            <w:tcW w:w="1080" w:type="dxa"/>
            <w:vMerge w:val="continue"/>
            <w:vAlign w:val="center"/>
          </w:tcPr>
          <w:p w14:paraId="088F45A0">
            <w:pPr>
              <w:widowControl/>
              <w:spacing w:line="240" w:lineRule="auto"/>
              <w:ind w:firstLine="0" w:firstLineChars="0"/>
              <w:jc w:val="center"/>
              <w:rPr>
                <w:kern w:val="0"/>
                <w:sz w:val="21"/>
                <w:szCs w:val="21"/>
              </w:rPr>
            </w:pPr>
          </w:p>
        </w:tc>
      </w:tr>
      <w:tr w14:paraId="7F7E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513F54B9">
            <w:pPr>
              <w:widowControl/>
              <w:spacing w:line="240" w:lineRule="auto"/>
              <w:ind w:firstLine="0" w:firstLineChars="0"/>
              <w:jc w:val="center"/>
              <w:rPr>
                <w:kern w:val="0"/>
                <w:sz w:val="21"/>
                <w:szCs w:val="21"/>
              </w:rPr>
            </w:pPr>
          </w:p>
        </w:tc>
        <w:tc>
          <w:tcPr>
            <w:tcW w:w="863" w:type="dxa"/>
            <w:vMerge w:val="continue"/>
            <w:vAlign w:val="center"/>
          </w:tcPr>
          <w:p w14:paraId="69A94820">
            <w:pPr>
              <w:widowControl/>
              <w:spacing w:line="240" w:lineRule="auto"/>
              <w:ind w:firstLine="0" w:firstLineChars="0"/>
              <w:jc w:val="center"/>
              <w:rPr>
                <w:kern w:val="0"/>
                <w:sz w:val="21"/>
                <w:szCs w:val="21"/>
              </w:rPr>
            </w:pPr>
          </w:p>
        </w:tc>
        <w:tc>
          <w:tcPr>
            <w:tcW w:w="794" w:type="dxa"/>
            <w:vMerge w:val="continue"/>
            <w:noWrap/>
            <w:vAlign w:val="center"/>
          </w:tcPr>
          <w:p w14:paraId="333B01E8">
            <w:pPr>
              <w:widowControl/>
              <w:spacing w:line="240" w:lineRule="auto"/>
              <w:ind w:firstLine="0" w:firstLineChars="0"/>
              <w:jc w:val="center"/>
              <w:rPr>
                <w:kern w:val="0"/>
                <w:sz w:val="21"/>
                <w:szCs w:val="21"/>
              </w:rPr>
            </w:pPr>
          </w:p>
        </w:tc>
        <w:tc>
          <w:tcPr>
            <w:tcW w:w="1438" w:type="dxa"/>
            <w:vMerge w:val="restart"/>
            <w:shd w:val="clear" w:color="auto" w:fill="auto"/>
            <w:noWrap/>
            <w:vAlign w:val="center"/>
          </w:tcPr>
          <w:p w14:paraId="53955981">
            <w:pPr>
              <w:widowControl/>
              <w:spacing w:line="240" w:lineRule="auto"/>
              <w:ind w:firstLine="0" w:firstLineChars="0"/>
              <w:jc w:val="center"/>
              <w:rPr>
                <w:kern w:val="0"/>
                <w:sz w:val="21"/>
                <w:szCs w:val="21"/>
              </w:rPr>
            </w:pPr>
            <w:r>
              <w:rPr>
                <w:kern w:val="0"/>
                <w:sz w:val="21"/>
                <w:szCs w:val="21"/>
              </w:rPr>
              <w:t>440~430m</w:t>
            </w:r>
          </w:p>
        </w:tc>
        <w:tc>
          <w:tcPr>
            <w:tcW w:w="1151" w:type="dxa"/>
            <w:shd w:val="clear" w:color="auto" w:fill="auto"/>
            <w:noWrap/>
            <w:vAlign w:val="center"/>
          </w:tcPr>
          <w:p w14:paraId="12B42904">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KZ-440-2</w:t>
            </w:r>
          </w:p>
        </w:tc>
        <w:tc>
          <w:tcPr>
            <w:tcW w:w="1171" w:type="dxa"/>
            <w:shd w:val="clear" w:color="auto" w:fill="auto"/>
            <w:noWrap/>
            <w:vAlign w:val="center"/>
          </w:tcPr>
          <w:p w14:paraId="6535E364">
            <w:pPr>
              <w:widowControl/>
              <w:spacing w:line="240" w:lineRule="auto"/>
              <w:ind w:firstLine="0" w:firstLineChars="0"/>
              <w:jc w:val="center"/>
              <w:rPr>
                <w:kern w:val="0"/>
                <w:sz w:val="21"/>
                <w:szCs w:val="21"/>
              </w:rPr>
            </w:pPr>
            <w:r>
              <w:rPr>
                <w:kern w:val="0"/>
                <w:sz w:val="21"/>
                <w:szCs w:val="21"/>
              </w:rPr>
              <w:t>4539</w:t>
            </w:r>
          </w:p>
        </w:tc>
        <w:tc>
          <w:tcPr>
            <w:tcW w:w="1110" w:type="dxa"/>
            <w:vMerge w:val="restart"/>
            <w:shd w:val="clear" w:color="auto" w:fill="auto"/>
            <w:vAlign w:val="center"/>
          </w:tcPr>
          <w:p w14:paraId="5CDD2FEC">
            <w:pPr>
              <w:widowControl/>
              <w:spacing w:line="240" w:lineRule="auto"/>
              <w:ind w:firstLine="0" w:firstLineChars="0"/>
              <w:jc w:val="center"/>
              <w:rPr>
                <w:kern w:val="0"/>
                <w:sz w:val="21"/>
                <w:szCs w:val="21"/>
              </w:rPr>
            </w:pPr>
            <w:r>
              <w:rPr>
                <w:kern w:val="0"/>
                <w:sz w:val="21"/>
                <w:szCs w:val="21"/>
              </w:rPr>
              <w:t>10</w:t>
            </w:r>
          </w:p>
        </w:tc>
        <w:tc>
          <w:tcPr>
            <w:tcW w:w="2548" w:type="dxa"/>
            <w:vMerge w:val="restart"/>
            <w:shd w:val="clear" w:color="auto" w:fill="auto"/>
            <w:vAlign w:val="center"/>
          </w:tcPr>
          <w:p w14:paraId="5F62E261">
            <w:pPr>
              <w:widowControl/>
              <w:spacing w:line="240" w:lineRule="auto"/>
              <w:ind w:firstLine="0" w:firstLineChars="0"/>
              <w:jc w:val="center"/>
              <w:rPr>
                <w:kern w:val="0"/>
                <w:sz w:val="21"/>
                <w:szCs w:val="21"/>
              </w:rPr>
            </w:pPr>
            <w:r>
              <w:rPr>
                <w:kern w:val="0"/>
                <w:sz w:val="21"/>
                <w:szCs w:val="21"/>
              </w:rPr>
              <w:t>V=S·L/2</w:t>
            </w:r>
          </w:p>
        </w:tc>
        <w:tc>
          <w:tcPr>
            <w:tcW w:w="1109" w:type="dxa"/>
            <w:vMerge w:val="restart"/>
            <w:shd w:val="clear" w:color="auto" w:fill="auto"/>
            <w:vAlign w:val="center"/>
          </w:tcPr>
          <w:p w14:paraId="118B7ECF">
            <w:pPr>
              <w:widowControl/>
              <w:spacing w:line="240" w:lineRule="auto"/>
              <w:ind w:firstLine="0" w:firstLineChars="0"/>
              <w:jc w:val="center"/>
              <w:rPr>
                <w:kern w:val="0"/>
                <w:sz w:val="21"/>
                <w:szCs w:val="21"/>
              </w:rPr>
            </w:pPr>
            <w:r>
              <w:rPr>
                <w:kern w:val="0"/>
                <w:sz w:val="21"/>
                <w:szCs w:val="21"/>
              </w:rPr>
              <w:t>2.7</w:t>
            </w:r>
          </w:p>
        </w:tc>
        <w:tc>
          <w:tcPr>
            <w:tcW w:w="1069" w:type="dxa"/>
            <w:vMerge w:val="restart"/>
            <w:vAlign w:val="center"/>
          </w:tcPr>
          <w:p w14:paraId="4F21A1CB">
            <w:pPr>
              <w:widowControl/>
              <w:spacing w:line="240" w:lineRule="auto"/>
              <w:ind w:firstLine="0" w:firstLineChars="0"/>
              <w:jc w:val="center"/>
              <w:rPr>
                <w:kern w:val="0"/>
                <w:sz w:val="21"/>
                <w:szCs w:val="21"/>
              </w:rPr>
            </w:pPr>
            <w:r>
              <w:rPr>
                <w:kern w:val="0"/>
                <w:sz w:val="21"/>
                <w:szCs w:val="21"/>
              </w:rPr>
              <w:t>5.40</w:t>
            </w:r>
          </w:p>
        </w:tc>
        <w:tc>
          <w:tcPr>
            <w:tcW w:w="1109" w:type="dxa"/>
            <w:vMerge w:val="continue"/>
            <w:vAlign w:val="center"/>
          </w:tcPr>
          <w:p w14:paraId="29BC803C">
            <w:pPr>
              <w:widowControl/>
              <w:spacing w:line="240" w:lineRule="auto"/>
              <w:ind w:firstLine="0" w:firstLineChars="0"/>
              <w:jc w:val="center"/>
              <w:rPr>
                <w:kern w:val="0"/>
                <w:sz w:val="21"/>
                <w:szCs w:val="21"/>
              </w:rPr>
            </w:pPr>
          </w:p>
        </w:tc>
        <w:tc>
          <w:tcPr>
            <w:tcW w:w="1080" w:type="dxa"/>
            <w:vMerge w:val="continue"/>
            <w:vAlign w:val="center"/>
          </w:tcPr>
          <w:p w14:paraId="08E769E2">
            <w:pPr>
              <w:widowControl/>
              <w:spacing w:line="240" w:lineRule="auto"/>
              <w:ind w:firstLine="0" w:firstLineChars="0"/>
              <w:jc w:val="center"/>
              <w:rPr>
                <w:kern w:val="0"/>
                <w:sz w:val="21"/>
                <w:szCs w:val="21"/>
              </w:rPr>
            </w:pPr>
          </w:p>
        </w:tc>
      </w:tr>
      <w:tr w14:paraId="0A39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78DD0176">
            <w:pPr>
              <w:widowControl/>
              <w:spacing w:line="240" w:lineRule="auto"/>
              <w:ind w:firstLine="0" w:firstLineChars="0"/>
              <w:jc w:val="center"/>
              <w:rPr>
                <w:kern w:val="0"/>
                <w:sz w:val="21"/>
                <w:szCs w:val="21"/>
              </w:rPr>
            </w:pPr>
          </w:p>
        </w:tc>
        <w:tc>
          <w:tcPr>
            <w:tcW w:w="863" w:type="dxa"/>
            <w:vMerge w:val="continue"/>
            <w:vAlign w:val="center"/>
          </w:tcPr>
          <w:p w14:paraId="2CB2EBE1">
            <w:pPr>
              <w:widowControl/>
              <w:spacing w:line="240" w:lineRule="auto"/>
              <w:ind w:firstLine="0" w:firstLineChars="0"/>
              <w:jc w:val="center"/>
              <w:rPr>
                <w:kern w:val="0"/>
                <w:sz w:val="21"/>
                <w:szCs w:val="21"/>
              </w:rPr>
            </w:pPr>
          </w:p>
        </w:tc>
        <w:tc>
          <w:tcPr>
            <w:tcW w:w="794" w:type="dxa"/>
            <w:vMerge w:val="continue"/>
            <w:noWrap/>
            <w:vAlign w:val="center"/>
          </w:tcPr>
          <w:p w14:paraId="72B3FE85">
            <w:pPr>
              <w:widowControl/>
              <w:spacing w:line="240" w:lineRule="auto"/>
              <w:ind w:firstLine="0" w:firstLineChars="0"/>
              <w:jc w:val="center"/>
              <w:rPr>
                <w:kern w:val="0"/>
                <w:sz w:val="21"/>
                <w:szCs w:val="21"/>
              </w:rPr>
            </w:pPr>
          </w:p>
        </w:tc>
        <w:tc>
          <w:tcPr>
            <w:tcW w:w="1438" w:type="dxa"/>
            <w:vMerge w:val="continue"/>
            <w:noWrap/>
            <w:vAlign w:val="center"/>
          </w:tcPr>
          <w:p w14:paraId="1F02218C">
            <w:pPr>
              <w:widowControl/>
              <w:spacing w:line="240" w:lineRule="auto"/>
              <w:ind w:firstLine="0" w:firstLineChars="0"/>
              <w:jc w:val="center"/>
              <w:rPr>
                <w:kern w:val="0"/>
                <w:sz w:val="21"/>
                <w:szCs w:val="21"/>
              </w:rPr>
            </w:pPr>
          </w:p>
        </w:tc>
        <w:tc>
          <w:tcPr>
            <w:tcW w:w="1151" w:type="dxa"/>
            <w:shd w:val="clear" w:color="auto" w:fill="auto"/>
            <w:noWrap/>
            <w:vAlign w:val="center"/>
          </w:tcPr>
          <w:p w14:paraId="29DAFE35">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KZ-430</w:t>
            </w:r>
          </w:p>
        </w:tc>
        <w:tc>
          <w:tcPr>
            <w:tcW w:w="1171" w:type="dxa"/>
            <w:shd w:val="clear" w:color="auto" w:fill="auto"/>
            <w:noWrap/>
            <w:vAlign w:val="center"/>
          </w:tcPr>
          <w:p w14:paraId="5601B8A4">
            <w:pPr>
              <w:widowControl/>
              <w:spacing w:line="240" w:lineRule="auto"/>
              <w:ind w:firstLine="0" w:firstLineChars="0"/>
              <w:jc w:val="center"/>
              <w:rPr>
                <w:kern w:val="0"/>
                <w:sz w:val="21"/>
                <w:szCs w:val="21"/>
              </w:rPr>
            </w:pPr>
            <w:r>
              <w:rPr>
                <w:kern w:val="0"/>
                <w:sz w:val="21"/>
                <w:szCs w:val="21"/>
              </w:rPr>
              <w:t>10795</w:t>
            </w:r>
          </w:p>
        </w:tc>
        <w:tc>
          <w:tcPr>
            <w:tcW w:w="1110" w:type="dxa"/>
            <w:vMerge w:val="continue"/>
            <w:vAlign w:val="center"/>
          </w:tcPr>
          <w:p w14:paraId="26D935B4">
            <w:pPr>
              <w:widowControl/>
              <w:spacing w:line="240" w:lineRule="auto"/>
              <w:ind w:firstLine="0" w:firstLineChars="0"/>
              <w:jc w:val="center"/>
              <w:rPr>
                <w:kern w:val="0"/>
                <w:sz w:val="21"/>
                <w:szCs w:val="21"/>
              </w:rPr>
            </w:pPr>
          </w:p>
        </w:tc>
        <w:tc>
          <w:tcPr>
            <w:tcW w:w="2548" w:type="dxa"/>
            <w:vMerge w:val="continue"/>
            <w:vAlign w:val="center"/>
          </w:tcPr>
          <w:p w14:paraId="33306FC2">
            <w:pPr>
              <w:widowControl/>
              <w:spacing w:line="240" w:lineRule="auto"/>
              <w:ind w:firstLine="0" w:firstLineChars="0"/>
              <w:jc w:val="center"/>
              <w:rPr>
                <w:kern w:val="0"/>
                <w:sz w:val="21"/>
                <w:szCs w:val="21"/>
              </w:rPr>
            </w:pPr>
          </w:p>
        </w:tc>
        <w:tc>
          <w:tcPr>
            <w:tcW w:w="1109" w:type="dxa"/>
            <w:vMerge w:val="continue"/>
            <w:vAlign w:val="center"/>
          </w:tcPr>
          <w:p w14:paraId="654C0DE0">
            <w:pPr>
              <w:widowControl/>
              <w:spacing w:line="240" w:lineRule="auto"/>
              <w:ind w:firstLine="0" w:firstLineChars="0"/>
              <w:jc w:val="center"/>
              <w:rPr>
                <w:kern w:val="0"/>
                <w:sz w:val="21"/>
                <w:szCs w:val="21"/>
              </w:rPr>
            </w:pPr>
          </w:p>
        </w:tc>
        <w:tc>
          <w:tcPr>
            <w:tcW w:w="1069" w:type="dxa"/>
            <w:vMerge w:val="continue"/>
            <w:vAlign w:val="center"/>
          </w:tcPr>
          <w:p w14:paraId="7E8FCFA8">
            <w:pPr>
              <w:widowControl/>
              <w:spacing w:line="240" w:lineRule="auto"/>
              <w:ind w:firstLine="0" w:firstLineChars="0"/>
              <w:jc w:val="center"/>
              <w:rPr>
                <w:kern w:val="0"/>
                <w:sz w:val="21"/>
                <w:szCs w:val="21"/>
              </w:rPr>
            </w:pPr>
          </w:p>
        </w:tc>
        <w:tc>
          <w:tcPr>
            <w:tcW w:w="1109" w:type="dxa"/>
            <w:vMerge w:val="continue"/>
            <w:vAlign w:val="center"/>
          </w:tcPr>
          <w:p w14:paraId="09B46DC3">
            <w:pPr>
              <w:widowControl/>
              <w:spacing w:line="240" w:lineRule="auto"/>
              <w:ind w:firstLine="0" w:firstLineChars="0"/>
              <w:jc w:val="center"/>
              <w:rPr>
                <w:kern w:val="0"/>
                <w:sz w:val="21"/>
                <w:szCs w:val="21"/>
              </w:rPr>
            </w:pPr>
          </w:p>
        </w:tc>
        <w:tc>
          <w:tcPr>
            <w:tcW w:w="1080" w:type="dxa"/>
            <w:vMerge w:val="continue"/>
            <w:vAlign w:val="center"/>
          </w:tcPr>
          <w:p w14:paraId="7F98D2AE">
            <w:pPr>
              <w:widowControl/>
              <w:spacing w:line="240" w:lineRule="auto"/>
              <w:ind w:firstLine="0" w:firstLineChars="0"/>
              <w:jc w:val="center"/>
              <w:rPr>
                <w:kern w:val="0"/>
                <w:sz w:val="21"/>
                <w:szCs w:val="21"/>
              </w:rPr>
            </w:pPr>
          </w:p>
        </w:tc>
      </w:tr>
      <w:tr w14:paraId="6550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371AA5A8">
            <w:pPr>
              <w:widowControl/>
              <w:spacing w:line="240" w:lineRule="auto"/>
              <w:ind w:firstLine="0" w:firstLineChars="0"/>
              <w:jc w:val="center"/>
              <w:rPr>
                <w:kern w:val="0"/>
                <w:sz w:val="21"/>
                <w:szCs w:val="21"/>
              </w:rPr>
            </w:pPr>
          </w:p>
        </w:tc>
        <w:tc>
          <w:tcPr>
            <w:tcW w:w="863" w:type="dxa"/>
            <w:vMerge w:val="continue"/>
            <w:vAlign w:val="center"/>
          </w:tcPr>
          <w:p w14:paraId="24D765FB">
            <w:pPr>
              <w:widowControl/>
              <w:spacing w:line="240" w:lineRule="auto"/>
              <w:ind w:firstLine="0" w:firstLineChars="0"/>
              <w:jc w:val="center"/>
              <w:rPr>
                <w:kern w:val="0"/>
                <w:sz w:val="21"/>
                <w:szCs w:val="21"/>
              </w:rPr>
            </w:pPr>
          </w:p>
        </w:tc>
        <w:tc>
          <w:tcPr>
            <w:tcW w:w="794" w:type="dxa"/>
            <w:vMerge w:val="continue"/>
            <w:noWrap/>
            <w:vAlign w:val="center"/>
          </w:tcPr>
          <w:p w14:paraId="61809A7B">
            <w:pPr>
              <w:widowControl/>
              <w:spacing w:line="240" w:lineRule="auto"/>
              <w:ind w:firstLine="0" w:firstLineChars="0"/>
              <w:jc w:val="center"/>
              <w:rPr>
                <w:kern w:val="0"/>
                <w:sz w:val="21"/>
                <w:szCs w:val="21"/>
              </w:rPr>
            </w:pPr>
          </w:p>
        </w:tc>
        <w:tc>
          <w:tcPr>
            <w:tcW w:w="1438" w:type="dxa"/>
            <w:vMerge w:val="restart"/>
            <w:noWrap/>
            <w:vAlign w:val="center"/>
          </w:tcPr>
          <w:p w14:paraId="092D5B7B">
            <w:pPr>
              <w:widowControl/>
              <w:spacing w:line="240" w:lineRule="auto"/>
              <w:ind w:firstLine="0" w:firstLineChars="0"/>
              <w:jc w:val="center"/>
              <w:rPr>
                <w:kern w:val="0"/>
                <w:sz w:val="21"/>
                <w:szCs w:val="21"/>
              </w:rPr>
            </w:pPr>
            <w:r>
              <w:rPr>
                <w:kern w:val="0"/>
                <w:sz w:val="21"/>
                <w:szCs w:val="21"/>
              </w:rPr>
              <w:t>430~420m</w:t>
            </w:r>
          </w:p>
        </w:tc>
        <w:tc>
          <w:tcPr>
            <w:tcW w:w="1151" w:type="dxa"/>
            <w:noWrap/>
            <w:vAlign w:val="center"/>
          </w:tcPr>
          <w:p w14:paraId="0F5560C0">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KZ-430-1+2</w:t>
            </w:r>
          </w:p>
        </w:tc>
        <w:tc>
          <w:tcPr>
            <w:tcW w:w="1171" w:type="dxa"/>
            <w:noWrap/>
            <w:vAlign w:val="center"/>
          </w:tcPr>
          <w:p w14:paraId="4E3EB3CE">
            <w:pPr>
              <w:widowControl/>
              <w:spacing w:line="240" w:lineRule="auto"/>
              <w:ind w:firstLine="0" w:firstLineChars="0"/>
              <w:jc w:val="center"/>
              <w:rPr>
                <w:kern w:val="0"/>
                <w:sz w:val="21"/>
                <w:szCs w:val="21"/>
              </w:rPr>
            </w:pPr>
            <w:r>
              <w:rPr>
                <w:kern w:val="0"/>
                <w:sz w:val="21"/>
                <w:szCs w:val="21"/>
              </w:rPr>
              <w:t>177034</w:t>
            </w:r>
          </w:p>
        </w:tc>
        <w:tc>
          <w:tcPr>
            <w:tcW w:w="1110" w:type="dxa"/>
            <w:vMerge w:val="restart"/>
            <w:noWrap/>
            <w:vAlign w:val="center"/>
          </w:tcPr>
          <w:p w14:paraId="4A60B4A6">
            <w:pPr>
              <w:widowControl/>
              <w:spacing w:line="240" w:lineRule="auto"/>
              <w:ind w:firstLine="0" w:firstLineChars="0"/>
              <w:jc w:val="center"/>
              <w:rPr>
                <w:kern w:val="0"/>
                <w:sz w:val="21"/>
                <w:szCs w:val="21"/>
              </w:rPr>
            </w:pPr>
            <w:r>
              <w:rPr>
                <w:kern w:val="0"/>
                <w:sz w:val="21"/>
                <w:szCs w:val="21"/>
              </w:rPr>
              <w:t>10</w:t>
            </w:r>
          </w:p>
        </w:tc>
        <w:tc>
          <w:tcPr>
            <w:tcW w:w="2548" w:type="dxa"/>
            <w:vMerge w:val="restart"/>
            <w:noWrap/>
            <w:vAlign w:val="center"/>
          </w:tcPr>
          <w:p w14:paraId="6A5FA58C">
            <w:pPr>
              <w:widowControl/>
              <w:spacing w:line="240" w:lineRule="auto"/>
              <w:ind w:firstLine="0" w:firstLineChars="0"/>
              <w:jc w:val="center"/>
              <w:rPr>
                <w:kern w:val="0"/>
                <w:sz w:val="21"/>
                <w:szCs w:val="21"/>
              </w:rPr>
            </w:pPr>
            <w:r>
              <w:rPr>
                <w:sz w:val="21"/>
                <w:szCs w:val="21"/>
              </w:rPr>
              <w:t>V=(S</w:t>
            </w:r>
            <w:r>
              <w:rPr>
                <w:sz w:val="21"/>
                <w:szCs w:val="21"/>
                <w:vertAlign w:val="subscript"/>
              </w:rPr>
              <w:t>1</w:t>
            </w:r>
            <w:r>
              <w:rPr>
                <w:sz w:val="21"/>
                <w:szCs w:val="21"/>
              </w:rPr>
              <w:t>+S</w:t>
            </w:r>
            <w:r>
              <w:rPr>
                <w:sz w:val="21"/>
                <w:szCs w:val="21"/>
                <w:vertAlign w:val="subscript"/>
              </w:rPr>
              <w:t>2</w:t>
            </w:r>
            <w:r>
              <w:rPr>
                <w:sz w:val="21"/>
                <w:szCs w:val="21"/>
              </w:rPr>
              <w:t>+</w:t>
            </w:r>
            <w:r>
              <w:rPr>
                <w:position w:val="-14"/>
                <w:sz w:val="21"/>
                <w:szCs w:val="21"/>
              </w:rPr>
              <w:object>
                <v:shape id="_x0000_i1028" o:spt="75" type="#_x0000_t75" style="height:24.75pt;width:46.5pt;" o:ole="t" filled="f" o:preferrelative="t" stroked="f" coordsize="21600,21600">
                  <v:path/>
                  <v:fill on="f" focussize="0,0"/>
                  <v:stroke on="f" joinstyle="miter"/>
                  <v:imagedata r:id="rId21" o:title=""/>
                  <o:lock v:ext="edit" aspectratio="t"/>
                  <w10:wrap type="none"/>
                  <w10:anchorlock/>
                </v:shape>
                <o:OLEObject Type="Embed" ProgID="Equation.DSMT4" ShapeID="_x0000_i1028" DrawAspect="Content" ObjectID="_1468075728" r:id="rId23">
                  <o:LockedField>false</o:LockedField>
                </o:OLEObject>
              </w:object>
            </w:r>
            <w:r>
              <w:rPr>
                <w:sz w:val="21"/>
                <w:szCs w:val="21"/>
              </w:rPr>
              <w:t>)·L/3</w:t>
            </w:r>
          </w:p>
        </w:tc>
        <w:tc>
          <w:tcPr>
            <w:tcW w:w="1109" w:type="dxa"/>
            <w:vMerge w:val="restart"/>
            <w:noWrap/>
            <w:vAlign w:val="center"/>
          </w:tcPr>
          <w:p w14:paraId="681D41FE">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43B0659F">
            <w:pPr>
              <w:widowControl/>
              <w:spacing w:line="240" w:lineRule="auto"/>
              <w:ind w:firstLine="0" w:firstLineChars="0"/>
              <w:jc w:val="center"/>
              <w:rPr>
                <w:kern w:val="0"/>
                <w:sz w:val="21"/>
                <w:szCs w:val="21"/>
              </w:rPr>
            </w:pPr>
            <w:r>
              <w:rPr>
                <w:kern w:val="0"/>
                <w:sz w:val="21"/>
                <w:szCs w:val="21"/>
              </w:rPr>
              <w:t>334.30</w:t>
            </w:r>
          </w:p>
        </w:tc>
        <w:tc>
          <w:tcPr>
            <w:tcW w:w="1109" w:type="dxa"/>
            <w:vMerge w:val="continue"/>
            <w:noWrap/>
            <w:vAlign w:val="center"/>
          </w:tcPr>
          <w:p w14:paraId="7052A519">
            <w:pPr>
              <w:widowControl/>
              <w:spacing w:line="240" w:lineRule="auto"/>
              <w:ind w:firstLine="0" w:firstLineChars="0"/>
              <w:jc w:val="center"/>
              <w:rPr>
                <w:kern w:val="0"/>
                <w:sz w:val="21"/>
                <w:szCs w:val="21"/>
              </w:rPr>
            </w:pPr>
          </w:p>
        </w:tc>
        <w:tc>
          <w:tcPr>
            <w:tcW w:w="1080" w:type="dxa"/>
            <w:vMerge w:val="continue"/>
            <w:noWrap/>
            <w:vAlign w:val="center"/>
          </w:tcPr>
          <w:p w14:paraId="30D6FC2C">
            <w:pPr>
              <w:widowControl/>
              <w:spacing w:line="240" w:lineRule="auto"/>
              <w:ind w:firstLine="0" w:firstLineChars="0"/>
              <w:jc w:val="center"/>
              <w:rPr>
                <w:kern w:val="0"/>
                <w:sz w:val="21"/>
                <w:szCs w:val="21"/>
              </w:rPr>
            </w:pPr>
          </w:p>
        </w:tc>
      </w:tr>
      <w:tr w14:paraId="5CB6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1F2A852C">
            <w:pPr>
              <w:widowControl/>
              <w:spacing w:line="240" w:lineRule="auto"/>
              <w:ind w:firstLine="0" w:firstLineChars="0"/>
              <w:jc w:val="center"/>
              <w:rPr>
                <w:kern w:val="0"/>
                <w:sz w:val="21"/>
                <w:szCs w:val="21"/>
              </w:rPr>
            </w:pPr>
          </w:p>
        </w:tc>
        <w:tc>
          <w:tcPr>
            <w:tcW w:w="863" w:type="dxa"/>
            <w:vMerge w:val="continue"/>
            <w:vAlign w:val="center"/>
          </w:tcPr>
          <w:p w14:paraId="357510E5">
            <w:pPr>
              <w:widowControl/>
              <w:spacing w:line="240" w:lineRule="auto"/>
              <w:ind w:firstLine="0" w:firstLineChars="0"/>
              <w:jc w:val="center"/>
              <w:rPr>
                <w:kern w:val="0"/>
                <w:sz w:val="21"/>
                <w:szCs w:val="21"/>
              </w:rPr>
            </w:pPr>
          </w:p>
        </w:tc>
        <w:tc>
          <w:tcPr>
            <w:tcW w:w="794" w:type="dxa"/>
            <w:vMerge w:val="continue"/>
            <w:noWrap/>
            <w:vAlign w:val="center"/>
          </w:tcPr>
          <w:p w14:paraId="2A6DA7E5">
            <w:pPr>
              <w:widowControl/>
              <w:spacing w:line="240" w:lineRule="auto"/>
              <w:ind w:firstLine="0" w:firstLineChars="0"/>
              <w:jc w:val="center"/>
              <w:rPr>
                <w:kern w:val="0"/>
                <w:sz w:val="21"/>
                <w:szCs w:val="21"/>
              </w:rPr>
            </w:pPr>
          </w:p>
        </w:tc>
        <w:tc>
          <w:tcPr>
            <w:tcW w:w="1438" w:type="dxa"/>
            <w:vMerge w:val="continue"/>
            <w:noWrap/>
            <w:vAlign w:val="center"/>
          </w:tcPr>
          <w:p w14:paraId="4920F1A2">
            <w:pPr>
              <w:widowControl/>
              <w:spacing w:line="240" w:lineRule="auto"/>
              <w:ind w:firstLine="0" w:firstLineChars="0"/>
              <w:jc w:val="center"/>
              <w:rPr>
                <w:kern w:val="0"/>
                <w:sz w:val="21"/>
                <w:szCs w:val="21"/>
              </w:rPr>
            </w:pPr>
          </w:p>
        </w:tc>
        <w:tc>
          <w:tcPr>
            <w:tcW w:w="1151" w:type="dxa"/>
            <w:noWrap/>
            <w:vAlign w:val="center"/>
          </w:tcPr>
          <w:p w14:paraId="66CFF4CC">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KZ-420</w:t>
            </w:r>
          </w:p>
        </w:tc>
        <w:tc>
          <w:tcPr>
            <w:tcW w:w="1171" w:type="dxa"/>
            <w:noWrap/>
            <w:vAlign w:val="center"/>
          </w:tcPr>
          <w:p w14:paraId="7B12FCE1">
            <w:pPr>
              <w:widowControl/>
              <w:spacing w:line="240" w:lineRule="auto"/>
              <w:ind w:firstLine="0" w:firstLineChars="0"/>
              <w:jc w:val="center"/>
              <w:rPr>
                <w:kern w:val="0"/>
                <w:sz w:val="21"/>
                <w:szCs w:val="21"/>
              </w:rPr>
            </w:pPr>
            <w:r>
              <w:rPr>
                <w:kern w:val="0"/>
                <w:sz w:val="21"/>
                <w:szCs w:val="21"/>
              </w:rPr>
              <w:t>492280</w:t>
            </w:r>
          </w:p>
        </w:tc>
        <w:tc>
          <w:tcPr>
            <w:tcW w:w="1110" w:type="dxa"/>
            <w:vMerge w:val="continue"/>
            <w:vAlign w:val="center"/>
          </w:tcPr>
          <w:p w14:paraId="7F1074A2">
            <w:pPr>
              <w:widowControl/>
              <w:spacing w:line="240" w:lineRule="auto"/>
              <w:ind w:firstLine="0" w:firstLineChars="0"/>
              <w:jc w:val="center"/>
              <w:rPr>
                <w:kern w:val="0"/>
                <w:sz w:val="21"/>
                <w:szCs w:val="21"/>
              </w:rPr>
            </w:pPr>
          </w:p>
        </w:tc>
        <w:tc>
          <w:tcPr>
            <w:tcW w:w="2548" w:type="dxa"/>
            <w:vMerge w:val="continue"/>
            <w:vAlign w:val="center"/>
          </w:tcPr>
          <w:p w14:paraId="03CAC32B">
            <w:pPr>
              <w:widowControl/>
              <w:spacing w:line="240" w:lineRule="auto"/>
              <w:ind w:firstLine="0" w:firstLineChars="0"/>
              <w:jc w:val="center"/>
              <w:rPr>
                <w:kern w:val="0"/>
                <w:sz w:val="21"/>
                <w:szCs w:val="21"/>
              </w:rPr>
            </w:pPr>
          </w:p>
        </w:tc>
        <w:tc>
          <w:tcPr>
            <w:tcW w:w="1109" w:type="dxa"/>
            <w:vMerge w:val="continue"/>
            <w:vAlign w:val="center"/>
          </w:tcPr>
          <w:p w14:paraId="554C2F97">
            <w:pPr>
              <w:widowControl/>
              <w:spacing w:line="240" w:lineRule="auto"/>
              <w:ind w:firstLine="0" w:firstLineChars="0"/>
              <w:jc w:val="center"/>
              <w:rPr>
                <w:kern w:val="0"/>
                <w:sz w:val="21"/>
                <w:szCs w:val="21"/>
              </w:rPr>
            </w:pPr>
          </w:p>
        </w:tc>
        <w:tc>
          <w:tcPr>
            <w:tcW w:w="1069" w:type="dxa"/>
            <w:vMerge w:val="continue"/>
            <w:vAlign w:val="center"/>
          </w:tcPr>
          <w:p w14:paraId="383691F7">
            <w:pPr>
              <w:widowControl/>
              <w:spacing w:line="240" w:lineRule="auto"/>
              <w:ind w:firstLine="0" w:firstLineChars="0"/>
              <w:jc w:val="center"/>
              <w:rPr>
                <w:kern w:val="0"/>
                <w:sz w:val="21"/>
                <w:szCs w:val="21"/>
              </w:rPr>
            </w:pPr>
          </w:p>
        </w:tc>
        <w:tc>
          <w:tcPr>
            <w:tcW w:w="1109" w:type="dxa"/>
            <w:vMerge w:val="continue"/>
            <w:vAlign w:val="center"/>
          </w:tcPr>
          <w:p w14:paraId="3EC4EFD7">
            <w:pPr>
              <w:widowControl/>
              <w:spacing w:line="240" w:lineRule="auto"/>
              <w:ind w:firstLine="0" w:firstLineChars="0"/>
              <w:jc w:val="center"/>
              <w:rPr>
                <w:kern w:val="0"/>
                <w:sz w:val="21"/>
                <w:szCs w:val="21"/>
              </w:rPr>
            </w:pPr>
          </w:p>
        </w:tc>
        <w:tc>
          <w:tcPr>
            <w:tcW w:w="1080" w:type="dxa"/>
            <w:vMerge w:val="continue"/>
            <w:vAlign w:val="center"/>
          </w:tcPr>
          <w:p w14:paraId="20C193BE">
            <w:pPr>
              <w:widowControl/>
              <w:spacing w:line="240" w:lineRule="auto"/>
              <w:ind w:firstLine="0" w:firstLineChars="0"/>
              <w:jc w:val="center"/>
              <w:rPr>
                <w:kern w:val="0"/>
                <w:sz w:val="21"/>
                <w:szCs w:val="21"/>
              </w:rPr>
            </w:pPr>
          </w:p>
        </w:tc>
      </w:tr>
      <w:tr w14:paraId="583D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681F9112">
            <w:pPr>
              <w:widowControl/>
              <w:spacing w:line="240" w:lineRule="auto"/>
              <w:ind w:firstLine="0" w:firstLineChars="0"/>
              <w:jc w:val="center"/>
              <w:rPr>
                <w:kern w:val="0"/>
                <w:sz w:val="21"/>
                <w:szCs w:val="21"/>
              </w:rPr>
            </w:pPr>
          </w:p>
        </w:tc>
        <w:tc>
          <w:tcPr>
            <w:tcW w:w="863" w:type="dxa"/>
            <w:vMerge w:val="continue"/>
            <w:vAlign w:val="center"/>
          </w:tcPr>
          <w:p w14:paraId="2096DC29">
            <w:pPr>
              <w:widowControl/>
              <w:spacing w:line="240" w:lineRule="auto"/>
              <w:ind w:firstLine="0" w:firstLineChars="0"/>
              <w:jc w:val="center"/>
              <w:rPr>
                <w:kern w:val="0"/>
                <w:sz w:val="21"/>
                <w:szCs w:val="21"/>
              </w:rPr>
            </w:pPr>
          </w:p>
        </w:tc>
        <w:tc>
          <w:tcPr>
            <w:tcW w:w="794" w:type="dxa"/>
            <w:vMerge w:val="continue"/>
            <w:noWrap/>
            <w:vAlign w:val="center"/>
          </w:tcPr>
          <w:p w14:paraId="4CF2CD09">
            <w:pPr>
              <w:widowControl/>
              <w:spacing w:line="240" w:lineRule="auto"/>
              <w:ind w:firstLine="0" w:firstLineChars="0"/>
              <w:jc w:val="center"/>
              <w:rPr>
                <w:kern w:val="0"/>
                <w:sz w:val="21"/>
                <w:szCs w:val="21"/>
              </w:rPr>
            </w:pPr>
          </w:p>
        </w:tc>
        <w:tc>
          <w:tcPr>
            <w:tcW w:w="1438" w:type="dxa"/>
            <w:vMerge w:val="restart"/>
            <w:noWrap/>
            <w:vAlign w:val="center"/>
          </w:tcPr>
          <w:p w14:paraId="09B999E4">
            <w:pPr>
              <w:widowControl/>
              <w:spacing w:line="240" w:lineRule="auto"/>
              <w:ind w:firstLine="0" w:firstLineChars="0"/>
              <w:jc w:val="center"/>
              <w:rPr>
                <w:kern w:val="0"/>
                <w:sz w:val="21"/>
                <w:szCs w:val="21"/>
              </w:rPr>
            </w:pPr>
            <w:r>
              <w:rPr>
                <w:kern w:val="0"/>
                <w:sz w:val="21"/>
                <w:szCs w:val="21"/>
              </w:rPr>
              <w:t>420~410m</w:t>
            </w:r>
          </w:p>
        </w:tc>
        <w:tc>
          <w:tcPr>
            <w:tcW w:w="1151" w:type="dxa"/>
            <w:noWrap/>
            <w:vAlign w:val="center"/>
          </w:tcPr>
          <w:p w14:paraId="40F36EC0">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KZ-420</w:t>
            </w:r>
          </w:p>
        </w:tc>
        <w:tc>
          <w:tcPr>
            <w:tcW w:w="1171" w:type="dxa"/>
            <w:noWrap/>
            <w:vAlign w:val="center"/>
          </w:tcPr>
          <w:p w14:paraId="1AB7639E">
            <w:pPr>
              <w:widowControl/>
              <w:spacing w:line="240" w:lineRule="auto"/>
              <w:ind w:firstLine="0" w:firstLineChars="0"/>
              <w:jc w:val="center"/>
              <w:rPr>
                <w:kern w:val="0"/>
                <w:sz w:val="21"/>
                <w:szCs w:val="21"/>
              </w:rPr>
            </w:pPr>
            <w:r>
              <w:rPr>
                <w:kern w:val="0"/>
                <w:sz w:val="21"/>
                <w:szCs w:val="21"/>
              </w:rPr>
              <w:t>492280</w:t>
            </w:r>
          </w:p>
        </w:tc>
        <w:tc>
          <w:tcPr>
            <w:tcW w:w="1110" w:type="dxa"/>
            <w:vMerge w:val="restart"/>
            <w:noWrap/>
            <w:vAlign w:val="center"/>
          </w:tcPr>
          <w:p w14:paraId="21A10328">
            <w:pPr>
              <w:widowControl/>
              <w:spacing w:line="240" w:lineRule="auto"/>
              <w:ind w:firstLine="0" w:firstLineChars="0"/>
              <w:jc w:val="center"/>
              <w:rPr>
                <w:kern w:val="0"/>
                <w:sz w:val="21"/>
                <w:szCs w:val="21"/>
              </w:rPr>
            </w:pPr>
            <w:r>
              <w:rPr>
                <w:kern w:val="0"/>
                <w:sz w:val="21"/>
                <w:szCs w:val="21"/>
              </w:rPr>
              <w:t>10</w:t>
            </w:r>
          </w:p>
        </w:tc>
        <w:tc>
          <w:tcPr>
            <w:tcW w:w="2548" w:type="dxa"/>
            <w:vMerge w:val="restart"/>
            <w:noWrap/>
            <w:vAlign w:val="center"/>
          </w:tcPr>
          <w:p w14:paraId="0A95DFFB">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noWrap/>
            <w:vAlign w:val="center"/>
          </w:tcPr>
          <w:p w14:paraId="7BF4746A">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10DCEEAA">
            <w:pPr>
              <w:widowControl/>
              <w:spacing w:line="240" w:lineRule="auto"/>
              <w:ind w:firstLine="0" w:firstLineChars="0"/>
              <w:jc w:val="center"/>
              <w:rPr>
                <w:kern w:val="0"/>
                <w:sz w:val="21"/>
                <w:szCs w:val="21"/>
              </w:rPr>
            </w:pPr>
            <w:r>
              <w:rPr>
                <w:kern w:val="0"/>
                <w:sz w:val="21"/>
                <w:szCs w:val="21"/>
              </w:rPr>
              <w:t>634.30</w:t>
            </w:r>
          </w:p>
        </w:tc>
        <w:tc>
          <w:tcPr>
            <w:tcW w:w="1109" w:type="dxa"/>
            <w:vMerge w:val="continue"/>
            <w:noWrap/>
            <w:vAlign w:val="center"/>
          </w:tcPr>
          <w:p w14:paraId="725C959E">
            <w:pPr>
              <w:widowControl/>
              <w:spacing w:line="240" w:lineRule="auto"/>
              <w:ind w:firstLine="0" w:firstLineChars="0"/>
              <w:jc w:val="center"/>
              <w:rPr>
                <w:kern w:val="0"/>
                <w:sz w:val="21"/>
                <w:szCs w:val="21"/>
              </w:rPr>
            </w:pPr>
          </w:p>
        </w:tc>
        <w:tc>
          <w:tcPr>
            <w:tcW w:w="1080" w:type="dxa"/>
            <w:vMerge w:val="continue"/>
            <w:noWrap/>
            <w:vAlign w:val="center"/>
          </w:tcPr>
          <w:p w14:paraId="1F33389D">
            <w:pPr>
              <w:widowControl/>
              <w:spacing w:line="240" w:lineRule="auto"/>
              <w:ind w:firstLine="0" w:firstLineChars="0"/>
              <w:jc w:val="center"/>
              <w:rPr>
                <w:kern w:val="0"/>
                <w:sz w:val="21"/>
                <w:szCs w:val="21"/>
              </w:rPr>
            </w:pPr>
          </w:p>
        </w:tc>
      </w:tr>
      <w:tr w14:paraId="7134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2" w:hRule="atLeast"/>
        </w:trPr>
        <w:tc>
          <w:tcPr>
            <w:tcW w:w="1137" w:type="dxa"/>
            <w:vMerge w:val="continue"/>
            <w:vAlign w:val="center"/>
          </w:tcPr>
          <w:p w14:paraId="2D27E95F">
            <w:pPr>
              <w:widowControl/>
              <w:spacing w:line="240" w:lineRule="auto"/>
              <w:ind w:firstLine="0" w:firstLineChars="0"/>
              <w:jc w:val="center"/>
              <w:rPr>
                <w:kern w:val="0"/>
                <w:sz w:val="21"/>
                <w:szCs w:val="21"/>
              </w:rPr>
            </w:pPr>
          </w:p>
        </w:tc>
        <w:tc>
          <w:tcPr>
            <w:tcW w:w="863" w:type="dxa"/>
            <w:vMerge w:val="continue"/>
            <w:vAlign w:val="center"/>
          </w:tcPr>
          <w:p w14:paraId="6F5E0767">
            <w:pPr>
              <w:widowControl/>
              <w:spacing w:line="240" w:lineRule="auto"/>
              <w:ind w:firstLine="0" w:firstLineChars="0"/>
              <w:jc w:val="center"/>
              <w:rPr>
                <w:kern w:val="0"/>
                <w:sz w:val="21"/>
                <w:szCs w:val="21"/>
              </w:rPr>
            </w:pPr>
          </w:p>
        </w:tc>
        <w:tc>
          <w:tcPr>
            <w:tcW w:w="794" w:type="dxa"/>
            <w:vMerge w:val="continue"/>
            <w:noWrap/>
            <w:vAlign w:val="center"/>
          </w:tcPr>
          <w:p w14:paraId="093B2C97">
            <w:pPr>
              <w:widowControl/>
              <w:spacing w:line="240" w:lineRule="auto"/>
              <w:ind w:firstLine="0" w:firstLineChars="0"/>
              <w:jc w:val="center"/>
              <w:rPr>
                <w:kern w:val="0"/>
                <w:sz w:val="21"/>
                <w:szCs w:val="21"/>
              </w:rPr>
            </w:pPr>
          </w:p>
        </w:tc>
        <w:tc>
          <w:tcPr>
            <w:tcW w:w="1438" w:type="dxa"/>
            <w:vMerge w:val="continue"/>
            <w:noWrap/>
            <w:vAlign w:val="center"/>
          </w:tcPr>
          <w:p w14:paraId="07E5CC09">
            <w:pPr>
              <w:widowControl/>
              <w:spacing w:line="240" w:lineRule="auto"/>
              <w:ind w:firstLine="0" w:firstLineChars="0"/>
              <w:jc w:val="center"/>
              <w:rPr>
                <w:kern w:val="0"/>
                <w:sz w:val="21"/>
                <w:szCs w:val="21"/>
              </w:rPr>
            </w:pPr>
          </w:p>
        </w:tc>
        <w:tc>
          <w:tcPr>
            <w:tcW w:w="1151" w:type="dxa"/>
            <w:noWrap/>
            <w:vAlign w:val="center"/>
          </w:tcPr>
          <w:p w14:paraId="5AEE2198">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KZ-410</w:t>
            </w:r>
          </w:p>
        </w:tc>
        <w:tc>
          <w:tcPr>
            <w:tcW w:w="1171" w:type="dxa"/>
            <w:noWrap/>
            <w:vAlign w:val="center"/>
          </w:tcPr>
          <w:p w14:paraId="62A4A65E">
            <w:pPr>
              <w:widowControl/>
              <w:spacing w:line="240" w:lineRule="auto"/>
              <w:ind w:firstLine="0" w:firstLineChars="0"/>
              <w:jc w:val="center"/>
              <w:rPr>
                <w:kern w:val="0"/>
                <w:sz w:val="21"/>
                <w:szCs w:val="21"/>
              </w:rPr>
            </w:pPr>
            <w:r>
              <w:rPr>
                <w:kern w:val="0"/>
                <w:sz w:val="21"/>
                <w:szCs w:val="21"/>
              </w:rPr>
              <w:t>732344</w:t>
            </w:r>
          </w:p>
        </w:tc>
        <w:tc>
          <w:tcPr>
            <w:tcW w:w="1110" w:type="dxa"/>
            <w:vMerge w:val="continue"/>
            <w:vAlign w:val="center"/>
          </w:tcPr>
          <w:p w14:paraId="58BC13A7">
            <w:pPr>
              <w:widowControl/>
              <w:spacing w:line="240" w:lineRule="auto"/>
              <w:ind w:firstLine="0" w:firstLineChars="0"/>
              <w:jc w:val="center"/>
              <w:rPr>
                <w:kern w:val="0"/>
                <w:sz w:val="21"/>
                <w:szCs w:val="21"/>
              </w:rPr>
            </w:pPr>
          </w:p>
        </w:tc>
        <w:tc>
          <w:tcPr>
            <w:tcW w:w="2548" w:type="dxa"/>
            <w:vMerge w:val="continue"/>
            <w:vAlign w:val="center"/>
          </w:tcPr>
          <w:p w14:paraId="71D0F0CF">
            <w:pPr>
              <w:widowControl/>
              <w:spacing w:line="240" w:lineRule="auto"/>
              <w:ind w:firstLine="0" w:firstLineChars="0"/>
              <w:jc w:val="center"/>
              <w:rPr>
                <w:kern w:val="0"/>
                <w:sz w:val="21"/>
                <w:szCs w:val="21"/>
              </w:rPr>
            </w:pPr>
          </w:p>
        </w:tc>
        <w:tc>
          <w:tcPr>
            <w:tcW w:w="1109" w:type="dxa"/>
            <w:vMerge w:val="continue"/>
            <w:vAlign w:val="center"/>
          </w:tcPr>
          <w:p w14:paraId="6EB5D952">
            <w:pPr>
              <w:widowControl/>
              <w:spacing w:line="240" w:lineRule="auto"/>
              <w:ind w:firstLine="0" w:firstLineChars="0"/>
              <w:jc w:val="center"/>
              <w:rPr>
                <w:kern w:val="0"/>
                <w:sz w:val="21"/>
                <w:szCs w:val="21"/>
              </w:rPr>
            </w:pPr>
          </w:p>
        </w:tc>
        <w:tc>
          <w:tcPr>
            <w:tcW w:w="1069" w:type="dxa"/>
            <w:vMerge w:val="continue"/>
            <w:vAlign w:val="center"/>
          </w:tcPr>
          <w:p w14:paraId="6163B845">
            <w:pPr>
              <w:widowControl/>
              <w:spacing w:line="240" w:lineRule="auto"/>
              <w:ind w:firstLine="0" w:firstLineChars="0"/>
              <w:jc w:val="center"/>
              <w:rPr>
                <w:kern w:val="0"/>
                <w:sz w:val="21"/>
                <w:szCs w:val="21"/>
              </w:rPr>
            </w:pPr>
          </w:p>
        </w:tc>
        <w:tc>
          <w:tcPr>
            <w:tcW w:w="1109" w:type="dxa"/>
            <w:vMerge w:val="continue"/>
            <w:vAlign w:val="center"/>
          </w:tcPr>
          <w:p w14:paraId="3FBEDF8A">
            <w:pPr>
              <w:widowControl/>
              <w:spacing w:line="240" w:lineRule="auto"/>
              <w:ind w:firstLine="0" w:firstLineChars="0"/>
              <w:jc w:val="center"/>
              <w:rPr>
                <w:kern w:val="0"/>
                <w:sz w:val="21"/>
                <w:szCs w:val="21"/>
              </w:rPr>
            </w:pPr>
          </w:p>
        </w:tc>
        <w:tc>
          <w:tcPr>
            <w:tcW w:w="1080" w:type="dxa"/>
            <w:vMerge w:val="continue"/>
            <w:vAlign w:val="center"/>
          </w:tcPr>
          <w:p w14:paraId="19362360">
            <w:pPr>
              <w:widowControl/>
              <w:spacing w:line="240" w:lineRule="auto"/>
              <w:ind w:firstLine="0" w:firstLineChars="0"/>
              <w:jc w:val="center"/>
              <w:rPr>
                <w:kern w:val="0"/>
                <w:sz w:val="21"/>
                <w:szCs w:val="21"/>
              </w:rPr>
            </w:pPr>
          </w:p>
        </w:tc>
      </w:tr>
      <w:tr w14:paraId="172B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noWrap/>
            <w:vAlign w:val="center"/>
          </w:tcPr>
          <w:p w14:paraId="3181CACB">
            <w:pPr>
              <w:widowControl/>
              <w:spacing w:line="240" w:lineRule="auto"/>
              <w:ind w:firstLine="0" w:firstLineChars="0"/>
              <w:jc w:val="center"/>
              <w:rPr>
                <w:kern w:val="0"/>
                <w:sz w:val="21"/>
                <w:szCs w:val="21"/>
              </w:rPr>
            </w:pPr>
          </w:p>
        </w:tc>
        <w:tc>
          <w:tcPr>
            <w:tcW w:w="863" w:type="dxa"/>
            <w:vMerge w:val="continue"/>
            <w:noWrap/>
            <w:vAlign w:val="center"/>
          </w:tcPr>
          <w:p w14:paraId="05BEB1AC">
            <w:pPr>
              <w:widowControl/>
              <w:spacing w:line="240" w:lineRule="auto"/>
              <w:ind w:firstLine="0" w:firstLineChars="0"/>
              <w:jc w:val="center"/>
              <w:rPr>
                <w:kern w:val="0"/>
                <w:sz w:val="21"/>
                <w:szCs w:val="21"/>
              </w:rPr>
            </w:pPr>
          </w:p>
        </w:tc>
        <w:tc>
          <w:tcPr>
            <w:tcW w:w="794" w:type="dxa"/>
            <w:vMerge w:val="continue"/>
            <w:noWrap/>
            <w:vAlign w:val="center"/>
          </w:tcPr>
          <w:p w14:paraId="20296C89">
            <w:pPr>
              <w:widowControl/>
              <w:spacing w:line="240" w:lineRule="auto"/>
              <w:ind w:firstLine="0" w:firstLineChars="0"/>
              <w:jc w:val="center"/>
              <w:rPr>
                <w:kern w:val="0"/>
                <w:sz w:val="21"/>
                <w:szCs w:val="21"/>
              </w:rPr>
            </w:pPr>
          </w:p>
        </w:tc>
        <w:tc>
          <w:tcPr>
            <w:tcW w:w="1438" w:type="dxa"/>
            <w:vMerge w:val="restart"/>
            <w:noWrap/>
            <w:vAlign w:val="center"/>
          </w:tcPr>
          <w:p w14:paraId="5C34728B">
            <w:pPr>
              <w:widowControl/>
              <w:spacing w:line="240" w:lineRule="auto"/>
              <w:ind w:firstLine="0" w:firstLineChars="0"/>
              <w:jc w:val="center"/>
              <w:rPr>
                <w:kern w:val="0"/>
                <w:sz w:val="21"/>
                <w:szCs w:val="21"/>
              </w:rPr>
            </w:pPr>
            <w:r>
              <w:rPr>
                <w:kern w:val="0"/>
                <w:sz w:val="21"/>
                <w:szCs w:val="21"/>
              </w:rPr>
              <w:t>410~400m</w:t>
            </w:r>
          </w:p>
        </w:tc>
        <w:tc>
          <w:tcPr>
            <w:tcW w:w="1151" w:type="dxa"/>
            <w:noWrap/>
            <w:vAlign w:val="center"/>
          </w:tcPr>
          <w:p w14:paraId="14659715">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KZ-410</w:t>
            </w:r>
          </w:p>
        </w:tc>
        <w:tc>
          <w:tcPr>
            <w:tcW w:w="1171" w:type="dxa"/>
            <w:noWrap/>
            <w:vAlign w:val="center"/>
          </w:tcPr>
          <w:p w14:paraId="71D872E4">
            <w:pPr>
              <w:widowControl/>
              <w:spacing w:line="240" w:lineRule="auto"/>
              <w:ind w:firstLine="0" w:firstLineChars="0"/>
              <w:jc w:val="center"/>
              <w:rPr>
                <w:kern w:val="0"/>
                <w:sz w:val="21"/>
                <w:szCs w:val="21"/>
              </w:rPr>
            </w:pPr>
            <w:r>
              <w:rPr>
                <w:kern w:val="0"/>
                <w:sz w:val="21"/>
                <w:szCs w:val="21"/>
              </w:rPr>
              <w:t>732344</w:t>
            </w:r>
          </w:p>
        </w:tc>
        <w:tc>
          <w:tcPr>
            <w:tcW w:w="1110" w:type="dxa"/>
            <w:vMerge w:val="restart"/>
            <w:noWrap/>
            <w:vAlign w:val="center"/>
          </w:tcPr>
          <w:p w14:paraId="50F0F0A4">
            <w:pPr>
              <w:widowControl/>
              <w:spacing w:line="240" w:lineRule="auto"/>
              <w:ind w:firstLine="0" w:firstLineChars="0"/>
              <w:jc w:val="center"/>
              <w:rPr>
                <w:kern w:val="0"/>
                <w:sz w:val="21"/>
                <w:szCs w:val="21"/>
              </w:rPr>
            </w:pPr>
            <w:r>
              <w:rPr>
                <w:kern w:val="0"/>
                <w:sz w:val="21"/>
                <w:szCs w:val="21"/>
              </w:rPr>
              <w:t>10</w:t>
            </w:r>
          </w:p>
        </w:tc>
        <w:tc>
          <w:tcPr>
            <w:tcW w:w="2548" w:type="dxa"/>
            <w:vMerge w:val="restart"/>
            <w:noWrap/>
            <w:vAlign w:val="center"/>
          </w:tcPr>
          <w:p w14:paraId="170F36C1">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noWrap/>
            <w:vAlign w:val="center"/>
          </w:tcPr>
          <w:p w14:paraId="391CDAE1">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175163E9">
            <w:pPr>
              <w:widowControl/>
              <w:spacing w:line="240" w:lineRule="auto"/>
              <w:ind w:firstLine="0" w:firstLineChars="0"/>
              <w:jc w:val="center"/>
              <w:rPr>
                <w:kern w:val="0"/>
                <w:sz w:val="21"/>
                <w:szCs w:val="21"/>
              </w:rPr>
            </w:pPr>
            <w:r>
              <w:rPr>
                <w:kern w:val="0"/>
                <w:sz w:val="21"/>
                <w:szCs w:val="21"/>
              </w:rPr>
              <w:t>789.66</w:t>
            </w:r>
          </w:p>
        </w:tc>
        <w:tc>
          <w:tcPr>
            <w:tcW w:w="1109" w:type="dxa"/>
            <w:vMerge w:val="continue"/>
            <w:noWrap/>
            <w:vAlign w:val="center"/>
          </w:tcPr>
          <w:p w14:paraId="0636E5C9">
            <w:pPr>
              <w:widowControl/>
              <w:spacing w:line="240" w:lineRule="auto"/>
              <w:ind w:firstLine="0" w:firstLineChars="0"/>
              <w:jc w:val="center"/>
              <w:rPr>
                <w:kern w:val="0"/>
                <w:sz w:val="21"/>
                <w:szCs w:val="21"/>
              </w:rPr>
            </w:pPr>
          </w:p>
        </w:tc>
        <w:tc>
          <w:tcPr>
            <w:tcW w:w="1080" w:type="dxa"/>
            <w:vMerge w:val="continue"/>
            <w:noWrap/>
            <w:vAlign w:val="center"/>
          </w:tcPr>
          <w:p w14:paraId="3862F942">
            <w:pPr>
              <w:widowControl/>
              <w:spacing w:line="240" w:lineRule="auto"/>
              <w:ind w:firstLine="0" w:firstLineChars="0"/>
              <w:jc w:val="center"/>
              <w:rPr>
                <w:kern w:val="0"/>
                <w:sz w:val="21"/>
                <w:szCs w:val="21"/>
              </w:rPr>
            </w:pPr>
          </w:p>
        </w:tc>
      </w:tr>
      <w:tr w14:paraId="63BF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2E833F88">
            <w:pPr>
              <w:widowControl/>
              <w:spacing w:line="240" w:lineRule="auto"/>
              <w:ind w:firstLine="0" w:firstLineChars="0"/>
              <w:jc w:val="center"/>
              <w:rPr>
                <w:kern w:val="0"/>
                <w:sz w:val="21"/>
                <w:szCs w:val="21"/>
              </w:rPr>
            </w:pPr>
          </w:p>
        </w:tc>
        <w:tc>
          <w:tcPr>
            <w:tcW w:w="863" w:type="dxa"/>
            <w:vMerge w:val="continue"/>
            <w:vAlign w:val="center"/>
          </w:tcPr>
          <w:p w14:paraId="4409219E">
            <w:pPr>
              <w:widowControl/>
              <w:spacing w:line="240" w:lineRule="auto"/>
              <w:ind w:firstLine="0" w:firstLineChars="0"/>
              <w:jc w:val="center"/>
              <w:rPr>
                <w:kern w:val="0"/>
                <w:sz w:val="21"/>
                <w:szCs w:val="21"/>
              </w:rPr>
            </w:pPr>
          </w:p>
        </w:tc>
        <w:tc>
          <w:tcPr>
            <w:tcW w:w="794" w:type="dxa"/>
            <w:vMerge w:val="continue"/>
            <w:noWrap/>
            <w:vAlign w:val="center"/>
          </w:tcPr>
          <w:p w14:paraId="04EF6934">
            <w:pPr>
              <w:widowControl/>
              <w:spacing w:line="240" w:lineRule="auto"/>
              <w:ind w:firstLine="0" w:firstLineChars="0"/>
              <w:jc w:val="center"/>
              <w:rPr>
                <w:kern w:val="0"/>
                <w:sz w:val="21"/>
                <w:szCs w:val="21"/>
              </w:rPr>
            </w:pPr>
          </w:p>
        </w:tc>
        <w:tc>
          <w:tcPr>
            <w:tcW w:w="1438" w:type="dxa"/>
            <w:vMerge w:val="continue"/>
            <w:noWrap/>
            <w:vAlign w:val="center"/>
          </w:tcPr>
          <w:p w14:paraId="33B15E06">
            <w:pPr>
              <w:widowControl/>
              <w:spacing w:line="240" w:lineRule="auto"/>
              <w:ind w:firstLine="0" w:firstLineChars="0"/>
              <w:jc w:val="center"/>
              <w:rPr>
                <w:kern w:val="0"/>
                <w:sz w:val="21"/>
                <w:szCs w:val="21"/>
              </w:rPr>
            </w:pPr>
          </w:p>
        </w:tc>
        <w:tc>
          <w:tcPr>
            <w:tcW w:w="1151" w:type="dxa"/>
            <w:noWrap/>
            <w:vAlign w:val="center"/>
          </w:tcPr>
          <w:p w14:paraId="0511826F">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KZ-400</w:t>
            </w:r>
          </w:p>
        </w:tc>
        <w:tc>
          <w:tcPr>
            <w:tcW w:w="1171" w:type="dxa"/>
            <w:noWrap/>
            <w:vAlign w:val="center"/>
          </w:tcPr>
          <w:p w14:paraId="3870924E">
            <w:pPr>
              <w:widowControl/>
              <w:spacing w:line="240" w:lineRule="auto"/>
              <w:ind w:firstLine="0" w:firstLineChars="0"/>
              <w:jc w:val="center"/>
              <w:rPr>
                <w:kern w:val="0"/>
                <w:sz w:val="21"/>
                <w:szCs w:val="21"/>
              </w:rPr>
            </w:pPr>
            <w:r>
              <w:rPr>
                <w:kern w:val="0"/>
                <w:sz w:val="21"/>
                <w:szCs w:val="21"/>
              </w:rPr>
              <w:t>801888</w:t>
            </w:r>
          </w:p>
        </w:tc>
        <w:tc>
          <w:tcPr>
            <w:tcW w:w="1110" w:type="dxa"/>
            <w:vMerge w:val="continue"/>
            <w:vAlign w:val="center"/>
          </w:tcPr>
          <w:p w14:paraId="3630A433">
            <w:pPr>
              <w:widowControl/>
              <w:spacing w:line="240" w:lineRule="auto"/>
              <w:ind w:firstLine="0" w:firstLineChars="0"/>
              <w:jc w:val="center"/>
              <w:rPr>
                <w:kern w:val="0"/>
                <w:sz w:val="21"/>
                <w:szCs w:val="21"/>
              </w:rPr>
            </w:pPr>
          </w:p>
        </w:tc>
        <w:tc>
          <w:tcPr>
            <w:tcW w:w="2548" w:type="dxa"/>
            <w:vMerge w:val="continue"/>
            <w:vAlign w:val="center"/>
          </w:tcPr>
          <w:p w14:paraId="1C6F013E">
            <w:pPr>
              <w:widowControl/>
              <w:spacing w:line="240" w:lineRule="auto"/>
              <w:ind w:firstLine="0" w:firstLineChars="0"/>
              <w:jc w:val="center"/>
              <w:rPr>
                <w:kern w:val="0"/>
                <w:sz w:val="21"/>
                <w:szCs w:val="21"/>
              </w:rPr>
            </w:pPr>
          </w:p>
        </w:tc>
        <w:tc>
          <w:tcPr>
            <w:tcW w:w="1109" w:type="dxa"/>
            <w:vMerge w:val="continue"/>
            <w:vAlign w:val="center"/>
          </w:tcPr>
          <w:p w14:paraId="21C6E1EC">
            <w:pPr>
              <w:widowControl/>
              <w:spacing w:line="240" w:lineRule="auto"/>
              <w:ind w:firstLine="0" w:firstLineChars="0"/>
              <w:jc w:val="center"/>
              <w:rPr>
                <w:kern w:val="0"/>
                <w:sz w:val="21"/>
                <w:szCs w:val="21"/>
              </w:rPr>
            </w:pPr>
          </w:p>
        </w:tc>
        <w:tc>
          <w:tcPr>
            <w:tcW w:w="1069" w:type="dxa"/>
            <w:vMerge w:val="continue"/>
            <w:vAlign w:val="center"/>
          </w:tcPr>
          <w:p w14:paraId="6F2FE325">
            <w:pPr>
              <w:widowControl/>
              <w:spacing w:line="240" w:lineRule="auto"/>
              <w:ind w:firstLine="0" w:firstLineChars="0"/>
              <w:jc w:val="center"/>
              <w:rPr>
                <w:kern w:val="0"/>
                <w:sz w:val="21"/>
                <w:szCs w:val="21"/>
              </w:rPr>
            </w:pPr>
          </w:p>
        </w:tc>
        <w:tc>
          <w:tcPr>
            <w:tcW w:w="1109" w:type="dxa"/>
            <w:vMerge w:val="continue"/>
            <w:vAlign w:val="center"/>
          </w:tcPr>
          <w:p w14:paraId="0E016169">
            <w:pPr>
              <w:widowControl/>
              <w:spacing w:line="240" w:lineRule="auto"/>
              <w:ind w:firstLine="0" w:firstLineChars="0"/>
              <w:jc w:val="center"/>
              <w:rPr>
                <w:kern w:val="0"/>
                <w:sz w:val="21"/>
                <w:szCs w:val="21"/>
              </w:rPr>
            </w:pPr>
          </w:p>
        </w:tc>
        <w:tc>
          <w:tcPr>
            <w:tcW w:w="1080" w:type="dxa"/>
            <w:vMerge w:val="continue"/>
            <w:vAlign w:val="center"/>
          </w:tcPr>
          <w:p w14:paraId="7F23F670">
            <w:pPr>
              <w:widowControl/>
              <w:spacing w:line="240" w:lineRule="auto"/>
              <w:ind w:firstLine="0" w:firstLineChars="0"/>
              <w:jc w:val="center"/>
              <w:rPr>
                <w:kern w:val="0"/>
                <w:sz w:val="21"/>
                <w:szCs w:val="21"/>
              </w:rPr>
            </w:pPr>
          </w:p>
        </w:tc>
      </w:tr>
      <w:tr w14:paraId="48D8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noWrap/>
            <w:vAlign w:val="center"/>
          </w:tcPr>
          <w:p w14:paraId="77AC70C6">
            <w:pPr>
              <w:widowControl/>
              <w:spacing w:line="240" w:lineRule="auto"/>
              <w:ind w:firstLine="0" w:firstLineChars="0"/>
              <w:jc w:val="center"/>
              <w:rPr>
                <w:kern w:val="0"/>
                <w:sz w:val="21"/>
                <w:szCs w:val="21"/>
              </w:rPr>
            </w:pPr>
          </w:p>
        </w:tc>
        <w:tc>
          <w:tcPr>
            <w:tcW w:w="863" w:type="dxa"/>
            <w:vMerge w:val="continue"/>
            <w:noWrap/>
            <w:vAlign w:val="center"/>
          </w:tcPr>
          <w:p w14:paraId="354559AD">
            <w:pPr>
              <w:widowControl/>
              <w:spacing w:line="240" w:lineRule="auto"/>
              <w:ind w:firstLine="0" w:firstLineChars="0"/>
              <w:jc w:val="center"/>
              <w:rPr>
                <w:kern w:val="0"/>
                <w:sz w:val="21"/>
                <w:szCs w:val="21"/>
              </w:rPr>
            </w:pPr>
          </w:p>
        </w:tc>
        <w:tc>
          <w:tcPr>
            <w:tcW w:w="794" w:type="dxa"/>
            <w:vMerge w:val="continue"/>
            <w:noWrap/>
            <w:vAlign w:val="center"/>
          </w:tcPr>
          <w:p w14:paraId="30083E80">
            <w:pPr>
              <w:widowControl/>
              <w:spacing w:line="240" w:lineRule="auto"/>
              <w:ind w:firstLine="0" w:firstLineChars="0"/>
              <w:jc w:val="center"/>
              <w:rPr>
                <w:kern w:val="0"/>
                <w:sz w:val="21"/>
                <w:szCs w:val="21"/>
              </w:rPr>
            </w:pPr>
          </w:p>
        </w:tc>
        <w:tc>
          <w:tcPr>
            <w:tcW w:w="1438" w:type="dxa"/>
            <w:vMerge w:val="restart"/>
            <w:noWrap/>
            <w:vAlign w:val="center"/>
          </w:tcPr>
          <w:p w14:paraId="628C5DA7">
            <w:pPr>
              <w:widowControl/>
              <w:spacing w:line="240" w:lineRule="auto"/>
              <w:ind w:firstLine="0" w:firstLineChars="0"/>
              <w:jc w:val="center"/>
              <w:rPr>
                <w:kern w:val="0"/>
                <w:sz w:val="21"/>
                <w:szCs w:val="21"/>
              </w:rPr>
            </w:pPr>
            <w:r>
              <w:rPr>
                <w:kern w:val="0"/>
                <w:sz w:val="21"/>
                <w:szCs w:val="21"/>
              </w:rPr>
              <w:t>400~390m</w:t>
            </w:r>
          </w:p>
        </w:tc>
        <w:tc>
          <w:tcPr>
            <w:tcW w:w="1151" w:type="dxa"/>
            <w:noWrap/>
            <w:vAlign w:val="center"/>
          </w:tcPr>
          <w:p w14:paraId="7BFADFF9">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KZ-400</w:t>
            </w:r>
          </w:p>
        </w:tc>
        <w:tc>
          <w:tcPr>
            <w:tcW w:w="1171" w:type="dxa"/>
            <w:noWrap/>
            <w:vAlign w:val="center"/>
          </w:tcPr>
          <w:p w14:paraId="36F1E81E">
            <w:pPr>
              <w:widowControl/>
              <w:spacing w:line="240" w:lineRule="auto"/>
              <w:ind w:firstLine="0" w:firstLineChars="0"/>
              <w:jc w:val="center"/>
              <w:rPr>
                <w:kern w:val="0"/>
                <w:sz w:val="21"/>
                <w:szCs w:val="21"/>
              </w:rPr>
            </w:pPr>
            <w:r>
              <w:rPr>
                <w:kern w:val="0"/>
                <w:sz w:val="21"/>
                <w:szCs w:val="21"/>
              </w:rPr>
              <w:t>801888</w:t>
            </w:r>
          </w:p>
        </w:tc>
        <w:tc>
          <w:tcPr>
            <w:tcW w:w="1110" w:type="dxa"/>
            <w:vMerge w:val="restart"/>
            <w:noWrap/>
            <w:vAlign w:val="center"/>
          </w:tcPr>
          <w:p w14:paraId="44850256">
            <w:pPr>
              <w:widowControl/>
              <w:spacing w:line="240" w:lineRule="auto"/>
              <w:ind w:firstLine="0" w:firstLineChars="0"/>
              <w:jc w:val="center"/>
              <w:rPr>
                <w:kern w:val="0"/>
                <w:sz w:val="21"/>
                <w:szCs w:val="21"/>
              </w:rPr>
            </w:pPr>
            <w:r>
              <w:rPr>
                <w:kern w:val="0"/>
                <w:sz w:val="21"/>
                <w:szCs w:val="21"/>
              </w:rPr>
              <w:t>10</w:t>
            </w:r>
          </w:p>
        </w:tc>
        <w:tc>
          <w:tcPr>
            <w:tcW w:w="2548" w:type="dxa"/>
            <w:vMerge w:val="restart"/>
            <w:noWrap/>
            <w:vAlign w:val="center"/>
          </w:tcPr>
          <w:p w14:paraId="035FDFA9">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noWrap/>
            <w:vAlign w:val="center"/>
          </w:tcPr>
          <w:p w14:paraId="5C1E779B">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5880188C">
            <w:pPr>
              <w:widowControl/>
              <w:spacing w:line="240" w:lineRule="auto"/>
              <w:ind w:firstLine="0" w:firstLineChars="0"/>
              <w:jc w:val="center"/>
              <w:rPr>
                <w:kern w:val="0"/>
                <w:sz w:val="21"/>
                <w:szCs w:val="21"/>
              </w:rPr>
            </w:pPr>
            <w:r>
              <w:rPr>
                <w:kern w:val="0"/>
                <w:sz w:val="21"/>
                <w:szCs w:val="21"/>
              </w:rPr>
              <w:t>835.94</w:t>
            </w:r>
          </w:p>
        </w:tc>
        <w:tc>
          <w:tcPr>
            <w:tcW w:w="1109" w:type="dxa"/>
            <w:vMerge w:val="continue"/>
            <w:noWrap/>
            <w:vAlign w:val="center"/>
          </w:tcPr>
          <w:p w14:paraId="379F1E1A">
            <w:pPr>
              <w:widowControl/>
              <w:spacing w:line="240" w:lineRule="auto"/>
              <w:ind w:firstLine="0" w:firstLineChars="0"/>
              <w:jc w:val="center"/>
              <w:rPr>
                <w:kern w:val="0"/>
                <w:sz w:val="21"/>
                <w:szCs w:val="21"/>
              </w:rPr>
            </w:pPr>
          </w:p>
        </w:tc>
        <w:tc>
          <w:tcPr>
            <w:tcW w:w="1080" w:type="dxa"/>
            <w:vMerge w:val="continue"/>
            <w:noWrap/>
            <w:vAlign w:val="center"/>
          </w:tcPr>
          <w:p w14:paraId="432720D5">
            <w:pPr>
              <w:widowControl/>
              <w:spacing w:line="240" w:lineRule="auto"/>
              <w:ind w:firstLine="0" w:firstLineChars="0"/>
              <w:jc w:val="center"/>
              <w:rPr>
                <w:kern w:val="0"/>
                <w:sz w:val="21"/>
                <w:szCs w:val="21"/>
              </w:rPr>
            </w:pPr>
          </w:p>
        </w:tc>
      </w:tr>
      <w:tr w14:paraId="492A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50065555">
            <w:pPr>
              <w:widowControl/>
              <w:spacing w:line="240" w:lineRule="auto"/>
              <w:ind w:firstLine="0" w:firstLineChars="0"/>
              <w:jc w:val="center"/>
              <w:rPr>
                <w:kern w:val="0"/>
                <w:sz w:val="21"/>
                <w:szCs w:val="21"/>
              </w:rPr>
            </w:pPr>
          </w:p>
        </w:tc>
        <w:tc>
          <w:tcPr>
            <w:tcW w:w="863" w:type="dxa"/>
            <w:vMerge w:val="continue"/>
            <w:vAlign w:val="center"/>
          </w:tcPr>
          <w:p w14:paraId="0708A1D0">
            <w:pPr>
              <w:widowControl/>
              <w:spacing w:line="240" w:lineRule="auto"/>
              <w:ind w:firstLine="0" w:firstLineChars="0"/>
              <w:jc w:val="center"/>
              <w:rPr>
                <w:kern w:val="0"/>
                <w:sz w:val="21"/>
                <w:szCs w:val="21"/>
              </w:rPr>
            </w:pPr>
          </w:p>
        </w:tc>
        <w:tc>
          <w:tcPr>
            <w:tcW w:w="794" w:type="dxa"/>
            <w:vMerge w:val="continue"/>
            <w:noWrap/>
            <w:vAlign w:val="center"/>
          </w:tcPr>
          <w:p w14:paraId="71C0C36E">
            <w:pPr>
              <w:widowControl/>
              <w:spacing w:line="240" w:lineRule="auto"/>
              <w:ind w:firstLine="0" w:firstLineChars="0"/>
              <w:jc w:val="center"/>
              <w:rPr>
                <w:kern w:val="0"/>
                <w:sz w:val="21"/>
                <w:szCs w:val="21"/>
              </w:rPr>
            </w:pPr>
          </w:p>
        </w:tc>
        <w:tc>
          <w:tcPr>
            <w:tcW w:w="1438" w:type="dxa"/>
            <w:vMerge w:val="continue"/>
            <w:noWrap/>
            <w:vAlign w:val="center"/>
          </w:tcPr>
          <w:p w14:paraId="743C278B">
            <w:pPr>
              <w:widowControl/>
              <w:spacing w:line="240" w:lineRule="auto"/>
              <w:ind w:firstLine="0" w:firstLineChars="0"/>
              <w:jc w:val="center"/>
              <w:rPr>
                <w:kern w:val="0"/>
                <w:sz w:val="21"/>
                <w:szCs w:val="21"/>
              </w:rPr>
            </w:pPr>
          </w:p>
        </w:tc>
        <w:tc>
          <w:tcPr>
            <w:tcW w:w="1151" w:type="dxa"/>
            <w:noWrap/>
            <w:vAlign w:val="center"/>
          </w:tcPr>
          <w:p w14:paraId="326688F9">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KZ-390</w:t>
            </w:r>
          </w:p>
        </w:tc>
        <w:tc>
          <w:tcPr>
            <w:tcW w:w="1171" w:type="dxa"/>
            <w:noWrap/>
            <w:vAlign w:val="center"/>
          </w:tcPr>
          <w:p w14:paraId="0FE6EDA7">
            <w:pPr>
              <w:widowControl/>
              <w:spacing w:line="240" w:lineRule="auto"/>
              <w:ind w:firstLine="0" w:firstLineChars="0"/>
              <w:jc w:val="center"/>
              <w:rPr>
                <w:kern w:val="0"/>
                <w:sz w:val="21"/>
                <w:szCs w:val="21"/>
              </w:rPr>
            </w:pPr>
            <w:r>
              <w:rPr>
                <w:kern w:val="0"/>
                <w:sz w:val="21"/>
                <w:szCs w:val="21"/>
              </w:rPr>
              <w:t>825563</w:t>
            </w:r>
          </w:p>
        </w:tc>
        <w:tc>
          <w:tcPr>
            <w:tcW w:w="1110" w:type="dxa"/>
            <w:vMerge w:val="continue"/>
            <w:vAlign w:val="center"/>
          </w:tcPr>
          <w:p w14:paraId="71AE8233">
            <w:pPr>
              <w:widowControl/>
              <w:spacing w:line="240" w:lineRule="auto"/>
              <w:ind w:firstLine="0" w:firstLineChars="0"/>
              <w:jc w:val="center"/>
              <w:rPr>
                <w:kern w:val="0"/>
                <w:sz w:val="21"/>
                <w:szCs w:val="21"/>
              </w:rPr>
            </w:pPr>
          </w:p>
        </w:tc>
        <w:tc>
          <w:tcPr>
            <w:tcW w:w="2548" w:type="dxa"/>
            <w:vMerge w:val="continue"/>
            <w:vAlign w:val="center"/>
          </w:tcPr>
          <w:p w14:paraId="304E1103">
            <w:pPr>
              <w:widowControl/>
              <w:spacing w:line="240" w:lineRule="auto"/>
              <w:ind w:firstLine="0" w:firstLineChars="0"/>
              <w:jc w:val="center"/>
              <w:rPr>
                <w:kern w:val="0"/>
                <w:sz w:val="21"/>
                <w:szCs w:val="21"/>
              </w:rPr>
            </w:pPr>
          </w:p>
        </w:tc>
        <w:tc>
          <w:tcPr>
            <w:tcW w:w="1109" w:type="dxa"/>
            <w:vMerge w:val="continue"/>
            <w:vAlign w:val="center"/>
          </w:tcPr>
          <w:p w14:paraId="7EEBE78E">
            <w:pPr>
              <w:widowControl/>
              <w:spacing w:line="240" w:lineRule="auto"/>
              <w:ind w:firstLine="0" w:firstLineChars="0"/>
              <w:jc w:val="center"/>
              <w:rPr>
                <w:kern w:val="0"/>
                <w:sz w:val="21"/>
                <w:szCs w:val="21"/>
              </w:rPr>
            </w:pPr>
          </w:p>
        </w:tc>
        <w:tc>
          <w:tcPr>
            <w:tcW w:w="1069" w:type="dxa"/>
            <w:vMerge w:val="continue"/>
            <w:vAlign w:val="center"/>
          </w:tcPr>
          <w:p w14:paraId="1213BA3E">
            <w:pPr>
              <w:widowControl/>
              <w:spacing w:line="240" w:lineRule="auto"/>
              <w:ind w:firstLine="0" w:firstLineChars="0"/>
              <w:jc w:val="center"/>
              <w:rPr>
                <w:kern w:val="0"/>
                <w:sz w:val="21"/>
                <w:szCs w:val="21"/>
              </w:rPr>
            </w:pPr>
          </w:p>
        </w:tc>
        <w:tc>
          <w:tcPr>
            <w:tcW w:w="1109" w:type="dxa"/>
            <w:vMerge w:val="continue"/>
            <w:vAlign w:val="center"/>
          </w:tcPr>
          <w:p w14:paraId="55F3D3C9">
            <w:pPr>
              <w:widowControl/>
              <w:spacing w:line="240" w:lineRule="auto"/>
              <w:ind w:firstLine="0" w:firstLineChars="0"/>
              <w:jc w:val="center"/>
              <w:rPr>
                <w:kern w:val="0"/>
                <w:sz w:val="21"/>
                <w:szCs w:val="21"/>
              </w:rPr>
            </w:pPr>
          </w:p>
        </w:tc>
        <w:tc>
          <w:tcPr>
            <w:tcW w:w="1080" w:type="dxa"/>
            <w:vMerge w:val="continue"/>
            <w:vAlign w:val="center"/>
          </w:tcPr>
          <w:p w14:paraId="1AA6A7B1">
            <w:pPr>
              <w:widowControl/>
              <w:spacing w:line="240" w:lineRule="auto"/>
              <w:ind w:firstLine="0" w:firstLineChars="0"/>
              <w:jc w:val="center"/>
              <w:rPr>
                <w:kern w:val="0"/>
                <w:sz w:val="21"/>
                <w:szCs w:val="21"/>
              </w:rPr>
            </w:pPr>
          </w:p>
        </w:tc>
      </w:tr>
      <w:tr w14:paraId="02BA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61977EBD">
            <w:pPr>
              <w:widowControl/>
              <w:spacing w:line="240" w:lineRule="auto"/>
              <w:ind w:firstLine="0" w:firstLineChars="0"/>
              <w:jc w:val="center"/>
              <w:rPr>
                <w:kern w:val="0"/>
                <w:sz w:val="21"/>
                <w:szCs w:val="21"/>
              </w:rPr>
            </w:pPr>
          </w:p>
        </w:tc>
        <w:tc>
          <w:tcPr>
            <w:tcW w:w="863" w:type="dxa"/>
            <w:vMerge w:val="continue"/>
            <w:vAlign w:val="center"/>
          </w:tcPr>
          <w:p w14:paraId="75145D22">
            <w:pPr>
              <w:widowControl/>
              <w:spacing w:line="240" w:lineRule="auto"/>
              <w:ind w:firstLine="0" w:firstLineChars="0"/>
              <w:jc w:val="center"/>
              <w:rPr>
                <w:kern w:val="0"/>
                <w:sz w:val="21"/>
                <w:szCs w:val="21"/>
              </w:rPr>
            </w:pPr>
          </w:p>
        </w:tc>
        <w:tc>
          <w:tcPr>
            <w:tcW w:w="794" w:type="dxa"/>
            <w:vMerge w:val="continue"/>
            <w:noWrap/>
            <w:vAlign w:val="center"/>
          </w:tcPr>
          <w:p w14:paraId="36EA37D8">
            <w:pPr>
              <w:widowControl/>
              <w:spacing w:line="240" w:lineRule="auto"/>
              <w:ind w:firstLine="0" w:firstLineChars="0"/>
              <w:jc w:val="center"/>
              <w:rPr>
                <w:kern w:val="0"/>
                <w:sz w:val="21"/>
                <w:szCs w:val="21"/>
              </w:rPr>
            </w:pPr>
          </w:p>
        </w:tc>
        <w:tc>
          <w:tcPr>
            <w:tcW w:w="1438" w:type="dxa"/>
            <w:vMerge w:val="restart"/>
            <w:noWrap/>
            <w:vAlign w:val="center"/>
          </w:tcPr>
          <w:p w14:paraId="11DD5EC7">
            <w:pPr>
              <w:widowControl/>
              <w:spacing w:line="240" w:lineRule="auto"/>
              <w:ind w:firstLine="0" w:firstLineChars="0"/>
              <w:jc w:val="center"/>
              <w:rPr>
                <w:kern w:val="0"/>
                <w:sz w:val="21"/>
                <w:szCs w:val="21"/>
              </w:rPr>
            </w:pPr>
            <w:r>
              <w:rPr>
                <w:kern w:val="0"/>
                <w:sz w:val="21"/>
                <w:szCs w:val="21"/>
              </w:rPr>
              <w:t>390~380m</w:t>
            </w:r>
          </w:p>
        </w:tc>
        <w:tc>
          <w:tcPr>
            <w:tcW w:w="1151" w:type="dxa"/>
            <w:noWrap/>
            <w:vAlign w:val="center"/>
          </w:tcPr>
          <w:p w14:paraId="76A93429">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KZ-390</w:t>
            </w:r>
          </w:p>
        </w:tc>
        <w:tc>
          <w:tcPr>
            <w:tcW w:w="1171" w:type="dxa"/>
            <w:noWrap/>
            <w:vAlign w:val="center"/>
          </w:tcPr>
          <w:p w14:paraId="387427B4">
            <w:pPr>
              <w:widowControl/>
              <w:spacing w:line="240" w:lineRule="auto"/>
              <w:ind w:firstLine="0" w:firstLineChars="0"/>
              <w:jc w:val="center"/>
              <w:rPr>
                <w:kern w:val="0"/>
                <w:sz w:val="21"/>
                <w:szCs w:val="21"/>
              </w:rPr>
            </w:pPr>
            <w:r>
              <w:rPr>
                <w:kern w:val="0"/>
                <w:sz w:val="21"/>
                <w:szCs w:val="21"/>
              </w:rPr>
              <w:t>825563</w:t>
            </w:r>
          </w:p>
        </w:tc>
        <w:tc>
          <w:tcPr>
            <w:tcW w:w="1110" w:type="dxa"/>
            <w:vMerge w:val="restart"/>
            <w:noWrap/>
            <w:vAlign w:val="center"/>
          </w:tcPr>
          <w:p w14:paraId="245E04E1">
            <w:pPr>
              <w:widowControl/>
              <w:spacing w:line="240" w:lineRule="auto"/>
              <w:ind w:firstLine="0" w:firstLineChars="0"/>
              <w:jc w:val="center"/>
              <w:rPr>
                <w:kern w:val="0"/>
                <w:sz w:val="21"/>
                <w:szCs w:val="21"/>
              </w:rPr>
            </w:pPr>
            <w:r>
              <w:rPr>
                <w:kern w:val="0"/>
                <w:sz w:val="21"/>
                <w:szCs w:val="21"/>
              </w:rPr>
              <w:t>10</w:t>
            </w:r>
          </w:p>
        </w:tc>
        <w:tc>
          <w:tcPr>
            <w:tcW w:w="2548" w:type="dxa"/>
            <w:vMerge w:val="restart"/>
            <w:noWrap/>
            <w:vAlign w:val="center"/>
          </w:tcPr>
          <w:p w14:paraId="39CBD63B">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noWrap/>
            <w:vAlign w:val="center"/>
          </w:tcPr>
          <w:p w14:paraId="10B46382">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44088212">
            <w:pPr>
              <w:widowControl/>
              <w:spacing w:line="240" w:lineRule="auto"/>
              <w:ind w:firstLine="0" w:firstLineChars="0"/>
              <w:jc w:val="center"/>
              <w:rPr>
                <w:kern w:val="0"/>
                <w:sz w:val="21"/>
                <w:szCs w:val="21"/>
              </w:rPr>
            </w:pPr>
            <w:r>
              <w:rPr>
                <w:kern w:val="0"/>
                <w:sz w:val="21"/>
                <w:szCs w:val="21"/>
              </w:rPr>
              <w:t>862.50</w:t>
            </w:r>
          </w:p>
        </w:tc>
        <w:tc>
          <w:tcPr>
            <w:tcW w:w="1109" w:type="dxa"/>
            <w:vMerge w:val="continue"/>
            <w:noWrap/>
            <w:vAlign w:val="center"/>
          </w:tcPr>
          <w:p w14:paraId="7AFB35A8">
            <w:pPr>
              <w:widowControl/>
              <w:spacing w:line="240" w:lineRule="auto"/>
              <w:ind w:firstLine="0" w:firstLineChars="0"/>
              <w:jc w:val="center"/>
              <w:rPr>
                <w:kern w:val="0"/>
                <w:sz w:val="21"/>
                <w:szCs w:val="21"/>
              </w:rPr>
            </w:pPr>
          </w:p>
        </w:tc>
        <w:tc>
          <w:tcPr>
            <w:tcW w:w="1080" w:type="dxa"/>
            <w:vMerge w:val="continue"/>
            <w:noWrap/>
            <w:vAlign w:val="center"/>
          </w:tcPr>
          <w:p w14:paraId="7B52D3BF">
            <w:pPr>
              <w:widowControl/>
              <w:spacing w:line="240" w:lineRule="auto"/>
              <w:ind w:firstLine="0" w:firstLineChars="0"/>
              <w:jc w:val="center"/>
              <w:rPr>
                <w:kern w:val="0"/>
                <w:sz w:val="21"/>
                <w:szCs w:val="21"/>
              </w:rPr>
            </w:pPr>
          </w:p>
        </w:tc>
      </w:tr>
      <w:tr w14:paraId="06F1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30AC4F26">
            <w:pPr>
              <w:widowControl/>
              <w:spacing w:line="240" w:lineRule="auto"/>
              <w:ind w:firstLine="0" w:firstLineChars="0"/>
              <w:jc w:val="center"/>
              <w:rPr>
                <w:kern w:val="0"/>
                <w:sz w:val="21"/>
                <w:szCs w:val="21"/>
              </w:rPr>
            </w:pPr>
          </w:p>
        </w:tc>
        <w:tc>
          <w:tcPr>
            <w:tcW w:w="863" w:type="dxa"/>
            <w:vMerge w:val="continue"/>
            <w:vAlign w:val="center"/>
          </w:tcPr>
          <w:p w14:paraId="28A7FA7B">
            <w:pPr>
              <w:widowControl/>
              <w:spacing w:line="240" w:lineRule="auto"/>
              <w:ind w:firstLine="0" w:firstLineChars="0"/>
              <w:jc w:val="center"/>
              <w:rPr>
                <w:kern w:val="0"/>
                <w:sz w:val="21"/>
                <w:szCs w:val="21"/>
              </w:rPr>
            </w:pPr>
          </w:p>
        </w:tc>
        <w:tc>
          <w:tcPr>
            <w:tcW w:w="794" w:type="dxa"/>
            <w:vMerge w:val="continue"/>
            <w:noWrap/>
            <w:vAlign w:val="center"/>
          </w:tcPr>
          <w:p w14:paraId="7D887FA0">
            <w:pPr>
              <w:widowControl/>
              <w:spacing w:line="240" w:lineRule="auto"/>
              <w:ind w:firstLine="0" w:firstLineChars="0"/>
              <w:jc w:val="center"/>
              <w:rPr>
                <w:kern w:val="0"/>
                <w:sz w:val="21"/>
                <w:szCs w:val="21"/>
              </w:rPr>
            </w:pPr>
          </w:p>
        </w:tc>
        <w:tc>
          <w:tcPr>
            <w:tcW w:w="1438" w:type="dxa"/>
            <w:vMerge w:val="continue"/>
            <w:noWrap/>
            <w:vAlign w:val="center"/>
          </w:tcPr>
          <w:p w14:paraId="66E50C18">
            <w:pPr>
              <w:widowControl/>
              <w:spacing w:line="240" w:lineRule="auto"/>
              <w:ind w:firstLine="0" w:firstLineChars="0"/>
              <w:jc w:val="center"/>
              <w:rPr>
                <w:kern w:val="0"/>
                <w:sz w:val="21"/>
                <w:szCs w:val="21"/>
              </w:rPr>
            </w:pPr>
          </w:p>
        </w:tc>
        <w:tc>
          <w:tcPr>
            <w:tcW w:w="1151" w:type="dxa"/>
            <w:noWrap/>
            <w:vAlign w:val="center"/>
          </w:tcPr>
          <w:p w14:paraId="714F2CC2">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KZ-380</w:t>
            </w:r>
          </w:p>
        </w:tc>
        <w:tc>
          <w:tcPr>
            <w:tcW w:w="1171" w:type="dxa"/>
            <w:noWrap/>
            <w:vAlign w:val="center"/>
          </w:tcPr>
          <w:p w14:paraId="11B9DD3C">
            <w:pPr>
              <w:widowControl/>
              <w:spacing w:line="240" w:lineRule="auto"/>
              <w:ind w:firstLine="0" w:firstLineChars="0"/>
              <w:jc w:val="center"/>
              <w:rPr>
                <w:kern w:val="0"/>
                <w:sz w:val="21"/>
                <w:szCs w:val="21"/>
              </w:rPr>
            </w:pPr>
            <w:r>
              <w:rPr>
                <w:kern w:val="0"/>
                <w:sz w:val="21"/>
                <w:szCs w:val="21"/>
              </w:rPr>
              <w:t>856736</w:t>
            </w:r>
          </w:p>
        </w:tc>
        <w:tc>
          <w:tcPr>
            <w:tcW w:w="1110" w:type="dxa"/>
            <w:vMerge w:val="continue"/>
            <w:vAlign w:val="center"/>
          </w:tcPr>
          <w:p w14:paraId="66A2ED04">
            <w:pPr>
              <w:widowControl/>
              <w:spacing w:line="240" w:lineRule="auto"/>
              <w:ind w:firstLine="0" w:firstLineChars="0"/>
              <w:jc w:val="center"/>
              <w:rPr>
                <w:kern w:val="0"/>
                <w:sz w:val="21"/>
                <w:szCs w:val="21"/>
              </w:rPr>
            </w:pPr>
          </w:p>
        </w:tc>
        <w:tc>
          <w:tcPr>
            <w:tcW w:w="2548" w:type="dxa"/>
            <w:vMerge w:val="continue"/>
            <w:vAlign w:val="center"/>
          </w:tcPr>
          <w:p w14:paraId="495D43C7">
            <w:pPr>
              <w:widowControl/>
              <w:spacing w:line="240" w:lineRule="auto"/>
              <w:ind w:firstLine="0" w:firstLineChars="0"/>
              <w:jc w:val="center"/>
              <w:rPr>
                <w:kern w:val="0"/>
                <w:sz w:val="21"/>
                <w:szCs w:val="21"/>
              </w:rPr>
            </w:pPr>
          </w:p>
        </w:tc>
        <w:tc>
          <w:tcPr>
            <w:tcW w:w="1109" w:type="dxa"/>
            <w:vMerge w:val="continue"/>
            <w:vAlign w:val="center"/>
          </w:tcPr>
          <w:p w14:paraId="2E16517E">
            <w:pPr>
              <w:widowControl/>
              <w:spacing w:line="240" w:lineRule="auto"/>
              <w:ind w:firstLine="0" w:firstLineChars="0"/>
              <w:jc w:val="center"/>
              <w:rPr>
                <w:kern w:val="0"/>
                <w:sz w:val="21"/>
                <w:szCs w:val="21"/>
              </w:rPr>
            </w:pPr>
          </w:p>
        </w:tc>
        <w:tc>
          <w:tcPr>
            <w:tcW w:w="1069" w:type="dxa"/>
            <w:vMerge w:val="continue"/>
            <w:vAlign w:val="center"/>
          </w:tcPr>
          <w:p w14:paraId="45862C07">
            <w:pPr>
              <w:widowControl/>
              <w:spacing w:line="240" w:lineRule="auto"/>
              <w:ind w:firstLine="0" w:firstLineChars="0"/>
              <w:jc w:val="center"/>
              <w:rPr>
                <w:kern w:val="0"/>
                <w:sz w:val="21"/>
                <w:szCs w:val="21"/>
              </w:rPr>
            </w:pPr>
          </w:p>
        </w:tc>
        <w:tc>
          <w:tcPr>
            <w:tcW w:w="1109" w:type="dxa"/>
            <w:vMerge w:val="continue"/>
            <w:vAlign w:val="center"/>
          </w:tcPr>
          <w:p w14:paraId="01C48D94">
            <w:pPr>
              <w:widowControl/>
              <w:spacing w:line="240" w:lineRule="auto"/>
              <w:ind w:firstLine="0" w:firstLineChars="0"/>
              <w:jc w:val="center"/>
              <w:rPr>
                <w:kern w:val="0"/>
                <w:sz w:val="21"/>
                <w:szCs w:val="21"/>
              </w:rPr>
            </w:pPr>
          </w:p>
        </w:tc>
        <w:tc>
          <w:tcPr>
            <w:tcW w:w="1080" w:type="dxa"/>
            <w:vMerge w:val="continue"/>
            <w:vAlign w:val="center"/>
          </w:tcPr>
          <w:p w14:paraId="13181726">
            <w:pPr>
              <w:widowControl/>
              <w:spacing w:line="240" w:lineRule="auto"/>
              <w:ind w:firstLine="0" w:firstLineChars="0"/>
              <w:jc w:val="center"/>
              <w:rPr>
                <w:kern w:val="0"/>
                <w:sz w:val="21"/>
                <w:szCs w:val="21"/>
              </w:rPr>
            </w:pPr>
          </w:p>
        </w:tc>
      </w:tr>
      <w:tr w14:paraId="0A911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0779CD2D">
            <w:pPr>
              <w:widowControl/>
              <w:spacing w:line="240" w:lineRule="auto"/>
              <w:ind w:firstLine="0" w:firstLineChars="0"/>
              <w:jc w:val="center"/>
              <w:rPr>
                <w:kern w:val="0"/>
                <w:sz w:val="21"/>
                <w:szCs w:val="21"/>
              </w:rPr>
            </w:pPr>
          </w:p>
        </w:tc>
        <w:tc>
          <w:tcPr>
            <w:tcW w:w="863" w:type="dxa"/>
            <w:vMerge w:val="continue"/>
            <w:vAlign w:val="center"/>
          </w:tcPr>
          <w:p w14:paraId="0B1749CF">
            <w:pPr>
              <w:widowControl/>
              <w:spacing w:line="240" w:lineRule="auto"/>
              <w:ind w:firstLine="0" w:firstLineChars="0"/>
              <w:jc w:val="center"/>
              <w:rPr>
                <w:kern w:val="0"/>
                <w:sz w:val="21"/>
                <w:szCs w:val="21"/>
              </w:rPr>
            </w:pPr>
          </w:p>
        </w:tc>
        <w:tc>
          <w:tcPr>
            <w:tcW w:w="794" w:type="dxa"/>
            <w:vMerge w:val="continue"/>
            <w:noWrap/>
            <w:vAlign w:val="center"/>
          </w:tcPr>
          <w:p w14:paraId="5E93C879">
            <w:pPr>
              <w:widowControl/>
              <w:spacing w:line="240" w:lineRule="auto"/>
              <w:ind w:firstLine="0" w:firstLineChars="0"/>
              <w:jc w:val="center"/>
              <w:rPr>
                <w:kern w:val="0"/>
                <w:sz w:val="21"/>
                <w:szCs w:val="21"/>
              </w:rPr>
            </w:pPr>
          </w:p>
        </w:tc>
        <w:tc>
          <w:tcPr>
            <w:tcW w:w="1438" w:type="dxa"/>
            <w:vMerge w:val="restart"/>
            <w:noWrap/>
            <w:vAlign w:val="center"/>
          </w:tcPr>
          <w:p w14:paraId="27363167">
            <w:pPr>
              <w:widowControl/>
              <w:spacing w:line="240" w:lineRule="auto"/>
              <w:ind w:firstLine="0" w:firstLineChars="0"/>
              <w:jc w:val="center"/>
              <w:rPr>
                <w:kern w:val="0"/>
                <w:sz w:val="21"/>
                <w:szCs w:val="21"/>
              </w:rPr>
            </w:pPr>
            <w:r>
              <w:rPr>
                <w:kern w:val="0"/>
                <w:sz w:val="21"/>
                <w:szCs w:val="21"/>
              </w:rPr>
              <w:t>380~372m</w:t>
            </w:r>
          </w:p>
        </w:tc>
        <w:tc>
          <w:tcPr>
            <w:tcW w:w="1151" w:type="dxa"/>
            <w:noWrap/>
            <w:vAlign w:val="center"/>
          </w:tcPr>
          <w:p w14:paraId="7DF7D0A8">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KZ-380</w:t>
            </w:r>
          </w:p>
        </w:tc>
        <w:tc>
          <w:tcPr>
            <w:tcW w:w="1171" w:type="dxa"/>
            <w:noWrap/>
            <w:vAlign w:val="center"/>
          </w:tcPr>
          <w:p w14:paraId="06CBAD98">
            <w:pPr>
              <w:widowControl/>
              <w:spacing w:line="240" w:lineRule="auto"/>
              <w:ind w:firstLine="0" w:firstLineChars="0"/>
              <w:jc w:val="center"/>
              <w:rPr>
                <w:kern w:val="0"/>
                <w:sz w:val="21"/>
                <w:szCs w:val="21"/>
              </w:rPr>
            </w:pPr>
            <w:r>
              <w:rPr>
                <w:kern w:val="0"/>
                <w:sz w:val="21"/>
                <w:szCs w:val="21"/>
              </w:rPr>
              <w:t>856736</w:t>
            </w:r>
          </w:p>
        </w:tc>
        <w:tc>
          <w:tcPr>
            <w:tcW w:w="1110" w:type="dxa"/>
            <w:vMerge w:val="restart"/>
            <w:noWrap/>
            <w:vAlign w:val="center"/>
          </w:tcPr>
          <w:p w14:paraId="7DBB3C90">
            <w:pPr>
              <w:widowControl/>
              <w:spacing w:line="240" w:lineRule="auto"/>
              <w:ind w:firstLine="0" w:firstLineChars="0"/>
              <w:jc w:val="center"/>
              <w:rPr>
                <w:kern w:val="0"/>
                <w:sz w:val="21"/>
                <w:szCs w:val="21"/>
              </w:rPr>
            </w:pPr>
            <w:r>
              <w:rPr>
                <w:kern w:val="0"/>
                <w:sz w:val="21"/>
                <w:szCs w:val="21"/>
              </w:rPr>
              <w:t>8</w:t>
            </w:r>
          </w:p>
        </w:tc>
        <w:tc>
          <w:tcPr>
            <w:tcW w:w="2548" w:type="dxa"/>
            <w:vMerge w:val="restart"/>
            <w:noWrap/>
            <w:vAlign w:val="center"/>
          </w:tcPr>
          <w:p w14:paraId="480EEFD1">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noWrap/>
            <w:vAlign w:val="center"/>
          </w:tcPr>
          <w:p w14:paraId="312817F2">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1D99E895">
            <w:pPr>
              <w:widowControl/>
              <w:spacing w:line="240" w:lineRule="auto"/>
              <w:ind w:firstLine="0" w:firstLineChars="0"/>
              <w:jc w:val="center"/>
              <w:rPr>
                <w:kern w:val="0"/>
                <w:sz w:val="21"/>
                <w:szCs w:val="21"/>
              </w:rPr>
            </w:pPr>
            <w:r>
              <w:rPr>
                <w:kern w:val="0"/>
                <w:sz w:val="21"/>
                <w:szCs w:val="21"/>
              </w:rPr>
              <w:t>716.08</w:t>
            </w:r>
          </w:p>
        </w:tc>
        <w:tc>
          <w:tcPr>
            <w:tcW w:w="1109" w:type="dxa"/>
            <w:vMerge w:val="continue"/>
            <w:noWrap/>
            <w:vAlign w:val="center"/>
          </w:tcPr>
          <w:p w14:paraId="7C3E67BE">
            <w:pPr>
              <w:widowControl/>
              <w:spacing w:line="240" w:lineRule="auto"/>
              <w:ind w:firstLine="0" w:firstLineChars="0"/>
              <w:jc w:val="center"/>
              <w:rPr>
                <w:kern w:val="0"/>
                <w:sz w:val="21"/>
                <w:szCs w:val="21"/>
              </w:rPr>
            </w:pPr>
          </w:p>
        </w:tc>
        <w:tc>
          <w:tcPr>
            <w:tcW w:w="1080" w:type="dxa"/>
            <w:vMerge w:val="continue"/>
            <w:noWrap/>
            <w:vAlign w:val="center"/>
          </w:tcPr>
          <w:p w14:paraId="09BAA931">
            <w:pPr>
              <w:widowControl/>
              <w:spacing w:line="240" w:lineRule="auto"/>
              <w:ind w:firstLine="0" w:firstLineChars="0"/>
              <w:jc w:val="center"/>
              <w:rPr>
                <w:kern w:val="0"/>
                <w:sz w:val="21"/>
                <w:szCs w:val="21"/>
              </w:rPr>
            </w:pPr>
          </w:p>
        </w:tc>
      </w:tr>
      <w:tr w14:paraId="5123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3D905E85">
            <w:pPr>
              <w:widowControl/>
              <w:spacing w:line="240" w:lineRule="auto"/>
              <w:ind w:firstLine="0" w:firstLineChars="0"/>
              <w:jc w:val="center"/>
              <w:rPr>
                <w:kern w:val="0"/>
                <w:sz w:val="21"/>
                <w:szCs w:val="21"/>
              </w:rPr>
            </w:pPr>
          </w:p>
        </w:tc>
        <w:tc>
          <w:tcPr>
            <w:tcW w:w="863" w:type="dxa"/>
            <w:vMerge w:val="continue"/>
            <w:vAlign w:val="center"/>
          </w:tcPr>
          <w:p w14:paraId="0424311D">
            <w:pPr>
              <w:widowControl/>
              <w:spacing w:line="240" w:lineRule="auto"/>
              <w:ind w:firstLine="0" w:firstLineChars="0"/>
              <w:jc w:val="center"/>
              <w:rPr>
                <w:kern w:val="0"/>
                <w:sz w:val="21"/>
                <w:szCs w:val="21"/>
              </w:rPr>
            </w:pPr>
          </w:p>
        </w:tc>
        <w:tc>
          <w:tcPr>
            <w:tcW w:w="794" w:type="dxa"/>
            <w:vMerge w:val="continue"/>
            <w:noWrap/>
            <w:vAlign w:val="center"/>
          </w:tcPr>
          <w:p w14:paraId="5CDBDAFE">
            <w:pPr>
              <w:widowControl/>
              <w:spacing w:line="240" w:lineRule="auto"/>
              <w:ind w:firstLine="0" w:firstLineChars="0"/>
              <w:jc w:val="center"/>
              <w:rPr>
                <w:kern w:val="0"/>
                <w:sz w:val="21"/>
                <w:szCs w:val="21"/>
              </w:rPr>
            </w:pPr>
          </w:p>
        </w:tc>
        <w:tc>
          <w:tcPr>
            <w:tcW w:w="1438" w:type="dxa"/>
            <w:vMerge w:val="continue"/>
            <w:noWrap/>
            <w:vAlign w:val="center"/>
          </w:tcPr>
          <w:p w14:paraId="6BCC1425">
            <w:pPr>
              <w:widowControl/>
              <w:spacing w:line="240" w:lineRule="auto"/>
              <w:ind w:firstLine="0" w:firstLineChars="0"/>
              <w:jc w:val="center"/>
              <w:rPr>
                <w:kern w:val="0"/>
                <w:sz w:val="21"/>
                <w:szCs w:val="21"/>
              </w:rPr>
            </w:pPr>
          </w:p>
        </w:tc>
        <w:tc>
          <w:tcPr>
            <w:tcW w:w="1151" w:type="dxa"/>
            <w:noWrap/>
            <w:vAlign w:val="center"/>
          </w:tcPr>
          <w:p w14:paraId="112585DB">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KZ-372</w:t>
            </w:r>
          </w:p>
        </w:tc>
        <w:tc>
          <w:tcPr>
            <w:tcW w:w="1171" w:type="dxa"/>
            <w:noWrap/>
            <w:vAlign w:val="center"/>
          </w:tcPr>
          <w:p w14:paraId="5D3614F5">
            <w:pPr>
              <w:widowControl/>
              <w:spacing w:line="240" w:lineRule="auto"/>
              <w:ind w:firstLine="0" w:firstLineChars="0"/>
              <w:jc w:val="center"/>
              <w:rPr>
                <w:kern w:val="0"/>
                <w:sz w:val="21"/>
                <w:szCs w:val="21"/>
              </w:rPr>
            </w:pPr>
            <w:r>
              <w:rPr>
                <w:kern w:val="0"/>
                <w:sz w:val="21"/>
                <w:szCs w:val="21"/>
              </w:rPr>
              <w:t>890769</w:t>
            </w:r>
          </w:p>
        </w:tc>
        <w:tc>
          <w:tcPr>
            <w:tcW w:w="1110" w:type="dxa"/>
            <w:vMerge w:val="continue"/>
            <w:vAlign w:val="center"/>
          </w:tcPr>
          <w:p w14:paraId="09357913">
            <w:pPr>
              <w:widowControl/>
              <w:spacing w:line="240" w:lineRule="auto"/>
              <w:ind w:firstLine="0" w:firstLineChars="0"/>
              <w:jc w:val="center"/>
              <w:rPr>
                <w:kern w:val="0"/>
                <w:sz w:val="21"/>
                <w:szCs w:val="21"/>
              </w:rPr>
            </w:pPr>
          </w:p>
        </w:tc>
        <w:tc>
          <w:tcPr>
            <w:tcW w:w="2548" w:type="dxa"/>
            <w:vMerge w:val="continue"/>
            <w:vAlign w:val="center"/>
          </w:tcPr>
          <w:p w14:paraId="76FEFF73">
            <w:pPr>
              <w:widowControl/>
              <w:spacing w:line="240" w:lineRule="auto"/>
              <w:ind w:firstLine="0" w:firstLineChars="0"/>
              <w:jc w:val="center"/>
              <w:rPr>
                <w:kern w:val="0"/>
                <w:sz w:val="21"/>
                <w:szCs w:val="21"/>
              </w:rPr>
            </w:pPr>
          </w:p>
        </w:tc>
        <w:tc>
          <w:tcPr>
            <w:tcW w:w="1109" w:type="dxa"/>
            <w:vMerge w:val="continue"/>
            <w:vAlign w:val="center"/>
          </w:tcPr>
          <w:p w14:paraId="01C4412A">
            <w:pPr>
              <w:widowControl/>
              <w:spacing w:line="240" w:lineRule="auto"/>
              <w:ind w:firstLine="0" w:firstLineChars="0"/>
              <w:jc w:val="center"/>
              <w:rPr>
                <w:kern w:val="0"/>
                <w:sz w:val="21"/>
                <w:szCs w:val="21"/>
              </w:rPr>
            </w:pPr>
          </w:p>
        </w:tc>
        <w:tc>
          <w:tcPr>
            <w:tcW w:w="1069" w:type="dxa"/>
            <w:vMerge w:val="continue"/>
            <w:vAlign w:val="center"/>
          </w:tcPr>
          <w:p w14:paraId="679007E3">
            <w:pPr>
              <w:widowControl/>
              <w:spacing w:line="240" w:lineRule="auto"/>
              <w:ind w:firstLine="0" w:firstLineChars="0"/>
              <w:jc w:val="center"/>
              <w:rPr>
                <w:kern w:val="0"/>
                <w:sz w:val="21"/>
                <w:szCs w:val="21"/>
              </w:rPr>
            </w:pPr>
          </w:p>
        </w:tc>
        <w:tc>
          <w:tcPr>
            <w:tcW w:w="1109" w:type="dxa"/>
            <w:vMerge w:val="continue"/>
            <w:vAlign w:val="center"/>
          </w:tcPr>
          <w:p w14:paraId="0FAFD7F5">
            <w:pPr>
              <w:widowControl/>
              <w:spacing w:line="240" w:lineRule="auto"/>
              <w:ind w:firstLine="0" w:firstLineChars="0"/>
              <w:jc w:val="center"/>
              <w:rPr>
                <w:kern w:val="0"/>
                <w:sz w:val="21"/>
                <w:szCs w:val="21"/>
              </w:rPr>
            </w:pPr>
          </w:p>
        </w:tc>
        <w:tc>
          <w:tcPr>
            <w:tcW w:w="1080" w:type="dxa"/>
            <w:vMerge w:val="continue"/>
            <w:vAlign w:val="center"/>
          </w:tcPr>
          <w:p w14:paraId="1EC9AA6F">
            <w:pPr>
              <w:widowControl/>
              <w:spacing w:line="240" w:lineRule="auto"/>
              <w:ind w:firstLine="0" w:firstLineChars="0"/>
              <w:jc w:val="center"/>
              <w:rPr>
                <w:kern w:val="0"/>
                <w:sz w:val="21"/>
                <w:szCs w:val="21"/>
              </w:rPr>
            </w:pPr>
          </w:p>
        </w:tc>
      </w:tr>
      <w:tr w14:paraId="50D6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restart"/>
            <w:noWrap/>
            <w:vAlign w:val="center"/>
          </w:tcPr>
          <w:p w14:paraId="5E518E3B">
            <w:pPr>
              <w:widowControl/>
              <w:spacing w:line="240" w:lineRule="auto"/>
              <w:ind w:firstLine="0" w:firstLineChars="0"/>
              <w:jc w:val="center"/>
              <w:rPr>
                <w:kern w:val="0"/>
                <w:sz w:val="21"/>
                <w:szCs w:val="21"/>
              </w:rPr>
            </w:pPr>
            <w:r>
              <w:rPr>
                <w:kern w:val="0"/>
                <w:sz w:val="21"/>
                <w:szCs w:val="21"/>
              </w:rPr>
              <w:t>整合区+506.8m~372.0m标高范围内总矿石量</w:t>
            </w:r>
          </w:p>
        </w:tc>
        <w:tc>
          <w:tcPr>
            <w:tcW w:w="863" w:type="dxa"/>
            <w:vMerge w:val="restart"/>
            <w:noWrap/>
            <w:vAlign w:val="center"/>
          </w:tcPr>
          <w:p w14:paraId="6ECDCD75">
            <w:pPr>
              <w:widowControl/>
              <w:spacing w:line="240" w:lineRule="auto"/>
              <w:ind w:firstLine="0" w:firstLineChars="0"/>
              <w:jc w:val="center"/>
              <w:rPr>
                <w:kern w:val="0"/>
                <w:sz w:val="21"/>
                <w:szCs w:val="21"/>
              </w:rPr>
            </w:pPr>
            <w:r>
              <w:rPr>
                <w:kern w:val="0"/>
                <w:sz w:val="21"/>
                <w:szCs w:val="21"/>
              </w:rPr>
              <w:t>推断资源量</w:t>
            </w:r>
          </w:p>
        </w:tc>
        <w:tc>
          <w:tcPr>
            <w:tcW w:w="794" w:type="dxa"/>
            <w:vMerge w:val="restart"/>
            <w:noWrap/>
            <w:vAlign w:val="center"/>
          </w:tcPr>
          <w:p w14:paraId="6E86A065">
            <w:pPr>
              <w:widowControl/>
              <w:spacing w:line="240" w:lineRule="auto"/>
              <w:ind w:firstLine="0" w:firstLineChars="0"/>
              <w:jc w:val="center"/>
              <w:rPr>
                <w:kern w:val="0"/>
                <w:sz w:val="21"/>
                <w:szCs w:val="21"/>
              </w:rPr>
            </w:pPr>
            <w:r>
              <w:rPr>
                <w:kern w:val="0"/>
                <w:sz w:val="21"/>
                <w:szCs w:val="21"/>
              </w:rPr>
              <w:t>TD-1</w:t>
            </w:r>
          </w:p>
        </w:tc>
        <w:tc>
          <w:tcPr>
            <w:tcW w:w="1438" w:type="dxa"/>
            <w:vMerge w:val="restart"/>
            <w:noWrap/>
            <w:vAlign w:val="center"/>
          </w:tcPr>
          <w:p w14:paraId="04A1157D">
            <w:pPr>
              <w:widowControl/>
              <w:spacing w:line="240" w:lineRule="auto"/>
              <w:ind w:firstLine="0" w:firstLineChars="0"/>
              <w:jc w:val="center"/>
              <w:rPr>
                <w:kern w:val="0"/>
                <w:sz w:val="21"/>
                <w:szCs w:val="21"/>
              </w:rPr>
            </w:pPr>
            <w:r>
              <w:rPr>
                <w:kern w:val="0"/>
                <w:sz w:val="21"/>
                <w:szCs w:val="21"/>
              </w:rPr>
              <w:t>506.8~500m</w:t>
            </w:r>
          </w:p>
        </w:tc>
        <w:tc>
          <w:tcPr>
            <w:tcW w:w="1151" w:type="dxa"/>
            <w:noWrap/>
            <w:vAlign w:val="center"/>
          </w:tcPr>
          <w:p w14:paraId="697D3851">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TD-506.8</w:t>
            </w:r>
          </w:p>
        </w:tc>
        <w:tc>
          <w:tcPr>
            <w:tcW w:w="1171" w:type="dxa"/>
            <w:noWrap/>
            <w:vAlign w:val="center"/>
          </w:tcPr>
          <w:p w14:paraId="3BF15789">
            <w:pPr>
              <w:widowControl/>
              <w:spacing w:line="240" w:lineRule="auto"/>
              <w:ind w:firstLine="0" w:firstLineChars="0"/>
              <w:jc w:val="center"/>
              <w:rPr>
                <w:kern w:val="0"/>
                <w:sz w:val="21"/>
                <w:szCs w:val="21"/>
              </w:rPr>
            </w:pPr>
            <w:r>
              <w:rPr>
                <w:kern w:val="0"/>
                <w:sz w:val="21"/>
                <w:szCs w:val="21"/>
              </w:rPr>
              <w:t>0</w:t>
            </w:r>
          </w:p>
        </w:tc>
        <w:tc>
          <w:tcPr>
            <w:tcW w:w="1110" w:type="dxa"/>
            <w:vMerge w:val="restart"/>
            <w:noWrap/>
            <w:vAlign w:val="center"/>
          </w:tcPr>
          <w:p w14:paraId="1592BC72">
            <w:pPr>
              <w:widowControl/>
              <w:spacing w:line="240" w:lineRule="auto"/>
              <w:ind w:firstLine="0" w:firstLineChars="0"/>
              <w:jc w:val="center"/>
              <w:rPr>
                <w:kern w:val="0"/>
                <w:sz w:val="21"/>
                <w:szCs w:val="21"/>
              </w:rPr>
            </w:pPr>
            <w:r>
              <w:rPr>
                <w:kern w:val="0"/>
                <w:sz w:val="21"/>
                <w:szCs w:val="21"/>
              </w:rPr>
              <w:t>6.8</w:t>
            </w:r>
          </w:p>
        </w:tc>
        <w:tc>
          <w:tcPr>
            <w:tcW w:w="2548" w:type="dxa"/>
            <w:vMerge w:val="restart"/>
            <w:noWrap/>
            <w:vAlign w:val="center"/>
          </w:tcPr>
          <w:p w14:paraId="287B1B02">
            <w:pPr>
              <w:widowControl/>
              <w:spacing w:line="240" w:lineRule="auto"/>
              <w:ind w:firstLine="0" w:firstLineChars="0"/>
              <w:jc w:val="center"/>
              <w:rPr>
                <w:kern w:val="0"/>
                <w:sz w:val="21"/>
                <w:szCs w:val="21"/>
              </w:rPr>
            </w:pPr>
            <w:r>
              <w:rPr>
                <w:kern w:val="0"/>
                <w:sz w:val="21"/>
                <w:szCs w:val="21"/>
              </w:rPr>
              <w:t>V=S·L/3</w:t>
            </w:r>
          </w:p>
        </w:tc>
        <w:tc>
          <w:tcPr>
            <w:tcW w:w="1109" w:type="dxa"/>
            <w:vMerge w:val="restart"/>
            <w:noWrap/>
            <w:vAlign w:val="center"/>
          </w:tcPr>
          <w:p w14:paraId="68216ADD">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1109FC58">
            <w:pPr>
              <w:widowControl/>
              <w:spacing w:line="240" w:lineRule="auto"/>
              <w:ind w:firstLine="0" w:firstLineChars="0"/>
              <w:jc w:val="center"/>
              <w:rPr>
                <w:kern w:val="0"/>
                <w:sz w:val="21"/>
                <w:szCs w:val="21"/>
              </w:rPr>
            </w:pPr>
            <w:r>
              <w:rPr>
                <w:kern w:val="0"/>
                <w:sz w:val="21"/>
                <w:szCs w:val="21"/>
              </w:rPr>
              <w:t>0.13</w:t>
            </w:r>
          </w:p>
        </w:tc>
        <w:tc>
          <w:tcPr>
            <w:tcW w:w="1109" w:type="dxa"/>
            <w:vMerge w:val="restart"/>
            <w:noWrap/>
            <w:vAlign w:val="center"/>
          </w:tcPr>
          <w:p w14:paraId="254CBB94">
            <w:pPr>
              <w:widowControl/>
              <w:spacing w:line="240" w:lineRule="auto"/>
              <w:ind w:firstLine="0" w:firstLineChars="0"/>
              <w:jc w:val="center"/>
              <w:rPr>
                <w:kern w:val="0"/>
                <w:sz w:val="21"/>
                <w:szCs w:val="21"/>
              </w:rPr>
            </w:pPr>
            <w:r>
              <w:rPr>
                <w:kern w:val="0"/>
                <w:sz w:val="21"/>
                <w:szCs w:val="21"/>
              </w:rPr>
              <w:t>1798.61</w:t>
            </w:r>
          </w:p>
        </w:tc>
        <w:tc>
          <w:tcPr>
            <w:tcW w:w="1080" w:type="dxa"/>
            <w:vMerge w:val="restart"/>
            <w:noWrap/>
            <w:vAlign w:val="center"/>
          </w:tcPr>
          <w:p w14:paraId="03783A93">
            <w:pPr>
              <w:widowControl/>
              <w:spacing w:line="240" w:lineRule="auto"/>
              <w:ind w:firstLine="0" w:firstLineChars="0"/>
              <w:jc w:val="center"/>
              <w:rPr>
                <w:kern w:val="0"/>
                <w:sz w:val="21"/>
                <w:szCs w:val="21"/>
              </w:rPr>
            </w:pPr>
            <w:r>
              <w:rPr>
                <w:kern w:val="0"/>
                <w:sz w:val="21"/>
                <w:szCs w:val="21"/>
              </w:rPr>
              <w:t>4856.26</w:t>
            </w:r>
          </w:p>
        </w:tc>
      </w:tr>
      <w:tr w14:paraId="08E25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081936C3">
            <w:pPr>
              <w:widowControl/>
              <w:spacing w:line="240" w:lineRule="auto"/>
              <w:ind w:firstLine="0" w:firstLineChars="0"/>
              <w:jc w:val="center"/>
              <w:rPr>
                <w:kern w:val="0"/>
                <w:sz w:val="21"/>
                <w:szCs w:val="21"/>
              </w:rPr>
            </w:pPr>
          </w:p>
        </w:tc>
        <w:tc>
          <w:tcPr>
            <w:tcW w:w="863" w:type="dxa"/>
            <w:vMerge w:val="continue"/>
            <w:vAlign w:val="center"/>
          </w:tcPr>
          <w:p w14:paraId="721B9EF4">
            <w:pPr>
              <w:widowControl/>
              <w:spacing w:line="240" w:lineRule="auto"/>
              <w:ind w:firstLine="0" w:firstLineChars="0"/>
              <w:jc w:val="center"/>
              <w:rPr>
                <w:kern w:val="0"/>
                <w:sz w:val="21"/>
                <w:szCs w:val="21"/>
              </w:rPr>
            </w:pPr>
          </w:p>
        </w:tc>
        <w:tc>
          <w:tcPr>
            <w:tcW w:w="794" w:type="dxa"/>
            <w:vMerge w:val="continue"/>
            <w:noWrap/>
            <w:vAlign w:val="center"/>
          </w:tcPr>
          <w:p w14:paraId="30448304">
            <w:pPr>
              <w:widowControl/>
              <w:spacing w:line="240" w:lineRule="auto"/>
              <w:ind w:firstLine="0" w:firstLineChars="0"/>
              <w:jc w:val="center"/>
              <w:rPr>
                <w:kern w:val="0"/>
                <w:sz w:val="21"/>
                <w:szCs w:val="21"/>
              </w:rPr>
            </w:pPr>
          </w:p>
        </w:tc>
        <w:tc>
          <w:tcPr>
            <w:tcW w:w="1438" w:type="dxa"/>
            <w:vMerge w:val="continue"/>
            <w:noWrap/>
            <w:vAlign w:val="center"/>
          </w:tcPr>
          <w:p w14:paraId="6976EFFC">
            <w:pPr>
              <w:widowControl/>
              <w:spacing w:line="240" w:lineRule="auto"/>
              <w:ind w:firstLine="0" w:firstLineChars="0"/>
              <w:jc w:val="center"/>
              <w:rPr>
                <w:kern w:val="0"/>
                <w:sz w:val="21"/>
                <w:szCs w:val="21"/>
              </w:rPr>
            </w:pPr>
          </w:p>
        </w:tc>
        <w:tc>
          <w:tcPr>
            <w:tcW w:w="1151" w:type="dxa"/>
            <w:noWrap/>
            <w:vAlign w:val="center"/>
          </w:tcPr>
          <w:p w14:paraId="7D7A4FEA">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TD-500-1</w:t>
            </w:r>
          </w:p>
        </w:tc>
        <w:tc>
          <w:tcPr>
            <w:tcW w:w="1171" w:type="dxa"/>
            <w:noWrap/>
            <w:vAlign w:val="center"/>
          </w:tcPr>
          <w:p w14:paraId="4363E879">
            <w:pPr>
              <w:widowControl/>
              <w:spacing w:line="240" w:lineRule="auto"/>
              <w:ind w:firstLine="0" w:firstLineChars="0"/>
              <w:jc w:val="center"/>
              <w:rPr>
                <w:kern w:val="0"/>
                <w:sz w:val="21"/>
                <w:szCs w:val="21"/>
              </w:rPr>
            </w:pPr>
            <w:r>
              <w:rPr>
                <w:kern w:val="0"/>
                <w:sz w:val="21"/>
                <w:szCs w:val="21"/>
              </w:rPr>
              <w:t>589</w:t>
            </w:r>
          </w:p>
        </w:tc>
        <w:tc>
          <w:tcPr>
            <w:tcW w:w="1110" w:type="dxa"/>
            <w:vMerge w:val="continue"/>
            <w:vAlign w:val="center"/>
          </w:tcPr>
          <w:p w14:paraId="1B1FA3AB">
            <w:pPr>
              <w:widowControl/>
              <w:spacing w:line="240" w:lineRule="auto"/>
              <w:ind w:firstLine="0" w:firstLineChars="0"/>
              <w:jc w:val="center"/>
              <w:rPr>
                <w:kern w:val="0"/>
                <w:sz w:val="21"/>
                <w:szCs w:val="21"/>
              </w:rPr>
            </w:pPr>
          </w:p>
        </w:tc>
        <w:tc>
          <w:tcPr>
            <w:tcW w:w="2548" w:type="dxa"/>
            <w:vMerge w:val="continue"/>
            <w:vAlign w:val="center"/>
          </w:tcPr>
          <w:p w14:paraId="7FBF854D">
            <w:pPr>
              <w:widowControl/>
              <w:spacing w:line="240" w:lineRule="auto"/>
              <w:ind w:firstLine="0" w:firstLineChars="0"/>
              <w:jc w:val="center"/>
              <w:rPr>
                <w:kern w:val="0"/>
                <w:sz w:val="21"/>
                <w:szCs w:val="21"/>
              </w:rPr>
            </w:pPr>
          </w:p>
        </w:tc>
        <w:tc>
          <w:tcPr>
            <w:tcW w:w="1109" w:type="dxa"/>
            <w:vMerge w:val="continue"/>
            <w:vAlign w:val="center"/>
          </w:tcPr>
          <w:p w14:paraId="56BE8DA7">
            <w:pPr>
              <w:widowControl/>
              <w:spacing w:line="240" w:lineRule="auto"/>
              <w:ind w:firstLine="0" w:firstLineChars="0"/>
              <w:jc w:val="center"/>
              <w:rPr>
                <w:kern w:val="0"/>
                <w:sz w:val="21"/>
                <w:szCs w:val="21"/>
              </w:rPr>
            </w:pPr>
          </w:p>
        </w:tc>
        <w:tc>
          <w:tcPr>
            <w:tcW w:w="1069" w:type="dxa"/>
            <w:vMerge w:val="continue"/>
            <w:vAlign w:val="center"/>
          </w:tcPr>
          <w:p w14:paraId="4C041B7B">
            <w:pPr>
              <w:widowControl/>
              <w:spacing w:line="240" w:lineRule="auto"/>
              <w:ind w:firstLine="0" w:firstLineChars="0"/>
              <w:jc w:val="center"/>
              <w:rPr>
                <w:kern w:val="0"/>
                <w:sz w:val="21"/>
                <w:szCs w:val="21"/>
              </w:rPr>
            </w:pPr>
          </w:p>
        </w:tc>
        <w:tc>
          <w:tcPr>
            <w:tcW w:w="1109" w:type="dxa"/>
            <w:vMerge w:val="continue"/>
            <w:vAlign w:val="center"/>
          </w:tcPr>
          <w:p w14:paraId="44258FEC">
            <w:pPr>
              <w:widowControl/>
              <w:spacing w:line="240" w:lineRule="auto"/>
              <w:ind w:firstLine="0" w:firstLineChars="0"/>
              <w:jc w:val="center"/>
              <w:rPr>
                <w:kern w:val="0"/>
                <w:sz w:val="21"/>
                <w:szCs w:val="21"/>
              </w:rPr>
            </w:pPr>
          </w:p>
        </w:tc>
        <w:tc>
          <w:tcPr>
            <w:tcW w:w="1080" w:type="dxa"/>
            <w:vMerge w:val="continue"/>
            <w:vAlign w:val="center"/>
          </w:tcPr>
          <w:p w14:paraId="00C7FC77">
            <w:pPr>
              <w:widowControl/>
              <w:spacing w:line="240" w:lineRule="auto"/>
              <w:ind w:firstLine="0" w:firstLineChars="0"/>
              <w:jc w:val="center"/>
              <w:rPr>
                <w:kern w:val="0"/>
                <w:sz w:val="21"/>
                <w:szCs w:val="21"/>
              </w:rPr>
            </w:pPr>
          </w:p>
        </w:tc>
      </w:tr>
      <w:tr w14:paraId="1B93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30966DBF">
            <w:pPr>
              <w:widowControl/>
              <w:spacing w:line="240" w:lineRule="auto"/>
              <w:ind w:firstLine="0" w:firstLineChars="0"/>
              <w:jc w:val="center"/>
              <w:rPr>
                <w:kern w:val="0"/>
                <w:sz w:val="21"/>
                <w:szCs w:val="21"/>
              </w:rPr>
            </w:pPr>
          </w:p>
        </w:tc>
        <w:tc>
          <w:tcPr>
            <w:tcW w:w="863" w:type="dxa"/>
            <w:vMerge w:val="continue"/>
            <w:vAlign w:val="center"/>
          </w:tcPr>
          <w:p w14:paraId="6780FC5D">
            <w:pPr>
              <w:widowControl/>
              <w:spacing w:line="240" w:lineRule="auto"/>
              <w:ind w:firstLine="0" w:firstLineChars="0"/>
              <w:jc w:val="center"/>
              <w:rPr>
                <w:kern w:val="0"/>
                <w:sz w:val="21"/>
                <w:szCs w:val="21"/>
              </w:rPr>
            </w:pPr>
          </w:p>
        </w:tc>
        <w:tc>
          <w:tcPr>
            <w:tcW w:w="794" w:type="dxa"/>
            <w:vMerge w:val="continue"/>
            <w:noWrap/>
            <w:vAlign w:val="center"/>
          </w:tcPr>
          <w:p w14:paraId="395597A6">
            <w:pPr>
              <w:widowControl/>
              <w:spacing w:line="240" w:lineRule="auto"/>
              <w:ind w:firstLine="0" w:firstLineChars="0"/>
              <w:jc w:val="center"/>
              <w:rPr>
                <w:kern w:val="0"/>
                <w:sz w:val="21"/>
                <w:szCs w:val="21"/>
              </w:rPr>
            </w:pPr>
          </w:p>
        </w:tc>
        <w:tc>
          <w:tcPr>
            <w:tcW w:w="1438" w:type="dxa"/>
            <w:vMerge w:val="restart"/>
            <w:noWrap/>
            <w:vAlign w:val="center"/>
          </w:tcPr>
          <w:p w14:paraId="07F2121F">
            <w:pPr>
              <w:widowControl/>
              <w:spacing w:line="240" w:lineRule="auto"/>
              <w:ind w:firstLine="0" w:firstLineChars="0"/>
              <w:jc w:val="center"/>
              <w:rPr>
                <w:kern w:val="0"/>
                <w:sz w:val="21"/>
                <w:szCs w:val="21"/>
              </w:rPr>
            </w:pPr>
            <w:r>
              <w:rPr>
                <w:kern w:val="0"/>
                <w:sz w:val="21"/>
                <w:szCs w:val="21"/>
              </w:rPr>
              <w:t>504~500m</w:t>
            </w:r>
          </w:p>
        </w:tc>
        <w:tc>
          <w:tcPr>
            <w:tcW w:w="1151" w:type="dxa"/>
            <w:noWrap/>
            <w:vAlign w:val="center"/>
          </w:tcPr>
          <w:p w14:paraId="62F70230">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TD-504</w:t>
            </w:r>
          </w:p>
        </w:tc>
        <w:tc>
          <w:tcPr>
            <w:tcW w:w="1171" w:type="dxa"/>
            <w:noWrap/>
            <w:vAlign w:val="center"/>
          </w:tcPr>
          <w:p w14:paraId="4A15A59C">
            <w:pPr>
              <w:widowControl/>
              <w:spacing w:line="240" w:lineRule="auto"/>
              <w:ind w:firstLine="0" w:firstLineChars="0"/>
              <w:jc w:val="center"/>
              <w:rPr>
                <w:kern w:val="0"/>
                <w:sz w:val="21"/>
                <w:szCs w:val="21"/>
              </w:rPr>
            </w:pPr>
            <w:r>
              <w:rPr>
                <w:kern w:val="0"/>
                <w:sz w:val="21"/>
                <w:szCs w:val="21"/>
              </w:rPr>
              <w:t>0</w:t>
            </w:r>
          </w:p>
        </w:tc>
        <w:tc>
          <w:tcPr>
            <w:tcW w:w="1110" w:type="dxa"/>
            <w:vMerge w:val="restart"/>
            <w:noWrap/>
            <w:vAlign w:val="center"/>
          </w:tcPr>
          <w:p w14:paraId="5D38FA65">
            <w:pPr>
              <w:widowControl/>
              <w:spacing w:line="240" w:lineRule="auto"/>
              <w:ind w:firstLine="0" w:firstLineChars="0"/>
              <w:jc w:val="center"/>
              <w:rPr>
                <w:kern w:val="0"/>
                <w:sz w:val="21"/>
                <w:szCs w:val="21"/>
              </w:rPr>
            </w:pPr>
            <w:r>
              <w:rPr>
                <w:kern w:val="0"/>
                <w:sz w:val="21"/>
                <w:szCs w:val="21"/>
              </w:rPr>
              <w:t>4</w:t>
            </w:r>
          </w:p>
        </w:tc>
        <w:tc>
          <w:tcPr>
            <w:tcW w:w="2548" w:type="dxa"/>
            <w:vMerge w:val="restart"/>
            <w:noWrap/>
            <w:vAlign w:val="center"/>
          </w:tcPr>
          <w:p w14:paraId="795321D0">
            <w:pPr>
              <w:widowControl/>
              <w:spacing w:line="240" w:lineRule="auto"/>
              <w:ind w:firstLine="0" w:firstLineChars="0"/>
              <w:jc w:val="center"/>
              <w:rPr>
                <w:kern w:val="0"/>
                <w:sz w:val="21"/>
                <w:szCs w:val="21"/>
              </w:rPr>
            </w:pPr>
            <w:r>
              <w:rPr>
                <w:kern w:val="0"/>
                <w:sz w:val="21"/>
                <w:szCs w:val="21"/>
              </w:rPr>
              <w:t>V=S·L/2</w:t>
            </w:r>
          </w:p>
        </w:tc>
        <w:tc>
          <w:tcPr>
            <w:tcW w:w="1109" w:type="dxa"/>
            <w:vMerge w:val="restart"/>
            <w:noWrap/>
            <w:vAlign w:val="center"/>
          </w:tcPr>
          <w:p w14:paraId="3648A455">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05296178">
            <w:pPr>
              <w:widowControl/>
              <w:spacing w:line="240" w:lineRule="auto"/>
              <w:ind w:firstLine="0" w:firstLineChars="0"/>
              <w:jc w:val="center"/>
              <w:rPr>
                <w:kern w:val="0"/>
                <w:sz w:val="21"/>
                <w:szCs w:val="21"/>
              </w:rPr>
            </w:pPr>
            <w:r>
              <w:rPr>
                <w:kern w:val="0"/>
                <w:sz w:val="21"/>
                <w:szCs w:val="21"/>
              </w:rPr>
              <w:t>0.08</w:t>
            </w:r>
          </w:p>
        </w:tc>
        <w:tc>
          <w:tcPr>
            <w:tcW w:w="1109" w:type="dxa"/>
            <w:vMerge w:val="continue"/>
            <w:noWrap/>
            <w:vAlign w:val="center"/>
          </w:tcPr>
          <w:p w14:paraId="3CBFBF0A">
            <w:pPr>
              <w:widowControl/>
              <w:spacing w:line="240" w:lineRule="auto"/>
              <w:ind w:firstLine="0" w:firstLineChars="0"/>
              <w:jc w:val="center"/>
              <w:rPr>
                <w:kern w:val="0"/>
                <w:sz w:val="21"/>
                <w:szCs w:val="21"/>
              </w:rPr>
            </w:pPr>
          </w:p>
        </w:tc>
        <w:tc>
          <w:tcPr>
            <w:tcW w:w="1080" w:type="dxa"/>
            <w:vMerge w:val="continue"/>
            <w:noWrap/>
            <w:vAlign w:val="center"/>
          </w:tcPr>
          <w:p w14:paraId="6AF86CDA">
            <w:pPr>
              <w:widowControl/>
              <w:spacing w:line="240" w:lineRule="auto"/>
              <w:ind w:firstLine="0" w:firstLineChars="0"/>
              <w:jc w:val="center"/>
              <w:rPr>
                <w:kern w:val="0"/>
                <w:sz w:val="21"/>
                <w:szCs w:val="21"/>
              </w:rPr>
            </w:pPr>
          </w:p>
        </w:tc>
      </w:tr>
      <w:tr w14:paraId="20B9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63275AC8">
            <w:pPr>
              <w:widowControl/>
              <w:spacing w:line="240" w:lineRule="auto"/>
              <w:ind w:firstLine="0" w:firstLineChars="0"/>
              <w:jc w:val="center"/>
              <w:rPr>
                <w:kern w:val="0"/>
                <w:sz w:val="21"/>
                <w:szCs w:val="21"/>
              </w:rPr>
            </w:pPr>
          </w:p>
        </w:tc>
        <w:tc>
          <w:tcPr>
            <w:tcW w:w="863" w:type="dxa"/>
            <w:vMerge w:val="continue"/>
            <w:vAlign w:val="center"/>
          </w:tcPr>
          <w:p w14:paraId="66ED304B">
            <w:pPr>
              <w:widowControl/>
              <w:spacing w:line="240" w:lineRule="auto"/>
              <w:ind w:firstLine="0" w:firstLineChars="0"/>
              <w:jc w:val="center"/>
              <w:rPr>
                <w:kern w:val="0"/>
                <w:sz w:val="21"/>
                <w:szCs w:val="21"/>
              </w:rPr>
            </w:pPr>
          </w:p>
        </w:tc>
        <w:tc>
          <w:tcPr>
            <w:tcW w:w="794" w:type="dxa"/>
            <w:vMerge w:val="continue"/>
            <w:noWrap/>
            <w:vAlign w:val="center"/>
          </w:tcPr>
          <w:p w14:paraId="5805709C">
            <w:pPr>
              <w:widowControl/>
              <w:spacing w:line="240" w:lineRule="auto"/>
              <w:ind w:firstLine="0" w:firstLineChars="0"/>
              <w:jc w:val="center"/>
              <w:rPr>
                <w:kern w:val="0"/>
                <w:sz w:val="21"/>
                <w:szCs w:val="21"/>
              </w:rPr>
            </w:pPr>
          </w:p>
        </w:tc>
        <w:tc>
          <w:tcPr>
            <w:tcW w:w="1438" w:type="dxa"/>
            <w:vMerge w:val="continue"/>
            <w:noWrap/>
            <w:vAlign w:val="center"/>
          </w:tcPr>
          <w:p w14:paraId="69028585">
            <w:pPr>
              <w:widowControl/>
              <w:spacing w:line="240" w:lineRule="auto"/>
              <w:ind w:firstLine="0" w:firstLineChars="0"/>
              <w:jc w:val="center"/>
              <w:rPr>
                <w:kern w:val="0"/>
                <w:sz w:val="21"/>
                <w:szCs w:val="21"/>
              </w:rPr>
            </w:pPr>
          </w:p>
        </w:tc>
        <w:tc>
          <w:tcPr>
            <w:tcW w:w="1151" w:type="dxa"/>
            <w:noWrap/>
            <w:vAlign w:val="center"/>
          </w:tcPr>
          <w:p w14:paraId="347F5D31">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TD-500-2</w:t>
            </w:r>
          </w:p>
        </w:tc>
        <w:tc>
          <w:tcPr>
            <w:tcW w:w="1171" w:type="dxa"/>
            <w:noWrap/>
            <w:vAlign w:val="center"/>
          </w:tcPr>
          <w:p w14:paraId="1464C63B">
            <w:pPr>
              <w:widowControl/>
              <w:spacing w:line="240" w:lineRule="auto"/>
              <w:ind w:firstLine="0" w:firstLineChars="0"/>
              <w:jc w:val="center"/>
              <w:rPr>
                <w:kern w:val="0"/>
                <w:sz w:val="21"/>
                <w:szCs w:val="21"/>
              </w:rPr>
            </w:pPr>
            <w:r>
              <w:rPr>
                <w:kern w:val="0"/>
                <w:sz w:val="21"/>
                <w:szCs w:val="21"/>
              </w:rPr>
              <w:t>376</w:t>
            </w:r>
          </w:p>
        </w:tc>
        <w:tc>
          <w:tcPr>
            <w:tcW w:w="1110" w:type="dxa"/>
            <w:vMerge w:val="continue"/>
            <w:vAlign w:val="center"/>
          </w:tcPr>
          <w:p w14:paraId="712D27C4">
            <w:pPr>
              <w:widowControl/>
              <w:spacing w:line="240" w:lineRule="auto"/>
              <w:ind w:firstLine="0" w:firstLineChars="0"/>
              <w:jc w:val="center"/>
              <w:rPr>
                <w:kern w:val="0"/>
                <w:sz w:val="21"/>
                <w:szCs w:val="21"/>
              </w:rPr>
            </w:pPr>
          </w:p>
        </w:tc>
        <w:tc>
          <w:tcPr>
            <w:tcW w:w="2548" w:type="dxa"/>
            <w:vMerge w:val="continue"/>
            <w:vAlign w:val="center"/>
          </w:tcPr>
          <w:p w14:paraId="34D73C81">
            <w:pPr>
              <w:widowControl/>
              <w:spacing w:line="240" w:lineRule="auto"/>
              <w:ind w:firstLine="0" w:firstLineChars="0"/>
              <w:jc w:val="center"/>
              <w:rPr>
                <w:kern w:val="0"/>
                <w:sz w:val="21"/>
                <w:szCs w:val="21"/>
              </w:rPr>
            </w:pPr>
          </w:p>
        </w:tc>
        <w:tc>
          <w:tcPr>
            <w:tcW w:w="1109" w:type="dxa"/>
            <w:vMerge w:val="continue"/>
            <w:vAlign w:val="center"/>
          </w:tcPr>
          <w:p w14:paraId="12E1B87A">
            <w:pPr>
              <w:widowControl/>
              <w:spacing w:line="240" w:lineRule="auto"/>
              <w:ind w:firstLine="0" w:firstLineChars="0"/>
              <w:jc w:val="center"/>
              <w:rPr>
                <w:kern w:val="0"/>
                <w:sz w:val="21"/>
                <w:szCs w:val="21"/>
              </w:rPr>
            </w:pPr>
          </w:p>
        </w:tc>
        <w:tc>
          <w:tcPr>
            <w:tcW w:w="1069" w:type="dxa"/>
            <w:vMerge w:val="continue"/>
            <w:vAlign w:val="center"/>
          </w:tcPr>
          <w:p w14:paraId="669DAEAC">
            <w:pPr>
              <w:widowControl/>
              <w:spacing w:line="240" w:lineRule="auto"/>
              <w:ind w:firstLine="0" w:firstLineChars="0"/>
              <w:jc w:val="center"/>
              <w:rPr>
                <w:kern w:val="0"/>
                <w:sz w:val="21"/>
                <w:szCs w:val="21"/>
              </w:rPr>
            </w:pPr>
          </w:p>
        </w:tc>
        <w:tc>
          <w:tcPr>
            <w:tcW w:w="1109" w:type="dxa"/>
            <w:vMerge w:val="continue"/>
            <w:vAlign w:val="center"/>
          </w:tcPr>
          <w:p w14:paraId="71E81F98">
            <w:pPr>
              <w:widowControl/>
              <w:spacing w:line="240" w:lineRule="auto"/>
              <w:ind w:firstLine="0" w:firstLineChars="0"/>
              <w:jc w:val="center"/>
              <w:rPr>
                <w:kern w:val="0"/>
                <w:sz w:val="21"/>
                <w:szCs w:val="21"/>
              </w:rPr>
            </w:pPr>
          </w:p>
        </w:tc>
        <w:tc>
          <w:tcPr>
            <w:tcW w:w="1080" w:type="dxa"/>
            <w:vMerge w:val="continue"/>
            <w:vAlign w:val="center"/>
          </w:tcPr>
          <w:p w14:paraId="4220BCB7">
            <w:pPr>
              <w:widowControl/>
              <w:spacing w:line="240" w:lineRule="auto"/>
              <w:ind w:firstLine="0" w:firstLineChars="0"/>
              <w:jc w:val="center"/>
              <w:rPr>
                <w:kern w:val="0"/>
                <w:sz w:val="21"/>
                <w:szCs w:val="21"/>
              </w:rPr>
            </w:pPr>
          </w:p>
        </w:tc>
      </w:tr>
      <w:tr w14:paraId="3F7A0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44AD1073">
            <w:pPr>
              <w:widowControl/>
              <w:spacing w:line="240" w:lineRule="auto"/>
              <w:ind w:firstLine="0" w:firstLineChars="0"/>
              <w:jc w:val="center"/>
              <w:rPr>
                <w:kern w:val="0"/>
                <w:sz w:val="21"/>
                <w:szCs w:val="21"/>
              </w:rPr>
            </w:pPr>
          </w:p>
        </w:tc>
        <w:tc>
          <w:tcPr>
            <w:tcW w:w="863" w:type="dxa"/>
            <w:vMerge w:val="continue"/>
            <w:vAlign w:val="center"/>
          </w:tcPr>
          <w:p w14:paraId="04BE7435">
            <w:pPr>
              <w:widowControl/>
              <w:spacing w:line="240" w:lineRule="auto"/>
              <w:ind w:firstLine="0" w:firstLineChars="0"/>
              <w:jc w:val="center"/>
              <w:rPr>
                <w:kern w:val="0"/>
                <w:sz w:val="21"/>
                <w:szCs w:val="21"/>
              </w:rPr>
            </w:pPr>
          </w:p>
        </w:tc>
        <w:tc>
          <w:tcPr>
            <w:tcW w:w="794" w:type="dxa"/>
            <w:vMerge w:val="continue"/>
            <w:noWrap/>
            <w:vAlign w:val="center"/>
          </w:tcPr>
          <w:p w14:paraId="7B624788">
            <w:pPr>
              <w:widowControl/>
              <w:spacing w:line="240" w:lineRule="auto"/>
              <w:ind w:firstLine="0" w:firstLineChars="0"/>
              <w:jc w:val="center"/>
              <w:rPr>
                <w:kern w:val="0"/>
                <w:sz w:val="21"/>
                <w:szCs w:val="21"/>
              </w:rPr>
            </w:pPr>
          </w:p>
        </w:tc>
        <w:tc>
          <w:tcPr>
            <w:tcW w:w="1438" w:type="dxa"/>
            <w:vMerge w:val="restart"/>
            <w:noWrap/>
            <w:vAlign w:val="center"/>
          </w:tcPr>
          <w:p w14:paraId="2B596CC6">
            <w:pPr>
              <w:widowControl/>
              <w:spacing w:line="240" w:lineRule="auto"/>
              <w:ind w:firstLine="0" w:firstLineChars="0"/>
              <w:jc w:val="center"/>
              <w:rPr>
                <w:kern w:val="0"/>
                <w:sz w:val="21"/>
                <w:szCs w:val="21"/>
              </w:rPr>
            </w:pPr>
            <w:r>
              <w:rPr>
                <w:kern w:val="0"/>
                <w:sz w:val="21"/>
                <w:szCs w:val="21"/>
              </w:rPr>
              <w:t>500~490m</w:t>
            </w:r>
          </w:p>
        </w:tc>
        <w:tc>
          <w:tcPr>
            <w:tcW w:w="1151" w:type="dxa"/>
            <w:noWrap/>
            <w:vAlign w:val="center"/>
          </w:tcPr>
          <w:p w14:paraId="37B77426">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TD-500-1+2</w:t>
            </w:r>
          </w:p>
        </w:tc>
        <w:tc>
          <w:tcPr>
            <w:tcW w:w="1171" w:type="dxa"/>
            <w:noWrap/>
            <w:vAlign w:val="center"/>
          </w:tcPr>
          <w:p w14:paraId="257967AB">
            <w:pPr>
              <w:widowControl/>
              <w:spacing w:line="240" w:lineRule="auto"/>
              <w:ind w:firstLine="0" w:firstLineChars="0"/>
              <w:jc w:val="center"/>
              <w:rPr>
                <w:kern w:val="0"/>
                <w:sz w:val="21"/>
                <w:szCs w:val="21"/>
              </w:rPr>
            </w:pPr>
            <w:r>
              <w:rPr>
                <w:kern w:val="0"/>
                <w:sz w:val="21"/>
                <w:szCs w:val="21"/>
              </w:rPr>
              <w:t>965</w:t>
            </w:r>
          </w:p>
        </w:tc>
        <w:tc>
          <w:tcPr>
            <w:tcW w:w="1110" w:type="dxa"/>
            <w:vMerge w:val="restart"/>
            <w:noWrap/>
            <w:vAlign w:val="center"/>
          </w:tcPr>
          <w:p w14:paraId="0F6BAFED">
            <w:pPr>
              <w:widowControl/>
              <w:tabs>
                <w:tab w:val="left" w:pos="361"/>
                <w:tab w:val="center" w:pos="492"/>
              </w:tabs>
              <w:spacing w:line="240" w:lineRule="auto"/>
              <w:ind w:firstLine="0" w:firstLineChars="0"/>
              <w:jc w:val="center"/>
              <w:rPr>
                <w:kern w:val="0"/>
                <w:sz w:val="21"/>
                <w:szCs w:val="21"/>
              </w:rPr>
            </w:pPr>
            <w:r>
              <w:rPr>
                <w:kern w:val="0"/>
                <w:sz w:val="21"/>
                <w:szCs w:val="21"/>
              </w:rPr>
              <w:t>10</w:t>
            </w:r>
          </w:p>
        </w:tc>
        <w:tc>
          <w:tcPr>
            <w:tcW w:w="2548" w:type="dxa"/>
            <w:vMerge w:val="restart"/>
            <w:noWrap/>
            <w:vAlign w:val="center"/>
          </w:tcPr>
          <w:p w14:paraId="27D66CE0">
            <w:pPr>
              <w:widowControl/>
              <w:spacing w:line="240" w:lineRule="auto"/>
              <w:ind w:firstLine="0" w:firstLineChars="0"/>
              <w:jc w:val="center"/>
              <w:rPr>
                <w:kern w:val="0"/>
                <w:sz w:val="21"/>
                <w:szCs w:val="21"/>
              </w:rPr>
            </w:pPr>
            <w:r>
              <w:rPr>
                <w:sz w:val="21"/>
                <w:szCs w:val="21"/>
              </w:rPr>
              <w:t>V=(S</w:t>
            </w:r>
            <w:r>
              <w:rPr>
                <w:sz w:val="21"/>
                <w:szCs w:val="21"/>
                <w:vertAlign w:val="subscript"/>
              </w:rPr>
              <w:t>1</w:t>
            </w:r>
            <w:r>
              <w:rPr>
                <w:sz w:val="21"/>
                <w:szCs w:val="21"/>
              </w:rPr>
              <w:t>+S</w:t>
            </w:r>
            <w:r>
              <w:rPr>
                <w:sz w:val="21"/>
                <w:szCs w:val="21"/>
                <w:vertAlign w:val="subscript"/>
              </w:rPr>
              <w:t>2</w:t>
            </w:r>
            <w:r>
              <w:rPr>
                <w:sz w:val="21"/>
                <w:szCs w:val="21"/>
              </w:rPr>
              <w:t>+</w:t>
            </w:r>
            <w:r>
              <w:rPr>
                <w:position w:val="-14"/>
                <w:sz w:val="21"/>
                <w:szCs w:val="21"/>
              </w:rPr>
              <w:object>
                <v:shape id="_x0000_i1029" o:spt="75" type="#_x0000_t75" style="height:24.75pt;width:46.5pt;" o:ole="t" filled="f" o:preferrelative="t" stroked="f" coordsize="21600,21600">
                  <v:path/>
                  <v:fill on="f" focussize="0,0"/>
                  <v:stroke on="f" joinstyle="miter"/>
                  <v:imagedata r:id="rId21" o:title=""/>
                  <o:lock v:ext="edit" aspectratio="t"/>
                  <w10:wrap type="none"/>
                  <w10:anchorlock/>
                </v:shape>
                <o:OLEObject Type="Embed" ProgID="Equation.DSMT4" ShapeID="_x0000_i1029" DrawAspect="Content" ObjectID="_1468075729" r:id="rId24">
                  <o:LockedField>false</o:LockedField>
                </o:OLEObject>
              </w:object>
            </w:r>
            <w:r>
              <w:rPr>
                <w:sz w:val="21"/>
                <w:szCs w:val="21"/>
              </w:rPr>
              <w:t>)·L/3</w:t>
            </w:r>
          </w:p>
        </w:tc>
        <w:tc>
          <w:tcPr>
            <w:tcW w:w="1109" w:type="dxa"/>
            <w:vMerge w:val="restart"/>
            <w:noWrap/>
            <w:vAlign w:val="center"/>
          </w:tcPr>
          <w:p w14:paraId="1D4C69D5">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7E7511F6">
            <w:pPr>
              <w:widowControl/>
              <w:spacing w:line="240" w:lineRule="auto"/>
              <w:ind w:firstLine="0" w:firstLineChars="0"/>
              <w:jc w:val="center"/>
              <w:rPr>
                <w:kern w:val="0"/>
                <w:sz w:val="21"/>
                <w:szCs w:val="21"/>
              </w:rPr>
            </w:pPr>
            <w:r>
              <w:rPr>
                <w:kern w:val="0"/>
                <w:sz w:val="21"/>
                <w:szCs w:val="21"/>
              </w:rPr>
              <w:t>3.13</w:t>
            </w:r>
          </w:p>
        </w:tc>
        <w:tc>
          <w:tcPr>
            <w:tcW w:w="1109" w:type="dxa"/>
            <w:vMerge w:val="continue"/>
            <w:noWrap/>
            <w:vAlign w:val="center"/>
          </w:tcPr>
          <w:p w14:paraId="17633E6A">
            <w:pPr>
              <w:widowControl/>
              <w:spacing w:line="240" w:lineRule="auto"/>
              <w:ind w:firstLine="0" w:firstLineChars="0"/>
              <w:jc w:val="center"/>
              <w:rPr>
                <w:kern w:val="0"/>
                <w:sz w:val="21"/>
                <w:szCs w:val="21"/>
              </w:rPr>
            </w:pPr>
          </w:p>
        </w:tc>
        <w:tc>
          <w:tcPr>
            <w:tcW w:w="1080" w:type="dxa"/>
            <w:vMerge w:val="continue"/>
            <w:noWrap/>
            <w:vAlign w:val="center"/>
          </w:tcPr>
          <w:p w14:paraId="44AF0CB5">
            <w:pPr>
              <w:widowControl/>
              <w:spacing w:line="240" w:lineRule="auto"/>
              <w:ind w:firstLine="0" w:firstLineChars="0"/>
              <w:jc w:val="center"/>
              <w:rPr>
                <w:kern w:val="0"/>
                <w:sz w:val="21"/>
                <w:szCs w:val="21"/>
              </w:rPr>
            </w:pPr>
          </w:p>
        </w:tc>
      </w:tr>
      <w:tr w14:paraId="047E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22C01C36">
            <w:pPr>
              <w:widowControl/>
              <w:spacing w:line="240" w:lineRule="auto"/>
              <w:ind w:firstLine="0" w:firstLineChars="0"/>
              <w:jc w:val="center"/>
              <w:rPr>
                <w:kern w:val="0"/>
                <w:sz w:val="21"/>
                <w:szCs w:val="21"/>
              </w:rPr>
            </w:pPr>
          </w:p>
        </w:tc>
        <w:tc>
          <w:tcPr>
            <w:tcW w:w="863" w:type="dxa"/>
            <w:vMerge w:val="continue"/>
            <w:vAlign w:val="center"/>
          </w:tcPr>
          <w:p w14:paraId="38ED6C6D">
            <w:pPr>
              <w:widowControl/>
              <w:spacing w:line="240" w:lineRule="auto"/>
              <w:ind w:firstLine="0" w:firstLineChars="0"/>
              <w:jc w:val="center"/>
              <w:rPr>
                <w:kern w:val="0"/>
                <w:sz w:val="21"/>
                <w:szCs w:val="21"/>
              </w:rPr>
            </w:pPr>
          </w:p>
        </w:tc>
        <w:tc>
          <w:tcPr>
            <w:tcW w:w="794" w:type="dxa"/>
            <w:vMerge w:val="continue"/>
            <w:noWrap/>
            <w:vAlign w:val="center"/>
          </w:tcPr>
          <w:p w14:paraId="1C3B6DD3">
            <w:pPr>
              <w:widowControl/>
              <w:spacing w:line="240" w:lineRule="auto"/>
              <w:ind w:firstLine="0" w:firstLineChars="0"/>
              <w:jc w:val="center"/>
              <w:rPr>
                <w:kern w:val="0"/>
                <w:sz w:val="21"/>
                <w:szCs w:val="21"/>
              </w:rPr>
            </w:pPr>
          </w:p>
        </w:tc>
        <w:tc>
          <w:tcPr>
            <w:tcW w:w="1438" w:type="dxa"/>
            <w:vMerge w:val="continue"/>
            <w:noWrap/>
            <w:vAlign w:val="center"/>
          </w:tcPr>
          <w:p w14:paraId="23A1E75A">
            <w:pPr>
              <w:widowControl/>
              <w:spacing w:line="240" w:lineRule="auto"/>
              <w:ind w:firstLine="0" w:firstLineChars="0"/>
              <w:jc w:val="center"/>
              <w:rPr>
                <w:kern w:val="0"/>
                <w:sz w:val="21"/>
                <w:szCs w:val="21"/>
              </w:rPr>
            </w:pPr>
          </w:p>
        </w:tc>
        <w:tc>
          <w:tcPr>
            <w:tcW w:w="1151" w:type="dxa"/>
            <w:noWrap/>
            <w:vAlign w:val="center"/>
          </w:tcPr>
          <w:p w14:paraId="348DDEE4">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TD-490</w:t>
            </w:r>
          </w:p>
        </w:tc>
        <w:tc>
          <w:tcPr>
            <w:tcW w:w="1171" w:type="dxa"/>
            <w:noWrap/>
            <w:vAlign w:val="center"/>
          </w:tcPr>
          <w:p w14:paraId="4A4E74DB">
            <w:pPr>
              <w:widowControl/>
              <w:spacing w:line="240" w:lineRule="auto"/>
              <w:ind w:firstLine="0" w:firstLineChars="0"/>
              <w:jc w:val="center"/>
              <w:rPr>
                <w:kern w:val="0"/>
                <w:sz w:val="21"/>
                <w:szCs w:val="21"/>
              </w:rPr>
            </w:pPr>
            <w:r>
              <w:rPr>
                <w:kern w:val="0"/>
                <w:sz w:val="21"/>
                <w:szCs w:val="21"/>
              </w:rPr>
              <w:t>6019</w:t>
            </w:r>
          </w:p>
        </w:tc>
        <w:tc>
          <w:tcPr>
            <w:tcW w:w="1110" w:type="dxa"/>
            <w:vMerge w:val="continue"/>
            <w:vAlign w:val="center"/>
          </w:tcPr>
          <w:p w14:paraId="7C272082">
            <w:pPr>
              <w:widowControl/>
              <w:spacing w:line="240" w:lineRule="auto"/>
              <w:ind w:firstLine="0" w:firstLineChars="0"/>
              <w:jc w:val="center"/>
              <w:rPr>
                <w:kern w:val="0"/>
                <w:sz w:val="21"/>
                <w:szCs w:val="21"/>
              </w:rPr>
            </w:pPr>
          </w:p>
        </w:tc>
        <w:tc>
          <w:tcPr>
            <w:tcW w:w="2548" w:type="dxa"/>
            <w:vMerge w:val="continue"/>
            <w:vAlign w:val="center"/>
          </w:tcPr>
          <w:p w14:paraId="0BB930C5">
            <w:pPr>
              <w:widowControl/>
              <w:spacing w:line="240" w:lineRule="auto"/>
              <w:ind w:firstLine="0" w:firstLineChars="0"/>
              <w:jc w:val="center"/>
              <w:rPr>
                <w:kern w:val="0"/>
                <w:sz w:val="21"/>
                <w:szCs w:val="21"/>
              </w:rPr>
            </w:pPr>
          </w:p>
        </w:tc>
        <w:tc>
          <w:tcPr>
            <w:tcW w:w="1109" w:type="dxa"/>
            <w:vMerge w:val="continue"/>
            <w:vAlign w:val="center"/>
          </w:tcPr>
          <w:p w14:paraId="2EEF0A63">
            <w:pPr>
              <w:widowControl/>
              <w:spacing w:line="240" w:lineRule="auto"/>
              <w:ind w:firstLine="0" w:firstLineChars="0"/>
              <w:jc w:val="center"/>
              <w:rPr>
                <w:kern w:val="0"/>
                <w:sz w:val="21"/>
                <w:szCs w:val="21"/>
              </w:rPr>
            </w:pPr>
          </w:p>
        </w:tc>
        <w:tc>
          <w:tcPr>
            <w:tcW w:w="1069" w:type="dxa"/>
            <w:vMerge w:val="continue"/>
            <w:vAlign w:val="center"/>
          </w:tcPr>
          <w:p w14:paraId="4802F390">
            <w:pPr>
              <w:widowControl/>
              <w:spacing w:line="240" w:lineRule="auto"/>
              <w:ind w:firstLine="0" w:firstLineChars="0"/>
              <w:jc w:val="center"/>
              <w:rPr>
                <w:kern w:val="0"/>
                <w:sz w:val="21"/>
                <w:szCs w:val="21"/>
              </w:rPr>
            </w:pPr>
          </w:p>
        </w:tc>
        <w:tc>
          <w:tcPr>
            <w:tcW w:w="1109" w:type="dxa"/>
            <w:vMerge w:val="continue"/>
            <w:vAlign w:val="center"/>
          </w:tcPr>
          <w:p w14:paraId="21BB26FD">
            <w:pPr>
              <w:widowControl/>
              <w:spacing w:line="240" w:lineRule="auto"/>
              <w:ind w:firstLine="0" w:firstLineChars="0"/>
              <w:jc w:val="center"/>
              <w:rPr>
                <w:kern w:val="0"/>
                <w:sz w:val="21"/>
                <w:szCs w:val="21"/>
              </w:rPr>
            </w:pPr>
          </w:p>
        </w:tc>
        <w:tc>
          <w:tcPr>
            <w:tcW w:w="1080" w:type="dxa"/>
            <w:vMerge w:val="continue"/>
            <w:vAlign w:val="center"/>
          </w:tcPr>
          <w:p w14:paraId="6B445079">
            <w:pPr>
              <w:widowControl/>
              <w:spacing w:line="240" w:lineRule="auto"/>
              <w:ind w:firstLine="0" w:firstLineChars="0"/>
              <w:jc w:val="center"/>
              <w:rPr>
                <w:kern w:val="0"/>
                <w:sz w:val="21"/>
                <w:szCs w:val="21"/>
              </w:rPr>
            </w:pPr>
          </w:p>
        </w:tc>
      </w:tr>
      <w:tr w14:paraId="5C87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5017729F">
            <w:pPr>
              <w:widowControl/>
              <w:spacing w:line="240" w:lineRule="auto"/>
              <w:ind w:firstLine="0" w:firstLineChars="0"/>
              <w:jc w:val="center"/>
              <w:rPr>
                <w:kern w:val="0"/>
                <w:sz w:val="21"/>
                <w:szCs w:val="21"/>
              </w:rPr>
            </w:pPr>
          </w:p>
        </w:tc>
        <w:tc>
          <w:tcPr>
            <w:tcW w:w="863" w:type="dxa"/>
            <w:vMerge w:val="continue"/>
            <w:vAlign w:val="center"/>
          </w:tcPr>
          <w:p w14:paraId="04CFE756">
            <w:pPr>
              <w:widowControl/>
              <w:spacing w:line="240" w:lineRule="auto"/>
              <w:ind w:firstLine="0" w:firstLineChars="0"/>
              <w:jc w:val="center"/>
              <w:rPr>
                <w:kern w:val="0"/>
                <w:sz w:val="21"/>
                <w:szCs w:val="21"/>
              </w:rPr>
            </w:pPr>
          </w:p>
        </w:tc>
        <w:tc>
          <w:tcPr>
            <w:tcW w:w="794" w:type="dxa"/>
            <w:vMerge w:val="continue"/>
            <w:noWrap/>
            <w:vAlign w:val="center"/>
          </w:tcPr>
          <w:p w14:paraId="2B085BBF">
            <w:pPr>
              <w:widowControl/>
              <w:spacing w:line="240" w:lineRule="auto"/>
              <w:ind w:firstLine="0" w:firstLineChars="0"/>
              <w:jc w:val="center"/>
              <w:rPr>
                <w:kern w:val="0"/>
                <w:sz w:val="21"/>
                <w:szCs w:val="21"/>
              </w:rPr>
            </w:pPr>
          </w:p>
        </w:tc>
        <w:tc>
          <w:tcPr>
            <w:tcW w:w="1438" w:type="dxa"/>
            <w:vMerge w:val="restart"/>
            <w:noWrap/>
            <w:vAlign w:val="center"/>
          </w:tcPr>
          <w:p w14:paraId="417BB0B3">
            <w:pPr>
              <w:widowControl/>
              <w:spacing w:line="240" w:lineRule="auto"/>
              <w:ind w:firstLine="0" w:firstLineChars="0"/>
              <w:jc w:val="center"/>
              <w:rPr>
                <w:kern w:val="0"/>
                <w:sz w:val="21"/>
                <w:szCs w:val="21"/>
              </w:rPr>
            </w:pPr>
            <w:r>
              <w:rPr>
                <w:kern w:val="0"/>
                <w:sz w:val="21"/>
                <w:szCs w:val="21"/>
              </w:rPr>
              <w:t>490~480m</w:t>
            </w:r>
          </w:p>
        </w:tc>
        <w:tc>
          <w:tcPr>
            <w:tcW w:w="1151" w:type="dxa"/>
            <w:noWrap/>
            <w:vAlign w:val="center"/>
          </w:tcPr>
          <w:p w14:paraId="65C56050">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TD-490</w:t>
            </w:r>
          </w:p>
        </w:tc>
        <w:tc>
          <w:tcPr>
            <w:tcW w:w="1171" w:type="dxa"/>
            <w:noWrap/>
            <w:vAlign w:val="center"/>
          </w:tcPr>
          <w:p w14:paraId="3086AA3C">
            <w:pPr>
              <w:widowControl/>
              <w:spacing w:line="240" w:lineRule="auto"/>
              <w:ind w:firstLine="0" w:firstLineChars="0"/>
              <w:jc w:val="center"/>
              <w:rPr>
                <w:kern w:val="0"/>
                <w:sz w:val="21"/>
                <w:szCs w:val="21"/>
              </w:rPr>
            </w:pPr>
            <w:r>
              <w:rPr>
                <w:kern w:val="0"/>
                <w:sz w:val="21"/>
                <w:szCs w:val="21"/>
              </w:rPr>
              <w:t>6019</w:t>
            </w:r>
          </w:p>
        </w:tc>
        <w:tc>
          <w:tcPr>
            <w:tcW w:w="1110" w:type="dxa"/>
            <w:vMerge w:val="restart"/>
            <w:noWrap/>
            <w:vAlign w:val="center"/>
          </w:tcPr>
          <w:p w14:paraId="0ADD21B8">
            <w:pPr>
              <w:widowControl/>
              <w:spacing w:line="240" w:lineRule="auto"/>
              <w:ind w:firstLine="0" w:firstLineChars="0"/>
              <w:jc w:val="center"/>
              <w:rPr>
                <w:kern w:val="0"/>
                <w:sz w:val="21"/>
                <w:szCs w:val="21"/>
              </w:rPr>
            </w:pPr>
            <w:r>
              <w:rPr>
                <w:kern w:val="0"/>
                <w:sz w:val="21"/>
                <w:szCs w:val="21"/>
              </w:rPr>
              <w:t>10</w:t>
            </w:r>
          </w:p>
        </w:tc>
        <w:tc>
          <w:tcPr>
            <w:tcW w:w="2548" w:type="dxa"/>
            <w:vMerge w:val="restart"/>
            <w:noWrap/>
            <w:vAlign w:val="center"/>
          </w:tcPr>
          <w:p w14:paraId="76772065">
            <w:pPr>
              <w:widowControl/>
              <w:spacing w:line="240" w:lineRule="auto"/>
              <w:ind w:firstLine="0" w:firstLineChars="0"/>
              <w:jc w:val="center"/>
              <w:rPr>
                <w:kern w:val="0"/>
                <w:sz w:val="21"/>
                <w:szCs w:val="21"/>
              </w:rPr>
            </w:pPr>
            <w:r>
              <w:rPr>
                <w:sz w:val="21"/>
                <w:szCs w:val="21"/>
              </w:rPr>
              <w:t>V=(S</w:t>
            </w:r>
            <w:r>
              <w:rPr>
                <w:sz w:val="21"/>
                <w:szCs w:val="21"/>
                <w:vertAlign w:val="subscript"/>
              </w:rPr>
              <w:t>1</w:t>
            </w:r>
            <w:r>
              <w:rPr>
                <w:sz w:val="21"/>
                <w:szCs w:val="21"/>
              </w:rPr>
              <w:t>+S</w:t>
            </w:r>
            <w:r>
              <w:rPr>
                <w:sz w:val="21"/>
                <w:szCs w:val="21"/>
                <w:vertAlign w:val="subscript"/>
              </w:rPr>
              <w:t>2</w:t>
            </w:r>
            <w:r>
              <w:rPr>
                <w:sz w:val="21"/>
                <w:szCs w:val="21"/>
              </w:rPr>
              <w:t>+</w:t>
            </w:r>
            <w:r>
              <w:rPr>
                <w:position w:val="-14"/>
                <w:sz w:val="21"/>
                <w:szCs w:val="21"/>
              </w:rPr>
              <w:object>
                <v:shape id="_x0000_i1030" o:spt="75" type="#_x0000_t75" style="height:24.75pt;width:46.5pt;" o:ole="t" filled="f" o:preferrelative="t" stroked="f" coordsize="21600,21600">
                  <v:path/>
                  <v:fill on="f" focussize="0,0"/>
                  <v:stroke on="f" joinstyle="miter"/>
                  <v:imagedata r:id="rId21" o:title=""/>
                  <o:lock v:ext="edit" aspectratio="t"/>
                  <w10:wrap type="none"/>
                  <w10:anchorlock/>
                </v:shape>
                <o:OLEObject Type="Embed" ProgID="Equation.DSMT4" ShapeID="_x0000_i1030" DrawAspect="Content" ObjectID="_1468075730" r:id="rId25">
                  <o:LockedField>false</o:LockedField>
                </o:OLEObject>
              </w:object>
            </w:r>
            <w:r>
              <w:rPr>
                <w:sz w:val="21"/>
                <w:szCs w:val="21"/>
              </w:rPr>
              <w:t>)·L/3</w:t>
            </w:r>
          </w:p>
        </w:tc>
        <w:tc>
          <w:tcPr>
            <w:tcW w:w="1109" w:type="dxa"/>
            <w:vMerge w:val="restart"/>
            <w:noWrap/>
            <w:vAlign w:val="center"/>
          </w:tcPr>
          <w:p w14:paraId="67C5B001">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1B8085FD">
            <w:pPr>
              <w:widowControl/>
              <w:spacing w:line="240" w:lineRule="auto"/>
              <w:ind w:firstLine="0" w:firstLineChars="0"/>
              <w:jc w:val="center"/>
              <w:rPr>
                <w:kern w:val="0"/>
                <w:sz w:val="21"/>
                <w:szCs w:val="21"/>
              </w:rPr>
            </w:pPr>
            <w:r>
              <w:rPr>
                <w:kern w:val="0"/>
                <w:sz w:val="21"/>
                <w:szCs w:val="21"/>
              </w:rPr>
              <w:t>7.89</w:t>
            </w:r>
          </w:p>
        </w:tc>
        <w:tc>
          <w:tcPr>
            <w:tcW w:w="1109" w:type="dxa"/>
            <w:vMerge w:val="continue"/>
            <w:noWrap/>
            <w:vAlign w:val="center"/>
          </w:tcPr>
          <w:p w14:paraId="1A4BE282">
            <w:pPr>
              <w:widowControl/>
              <w:spacing w:line="240" w:lineRule="auto"/>
              <w:ind w:firstLine="0" w:firstLineChars="0"/>
              <w:jc w:val="center"/>
              <w:rPr>
                <w:kern w:val="0"/>
                <w:sz w:val="21"/>
                <w:szCs w:val="21"/>
              </w:rPr>
            </w:pPr>
          </w:p>
        </w:tc>
        <w:tc>
          <w:tcPr>
            <w:tcW w:w="1080" w:type="dxa"/>
            <w:vMerge w:val="continue"/>
            <w:noWrap/>
            <w:vAlign w:val="center"/>
          </w:tcPr>
          <w:p w14:paraId="00DCE75C">
            <w:pPr>
              <w:widowControl/>
              <w:spacing w:line="240" w:lineRule="auto"/>
              <w:ind w:firstLine="0" w:firstLineChars="0"/>
              <w:jc w:val="center"/>
              <w:rPr>
                <w:kern w:val="0"/>
                <w:sz w:val="21"/>
                <w:szCs w:val="21"/>
              </w:rPr>
            </w:pPr>
          </w:p>
        </w:tc>
      </w:tr>
      <w:tr w14:paraId="47BB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79E52856">
            <w:pPr>
              <w:widowControl/>
              <w:spacing w:line="240" w:lineRule="auto"/>
              <w:ind w:firstLine="0" w:firstLineChars="0"/>
              <w:jc w:val="center"/>
              <w:rPr>
                <w:kern w:val="0"/>
                <w:sz w:val="21"/>
                <w:szCs w:val="21"/>
              </w:rPr>
            </w:pPr>
          </w:p>
        </w:tc>
        <w:tc>
          <w:tcPr>
            <w:tcW w:w="863" w:type="dxa"/>
            <w:vMerge w:val="continue"/>
            <w:vAlign w:val="center"/>
          </w:tcPr>
          <w:p w14:paraId="5F8AA77A">
            <w:pPr>
              <w:widowControl/>
              <w:spacing w:line="240" w:lineRule="auto"/>
              <w:ind w:firstLine="0" w:firstLineChars="0"/>
              <w:jc w:val="center"/>
              <w:rPr>
                <w:kern w:val="0"/>
                <w:sz w:val="21"/>
                <w:szCs w:val="21"/>
              </w:rPr>
            </w:pPr>
          </w:p>
        </w:tc>
        <w:tc>
          <w:tcPr>
            <w:tcW w:w="794" w:type="dxa"/>
            <w:vMerge w:val="continue"/>
            <w:noWrap/>
            <w:vAlign w:val="center"/>
          </w:tcPr>
          <w:p w14:paraId="106FC231">
            <w:pPr>
              <w:widowControl/>
              <w:spacing w:line="240" w:lineRule="auto"/>
              <w:ind w:firstLine="0" w:firstLineChars="0"/>
              <w:jc w:val="center"/>
              <w:rPr>
                <w:kern w:val="0"/>
                <w:sz w:val="21"/>
                <w:szCs w:val="21"/>
              </w:rPr>
            </w:pPr>
          </w:p>
        </w:tc>
        <w:tc>
          <w:tcPr>
            <w:tcW w:w="1438" w:type="dxa"/>
            <w:vMerge w:val="continue"/>
            <w:noWrap/>
            <w:vAlign w:val="center"/>
          </w:tcPr>
          <w:p w14:paraId="34F71885">
            <w:pPr>
              <w:widowControl/>
              <w:spacing w:line="240" w:lineRule="auto"/>
              <w:ind w:firstLine="0" w:firstLineChars="0"/>
              <w:jc w:val="center"/>
              <w:rPr>
                <w:kern w:val="0"/>
                <w:sz w:val="21"/>
                <w:szCs w:val="21"/>
              </w:rPr>
            </w:pPr>
          </w:p>
        </w:tc>
        <w:tc>
          <w:tcPr>
            <w:tcW w:w="1151" w:type="dxa"/>
            <w:noWrap/>
            <w:vAlign w:val="center"/>
          </w:tcPr>
          <w:p w14:paraId="13222DC8">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TD-480</w:t>
            </w:r>
          </w:p>
        </w:tc>
        <w:tc>
          <w:tcPr>
            <w:tcW w:w="1171" w:type="dxa"/>
            <w:noWrap/>
            <w:vAlign w:val="center"/>
          </w:tcPr>
          <w:p w14:paraId="4DBE3DDD">
            <w:pPr>
              <w:widowControl/>
              <w:spacing w:line="240" w:lineRule="auto"/>
              <w:ind w:firstLine="0" w:firstLineChars="0"/>
              <w:jc w:val="center"/>
              <w:rPr>
                <w:kern w:val="0"/>
                <w:sz w:val="21"/>
                <w:szCs w:val="21"/>
              </w:rPr>
            </w:pPr>
            <w:r>
              <w:rPr>
                <w:kern w:val="0"/>
                <w:sz w:val="21"/>
                <w:szCs w:val="21"/>
              </w:rPr>
              <w:t>9755</w:t>
            </w:r>
          </w:p>
        </w:tc>
        <w:tc>
          <w:tcPr>
            <w:tcW w:w="1110" w:type="dxa"/>
            <w:vMerge w:val="continue"/>
            <w:vAlign w:val="center"/>
          </w:tcPr>
          <w:p w14:paraId="308C7213">
            <w:pPr>
              <w:widowControl/>
              <w:spacing w:line="240" w:lineRule="auto"/>
              <w:ind w:firstLine="0" w:firstLineChars="0"/>
              <w:jc w:val="center"/>
              <w:rPr>
                <w:kern w:val="0"/>
                <w:sz w:val="21"/>
                <w:szCs w:val="21"/>
              </w:rPr>
            </w:pPr>
          </w:p>
        </w:tc>
        <w:tc>
          <w:tcPr>
            <w:tcW w:w="2548" w:type="dxa"/>
            <w:vMerge w:val="continue"/>
            <w:vAlign w:val="center"/>
          </w:tcPr>
          <w:p w14:paraId="18B03F5C">
            <w:pPr>
              <w:widowControl/>
              <w:spacing w:line="240" w:lineRule="auto"/>
              <w:ind w:firstLine="0" w:firstLineChars="0"/>
              <w:jc w:val="center"/>
              <w:rPr>
                <w:kern w:val="0"/>
                <w:sz w:val="21"/>
                <w:szCs w:val="21"/>
              </w:rPr>
            </w:pPr>
          </w:p>
        </w:tc>
        <w:tc>
          <w:tcPr>
            <w:tcW w:w="1109" w:type="dxa"/>
            <w:vMerge w:val="continue"/>
            <w:vAlign w:val="center"/>
          </w:tcPr>
          <w:p w14:paraId="709BAA6C">
            <w:pPr>
              <w:widowControl/>
              <w:spacing w:line="240" w:lineRule="auto"/>
              <w:ind w:firstLine="0" w:firstLineChars="0"/>
              <w:jc w:val="center"/>
              <w:rPr>
                <w:kern w:val="0"/>
                <w:sz w:val="21"/>
                <w:szCs w:val="21"/>
              </w:rPr>
            </w:pPr>
          </w:p>
        </w:tc>
        <w:tc>
          <w:tcPr>
            <w:tcW w:w="1069" w:type="dxa"/>
            <w:vMerge w:val="continue"/>
            <w:vAlign w:val="center"/>
          </w:tcPr>
          <w:p w14:paraId="53D4347A">
            <w:pPr>
              <w:widowControl/>
              <w:spacing w:line="240" w:lineRule="auto"/>
              <w:ind w:firstLine="0" w:firstLineChars="0"/>
              <w:jc w:val="center"/>
              <w:rPr>
                <w:kern w:val="0"/>
                <w:sz w:val="21"/>
                <w:szCs w:val="21"/>
              </w:rPr>
            </w:pPr>
          </w:p>
        </w:tc>
        <w:tc>
          <w:tcPr>
            <w:tcW w:w="1109" w:type="dxa"/>
            <w:vMerge w:val="continue"/>
            <w:vAlign w:val="center"/>
          </w:tcPr>
          <w:p w14:paraId="6E14A3BB">
            <w:pPr>
              <w:widowControl/>
              <w:spacing w:line="240" w:lineRule="auto"/>
              <w:ind w:firstLine="0" w:firstLineChars="0"/>
              <w:jc w:val="center"/>
              <w:rPr>
                <w:kern w:val="0"/>
                <w:sz w:val="21"/>
                <w:szCs w:val="21"/>
              </w:rPr>
            </w:pPr>
          </w:p>
        </w:tc>
        <w:tc>
          <w:tcPr>
            <w:tcW w:w="1080" w:type="dxa"/>
            <w:vMerge w:val="continue"/>
            <w:vAlign w:val="center"/>
          </w:tcPr>
          <w:p w14:paraId="0763FE70">
            <w:pPr>
              <w:widowControl/>
              <w:spacing w:line="240" w:lineRule="auto"/>
              <w:ind w:firstLine="0" w:firstLineChars="0"/>
              <w:jc w:val="center"/>
              <w:rPr>
                <w:kern w:val="0"/>
                <w:sz w:val="21"/>
                <w:szCs w:val="21"/>
              </w:rPr>
            </w:pPr>
          </w:p>
        </w:tc>
      </w:tr>
      <w:tr w14:paraId="5B3F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376A0759">
            <w:pPr>
              <w:widowControl/>
              <w:spacing w:line="240" w:lineRule="auto"/>
              <w:ind w:firstLine="0" w:firstLineChars="0"/>
              <w:jc w:val="center"/>
              <w:rPr>
                <w:kern w:val="0"/>
                <w:sz w:val="21"/>
                <w:szCs w:val="21"/>
              </w:rPr>
            </w:pPr>
          </w:p>
        </w:tc>
        <w:tc>
          <w:tcPr>
            <w:tcW w:w="863" w:type="dxa"/>
            <w:vMerge w:val="continue"/>
            <w:vAlign w:val="center"/>
          </w:tcPr>
          <w:p w14:paraId="72B119F0">
            <w:pPr>
              <w:widowControl/>
              <w:spacing w:line="240" w:lineRule="auto"/>
              <w:ind w:firstLine="0" w:firstLineChars="0"/>
              <w:jc w:val="center"/>
              <w:rPr>
                <w:kern w:val="0"/>
                <w:sz w:val="21"/>
                <w:szCs w:val="21"/>
              </w:rPr>
            </w:pPr>
          </w:p>
        </w:tc>
        <w:tc>
          <w:tcPr>
            <w:tcW w:w="794" w:type="dxa"/>
            <w:vMerge w:val="continue"/>
            <w:noWrap/>
            <w:vAlign w:val="center"/>
          </w:tcPr>
          <w:p w14:paraId="47000334">
            <w:pPr>
              <w:widowControl/>
              <w:spacing w:line="240" w:lineRule="auto"/>
              <w:ind w:firstLine="0" w:firstLineChars="0"/>
              <w:jc w:val="center"/>
              <w:rPr>
                <w:kern w:val="0"/>
                <w:sz w:val="21"/>
                <w:szCs w:val="21"/>
              </w:rPr>
            </w:pPr>
          </w:p>
        </w:tc>
        <w:tc>
          <w:tcPr>
            <w:tcW w:w="1438" w:type="dxa"/>
            <w:vMerge w:val="restart"/>
            <w:noWrap/>
            <w:vAlign w:val="center"/>
          </w:tcPr>
          <w:p w14:paraId="20BF1980">
            <w:pPr>
              <w:widowControl/>
              <w:spacing w:line="240" w:lineRule="auto"/>
              <w:ind w:firstLine="0" w:firstLineChars="0"/>
              <w:jc w:val="center"/>
              <w:rPr>
                <w:kern w:val="0"/>
                <w:sz w:val="21"/>
                <w:szCs w:val="21"/>
              </w:rPr>
            </w:pPr>
            <w:r>
              <w:rPr>
                <w:kern w:val="0"/>
                <w:sz w:val="21"/>
                <w:szCs w:val="21"/>
              </w:rPr>
              <w:t>480~470m</w:t>
            </w:r>
          </w:p>
        </w:tc>
        <w:tc>
          <w:tcPr>
            <w:tcW w:w="1151" w:type="dxa"/>
            <w:noWrap/>
            <w:vAlign w:val="center"/>
          </w:tcPr>
          <w:p w14:paraId="50A17BB1">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TD-480</w:t>
            </w:r>
          </w:p>
        </w:tc>
        <w:tc>
          <w:tcPr>
            <w:tcW w:w="1171" w:type="dxa"/>
            <w:noWrap/>
            <w:vAlign w:val="center"/>
          </w:tcPr>
          <w:p w14:paraId="76597420">
            <w:pPr>
              <w:widowControl/>
              <w:spacing w:line="240" w:lineRule="auto"/>
              <w:ind w:firstLine="0" w:firstLineChars="0"/>
              <w:jc w:val="center"/>
              <w:rPr>
                <w:kern w:val="0"/>
                <w:sz w:val="21"/>
                <w:szCs w:val="21"/>
              </w:rPr>
            </w:pPr>
            <w:r>
              <w:rPr>
                <w:kern w:val="0"/>
                <w:sz w:val="21"/>
                <w:szCs w:val="21"/>
              </w:rPr>
              <w:t>9755</w:t>
            </w:r>
          </w:p>
        </w:tc>
        <w:tc>
          <w:tcPr>
            <w:tcW w:w="1110" w:type="dxa"/>
            <w:vMerge w:val="restart"/>
            <w:noWrap/>
            <w:vAlign w:val="center"/>
          </w:tcPr>
          <w:p w14:paraId="36C71A9E">
            <w:pPr>
              <w:widowControl/>
              <w:spacing w:line="240" w:lineRule="auto"/>
              <w:ind w:firstLine="0" w:firstLineChars="0"/>
              <w:jc w:val="center"/>
              <w:rPr>
                <w:kern w:val="0"/>
                <w:sz w:val="21"/>
                <w:szCs w:val="21"/>
              </w:rPr>
            </w:pPr>
            <w:r>
              <w:rPr>
                <w:kern w:val="0"/>
                <w:sz w:val="21"/>
                <w:szCs w:val="21"/>
              </w:rPr>
              <w:t>10</w:t>
            </w:r>
          </w:p>
        </w:tc>
        <w:tc>
          <w:tcPr>
            <w:tcW w:w="2548" w:type="dxa"/>
            <w:vMerge w:val="restart"/>
            <w:noWrap/>
            <w:vAlign w:val="center"/>
          </w:tcPr>
          <w:p w14:paraId="3C380A8D">
            <w:pPr>
              <w:widowControl/>
              <w:spacing w:line="240" w:lineRule="auto"/>
              <w:ind w:firstLine="0" w:firstLineChars="0"/>
              <w:jc w:val="center"/>
              <w:rPr>
                <w:kern w:val="0"/>
                <w:sz w:val="21"/>
                <w:szCs w:val="21"/>
              </w:rPr>
            </w:pPr>
            <w:r>
              <w:rPr>
                <w:sz w:val="21"/>
                <w:szCs w:val="21"/>
              </w:rPr>
              <w:t>V=(S</w:t>
            </w:r>
            <w:r>
              <w:rPr>
                <w:sz w:val="21"/>
                <w:szCs w:val="21"/>
                <w:vertAlign w:val="subscript"/>
              </w:rPr>
              <w:t>1</w:t>
            </w:r>
            <w:r>
              <w:rPr>
                <w:sz w:val="21"/>
                <w:szCs w:val="21"/>
              </w:rPr>
              <w:t>+S</w:t>
            </w:r>
            <w:r>
              <w:rPr>
                <w:sz w:val="21"/>
                <w:szCs w:val="21"/>
                <w:vertAlign w:val="subscript"/>
              </w:rPr>
              <w:t>2</w:t>
            </w:r>
            <w:r>
              <w:rPr>
                <w:sz w:val="21"/>
                <w:szCs w:val="21"/>
              </w:rPr>
              <w:t>+</w:t>
            </w:r>
            <w:r>
              <w:rPr>
                <w:position w:val="-14"/>
                <w:sz w:val="21"/>
                <w:szCs w:val="21"/>
              </w:rPr>
              <w:object>
                <v:shape id="_x0000_i1031" o:spt="75" type="#_x0000_t75" style="height:24.75pt;width:46.5pt;" o:ole="t" filled="f" o:preferrelative="t" stroked="f" coordsize="21600,21600">
                  <v:path/>
                  <v:fill on="f" focussize="0,0"/>
                  <v:stroke on="f" joinstyle="miter"/>
                  <v:imagedata r:id="rId21" o:title=""/>
                  <o:lock v:ext="edit" aspectratio="t"/>
                  <w10:wrap type="none"/>
                  <w10:anchorlock/>
                </v:shape>
                <o:OLEObject Type="Embed" ProgID="Equation.DSMT4" ShapeID="_x0000_i1031" DrawAspect="Content" ObjectID="_1468075731" r:id="rId26">
                  <o:LockedField>false</o:LockedField>
                </o:OLEObject>
              </w:object>
            </w:r>
            <w:r>
              <w:rPr>
                <w:sz w:val="21"/>
                <w:szCs w:val="21"/>
              </w:rPr>
              <w:t>)·L/3</w:t>
            </w:r>
          </w:p>
        </w:tc>
        <w:tc>
          <w:tcPr>
            <w:tcW w:w="1109" w:type="dxa"/>
            <w:vMerge w:val="restart"/>
            <w:noWrap/>
            <w:vAlign w:val="center"/>
          </w:tcPr>
          <w:p w14:paraId="53DD4111">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0BBEE9C9">
            <w:pPr>
              <w:widowControl/>
              <w:spacing w:line="240" w:lineRule="auto"/>
              <w:ind w:firstLine="0" w:firstLineChars="0"/>
              <w:jc w:val="center"/>
              <w:rPr>
                <w:kern w:val="0"/>
                <w:sz w:val="21"/>
                <w:szCs w:val="21"/>
              </w:rPr>
            </w:pPr>
            <w:r>
              <w:rPr>
                <w:kern w:val="0"/>
                <w:sz w:val="21"/>
                <w:szCs w:val="21"/>
              </w:rPr>
              <w:t>22.20</w:t>
            </w:r>
          </w:p>
        </w:tc>
        <w:tc>
          <w:tcPr>
            <w:tcW w:w="1109" w:type="dxa"/>
            <w:vMerge w:val="continue"/>
            <w:noWrap/>
            <w:vAlign w:val="center"/>
          </w:tcPr>
          <w:p w14:paraId="2B0C9CE4">
            <w:pPr>
              <w:widowControl/>
              <w:spacing w:line="240" w:lineRule="auto"/>
              <w:ind w:firstLine="0" w:firstLineChars="0"/>
              <w:jc w:val="center"/>
              <w:rPr>
                <w:kern w:val="0"/>
                <w:sz w:val="21"/>
                <w:szCs w:val="21"/>
              </w:rPr>
            </w:pPr>
          </w:p>
        </w:tc>
        <w:tc>
          <w:tcPr>
            <w:tcW w:w="1080" w:type="dxa"/>
            <w:vMerge w:val="continue"/>
            <w:noWrap/>
            <w:vAlign w:val="center"/>
          </w:tcPr>
          <w:p w14:paraId="1BCF1D75">
            <w:pPr>
              <w:widowControl/>
              <w:spacing w:line="240" w:lineRule="auto"/>
              <w:ind w:firstLine="0" w:firstLineChars="0"/>
              <w:jc w:val="center"/>
              <w:rPr>
                <w:kern w:val="0"/>
                <w:sz w:val="21"/>
                <w:szCs w:val="21"/>
              </w:rPr>
            </w:pPr>
          </w:p>
        </w:tc>
      </w:tr>
      <w:tr w14:paraId="3F42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669857B6">
            <w:pPr>
              <w:widowControl/>
              <w:spacing w:line="240" w:lineRule="auto"/>
              <w:ind w:firstLine="0" w:firstLineChars="0"/>
              <w:jc w:val="center"/>
              <w:rPr>
                <w:kern w:val="0"/>
                <w:sz w:val="21"/>
                <w:szCs w:val="21"/>
              </w:rPr>
            </w:pPr>
          </w:p>
        </w:tc>
        <w:tc>
          <w:tcPr>
            <w:tcW w:w="863" w:type="dxa"/>
            <w:vMerge w:val="continue"/>
            <w:vAlign w:val="center"/>
          </w:tcPr>
          <w:p w14:paraId="37F1A37D">
            <w:pPr>
              <w:widowControl/>
              <w:spacing w:line="240" w:lineRule="auto"/>
              <w:ind w:firstLine="0" w:firstLineChars="0"/>
              <w:jc w:val="center"/>
              <w:rPr>
                <w:kern w:val="0"/>
                <w:sz w:val="21"/>
                <w:szCs w:val="21"/>
              </w:rPr>
            </w:pPr>
          </w:p>
        </w:tc>
        <w:tc>
          <w:tcPr>
            <w:tcW w:w="794" w:type="dxa"/>
            <w:vMerge w:val="continue"/>
            <w:noWrap/>
            <w:vAlign w:val="center"/>
          </w:tcPr>
          <w:p w14:paraId="0E4ED8C1">
            <w:pPr>
              <w:widowControl/>
              <w:spacing w:line="240" w:lineRule="auto"/>
              <w:ind w:firstLine="0" w:firstLineChars="0"/>
              <w:jc w:val="center"/>
              <w:rPr>
                <w:kern w:val="0"/>
                <w:sz w:val="21"/>
                <w:szCs w:val="21"/>
              </w:rPr>
            </w:pPr>
          </w:p>
        </w:tc>
        <w:tc>
          <w:tcPr>
            <w:tcW w:w="1438" w:type="dxa"/>
            <w:vMerge w:val="continue"/>
            <w:noWrap/>
            <w:vAlign w:val="center"/>
          </w:tcPr>
          <w:p w14:paraId="374C5BCA">
            <w:pPr>
              <w:widowControl/>
              <w:spacing w:line="240" w:lineRule="auto"/>
              <w:ind w:firstLine="0" w:firstLineChars="0"/>
              <w:jc w:val="center"/>
              <w:rPr>
                <w:kern w:val="0"/>
                <w:sz w:val="21"/>
                <w:szCs w:val="21"/>
              </w:rPr>
            </w:pPr>
          </w:p>
        </w:tc>
        <w:tc>
          <w:tcPr>
            <w:tcW w:w="1151" w:type="dxa"/>
            <w:noWrap/>
            <w:vAlign w:val="center"/>
          </w:tcPr>
          <w:p w14:paraId="77C3307F">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TD-470</w:t>
            </w:r>
          </w:p>
        </w:tc>
        <w:tc>
          <w:tcPr>
            <w:tcW w:w="1171" w:type="dxa"/>
            <w:noWrap/>
            <w:vAlign w:val="center"/>
          </w:tcPr>
          <w:p w14:paraId="3DA411C8">
            <w:pPr>
              <w:widowControl/>
              <w:spacing w:line="240" w:lineRule="auto"/>
              <w:ind w:firstLine="0" w:firstLineChars="0"/>
              <w:jc w:val="center"/>
              <w:rPr>
                <w:kern w:val="0"/>
                <w:sz w:val="21"/>
                <w:szCs w:val="21"/>
              </w:rPr>
            </w:pPr>
            <w:r>
              <w:rPr>
                <w:kern w:val="0"/>
                <w:sz w:val="21"/>
                <w:szCs w:val="21"/>
              </w:rPr>
              <w:t>37677</w:t>
            </w:r>
          </w:p>
        </w:tc>
        <w:tc>
          <w:tcPr>
            <w:tcW w:w="1110" w:type="dxa"/>
            <w:vMerge w:val="continue"/>
            <w:vAlign w:val="center"/>
          </w:tcPr>
          <w:p w14:paraId="385AECD7">
            <w:pPr>
              <w:widowControl/>
              <w:spacing w:line="240" w:lineRule="auto"/>
              <w:ind w:firstLine="0" w:firstLineChars="0"/>
              <w:jc w:val="center"/>
              <w:rPr>
                <w:kern w:val="0"/>
                <w:sz w:val="21"/>
                <w:szCs w:val="21"/>
              </w:rPr>
            </w:pPr>
          </w:p>
        </w:tc>
        <w:tc>
          <w:tcPr>
            <w:tcW w:w="2548" w:type="dxa"/>
            <w:vMerge w:val="continue"/>
            <w:vAlign w:val="center"/>
          </w:tcPr>
          <w:p w14:paraId="6D88FFED">
            <w:pPr>
              <w:widowControl/>
              <w:spacing w:line="240" w:lineRule="auto"/>
              <w:ind w:firstLine="0" w:firstLineChars="0"/>
              <w:jc w:val="center"/>
              <w:rPr>
                <w:kern w:val="0"/>
                <w:sz w:val="21"/>
                <w:szCs w:val="21"/>
              </w:rPr>
            </w:pPr>
          </w:p>
        </w:tc>
        <w:tc>
          <w:tcPr>
            <w:tcW w:w="1109" w:type="dxa"/>
            <w:vMerge w:val="continue"/>
            <w:vAlign w:val="center"/>
          </w:tcPr>
          <w:p w14:paraId="65603EAF">
            <w:pPr>
              <w:widowControl/>
              <w:spacing w:line="240" w:lineRule="auto"/>
              <w:ind w:firstLine="0" w:firstLineChars="0"/>
              <w:jc w:val="center"/>
              <w:rPr>
                <w:kern w:val="0"/>
                <w:sz w:val="21"/>
                <w:szCs w:val="21"/>
              </w:rPr>
            </w:pPr>
          </w:p>
        </w:tc>
        <w:tc>
          <w:tcPr>
            <w:tcW w:w="1069" w:type="dxa"/>
            <w:vMerge w:val="continue"/>
            <w:vAlign w:val="center"/>
          </w:tcPr>
          <w:p w14:paraId="4F34658F">
            <w:pPr>
              <w:widowControl/>
              <w:spacing w:line="240" w:lineRule="auto"/>
              <w:ind w:firstLine="0" w:firstLineChars="0"/>
              <w:jc w:val="center"/>
              <w:rPr>
                <w:kern w:val="0"/>
                <w:sz w:val="21"/>
                <w:szCs w:val="21"/>
              </w:rPr>
            </w:pPr>
          </w:p>
        </w:tc>
        <w:tc>
          <w:tcPr>
            <w:tcW w:w="1109" w:type="dxa"/>
            <w:vMerge w:val="continue"/>
            <w:vAlign w:val="center"/>
          </w:tcPr>
          <w:p w14:paraId="49333912">
            <w:pPr>
              <w:widowControl/>
              <w:spacing w:line="240" w:lineRule="auto"/>
              <w:ind w:firstLine="0" w:firstLineChars="0"/>
              <w:jc w:val="center"/>
              <w:rPr>
                <w:kern w:val="0"/>
                <w:sz w:val="21"/>
                <w:szCs w:val="21"/>
              </w:rPr>
            </w:pPr>
          </w:p>
        </w:tc>
        <w:tc>
          <w:tcPr>
            <w:tcW w:w="1080" w:type="dxa"/>
            <w:vMerge w:val="continue"/>
            <w:vAlign w:val="center"/>
          </w:tcPr>
          <w:p w14:paraId="50E7E726">
            <w:pPr>
              <w:widowControl/>
              <w:spacing w:line="240" w:lineRule="auto"/>
              <w:ind w:firstLine="0" w:firstLineChars="0"/>
              <w:jc w:val="center"/>
              <w:rPr>
                <w:kern w:val="0"/>
                <w:sz w:val="21"/>
                <w:szCs w:val="21"/>
              </w:rPr>
            </w:pPr>
          </w:p>
        </w:tc>
      </w:tr>
      <w:tr w14:paraId="182E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49832F61">
            <w:pPr>
              <w:widowControl/>
              <w:spacing w:line="240" w:lineRule="auto"/>
              <w:ind w:firstLine="0" w:firstLineChars="0"/>
              <w:jc w:val="center"/>
              <w:rPr>
                <w:kern w:val="0"/>
                <w:sz w:val="21"/>
                <w:szCs w:val="21"/>
              </w:rPr>
            </w:pPr>
          </w:p>
        </w:tc>
        <w:tc>
          <w:tcPr>
            <w:tcW w:w="863" w:type="dxa"/>
            <w:vMerge w:val="continue"/>
            <w:vAlign w:val="center"/>
          </w:tcPr>
          <w:p w14:paraId="05104246">
            <w:pPr>
              <w:widowControl/>
              <w:spacing w:line="240" w:lineRule="auto"/>
              <w:ind w:firstLine="0" w:firstLineChars="0"/>
              <w:jc w:val="center"/>
              <w:rPr>
                <w:kern w:val="0"/>
                <w:sz w:val="21"/>
                <w:szCs w:val="21"/>
              </w:rPr>
            </w:pPr>
          </w:p>
        </w:tc>
        <w:tc>
          <w:tcPr>
            <w:tcW w:w="794" w:type="dxa"/>
            <w:vMerge w:val="continue"/>
            <w:noWrap/>
            <w:vAlign w:val="center"/>
          </w:tcPr>
          <w:p w14:paraId="5869E42C">
            <w:pPr>
              <w:widowControl/>
              <w:spacing w:line="240" w:lineRule="auto"/>
              <w:ind w:firstLine="0" w:firstLineChars="0"/>
              <w:jc w:val="center"/>
              <w:rPr>
                <w:kern w:val="0"/>
                <w:sz w:val="21"/>
                <w:szCs w:val="21"/>
              </w:rPr>
            </w:pPr>
          </w:p>
        </w:tc>
        <w:tc>
          <w:tcPr>
            <w:tcW w:w="1438" w:type="dxa"/>
            <w:vMerge w:val="restart"/>
            <w:noWrap/>
            <w:vAlign w:val="center"/>
          </w:tcPr>
          <w:p w14:paraId="7028FA98">
            <w:pPr>
              <w:widowControl/>
              <w:spacing w:line="240" w:lineRule="auto"/>
              <w:ind w:firstLine="0" w:firstLineChars="0"/>
              <w:jc w:val="center"/>
              <w:rPr>
                <w:kern w:val="0"/>
                <w:sz w:val="21"/>
                <w:szCs w:val="21"/>
              </w:rPr>
            </w:pPr>
            <w:r>
              <w:rPr>
                <w:kern w:val="0"/>
                <w:sz w:val="21"/>
                <w:szCs w:val="21"/>
              </w:rPr>
              <w:t>470~460m</w:t>
            </w:r>
          </w:p>
        </w:tc>
        <w:tc>
          <w:tcPr>
            <w:tcW w:w="1151" w:type="dxa"/>
            <w:noWrap/>
            <w:vAlign w:val="center"/>
          </w:tcPr>
          <w:p w14:paraId="00DC200D">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TD-470</w:t>
            </w:r>
          </w:p>
        </w:tc>
        <w:tc>
          <w:tcPr>
            <w:tcW w:w="1171" w:type="dxa"/>
            <w:noWrap/>
            <w:vAlign w:val="center"/>
          </w:tcPr>
          <w:p w14:paraId="4C5837BE">
            <w:pPr>
              <w:widowControl/>
              <w:spacing w:line="240" w:lineRule="auto"/>
              <w:ind w:firstLine="0" w:firstLineChars="0"/>
              <w:jc w:val="center"/>
              <w:rPr>
                <w:kern w:val="0"/>
                <w:sz w:val="21"/>
                <w:szCs w:val="21"/>
              </w:rPr>
            </w:pPr>
            <w:r>
              <w:rPr>
                <w:kern w:val="0"/>
                <w:sz w:val="21"/>
                <w:szCs w:val="21"/>
              </w:rPr>
              <w:t>37677</w:t>
            </w:r>
          </w:p>
        </w:tc>
        <w:tc>
          <w:tcPr>
            <w:tcW w:w="1110" w:type="dxa"/>
            <w:vMerge w:val="restart"/>
            <w:noWrap/>
            <w:vAlign w:val="center"/>
          </w:tcPr>
          <w:p w14:paraId="0A0C7565">
            <w:pPr>
              <w:widowControl/>
              <w:spacing w:line="240" w:lineRule="auto"/>
              <w:ind w:firstLine="0" w:firstLineChars="0"/>
              <w:jc w:val="center"/>
              <w:rPr>
                <w:kern w:val="0"/>
                <w:sz w:val="21"/>
                <w:szCs w:val="21"/>
              </w:rPr>
            </w:pPr>
            <w:r>
              <w:rPr>
                <w:kern w:val="0"/>
                <w:sz w:val="21"/>
                <w:szCs w:val="21"/>
              </w:rPr>
              <w:t>10</w:t>
            </w:r>
          </w:p>
        </w:tc>
        <w:tc>
          <w:tcPr>
            <w:tcW w:w="2548" w:type="dxa"/>
            <w:vMerge w:val="restart"/>
            <w:noWrap/>
            <w:vAlign w:val="center"/>
          </w:tcPr>
          <w:p w14:paraId="33BB47F9">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noWrap/>
            <w:vAlign w:val="center"/>
          </w:tcPr>
          <w:p w14:paraId="4DCAA802">
            <w:pPr>
              <w:widowControl/>
              <w:spacing w:line="240" w:lineRule="auto"/>
              <w:ind w:firstLine="0" w:firstLineChars="0"/>
              <w:jc w:val="center"/>
              <w:rPr>
                <w:kern w:val="0"/>
                <w:sz w:val="21"/>
                <w:szCs w:val="21"/>
              </w:rPr>
            </w:pPr>
            <w:r>
              <w:rPr>
                <w:kern w:val="0"/>
                <w:sz w:val="21"/>
                <w:szCs w:val="21"/>
              </w:rPr>
              <w:t>2.70</w:t>
            </w:r>
          </w:p>
        </w:tc>
        <w:tc>
          <w:tcPr>
            <w:tcW w:w="1069" w:type="dxa"/>
            <w:vMerge w:val="restart"/>
            <w:noWrap/>
            <w:vAlign w:val="center"/>
          </w:tcPr>
          <w:p w14:paraId="1772E07C">
            <w:pPr>
              <w:widowControl/>
              <w:spacing w:line="240" w:lineRule="auto"/>
              <w:ind w:firstLine="0" w:firstLineChars="0"/>
              <w:jc w:val="center"/>
              <w:rPr>
                <w:kern w:val="0"/>
                <w:sz w:val="21"/>
                <w:szCs w:val="21"/>
              </w:rPr>
            </w:pPr>
            <w:r>
              <w:rPr>
                <w:kern w:val="0"/>
                <w:sz w:val="21"/>
                <w:szCs w:val="21"/>
              </w:rPr>
              <w:t>41.16</w:t>
            </w:r>
          </w:p>
        </w:tc>
        <w:tc>
          <w:tcPr>
            <w:tcW w:w="1109" w:type="dxa"/>
            <w:vMerge w:val="continue"/>
            <w:noWrap/>
            <w:vAlign w:val="center"/>
          </w:tcPr>
          <w:p w14:paraId="1BDE755F">
            <w:pPr>
              <w:widowControl/>
              <w:spacing w:line="240" w:lineRule="auto"/>
              <w:ind w:firstLine="0" w:firstLineChars="0"/>
              <w:jc w:val="center"/>
              <w:rPr>
                <w:kern w:val="0"/>
                <w:sz w:val="21"/>
                <w:szCs w:val="21"/>
              </w:rPr>
            </w:pPr>
          </w:p>
        </w:tc>
        <w:tc>
          <w:tcPr>
            <w:tcW w:w="1080" w:type="dxa"/>
            <w:vMerge w:val="continue"/>
            <w:noWrap/>
            <w:vAlign w:val="center"/>
          </w:tcPr>
          <w:p w14:paraId="36BF30CD">
            <w:pPr>
              <w:widowControl/>
              <w:spacing w:line="240" w:lineRule="auto"/>
              <w:ind w:firstLine="0" w:firstLineChars="0"/>
              <w:jc w:val="center"/>
              <w:rPr>
                <w:kern w:val="0"/>
                <w:sz w:val="21"/>
                <w:szCs w:val="21"/>
              </w:rPr>
            </w:pPr>
          </w:p>
        </w:tc>
      </w:tr>
      <w:tr w14:paraId="26BF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3E74E2D8">
            <w:pPr>
              <w:widowControl/>
              <w:spacing w:line="240" w:lineRule="auto"/>
              <w:ind w:firstLine="0" w:firstLineChars="0"/>
              <w:jc w:val="center"/>
              <w:rPr>
                <w:kern w:val="0"/>
                <w:sz w:val="21"/>
                <w:szCs w:val="21"/>
              </w:rPr>
            </w:pPr>
          </w:p>
        </w:tc>
        <w:tc>
          <w:tcPr>
            <w:tcW w:w="863" w:type="dxa"/>
            <w:vMerge w:val="continue"/>
            <w:vAlign w:val="center"/>
          </w:tcPr>
          <w:p w14:paraId="7D88FA7D">
            <w:pPr>
              <w:widowControl/>
              <w:spacing w:line="240" w:lineRule="auto"/>
              <w:ind w:firstLine="0" w:firstLineChars="0"/>
              <w:jc w:val="center"/>
              <w:rPr>
                <w:kern w:val="0"/>
                <w:sz w:val="21"/>
                <w:szCs w:val="21"/>
              </w:rPr>
            </w:pPr>
          </w:p>
        </w:tc>
        <w:tc>
          <w:tcPr>
            <w:tcW w:w="794" w:type="dxa"/>
            <w:vMerge w:val="continue"/>
            <w:noWrap/>
            <w:vAlign w:val="center"/>
          </w:tcPr>
          <w:p w14:paraId="0F5DC06B">
            <w:pPr>
              <w:widowControl/>
              <w:spacing w:line="240" w:lineRule="auto"/>
              <w:ind w:firstLine="0" w:firstLineChars="0"/>
              <w:jc w:val="center"/>
              <w:rPr>
                <w:kern w:val="0"/>
                <w:sz w:val="21"/>
                <w:szCs w:val="21"/>
              </w:rPr>
            </w:pPr>
          </w:p>
        </w:tc>
        <w:tc>
          <w:tcPr>
            <w:tcW w:w="1438" w:type="dxa"/>
            <w:vMerge w:val="continue"/>
            <w:noWrap/>
            <w:vAlign w:val="center"/>
          </w:tcPr>
          <w:p w14:paraId="3F36BEA4">
            <w:pPr>
              <w:widowControl/>
              <w:spacing w:line="240" w:lineRule="auto"/>
              <w:ind w:firstLine="0" w:firstLineChars="0"/>
              <w:jc w:val="center"/>
              <w:rPr>
                <w:kern w:val="0"/>
                <w:sz w:val="21"/>
                <w:szCs w:val="21"/>
              </w:rPr>
            </w:pPr>
          </w:p>
        </w:tc>
        <w:tc>
          <w:tcPr>
            <w:tcW w:w="1151" w:type="dxa"/>
            <w:noWrap/>
            <w:vAlign w:val="center"/>
          </w:tcPr>
          <w:p w14:paraId="5D67A6C7">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TD-460-1</w:t>
            </w:r>
          </w:p>
        </w:tc>
        <w:tc>
          <w:tcPr>
            <w:tcW w:w="1171" w:type="dxa"/>
            <w:noWrap/>
            <w:vAlign w:val="center"/>
          </w:tcPr>
          <w:p w14:paraId="419E383B">
            <w:pPr>
              <w:widowControl/>
              <w:spacing w:line="240" w:lineRule="auto"/>
              <w:ind w:firstLine="0" w:firstLineChars="0"/>
              <w:jc w:val="center"/>
              <w:rPr>
                <w:kern w:val="0"/>
                <w:sz w:val="21"/>
                <w:szCs w:val="21"/>
              </w:rPr>
            </w:pPr>
            <w:r>
              <w:rPr>
                <w:kern w:val="0"/>
                <w:sz w:val="21"/>
                <w:szCs w:val="21"/>
              </w:rPr>
              <w:t>44684</w:t>
            </w:r>
          </w:p>
        </w:tc>
        <w:tc>
          <w:tcPr>
            <w:tcW w:w="1110" w:type="dxa"/>
            <w:vMerge w:val="continue"/>
            <w:vAlign w:val="center"/>
          </w:tcPr>
          <w:p w14:paraId="21B1BDD0">
            <w:pPr>
              <w:widowControl/>
              <w:spacing w:line="240" w:lineRule="auto"/>
              <w:ind w:firstLine="0" w:firstLineChars="0"/>
              <w:jc w:val="center"/>
              <w:rPr>
                <w:kern w:val="0"/>
                <w:sz w:val="21"/>
                <w:szCs w:val="21"/>
              </w:rPr>
            </w:pPr>
          </w:p>
        </w:tc>
        <w:tc>
          <w:tcPr>
            <w:tcW w:w="2548" w:type="dxa"/>
            <w:vMerge w:val="continue"/>
            <w:vAlign w:val="center"/>
          </w:tcPr>
          <w:p w14:paraId="76F71B61">
            <w:pPr>
              <w:widowControl/>
              <w:spacing w:line="240" w:lineRule="auto"/>
              <w:ind w:firstLine="0" w:firstLineChars="0"/>
              <w:jc w:val="center"/>
              <w:rPr>
                <w:kern w:val="0"/>
                <w:sz w:val="21"/>
                <w:szCs w:val="21"/>
              </w:rPr>
            </w:pPr>
          </w:p>
        </w:tc>
        <w:tc>
          <w:tcPr>
            <w:tcW w:w="1109" w:type="dxa"/>
            <w:vMerge w:val="continue"/>
            <w:vAlign w:val="center"/>
          </w:tcPr>
          <w:p w14:paraId="720C6B58">
            <w:pPr>
              <w:widowControl/>
              <w:spacing w:line="240" w:lineRule="auto"/>
              <w:ind w:firstLine="0" w:firstLineChars="0"/>
              <w:jc w:val="center"/>
              <w:rPr>
                <w:kern w:val="0"/>
                <w:sz w:val="21"/>
                <w:szCs w:val="21"/>
              </w:rPr>
            </w:pPr>
          </w:p>
        </w:tc>
        <w:tc>
          <w:tcPr>
            <w:tcW w:w="1069" w:type="dxa"/>
            <w:vMerge w:val="continue"/>
            <w:vAlign w:val="center"/>
          </w:tcPr>
          <w:p w14:paraId="63D8288D">
            <w:pPr>
              <w:widowControl/>
              <w:spacing w:line="240" w:lineRule="auto"/>
              <w:ind w:firstLine="0" w:firstLineChars="0"/>
              <w:jc w:val="center"/>
              <w:rPr>
                <w:kern w:val="0"/>
                <w:sz w:val="21"/>
                <w:szCs w:val="21"/>
              </w:rPr>
            </w:pPr>
          </w:p>
        </w:tc>
        <w:tc>
          <w:tcPr>
            <w:tcW w:w="1109" w:type="dxa"/>
            <w:vMerge w:val="continue"/>
            <w:vAlign w:val="center"/>
          </w:tcPr>
          <w:p w14:paraId="5AF26E2F">
            <w:pPr>
              <w:widowControl/>
              <w:spacing w:line="240" w:lineRule="auto"/>
              <w:ind w:firstLine="0" w:firstLineChars="0"/>
              <w:jc w:val="center"/>
              <w:rPr>
                <w:kern w:val="0"/>
                <w:sz w:val="21"/>
                <w:szCs w:val="21"/>
              </w:rPr>
            </w:pPr>
          </w:p>
        </w:tc>
        <w:tc>
          <w:tcPr>
            <w:tcW w:w="1080" w:type="dxa"/>
            <w:vMerge w:val="continue"/>
            <w:vAlign w:val="center"/>
          </w:tcPr>
          <w:p w14:paraId="799FCAF9">
            <w:pPr>
              <w:widowControl/>
              <w:spacing w:line="240" w:lineRule="auto"/>
              <w:ind w:firstLine="0" w:firstLineChars="0"/>
              <w:jc w:val="center"/>
              <w:rPr>
                <w:kern w:val="0"/>
                <w:sz w:val="21"/>
                <w:szCs w:val="21"/>
              </w:rPr>
            </w:pPr>
          </w:p>
        </w:tc>
      </w:tr>
      <w:tr w14:paraId="6ED1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77D4A285">
            <w:pPr>
              <w:widowControl/>
              <w:spacing w:line="240" w:lineRule="auto"/>
              <w:ind w:firstLine="0" w:firstLineChars="0"/>
              <w:jc w:val="center"/>
              <w:rPr>
                <w:kern w:val="0"/>
                <w:sz w:val="21"/>
                <w:szCs w:val="21"/>
              </w:rPr>
            </w:pPr>
          </w:p>
        </w:tc>
        <w:tc>
          <w:tcPr>
            <w:tcW w:w="863" w:type="dxa"/>
            <w:vMerge w:val="continue"/>
            <w:vAlign w:val="center"/>
          </w:tcPr>
          <w:p w14:paraId="0612A7D8">
            <w:pPr>
              <w:widowControl/>
              <w:spacing w:line="240" w:lineRule="auto"/>
              <w:ind w:firstLine="0" w:firstLineChars="0"/>
              <w:jc w:val="center"/>
              <w:rPr>
                <w:kern w:val="0"/>
                <w:sz w:val="21"/>
                <w:szCs w:val="21"/>
              </w:rPr>
            </w:pPr>
          </w:p>
        </w:tc>
        <w:tc>
          <w:tcPr>
            <w:tcW w:w="794" w:type="dxa"/>
            <w:vMerge w:val="continue"/>
            <w:noWrap/>
            <w:vAlign w:val="center"/>
          </w:tcPr>
          <w:p w14:paraId="3325B183">
            <w:pPr>
              <w:widowControl/>
              <w:spacing w:line="240" w:lineRule="auto"/>
              <w:ind w:firstLine="0" w:firstLineChars="0"/>
              <w:jc w:val="center"/>
              <w:rPr>
                <w:kern w:val="0"/>
                <w:sz w:val="21"/>
                <w:szCs w:val="21"/>
              </w:rPr>
            </w:pPr>
          </w:p>
        </w:tc>
        <w:tc>
          <w:tcPr>
            <w:tcW w:w="1438" w:type="dxa"/>
            <w:vMerge w:val="restart"/>
            <w:shd w:val="clear" w:color="auto" w:fill="auto"/>
            <w:noWrap/>
            <w:vAlign w:val="center"/>
          </w:tcPr>
          <w:p w14:paraId="70FB47F4">
            <w:pPr>
              <w:widowControl/>
              <w:spacing w:line="240" w:lineRule="auto"/>
              <w:ind w:firstLine="0" w:firstLineChars="0"/>
              <w:jc w:val="center"/>
              <w:rPr>
                <w:kern w:val="0"/>
                <w:sz w:val="21"/>
                <w:szCs w:val="21"/>
              </w:rPr>
            </w:pPr>
            <w:r>
              <w:rPr>
                <w:kern w:val="0"/>
                <w:sz w:val="21"/>
                <w:szCs w:val="21"/>
              </w:rPr>
              <w:t>469~460m</w:t>
            </w:r>
          </w:p>
        </w:tc>
        <w:tc>
          <w:tcPr>
            <w:tcW w:w="1151" w:type="dxa"/>
            <w:shd w:val="clear" w:color="auto" w:fill="auto"/>
            <w:noWrap/>
            <w:vAlign w:val="center"/>
          </w:tcPr>
          <w:p w14:paraId="500EAD9A">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TD-469</w:t>
            </w:r>
          </w:p>
        </w:tc>
        <w:tc>
          <w:tcPr>
            <w:tcW w:w="1171" w:type="dxa"/>
            <w:shd w:val="clear" w:color="auto" w:fill="auto"/>
            <w:noWrap/>
            <w:vAlign w:val="center"/>
          </w:tcPr>
          <w:p w14:paraId="46CCD009">
            <w:pPr>
              <w:widowControl/>
              <w:spacing w:line="240" w:lineRule="auto"/>
              <w:ind w:firstLine="0" w:firstLineChars="0"/>
              <w:jc w:val="center"/>
              <w:rPr>
                <w:kern w:val="0"/>
                <w:sz w:val="21"/>
                <w:szCs w:val="21"/>
              </w:rPr>
            </w:pPr>
            <w:r>
              <w:rPr>
                <w:kern w:val="0"/>
                <w:sz w:val="21"/>
                <w:szCs w:val="21"/>
              </w:rPr>
              <w:t>0</w:t>
            </w:r>
          </w:p>
        </w:tc>
        <w:tc>
          <w:tcPr>
            <w:tcW w:w="1110" w:type="dxa"/>
            <w:vMerge w:val="restart"/>
            <w:shd w:val="clear" w:color="auto" w:fill="auto"/>
            <w:vAlign w:val="center"/>
          </w:tcPr>
          <w:p w14:paraId="29048E35">
            <w:pPr>
              <w:widowControl/>
              <w:spacing w:line="240" w:lineRule="auto"/>
              <w:ind w:firstLine="0" w:firstLineChars="0"/>
              <w:jc w:val="center"/>
              <w:rPr>
                <w:kern w:val="0"/>
                <w:sz w:val="21"/>
                <w:szCs w:val="21"/>
              </w:rPr>
            </w:pPr>
            <w:r>
              <w:rPr>
                <w:kern w:val="0"/>
                <w:sz w:val="21"/>
                <w:szCs w:val="21"/>
              </w:rPr>
              <w:t>9</w:t>
            </w:r>
          </w:p>
        </w:tc>
        <w:tc>
          <w:tcPr>
            <w:tcW w:w="2548" w:type="dxa"/>
            <w:vMerge w:val="restart"/>
            <w:shd w:val="clear" w:color="auto" w:fill="auto"/>
            <w:vAlign w:val="center"/>
          </w:tcPr>
          <w:p w14:paraId="72A82ABC">
            <w:pPr>
              <w:widowControl/>
              <w:spacing w:line="240" w:lineRule="auto"/>
              <w:ind w:firstLine="0" w:firstLineChars="0"/>
              <w:jc w:val="center"/>
              <w:rPr>
                <w:kern w:val="0"/>
                <w:sz w:val="21"/>
                <w:szCs w:val="21"/>
              </w:rPr>
            </w:pPr>
            <w:r>
              <w:rPr>
                <w:kern w:val="0"/>
                <w:sz w:val="21"/>
                <w:szCs w:val="21"/>
              </w:rPr>
              <w:t>V=S·L/2</w:t>
            </w:r>
          </w:p>
        </w:tc>
        <w:tc>
          <w:tcPr>
            <w:tcW w:w="1109" w:type="dxa"/>
            <w:vMerge w:val="restart"/>
            <w:shd w:val="clear" w:color="auto" w:fill="auto"/>
            <w:vAlign w:val="center"/>
          </w:tcPr>
          <w:p w14:paraId="3ED6D977">
            <w:pPr>
              <w:widowControl/>
              <w:spacing w:line="240" w:lineRule="auto"/>
              <w:ind w:firstLine="0" w:firstLineChars="0"/>
              <w:jc w:val="center"/>
              <w:rPr>
                <w:kern w:val="0"/>
                <w:sz w:val="21"/>
                <w:szCs w:val="21"/>
              </w:rPr>
            </w:pPr>
            <w:r>
              <w:rPr>
                <w:kern w:val="0"/>
                <w:sz w:val="21"/>
                <w:szCs w:val="21"/>
              </w:rPr>
              <w:t>2.70</w:t>
            </w:r>
          </w:p>
        </w:tc>
        <w:tc>
          <w:tcPr>
            <w:tcW w:w="1069" w:type="dxa"/>
            <w:vMerge w:val="restart"/>
            <w:shd w:val="clear" w:color="auto" w:fill="auto"/>
            <w:vAlign w:val="center"/>
          </w:tcPr>
          <w:p w14:paraId="622B8366">
            <w:pPr>
              <w:widowControl/>
              <w:spacing w:line="240" w:lineRule="auto"/>
              <w:ind w:firstLine="0" w:firstLineChars="0"/>
              <w:jc w:val="center"/>
              <w:rPr>
                <w:kern w:val="0"/>
                <w:sz w:val="21"/>
                <w:szCs w:val="21"/>
              </w:rPr>
            </w:pPr>
            <w:r>
              <w:rPr>
                <w:kern w:val="0"/>
                <w:sz w:val="21"/>
                <w:szCs w:val="21"/>
              </w:rPr>
              <w:t>0.68</w:t>
            </w:r>
          </w:p>
        </w:tc>
        <w:tc>
          <w:tcPr>
            <w:tcW w:w="1109" w:type="dxa"/>
            <w:vMerge w:val="continue"/>
            <w:vAlign w:val="center"/>
          </w:tcPr>
          <w:p w14:paraId="25FDF388">
            <w:pPr>
              <w:widowControl/>
              <w:spacing w:line="240" w:lineRule="auto"/>
              <w:ind w:firstLine="0" w:firstLineChars="0"/>
              <w:jc w:val="center"/>
              <w:rPr>
                <w:kern w:val="0"/>
                <w:sz w:val="21"/>
                <w:szCs w:val="21"/>
              </w:rPr>
            </w:pPr>
          </w:p>
        </w:tc>
        <w:tc>
          <w:tcPr>
            <w:tcW w:w="1080" w:type="dxa"/>
            <w:vMerge w:val="continue"/>
            <w:vAlign w:val="center"/>
          </w:tcPr>
          <w:p w14:paraId="57CD647C">
            <w:pPr>
              <w:widowControl/>
              <w:spacing w:line="240" w:lineRule="auto"/>
              <w:ind w:firstLine="0" w:firstLineChars="0"/>
              <w:jc w:val="center"/>
              <w:rPr>
                <w:kern w:val="0"/>
                <w:sz w:val="21"/>
                <w:szCs w:val="21"/>
              </w:rPr>
            </w:pPr>
          </w:p>
        </w:tc>
      </w:tr>
      <w:tr w14:paraId="4347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6A999C86">
            <w:pPr>
              <w:widowControl/>
              <w:spacing w:line="240" w:lineRule="auto"/>
              <w:ind w:firstLine="0" w:firstLineChars="0"/>
              <w:jc w:val="center"/>
              <w:rPr>
                <w:kern w:val="0"/>
                <w:sz w:val="21"/>
                <w:szCs w:val="21"/>
              </w:rPr>
            </w:pPr>
          </w:p>
        </w:tc>
        <w:tc>
          <w:tcPr>
            <w:tcW w:w="863" w:type="dxa"/>
            <w:vMerge w:val="continue"/>
            <w:vAlign w:val="center"/>
          </w:tcPr>
          <w:p w14:paraId="4AF85A05">
            <w:pPr>
              <w:widowControl/>
              <w:spacing w:line="240" w:lineRule="auto"/>
              <w:ind w:firstLine="0" w:firstLineChars="0"/>
              <w:jc w:val="center"/>
              <w:rPr>
                <w:kern w:val="0"/>
                <w:sz w:val="21"/>
                <w:szCs w:val="21"/>
              </w:rPr>
            </w:pPr>
          </w:p>
        </w:tc>
        <w:tc>
          <w:tcPr>
            <w:tcW w:w="794" w:type="dxa"/>
            <w:vMerge w:val="continue"/>
            <w:noWrap/>
            <w:vAlign w:val="center"/>
          </w:tcPr>
          <w:p w14:paraId="550209BC">
            <w:pPr>
              <w:widowControl/>
              <w:spacing w:line="240" w:lineRule="auto"/>
              <w:ind w:firstLine="0" w:firstLineChars="0"/>
              <w:jc w:val="center"/>
              <w:rPr>
                <w:kern w:val="0"/>
                <w:sz w:val="21"/>
                <w:szCs w:val="21"/>
              </w:rPr>
            </w:pPr>
          </w:p>
        </w:tc>
        <w:tc>
          <w:tcPr>
            <w:tcW w:w="1438" w:type="dxa"/>
            <w:vMerge w:val="continue"/>
            <w:noWrap/>
            <w:vAlign w:val="center"/>
          </w:tcPr>
          <w:p w14:paraId="212E2373">
            <w:pPr>
              <w:widowControl/>
              <w:spacing w:line="240" w:lineRule="auto"/>
              <w:ind w:firstLine="0" w:firstLineChars="0"/>
              <w:jc w:val="center"/>
              <w:rPr>
                <w:kern w:val="0"/>
                <w:sz w:val="21"/>
                <w:szCs w:val="21"/>
              </w:rPr>
            </w:pPr>
          </w:p>
        </w:tc>
        <w:tc>
          <w:tcPr>
            <w:tcW w:w="1151" w:type="dxa"/>
            <w:shd w:val="clear" w:color="auto" w:fill="auto"/>
            <w:noWrap/>
            <w:vAlign w:val="center"/>
          </w:tcPr>
          <w:p w14:paraId="49DDC176">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TD-460-2</w:t>
            </w:r>
          </w:p>
        </w:tc>
        <w:tc>
          <w:tcPr>
            <w:tcW w:w="1171" w:type="dxa"/>
            <w:shd w:val="clear" w:color="auto" w:fill="auto"/>
            <w:noWrap/>
            <w:vAlign w:val="center"/>
          </w:tcPr>
          <w:p w14:paraId="432F6132">
            <w:pPr>
              <w:widowControl/>
              <w:spacing w:line="240" w:lineRule="auto"/>
              <w:ind w:firstLine="0" w:firstLineChars="0"/>
              <w:jc w:val="center"/>
              <w:rPr>
                <w:kern w:val="0"/>
                <w:sz w:val="21"/>
                <w:szCs w:val="21"/>
              </w:rPr>
            </w:pPr>
            <w:r>
              <w:rPr>
                <w:kern w:val="0"/>
                <w:sz w:val="21"/>
                <w:szCs w:val="21"/>
              </w:rPr>
              <w:t>1052</w:t>
            </w:r>
          </w:p>
        </w:tc>
        <w:tc>
          <w:tcPr>
            <w:tcW w:w="1110" w:type="dxa"/>
            <w:vMerge w:val="continue"/>
            <w:vAlign w:val="center"/>
          </w:tcPr>
          <w:p w14:paraId="06D9F65C">
            <w:pPr>
              <w:widowControl/>
              <w:tabs>
                <w:tab w:val="left" w:pos="361"/>
                <w:tab w:val="center" w:pos="492"/>
              </w:tabs>
              <w:spacing w:line="240" w:lineRule="auto"/>
              <w:ind w:firstLine="0" w:firstLineChars="0"/>
              <w:jc w:val="center"/>
              <w:rPr>
                <w:kern w:val="0"/>
                <w:sz w:val="21"/>
                <w:szCs w:val="21"/>
              </w:rPr>
            </w:pPr>
          </w:p>
        </w:tc>
        <w:tc>
          <w:tcPr>
            <w:tcW w:w="2548" w:type="dxa"/>
            <w:vMerge w:val="continue"/>
            <w:vAlign w:val="center"/>
          </w:tcPr>
          <w:p w14:paraId="74C7CE9F">
            <w:pPr>
              <w:widowControl/>
              <w:spacing w:line="240" w:lineRule="auto"/>
              <w:ind w:firstLine="0" w:firstLineChars="0"/>
              <w:jc w:val="center"/>
              <w:rPr>
                <w:kern w:val="0"/>
                <w:sz w:val="21"/>
                <w:szCs w:val="21"/>
              </w:rPr>
            </w:pPr>
          </w:p>
        </w:tc>
        <w:tc>
          <w:tcPr>
            <w:tcW w:w="1109" w:type="dxa"/>
            <w:vMerge w:val="continue"/>
            <w:vAlign w:val="center"/>
          </w:tcPr>
          <w:p w14:paraId="30AF6769">
            <w:pPr>
              <w:widowControl/>
              <w:spacing w:line="240" w:lineRule="auto"/>
              <w:ind w:firstLine="0" w:firstLineChars="0"/>
              <w:jc w:val="center"/>
              <w:rPr>
                <w:kern w:val="0"/>
                <w:sz w:val="21"/>
                <w:szCs w:val="21"/>
              </w:rPr>
            </w:pPr>
          </w:p>
        </w:tc>
        <w:tc>
          <w:tcPr>
            <w:tcW w:w="1069" w:type="dxa"/>
            <w:vMerge w:val="continue"/>
            <w:vAlign w:val="center"/>
          </w:tcPr>
          <w:p w14:paraId="1A34FD38">
            <w:pPr>
              <w:widowControl/>
              <w:spacing w:line="240" w:lineRule="auto"/>
              <w:ind w:firstLine="0" w:firstLineChars="0"/>
              <w:jc w:val="center"/>
              <w:rPr>
                <w:kern w:val="0"/>
                <w:sz w:val="21"/>
                <w:szCs w:val="21"/>
              </w:rPr>
            </w:pPr>
          </w:p>
        </w:tc>
        <w:tc>
          <w:tcPr>
            <w:tcW w:w="1109" w:type="dxa"/>
            <w:vMerge w:val="continue"/>
            <w:vAlign w:val="center"/>
          </w:tcPr>
          <w:p w14:paraId="45A6A2D2">
            <w:pPr>
              <w:widowControl/>
              <w:spacing w:line="240" w:lineRule="auto"/>
              <w:ind w:firstLine="0" w:firstLineChars="0"/>
              <w:jc w:val="center"/>
              <w:rPr>
                <w:kern w:val="0"/>
                <w:sz w:val="21"/>
                <w:szCs w:val="21"/>
              </w:rPr>
            </w:pPr>
          </w:p>
        </w:tc>
        <w:tc>
          <w:tcPr>
            <w:tcW w:w="1080" w:type="dxa"/>
            <w:vMerge w:val="continue"/>
            <w:vAlign w:val="center"/>
          </w:tcPr>
          <w:p w14:paraId="67913D10">
            <w:pPr>
              <w:widowControl/>
              <w:spacing w:line="240" w:lineRule="auto"/>
              <w:ind w:firstLine="0" w:firstLineChars="0"/>
              <w:jc w:val="center"/>
              <w:rPr>
                <w:kern w:val="0"/>
                <w:sz w:val="21"/>
                <w:szCs w:val="21"/>
              </w:rPr>
            </w:pPr>
          </w:p>
        </w:tc>
      </w:tr>
      <w:tr w14:paraId="0BC7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5D8CC8C2">
            <w:pPr>
              <w:widowControl/>
              <w:spacing w:line="240" w:lineRule="auto"/>
              <w:ind w:firstLine="0" w:firstLineChars="0"/>
              <w:jc w:val="center"/>
              <w:rPr>
                <w:kern w:val="0"/>
                <w:sz w:val="21"/>
                <w:szCs w:val="21"/>
              </w:rPr>
            </w:pPr>
          </w:p>
        </w:tc>
        <w:tc>
          <w:tcPr>
            <w:tcW w:w="863" w:type="dxa"/>
            <w:vMerge w:val="continue"/>
            <w:vAlign w:val="center"/>
          </w:tcPr>
          <w:p w14:paraId="74096D65">
            <w:pPr>
              <w:widowControl/>
              <w:spacing w:line="240" w:lineRule="auto"/>
              <w:ind w:firstLine="0" w:firstLineChars="0"/>
              <w:jc w:val="center"/>
              <w:rPr>
                <w:kern w:val="0"/>
                <w:sz w:val="21"/>
                <w:szCs w:val="21"/>
              </w:rPr>
            </w:pPr>
          </w:p>
        </w:tc>
        <w:tc>
          <w:tcPr>
            <w:tcW w:w="794" w:type="dxa"/>
            <w:vMerge w:val="continue"/>
            <w:noWrap/>
            <w:vAlign w:val="center"/>
          </w:tcPr>
          <w:p w14:paraId="51A50A11">
            <w:pPr>
              <w:widowControl/>
              <w:spacing w:line="240" w:lineRule="auto"/>
              <w:ind w:firstLine="0" w:firstLineChars="0"/>
              <w:jc w:val="center"/>
              <w:rPr>
                <w:kern w:val="0"/>
                <w:sz w:val="21"/>
                <w:szCs w:val="21"/>
              </w:rPr>
            </w:pPr>
          </w:p>
        </w:tc>
        <w:tc>
          <w:tcPr>
            <w:tcW w:w="1438" w:type="dxa"/>
            <w:vMerge w:val="restart"/>
            <w:noWrap/>
            <w:vAlign w:val="center"/>
          </w:tcPr>
          <w:p w14:paraId="39A0BCC2">
            <w:pPr>
              <w:widowControl/>
              <w:spacing w:line="240" w:lineRule="auto"/>
              <w:ind w:firstLine="0" w:firstLineChars="0"/>
              <w:jc w:val="center"/>
              <w:rPr>
                <w:kern w:val="0"/>
                <w:sz w:val="21"/>
                <w:szCs w:val="21"/>
              </w:rPr>
            </w:pPr>
            <w:r>
              <w:rPr>
                <w:kern w:val="0"/>
                <w:sz w:val="21"/>
                <w:szCs w:val="21"/>
              </w:rPr>
              <w:t>460~450m</w:t>
            </w:r>
          </w:p>
        </w:tc>
        <w:tc>
          <w:tcPr>
            <w:tcW w:w="1151" w:type="dxa"/>
            <w:noWrap/>
            <w:vAlign w:val="center"/>
          </w:tcPr>
          <w:p w14:paraId="2ED741B7">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TD-460-1</w:t>
            </w:r>
          </w:p>
        </w:tc>
        <w:tc>
          <w:tcPr>
            <w:tcW w:w="1171" w:type="dxa"/>
            <w:noWrap/>
            <w:vAlign w:val="center"/>
          </w:tcPr>
          <w:p w14:paraId="4254D049">
            <w:pPr>
              <w:widowControl/>
              <w:spacing w:line="240" w:lineRule="auto"/>
              <w:ind w:firstLine="0" w:firstLineChars="0"/>
              <w:jc w:val="center"/>
              <w:rPr>
                <w:kern w:val="0"/>
                <w:sz w:val="21"/>
                <w:szCs w:val="21"/>
              </w:rPr>
            </w:pPr>
            <w:r>
              <w:rPr>
                <w:kern w:val="0"/>
                <w:sz w:val="21"/>
                <w:szCs w:val="21"/>
              </w:rPr>
              <w:t>44684</w:t>
            </w:r>
          </w:p>
        </w:tc>
        <w:tc>
          <w:tcPr>
            <w:tcW w:w="1110" w:type="dxa"/>
            <w:vMerge w:val="restart"/>
            <w:vAlign w:val="center"/>
          </w:tcPr>
          <w:p w14:paraId="472D8EFF">
            <w:pPr>
              <w:widowControl/>
              <w:tabs>
                <w:tab w:val="left" w:pos="361"/>
                <w:tab w:val="center" w:pos="492"/>
              </w:tabs>
              <w:spacing w:line="240" w:lineRule="auto"/>
              <w:ind w:firstLine="0" w:firstLineChars="0"/>
              <w:jc w:val="center"/>
              <w:rPr>
                <w:kern w:val="0"/>
                <w:sz w:val="21"/>
                <w:szCs w:val="21"/>
              </w:rPr>
            </w:pPr>
            <w:r>
              <w:rPr>
                <w:kern w:val="0"/>
                <w:sz w:val="21"/>
                <w:szCs w:val="21"/>
              </w:rPr>
              <w:t>10</w:t>
            </w:r>
          </w:p>
        </w:tc>
        <w:tc>
          <w:tcPr>
            <w:tcW w:w="2548" w:type="dxa"/>
            <w:vMerge w:val="restart"/>
            <w:vAlign w:val="center"/>
          </w:tcPr>
          <w:p w14:paraId="02F57F57">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vAlign w:val="center"/>
          </w:tcPr>
          <w:p w14:paraId="6E3B68F1">
            <w:pPr>
              <w:widowControl/>
              <w:spacing w:line="240" w:lineRule="auto"/>
              <w:ind w:firstLine="0" w:firstLineChars="0"/>
              <w:jc w:val="center"/>
              <w:rPr>
                <w:kern w:val="0"/>
                <w:sz w:val="21"/>
                <w:szCs w:val="21"/>
              </w:rPr>
            </w:pPr>
            <w:r>
              <w:rPr>
                <w:kern w:val="0"/>
                <w:sz w:val="21"/>
                <w:szCs w:val="21"/>
              </w:rPr>
              <w:t>2.70</w:t>
            </w:r>
          </w:p>
        </w:tc>
        <w:tc>
          <w:tcPr>
            <w:tcW w:w="1069" w:type="dxa"/>
            <w:vMerge w:val="restart"/>
            <w:vAlign w:val="center"/>
          </w:tcPr>
          <w:p w14:paraId="3E398722">
            <w:pPr>
              <w:widowControl/>
              <w:spacing w:line="240" w:lineRule="auto"/>
              <w:ind w:firstLine="0" w:firstLineChars="0"/>
              <w:jc w:val="center"/>
              <w:rPr>
                <w:kern w:val="0"/>
                <w:sz w:val="21"/>
                <w:szCs w:val="21"/>
              </w:rPr>
            </w:pPr>
            <w:r>
              <w:rPr>
                <w:kern w:val="0"/>
                <w:sz w:val="21"/>
                <w:szCs w:val="21"/>
              </w:rPr>
              <w:t>50.51</w:t>
            </w:r>
          </w:p>
        </w:tc>
        <w:tc>
          <w:tcPr>
            <w:tcW w:w="1109" w:type="dxa"/>
            <w:vMerge w:val="continue"/>
            <w:vAlign w:val="center"/>
          </w:tcPr>
          <w:p w14:paraId="494ADAA8">
            <w:pPr>
              <w:widowControl/>
              <w:spacing w:line="240" w:lineRule="auto"/>
              <w:ind w:firstLine="0" w:firstLineChars="0"/>
              <w:jc w:val="center"/>
              <w:rPr>
                <w:kern w:val="0"/>
                <w:sz w:val="21"/>
                <w:szCs w:val="21"/>
              </w:rPr>
            </w:pPr>
          </w:p>
        </w:tc>
        <w:tc>
          <w:tcPr>
            <w:tcW w:w="1080" w:type="dxa"/>
            <w:vMerge w:val="continue"/>
            <w:vAlign w:val="center"/>
          </w:tcPr>
          <w:p w14:paraId="5C913843">
            <w:pPr>
              <w:widowControl/>
              <w:spacing w:line="240" w:lineRule="auto"/>
              <w:ind w:firstLine="0" w:firstLineChars="0"/>
              <w:jc w:val="center"/>
              <w:rPr>
                <w:kern w:val="0"/>
                <w:sz w:val="21"/>
                <w:szCs w:val="21"/>
              </w:rPr>
            </w:pPr>
          </w:p>
        </w:tc>
      </w:tr>
      <w:tr w14:paraId="15B7F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63C8F742">
            <w:pPr>
              <w:widowControl/>
              <w:spacing w:line="240" w:lineRule="auto"/>
              <w:ind w:firstLine="0" w:firstLineChars="0"/>
              <w:jc w:val="center"/>
              <w:rPr>
                <w:kern w:val="0"/>
                <w:sz w:val="21"/>
                <w:szCs w:val="21"/>
              </w:rPr>
            </w:pPr>
          </w:p>
        </w:tc>
        <w:tc>
          <w:tcPr>
            <w:tcW w:w="863" w:type="dxa"/>
            <w:vMerge w:val="continue"/>
            <w:vAlign w:val="center"/>
          </w:tcPr>
          <w:p w14:paraId="18B28CB7">
            <w:pPr>
              <w:widowControl/>
              <w:spacing w:line="240" w:lineRule="auto"/>
              <w:ind w:firstLine="0" w:firstLineChars="0"/>
              <w:jc w:val="center"/>
              <w:rPr>
                <w:kern w:val="0"/>
                <w:sz w:val="21"/>
                <w:szCs w:val="21"/>
              </w:rPr>
            </w:pPr>
          </w:p>
        </w:tc>
        <w:tc>
          <w:tcPr>
            <w:tcW w:w="794" w:type="dxa"/>
            <w:vMerge w:val="continue"/>
            <w:noWrap/>
            <w:vAlign w:val="center"/>
          </w:tcPr>
          <w:p w14:paraId="2FEF86B6">
            <w:pPr>
              <w:widowControl/>
              <w:spacing w:line="240" w:lineRule="auto"/>
              <w:ind w:firstLine="0" w:firstLineChars="0"/>
              <w:jc w:val="center"/>
              <w:rPr>
                <w:kern w:val="0"/>
                <w:sz w:val="21"/>
                <w:szCs w:val="21"/>
              </w:rPr>
            </w:pPr>
          </w:p>
        </w:tc>
        <w:tc>
          <w:tcPr>
            <w:tcW w:w="1438" w:type="dxa"/>
            <w:vMerge w:val="continue"/>
            <w:noWrap/>
            <w:vAlign w:val="center"/>
          </w:tcPr>
          <w:p w14:paraId="54AA37C1">
            <w:pPr>
              <w:widowControl/>
              <w:spacing w:line="240" w:lineRule="auto"/>
              <w:ind w:firstLine="0" w:firstLineChars="0"/>
              <w:jc w:val="center"/>
              <w:rPr>
                <w:kern w:val="0"/>
                <w:sz w:val="21"/>
                <w:szCs w:val="21"/>
              </w:rPr>
            </w:pPr>
          </w:p>
        </w:tc>
        <w:tc>
          <w:tcPr>
            <w:tcW w:w="1151" w:type="dxa"/>
            <w:noWrap/>
            <w:vAlign w:val="center"/>
          </w:tcPr>
          <w:p w14:paraId="2178DF4E">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TD-450-1</w:t>
            </w:r>
          </w:p>
        </w:tc>
        <w:tc>
          <w:tcPr>
            <w:tcW w:w="1171" w:type="dxa"/>
            <w:noWrap/>
            <w:vAlign w:val="center"/>
          </w:tcPr>
          <w:p w14:paraId="432EB5B7">
            <w:pPr>
              <w:widowControl/>
              <w:spacing w:line="240" w:lineRule="auto"/>
              <w:ind w:firstLine="0" w:firstLineChars="0"/>
              <w:jc w:val="center"/>
              <w:rPr>
                <w:kern w:val="0"/>
                <w:sz w:val="21"/>
                <w:szCs w:val="21"/>
              </w:rPr>
            </w:pPr>
            <w:r>
              <w:rPr>
                <w:kern w:val="0"/>
                <w:sz w:val="21"/>
                <w:szCs w:val="21"/>
              </w:rPr>
              <w:t>56377</w:t>
            </w:r>
          </w:p>
        </w:tc>
        <w:tc>
          <w:tcPr>
            <w:tcW w:w="1110" w:type="dxa"/>
            <w:vMerge w:val="continue"/>
            <w:vAlign w:val="center"/>
          </w:tcPr>
          <w:p w14:paraId="7BC9F3A6">
            <w:pPr>
              <w:widowControl/>
              <w:spacing w:line="240" w:lineRule="auto"/>
              <w:ind w:firstLine="0" w:firstLineChars="0"/>
              <w:jc w:val="center"/>
              <w:rPr>
                <w:kern w:val="0"/>
                <w:sz w:val="21"/>
                <w:szCs w:val="21"/>
              </w:rPr>
            </w:pPr>
          </w:p>
        </w:tc>
        <w:tc>
          <w:tcPr>
            <w:tcW w:w="2548" w:type="dxa"/>
            <w:vMerge w:val="continue"/>
            <w:vAlign w:val="center"/>
          </w:tcPr>
          <w:p w14:paraId="6DC2739B">
            <w:pPr>
              <w:widowControl/>
              <w:spacing w:line="240" w:lineRule="auto"/>
              <w:ind w:firstLine="0" w:firstLineChars="0"/>
              <w:jc w:val="center"/>
              <w:rPr>
                <w:kern w:val="0"/>
                <w:sz w:val="21"/>
                <w:szCs w:val="21"/>
              </w:rPr>
            </w:pPr>
          </w:p>
        </w:tc>
        <w:tc>
          <w:tcPr>
            <w:tcW w:w="1109" w:type="dxa"/>
            <w:vMerge w:val="continue"/>
            <w:vAlign w:val="center"/>
          </w:tcPr>
          <w:p w14:paraId="42FF0EE5">
            <w:pPr>
              <w:widowControl/>
              <w:spacing w:line="240" w:lineRule="auto"/>
              <w:ind w:firstLine="0" w:firstLineChars="0"/>
              <w:jc w:val="center"/>
              <w:rPr>
                <w:kern w:val="0"/>
                <w:sz w:val="21"/>
                <w:szCs w:val="21"/>
              </w:rPr>
            </w:pPr>
          </w:p>
        </w:tc>
        <w:tc>
          <w:tcPr>
            <w:tcW w:w="1069" w:type="dxa"/>
            <w:vMerge w:val="continue"/>
            <w:vAlign w:val="center"/>
          </w:tcPr>
          <w:p w14:paraId="37391C57">
            <w:pPr>
              <w:widowControl/>
              <w:spacing w:line="240" w:lineRule="auto"/>
              <w:ind w:firstLine="0" w:firstLineChars="0"/>
              <w:jc w:val="center"/>
              <w:rPr>
                <w:kern w:val="0"/>
                <w:sz w:val="21"/>
                <w:szCs w:val="21"/>
              </w:rPr>
            </w:pPr>
          </w:p>
        </w:tc>
        <w:tc>
          <w:tcPr>
            <w:tcW w:w="1109" w:type="dxa"/>
            <w:vMerge w:val="continue"/>
            <w:vAlign w:val="center"/>
          </w:tcPr>
          <w:p w14:paraId="709915C4">
            <w:pPr>
              <w:widowControl/>
              <w:spacing w:line="240" w:lineRule="auto"/>
              <w:ind w:firstLine="0" w:firstLineChars="0"/>
              <w:jc w:val="center"/>
              <w:rPr>
                <w:kern w:val="0"/>
                <w:sz w:val="21"/>
                <w:szCs w:val="21"/>
              </w:rPr>
            </w:pPr>
          </w:p>
        </w:tc>
        <w:tc>
          <w:tcPr>
            <w:tcW w:w="1080" w:type="dxa"/>
            <w:vMerge w:val="continue"/>
            <w:vAlign w:val="center"/>
          </w:tcPr>
          <w:p w14:paraId="47030E41">
            <w:pPr>
              <w:widowControl/>
              <w:spacing w:line="240" w:lineRule="auto"/>
              <w:ind w:firstLine="0" w:firstLineChars="0"/>
              <w:jc w:val="center"/>
              <w:rPr>
                <w:kern w:val="0"/>
                <w:sz w:val="21"/>
                <w:szCs w:val="21"/>
              </w:rPr>
            </w:pPr>
          </w:p>
        </w:tc>
      </w:tr>
      <w:tr w14:paraId="152F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5B95C924">
            <w:pPr>
              <w:widowControl/>
              <w:spacing w:line="240" w:lineRule="auto"/>
              <w:ind w:firstLine="0" w:firstLineChars="0"/>
              <w:jc w:val="center"/>
              <w:rPr>
                <w:kern w:val="0"/>
                <w:sz w:val="21"/>
                <w:szCs w:val="21"/>
              </w:rPr>
            </w:pPr>
          </w:p>
        </w:tc>
        <w:tc>
          <w:tcPr>
            <w:tcW w:w="863" w:type="dxa"/>
            <w:vMerge w:val="continue"/>
            <w:vAlign w:val="center"/>
          </w:tcPr>
          <w:p w14:paraId="385283EE">
            <w:pPr>
              <w:widowControl/>
              <w:spacing w:line="240" w:lineRule="auto"/>
              <w:ind w:firstLine="0" w:firstLineChars="0"/>
              <w:jc w:val="center"/>
              <w:rPr>
                <w:kern w:val="0"/>
                <w:sz w:val="21"/>
                <w:szCs w:val="21"/>
              </w:rPr>
            </w:pPr>
          </w:p>
        </w:tc>
        <w:tc>
          <w:tcPr>
            <w:tcW w:w="794" w:type="dxa"/>
            <w:vMerge w:val="continue"/>
            <w:noWrap/>
            <w:vAlign w:val="center"/>
          </w:tcPr>
          <w:p w14:paraId="09E73EFF">
            <w:pPr>
              <w:widowControl/>
              <w:spacing w:line="240" w:lineRule="auto"/>
              <w:ind w:firstLine="0" w:firstLineChars="0"/>
              <w:jc w:val="center"/>
              <w:rPr>
                <w:kern w:val="0"/>
                <w:sz w:val="21"/>
                <w:szCs w:val="21"/>
              </w:rPr>
            </w:pPr>
          </w:p>
        </w:tc>
        <w:tc>
          <w:tcPr>
            <w:tcW w:w="1438" w:type="dxa"/>
            <w:vMerge w:val="restart"/>
            <w:noWrap/>
            <w:vAlign w:val="center"/>
          </w:tcPr>
          <w:p w14:paraId="7143413F">
            <w:pPr>
              <w:widowControl/>
              <w:spacing w:line="240" w:lineRule="auto"/>
              <w:ind w:firstLine="0" w:firstLineChars="0"/>
              <w:jc w:val="center"/>
              <w:rPr>
                <w:kern w:val="0"/>
                <w:sz w:val="21"/>
                <w:szCs w:val="21"/>
              </w:rPr>
            </w:pPr>
            <w:r>
              <w:rPr>
                <w:kern w:val="0"/>
                <w:sz w:val="21"/>
                <w:szCs w:val="21"/>
              </w:rPr>
              <w:t>456~450m</w:t>
            </w:r>
          </w:p>
        </w:tc>
        <w:tc>
          <w:tcPr>
            <w:tcW w:w="1151" w:type="dxa"/>
            <w:shd w:val="clear" w:color="auto" w:fill="auto"/>
            <w:noWrap/>
            <w:vAlign w:val="center"/>
          </w:tcPr>
          <w:p w14:paraId="37AE3A0F">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TD-456</w:t>
            </w:r>
          </w:p>
        </w:tc>
        <w:tc>
          <w:tcPr>
            <w:tcW w:w="1171" w:type="dxa"/>
            <w:shd w:val="clear" w:color="auto" w:fill="auto"/>
            <w:noWrap/>
            <w:vAlign w:val="center"/>
          </w:tcPr>
          <w:p w14:paraId="43502099">
            <w:pPr>
              <w:widowControl/>
              <w:spacing w:line="240" w:lineRule="auto"/>
              <w:ind w:firstLine="0" w:firstLineChars="0"/>
              <w:jc w:val="center"/>
              <w:rPr>
                <w:kern w:val="0"/>
                <w:sz w:val="21"/>
                <w:szCs w:val="21"/>
              </w:rPr>
            </w:pPr>
            <w:r>
              <w:rPr>
                <w:kern w:val="0"/>
                <w:sz w:val="21"/>
                <w:szCs w:val="21"/>
              </w:rPr>
              <w:t>0</w:t>
            </w:r>
          </w:p>
        </w:tc>
        <w:tc>
          <w:tcPr>
            <w:tcW w:w="1110" w:type="dxa"/>
            <w:vMerge w:val="restart"/>
            <w:vAlign w:val="center"/>
          </w:tcPr>
          <w:p w14:paraId="68AD83F3">
            <w:pPr>
              <w:widowControl/>
              <w:spacing w:line="240" w:lineRule="auto"/>
              <w:ind w:firstLine="0" w:firstLineChars="0"/>
              <w:jc w:val="center"/>
              <w:rPr>
                <w:kern w:val="0"/>
                <w:sz w:val="21"/>
                <w:szCs w:val="21"/>
              </w:rPr>
            </w:pPr>
            <w:r>
              <w:rPr>
                <w:kern w:val="0"/>
                <w:sz w:val="21"/>
                <w:szCs w:val="21"/>
              </w:rPr>
              <w:t>6</w:t>
            </w:r>
          </w:p>
        </w:tc>
        <w:tc>
          <w:tcPr>
            <w:tcW w:w="2548" w:type="dxa"/>
            <w:vMerge w:val="restart"/>
            <w:vAlign w:val="center"/>
          </w:tcPr>
          <w:p w14:paraId="4DFA5A1A">
            <w:pPr>
              <w:widowControl/>
              <w:spacing w:line="240" w:lineRule="auto"/>
              <w:ind w:firstLine="0" w:firstLineChars="0"/>
              <w:jc w:val="center"/>
              <w:rPr>
                <w:kern w:val="0"/>
                <w:sz w:val="21"/>
                <w:szCs w:val="21"/>
              </w:rPr>
            </w:pPr>
            <w:r>
              <w:rPr>
                <w:kern w:val="0"/>
                <w:sz w:val="21"/>
                <w:szCs w:val="21"/>
              </w:rPr>
              <w:t>V=S·L/2</w:t>
            </w:r>
          </w:p>
        </w:tc>
        <w:tc>
          <w:tcPr>
            <w:tcW w:w="1109" w:type="dxa"/>
            <w:vMerge w:val="restart"/>
            <w:vAlign w:val="center"/>
          </w:tcPr>
          <w:p w14:paraId="79069B99">
            <w:pPr>
              <w:widowControl/>
              <w:spacing w:line="240" w:lineRule="auto"/>
              <w:ind w:firstLine="0" w:firstLineChars="0"/>
              <w:jc w:val="center"/>
              <w:rPr>
                <w:kern w:val="0"/>
                <w:sz w:val="21"/>
                <w:szCs w:val="21"/>
              </w:rPr>
            </w:pPr>
            <w:r>
              <w:rPr>
                <w:kern w:val="0"/>
                <w:sz w:val="21"/>
                <w:szCs w:val="21"/>
              </w:rPr>
              <w:t>2.70</w:t>
            </w:r>
          </w:p>
        </w:tc>
        <w:tc>
          <w:tcPr>
            <w:tcW w:w="1069" w:type="dxa"/>
            <w:vMerge w:val="restart"/>
            <w:vAlign w:val="center"/>
          </w:tcPr>
          <w:p w14:paraId="7BA25F8D">
            <w:pPr>
              <w:widowControl/>
              <w:spacing w:line="240" w:lineRule="auto"/>
              <w:ind w:firstLine="0" w:firstLineChars="0"/>
              <w:jc w:val="center"/>
              <w:rPr>
                <w:kern w:val="0"/>
                <w:sz w:val="21"/>
                <w:szCs w:val="21"/>
              </w:rPr>
            </w:pPr>
            <w:r>
              <w:rPr>
                <w:kern w:val="0"/>
                <w:sz w:val="21"/>
                <w:szCs w:val="21"/>
              </w:rPr>
              <w:t>0.28</w:t>
            </w:r>
          </w:p>
        </w:tc>
        <w:tc>
          <w:tcPr>
            <w:tcW w:w="1109" w:type="dxa"/>
            <w:vMerge w:val="continue"/>
            <w:vAlign w:val="center"/>
          </w:tcPr>
          <w:p w14:paraId="0A808D0B">
            <w:pPr>
              <w:widowControl/>
              <w:spacing w:line="240" w:lineRule="auto"/>
              <w:ind w:firstLine="0" w:firstLineChars="0"/>
              <w:jc w:val="center"/>
              <w:rPr>
                <w:kern w:val="0"/>
                <w:sz w:val="21"/>
                <w:szCs w:val="21"/>
              </w:rPr>
            </w:pPr>
          </w:p>
        </w:tc>
        <w:tc>
          <w:tcPr>
            <w:tcW w:w="1080" w:type="dxa"/>
            <w:vMerge w:val="continue"/>
            <w:vAlign w:val="center"/>
          </w:tcPr>
          <w:p w14:paraId="07BC905B">
            <w:pPr>
              <w:widowControl/>
              <w:spacing w:line="240" w:lineRule="auto"/>
              <w:ind w:firstLine="0" w:firstLineChars="0"/>
              <w:jc w:val="center"/>
              <w:rPr>
                <w:kern w:val="0"/>
                <w:sz w:val="21"/>
                <w:szCs w:val="21"/>
              </w:rPr>
            </w:pPr>
          </w:p>
        </w:tc>
      </w:tr>
      <w:tr w14:paraId="40A9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49D6ECA8">
            <w:pPr>
              <w:widowControl/>
              <w:spacing w:line="240" w:lineRule="auto"/>
              <w:ind w:firstLine="0" w:firstLineChars="0"/>
              <w:jc w:val="center"/>
              <w:rPr>
                <w:kern w:val="0"/>
                <w:sz w:val="21"/>
                <w:szCs w:val="21"/>
              </w:rPr>
            </w:pPr>
          </w:p>
        </w:tc>
        <w:tc>
          <w:tcPr>
            <w:tcW w:w="863" w:type="dxa"/>
            <w:vMerge w:val="continue"/>
            <w:vAlign w:val="center"/>
          </w:tcPr>
          <w:p w14:paraId="1FFA66E1">
            <w:pPr>
              <w:widowControl/>
              <w:spacing w:line="240" w:lineRule="auto"/>
              <w:ind w:firstLine="0" w:firstLineChars="0"/>
              <w:jc w:val="center"/>
              <w:rPr>
                <w:kern w:val="0"/>
                <w:sz w:val="21"/>
                <w:szCs w:val="21"/>
              </w:rPr>
            </w:pPr>
          </w:p>
        </w:tc>
        <w:tc>
          <w:tcPr>
            <w:tcW w:w="794" w:type="dxa"/>
            <w:vMerge w:val="continue"/>
            <w:noWrap/>
            <w:vAlign w:val="center"/>
          </w:tcPr>
          <w:p w14:paraId="0631196F">
            <w:pPr>
              <w:widowControl/>
              <w:spacing w:line="240" w:lineRule="auto"/>
              <w:ind w:firstLine="0" w:firstLineChars="0"/>
              <w:jc w:val="center"/>
              <w:rPr>
                <w:kern w:val="0"/>
                <w:sz w:val="21"/>
                <w:szCs w:val="21"/>
              </w:rPr>
            </w:pPr>
          </w:p>
        </w:tc>
        <w:tc>
          <w:tcPr>
            <w:tcW w:w="1438" w:type="dxa"/>
            <w:vMerge w:val="continue"/>
            <w:noWrap/>
            <w:vAlign w:val="center"/>
          </w:tcPr>
          <w:p w14:paraId="043FCEE1">
            <w:pPr>
              <w:widowControl/>
              <w:spacing w:line="240" w:lineRule="auto"/>
              <w:ind w:firstLine="0" w:firstLineChars="0"/>
              <w:jc w:val="center"/>
              <w:rPr>
                <w:kern w:val="0"/>
                <w:sz w:val="21"/>
                <w:szCs w:val="21"/>
              </w:rPr>
            </w:pPr>
          </w:p>
        </w:tc>
        <w:tc>
          <w:tcPr>
            <w:tcW w:w="1151" w:type="dxa"/>
            <w:shd w:val="clear" w:color="auto" w:fill="auto"/>
            <w:noWrap/>
            <w:vAlign w:val="center"/>
          </w:tcPr>
          <w:p w14:paraId="109E8139">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TD-450-2</w:t>
            </w:r>
          </w:p>
        </w:tc>
        <w:tc>
          <w:tcPr>
            <w:tcW w:w="1171" w:type="dxa"/>
            <w:shd w:val="clear" w:color="auto" w:fill="auto"/>
            <w:noWrap/>
            <w:vAlign w:val="center"/>
          </w:tcPr>
          <w:p w14:paraId="667B63F9">
            <w:pPr>
              <w:widowControl/>
              <w:spacing w:line="240" w:lineRule="auto"/>
              <w:ind w:firstLine="0" w:firstLineChars="0"/>
              <w:jc w:val="center"/>
              <w:rPr>
                <w:kern w:val="0"/>
                <w:sz w:val="21"/>
                <w:szCs w:val="21"/>
              </w:rPr>
            </w:pPr>
            <w:r>
              <w:rPr>
                <w:kern w:val="0"/>
                <w:sz w:val="21"/>
                <w:szCs w:val="21"/>
              </w:rPr>
              <w:t>942</w:t>
            </w:r>
          </w:p>
        </w:tc>
        <w:tc>
          <w:tcPr>
            <w:tcW w:w="1110" w:type="dxa"/>
            <w:vMerge w:val="continue"/>
            <w:vAlign w:val="center"/>
          </w:tcPr>
          <w:p w14:paraId="5FB26E70">
            <w:pPr>
              <w:widowControl/>
              <w:spacing w:line="240" w:lineRule="auto"/>
              <w:ind w:firstLine="0" w:firstLineChars="0"/>
              <w:jc w:val="center"/>
              <w:rPr>
                <w:kern w:val="0"/>
                <w:sz w:val="21"/>
                <w:szCs w:val="21"/>
              </w:rPr>
            </w:pPr>
          </w:p>
        </w:tc>
        <w:tc>
          <w:tcPr>
            <w:tcW w:w="2548" w:type="dxa"/>
            <w:vMerge w:val="continue"/>
            <w:vAlign w:val="center"/>
          </w:tcPr>
          <w:p w14:paraId="795447D6">
            <w:pPr>
              <w:widowControl/>
              <w:spacing w:line="240" w:lineRule="auto"/>
              <w:ind w:firstLine="0" w:firstLineChars="0"/>
              <w:jc w:val="center"/>
              <w:rPr>
                <w:kern w:val="0"/>
                <w:sz w:val="21"/>
                <w:szCs w:val="21"/>
              </w:rPr>
            </w:pPr>
          </w:p>
        </w:tc>
        <w:tc>
          <w:tcPr>
            <w:tcW w:w="1109" w:type="dxa"/>
            <w:vMerge w:val="continue"/>
            <w:vAlign w:val="center"/>
          </w:tcPr>
          <w:p w14:paraId="7B136A66">
            <w:pPr>
              <w:widowControl/>
              <w:spacing w:line="240" w:lineRule="auto"/>
              <w:ind w:firstLine="0" w:firstLineChars="0"/>
              <w:jc w:val="center"/>
              <w:rPr>
                <w:kern w:val="0"/>
                <w:sz w:val="21"/>
                <w:szCs w:val="21"/>
              </w:rPr>
            </w:pPr>
          </w:p>
        </w:tc>
        <w:tc>
          <w:tcPr>
            <w:tcW w:w="1069" w:type="dxa"/>
            <w:vMerge w:val="continue"/>
            <w:vAlign w:val="center"/>
          </w:tcPr>
          <w:p w14:paraId="7816EC28">
            <w:pPr>
              <w:widowControl/>
              <w:spacing w:line="240" w:lineRule="auto"/>
              <w:ind w:firstLine="0" w:firstLineChars="0"/>
              <w:jc w:val="center"/>
              <w:rPr>
                <w:kern w:val="0"/>
                <w:sz w:val="21"/>
                <w:szCs w:val="21"/>
              </w:rPr>
            </w:pPr>
          </w:p>
        </w:tc>
        <w:tc>
          <w:tcPr>
            <w:tcW w:w="1109" w:type="dxa"/>
            <w:vMerge w:val="continue"/>
            <w:vAlign w:val="center"/>
          </w:tcPr>
          <w:p w14:paraId="3CE82F19">
            <w:pPr>
              <w:widowControl/>
              <w:spacing w:line="240" w:lineRule="auto"/>
              <w:ind w:firstLine="0" w:firstLineChars="0"/>
              <w:jc w:val="center"/>
              <w:rPr>
                <w:kern w:val="0"/>
                <w:sz w:val="21"/>
                <w:szCs w:val="21"/>
              </w:rPr>
            </w:pPr>
          </w:p>
        </w:tc>
        <w:tc>
          <w:tcPr>
            <w:tcW w:w="1080" w:type="dxa"/>
            <w:vMerge w:val="continue"/>
            <w:vAlign w:val="center"/>
          </w:tcPr>
          <w:p w14:paraId="7A7535CD">
            <w:pPr>
              <w:widowControl/>
              <w:spacing w:line="240" w:lineRule="auto"/>
              <w:ind w:firstLine="0" w:firstLineChars="0"/>
              <w:jc w:val="center"/>
              <w:rPr>
                <w:kern w:val="0"/>
                <w:sz w:val="21"/>
                <w:szCs w:val="21"/>
              </w:rPr>
            </w:pPr>
          </w:p>
        </w:tc>
      </w:tr>
      <w:tr w14:paraId="4AC0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2E30B172">
            <w:pPr>
              <w:widowControl/>
              <w:spacing w:line="240" w:lineRule="auto"/>
              <w:ind w:firstLine="0" w:firstLineChars="0"/>
              <w:jc w:val="center"/>
              <w:rPr>
                <w:kern w:val="0"/>
                <w:sz w:val="21"/>
                <w:szCs w:val="21"/>
              </w:rPr>
            </w:pPr>
          </w:p>
        </w:tc>
        <w:tc>
          <w:tcPr>
            <w:tcW w:w="863" w:type="dxa"/>
            <w:vMerge w:val="continue"/>
            <w:vAlign w:val="center"/>
          </w:tcPr>
          <w:p w14:paraId="7A52676F">
            <w:pPr>
              <w:widowControl/>
              <w:spacing w:line="240" w:lineRule="auto"/>
              <w:ind w:firstLine="0" w:firstLineChars="0"/>
              <w:jc w:val="center"/>
              <w:rPr>
                <w:kern w:val="0"/>
                <w:sz w:val="21"/>
                <w:szCs w:val="21"/>
              </w:rPr>
            </w:pPr>
          </w:p>
        </w:tc>
        <w:tc>
          <w:tcPr>
            <w:tcW w:w="794" w:type="dxa"/>
            <w:vMerge w:val="continue"/>
            <w:noWrap/>
            <w:vAlign w:val="center"/>
          </w:tcPr>
          <w:p w14:paraId="23D03725">
            <w:pPr>
              <w:widowControl/>
              <w:spacing w:line="240" w:lineRule="auto"/>
              <w:ind w:firstLine="0" w:firstLineChars="0"/>
              <w:jc w:val="center"/>
              <w:rPr>
                <w:kern w:val="0"/>
                <w:sz w:val="21"/>
                <w:szCs w:val="21"/>
              </w:rPr>
            </w:pPr>
          </w:p>
        </w:tc>
        <w:tc>
          <w:tcPr>
            <w:tcW w:w="1438" w:type="dxa"/>
            <w:vMerge w:val="restart"/>
            <w:shd w:val="clear" w:color="auto" w:fill="auto"/>
            <w:noWrap/>
            <w:vAlign w:val="center"/>
          </w:tcPr>
          <w:p w14:paraId="6639F255">
            <w:pPr>
              <w:widowControl/>
              <w:spacing w:line="240" w:lineRule="auto"/>
              <w:ind w:firstLine="0" w:firstLineChars="0"/>
              <w:jc w:val="center"/>
              <w:rPr>
                <w:kern w:val="0"/>
                <w:sz w:val="21"/>
                <w:szCs w:val="21"/>
              </w:rPr>
            </w:pPr>
            <w:r>
              <w:rPr>
                <w:kern w:val="0"/>
                <w:sz w:val="21"/>
                <w:szCs w:val="21"/>
              </w:rPr>
              <w:t>460~450m</w:t>
            </w:r>
          </w:p>
        </w:tc>
        <w:tc>
          <w:tcPr>
            <w:tcW w:w="1151" w:type="dxa"/>
            <w:shd w:val="clear" w:color="auto" w:fill="auto"/>
            <w:noWrap/>
            <w:vAlign w:val="center"/>
          </w:tcPr>
          <w:p w14:paraId="029F09F8">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TD-460-2</w:t>
            </w:r>
          </w:p>
        </w:tc>
        <w:tc>
          <w:tcPr>
            <w:tcW w:w="1171" w:type="dxa"/>
            <w:shd w:val="clear" w:color="auto" w:fill="auto"/>
            <w:noWrap/>
            <w:vAlign w:val="center"/>
          </w:tcPr>
          <w:p w14:paraId="35AF2EC6">
            <w:pPr>
              <w:widowControl/>
              <w:spacing w:line="240" w:lineRule="auto"/>
              <w:ind w:firstLine="0" w:firstLineChars="0"/>
              <w:jc w:val="center"/>
              <w:rPr>
                <w:kern w:val="0"/>
                <w:sz w:val="21"/>
                <w:szCs w:val="21"/>
              </w:rPr>
            </w:pPr>
            <w:r>
              <w:rPr>
                <w:kern w:val="0"/>
                <w:sz w:val="21"/>
                <w:szCs w:val="21"/>
              </w:rPr>
              <w:t>1502</w:t>
            </w:r>
          </w:p>
        </w:tc>
        <w:tc>
          <w:tcPr>
            <w:tcW w:w="1110" w:type="dxa"/>
            <w:vMerge w:val="restart"/>
            <w:shd w:val="clear" w:color="auto" w:fill="auto"/>
            <w:vAlign w:val="center"/>
          </w:tcPr>
          <w:p w14:paraId="189D3BFE">
            <w:pPr>
              <w:widowControl/>
              <w:tabs>
                <w:tab w:val="left" w:pos="361"/>
                <w:tab w:val="center" w:pos="492"/>
              </w:tabs>
              <w:spacing w:line="240" w:lineRule="auto"/>
              <w:ind w:firstLine="0" w:firstLineChars="0"/>
              <w:jc w:val="center"/>
              <w:rPr>
                <w:kern w:val="0"/>
                <w:sz w:val="21"/>
                <w:szCs w:val="21"/>
              </w:rPr>
            </w:pPr>
            <w:r>
              <w:rPr>
                <w:kern w:val="0"/>
                <w:sz w:val="21"/>
                <w:szCs w:val="21"/>
              </w:rPr>
              <w:t>10</w:t>
            </w:r>
          </w:p>
        </w:tc>
        <w:tc>
          <w:tcPr>
            <w:tcW w:w="2548" w:type="dxa"/>
            <w:vMerge w:val="restart"/>
            <w:shd w:val="clear" w:color="auto" w:fill="auto"/>
            <w:vAlign w:val="center"/>
          </w:tcPr>
          <w:p w14:paraId="16D1ED00">
            <w:pPr>
              <w:widowControl/>
              <w:spacing w:line="240" w:lineRule="auto"/>
              <w:ind w:firstLine="0" w:firstLineChars="0"/>
              <w:jc w:val="center"/>
              <w:rPr>
                <w:kern w:val="0"/>
                <w:sz w:val="21"/>
                <w:szCs w:val="21"/>
              </w:rPr>
            </w:pPr>
            <w:r>
              <w:rPr>
                <w:sz w:val="21"/>
                <w:szCs w:val="21"/>
              </w:rPr>
              <w:t>V=(S</w:t>
            </w:r>
            <w:r>
              <w:rPr>
                <w:sz w:val="21"/>
                <w:szCs w:val="21"/>
                <w:vertAlign w:val="subscript"/>
              </w:rPr>
              <w:t>1</w:t>
            </w:r>
            <w:r>
              <w:rPr>
                <w:sz w:val="21"/>
                <w:szCs w:val="21"/>
              </w:rPr>
              <w:t>+S</w:t>
            </w:r>
            <w:r>
              <w:rPr>
                <w:sz w:val="21"/>
                <w:szCs w:val="21"/>
                <w:vertAlign w:val="subscript"/>
              </w:rPr>
              <w:t>2</w:t>
            </w:r>
            <w:r>
              <w:rPr>
                <w:sz w:val="21"/>
                <w:szCs w:val="21"/>
              </w:rPr>
              <w:t>+</w:t>
            </w:r>
            <w:r>
              <w:rPr>
                <w:position w:val="-14"/>
                <w:sz w:val="21"/>
                <w:szCs w:val="21"/>
              </w:rPr>
              <w:object>
                <v:shape id="_x0000_i1032" o:spt="75" type="#_x0000_t75" style="height:24.75pt;width:46.5pt;" o:ole="t" filled="f" o:preferrelative="t" stroked="f" coordsize="21600,21600">
                  <v:path/>
                  <v:fill on="f" focussize="0,0"/>
                  <v:stroke on="f" joinstyle="miter"/>
                  <v:imagedata r:id="rId21" o:title=""/>
                  <o:lock v:ext="edit" aspectratio="t"/>
                  <w10:wrap type="none"/>
                  <w10:anchorlock/>
                </v:shape>
                <o:OLEObject Type="Embed" ProgID="Equation.DSMT4" ShapeID="_x0000_i1032" DrawAspect="Content" ObjectID="_1468075732" r:id="rId27">
                  <o:LockedField>false</o:LockedField>
                </o:OLEObject>
              </w:object>
            </w:r>
            <w:r>
              <w:rPr>
                <w:sz w:val="21"/>
                <w:szCs w:val="21"/>
              </w:rPr>
              <w:t>)·L/3</w:t>
            </w:r>
          </w:p>
        </w:tc>
        <w:tc>
          <w:tcPr>
            <w:tcW w:w="1109" w:type="dxa"/>
            <w:vMerge w:val="restart"/>
            <w:shd w:val="clear" w:color="auto" w:fill="auto"/>
            <w:vAlign w:val="center"/>
          </w:tcPr>
          <w:p w14:paraId="5E3E1E69">
            <w:pPr>
              <w:widowControl/>
              <w:spacing w:line="240" w:lineRule="auto"/>
              <w:ind w:firstLine="0" w:firstLineChars="0"/>
              <w:jc w:val="center"/>
              <w:rPr>
                <w:kern w:val="0"/>
                <w:sz w:val="21"/>
                <w:szCs w:val="21"/>
              </w:rPr>
            </w:pPr>
            <w:r>
              <w:rPr>
                <w:kern w:val="0"/>
                <w:sz w:val="21"/>
                <w:szCs w:val="21"/>
              </w:rPr>
              <w:t>2.70</w:t>
            </w:r>
          </w:p>
        </w:tc>
        <w:tc>
          <w:tcPr>
            <w:tcW w:w="1069" w:type="dxa"/>
            <w:vMerge w:val="restart"/>
            <w:shd w:val="clear" w:color="auto" w:fill="auto"/>
            <w:vAlign w:val="center"/>
          </w:tcPr>
          <w:p w14:paraId="2BFF2A02">
            <w:pPr>
              <w:widowControl/>
              <w:spacing w:line="240" w:lineRule="auto"/>
              <w:ind w:firstLine="0" w:firstLineChars="0"/>
              <w:jc w:val="center"/>
              <w:rPr>
                <w:kern w:val="0"/>
                <w:sz w:val="21"/>
                <w:szCs w:val="21"/>
              </w:rPr>
            </w:pPr>
            <w:r>
              <w:rPr>
                <w:kern w:val="0"/>
                <w:sz w:val="21"/>
                <w:szCs w:val="21"/>
              </w:rPr>
              <w:t>2.78</w:t>
            </w:r>
          </w:p>
        </w:tc>
        <w:tc>
          <w:tcPr>
            <w:tcW w:w="1109" w:type="dxa"/>
            <w:vMerge w:val="continue"/>
            <w:vAlign w:val="center"/>
          </w:tcPr>
          <w:p w14:paraId="3A61EFA0">
            <w:pPr>
              <w:widowControl/>
              <w:spacing w:line="240" w:lineRule="auto"/>
              <w:ind w:firstLine="0" w:firstLineChars="0"/>
              <w:jc w:val="center"/>
              <w:rPr>
                <w:kern w:val="0"/>
                <w:sz w:val="21"/>
                <w:szCs w:val="21"/>
              </w:rPr>
            </w:pPr>
          </w:p>
        </w:tc>
        <w:tc>
          <w:tcPr>
            <w:tcW w:w="1080" w:type="dxa"/>
            <w:vMerge w:val="continue"/>
            <w:vAlign w:val="center"/>
          </w:tcPr>
          <w:p w14:paraId="098EEA41">
            <w:pPr>
              <w:widowControl/>
              <w:spacing w:line="240" w:lineRule="auto"/>
              <w:ind w:firstLine="0" w:firstLineChars="0"/>
              <w:jc w:val="center"/>
              <w:rPr>
                <w:kern w:val="0"/>
                <w:sz w:val="21"/>
                <w:szCs w:val="21"/>
              </w:rPr>
            </w:pPr>
          </w:p>
        </w:tc>
      </w:tr>
      <w:tr w14:paraId="6715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2" w:hRule="atLeast"/>
        </w:trPr>
        <w:tc>
          <w:tcPr>
            <w:tcW w:w="1137" w:type="dxa"/>
            <w:vMerge w:val="continue"/>
            <w:vAlign w:val="center"/>
          </w:tcPr>
          <w:p w14:paraId="26D01439">
            <w:pPr>
              <w:widowControl/>
              <w:spacing w:line="240" w:lineRule="auto"/>
              <w:ind w:firstLine="0" w:firstLineChars="0"/>
              <w:jc w:val="center"/>
              <w:rPr>
                <w:kern w:val="0"/>
                <w:sz w:val="21"/>
                <w:szCs w:val="21"/>
              </w:rPr>
            </w:pPr>
          </w:p>
        </w:tc>
        <w:tc>
          <w:tcPr>
            <w:tcW w:w="863" w:type="dxa"/>
            <w:vMerge w:val="continue"/>
            <w:vAlign w:val="center"/>
          </w:tcPr>
          <w:p w14:paraId="22FD5110">
            <w:pPr>
              <w:widowControl/>
              <w:spacing w:line="240" w:lineRule="auto"/>
              <w:ind w:firstLine="0" w:firstLineChars="0"/>
              <w:jc w:val="center"/>
              <w:rPr>
                <w:kern w:val="0"/>
                <w:sz w:val="21"/>
                <w:szCs w:val="21"/>
              </w:rPr>
            </w:pPr>
          </w:p>
        </w:tc>
        <w:tc>
          <w:tcPr>
            <w:tcW w:w="794" w:type="dxa"/>
            <w:vMerge w:val="continue"/>
            <w:noWrap/>
            <w:vAlign w:val="center"/>
          </w:tcPr>
          <w:p w14:paraId="2C2F1935">
            <w:pPr>
              <w:widowControl/>
              <w:spacing w:line="240" w:lineRule="auto"/>
              <w:ind w:firstLine="0" w:firstLineChars="0"/>
              <w:jc w:val="center"/>
              <w:rPr>
                <w:kern w:val="0"/>
                <w:sz w:val="21"/>
                <w:szCs w:val="21"/>
              </w:rPr>
            </w:pPr>
          </w:p>
        </w:tc>
        <w:tc>
          <w:tcPr>
            <w:tcW w:w="1438" w:type="dxa"/>
            <w:vMerge w:val="continue"/>
            <w:noWrap/>
            <w:vAlign w:val="center"/>
          </w:tcPr>
          <w:p w14:paraId="4FB3FD4C">
            <w:pPr>
              <w:widowControl/>
              <w:spacing w:line="240" w:lineRule="auto"/>
              <w:ind w:firstLine="0" w:firstLineChars="0"/>
              <w:jc w:val="center"/>
              <w:rPr>
                <w:kern w:val="0"/>
                <w:sz w:val="21"/>
                <w:szCs w:val="21"/>
              </w:rPr>
            </w:pPr>
          </w:p>
        </w:tc>
        <w:tc>
          <w:tcPr>
            <w:tcW w:w="1151" w:type="dxa"/>
            <w:shd w:val="clear" w:color="auto" w:fill="auto"/>
            <w:noWrap/>
            <w:vAlign w:val="center"/>
          </w:tcPr>
          <w:p w14:paraId="7AA07A6A">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TD-450-3</w:t>
            </w:r>
          </w:p>
        </w:tc>
        <w:tc>
          <w:tcPr>
            <w:tcW w:w="1171" w:type="dxa"/>
            <w:shd w:val="clear" w:color="auto" w:fill="auto"/>
            <w:noWrap/>
            <w:vAlign w:val="center"/>
          </w:tcPr>
          <w:p w14:paraId="5C9D0A3B">
            <w:pPr>
              <w:widowControl/>
              <w:spacing w:line="240" w:lineRule="auto"/>
              <w:ind w:firstLine="0" w:firstLineChars="0"/>
              <w:jc w:val="center"/>
              <w:rPr>
                <w:kern w:val="0"/>
                <w:sz w:val="21"/>
                <w:szCs w:val="21"/>
              </w:rPr>
            </w:pPr>
            <w:r>
              <w:rPr>
                <w:kern w:val="0"/>
                <w:sz w:val="21"/>
                <w:szCs w:val="21"/>
              </w:rPr>
              <w:t>4297</w:t>
            </w:r>
          </w:p>
        </w:tc>
        <w:tc>
          <w:tcPr>
            <w:tcW w:w="1110" w:type="dxa"/>
            <w:vMerge w:val="continue"/>
            <w:vAlign w:val="center"/>
          </w:tcPr>
          <w:p w14:paraId="2C2C5B90">
            <w:pPr>
              <w:widowControl/>
              <w:spacing w:line="240" w:lineRule="auto"/>
              <w:ind w:firstLine="0" w:firstLineChars="0"/>
              <w:jc w:val="center"/>
              <w:rPr>
                <w:kern w:val="0"/>
                <w:sz w:val="21"/>
                <w:szCs w:val="21"/>
              </w:rPr>
            </w:pPr>
          </w:p>
        </w:tc>
        <w:tc>
          <w:tcPr>
            <w:tcW w:w="2548" w:type="dxa"/>
            <w:vMerge w:val="continue"/>
            <w:vAlign w:val="center"/>
          </w:tcPr>
          <w:p w14:paraId="68F0FA6A">
            <w:pPr>
              <w:widowControl/>
              <w:spacing w:line="240" w:lineRule="auto"/>
              <w:ind w:firstLine="0" w:firstLineChars="0"/>
              <w:jc w:val="center"/>
              <w:rPr>
                <w:kern w:val="0"/>
                <w:sz w:val="21"/>
                <w:szCs w:val="21"/>
              </w:rPr>
            </w:pPr>
          </w:p>
        </w:tc>
        <w:tc>
          <w:tcPr>
            <w:tcW w:w="1109" w:type="dxa"/>
            <w:vMerge w:val="continue"/>
            <w:vAlign w:val="center"/>
          </w:tcPr>
          <w:p w14:paraId="589E87C0">
            <w:pPr>
              <w:widowControl/>
              <w:spacing w:line="240" w:lineRule="auto"/>
              <w:ind w:firstLine="0" w:firstLineChars="0"/>
              <w:jc w:val="center"/>
              <w:rPr>
                <w:kern w:val="0"/>
                <w:sz w:val="21"/>
                <w:szCs w:val="21"/>
              </w:rPr>
            </w:pPr>
          </w:p>
        </w:tc>
        <w:tc>
          <w:tcPr>
            <w:tcW w:w="1069" w:type="dxa"/>
            <w:vMerge w:val="continue"/>
            <w:vAlign w:val="center"/>
          </w:tcPr>
          <w:p w14:paraId="07545DB3">
            <w:pPr>
              <w:widowControl/>
              <w:spacing w:line="240" w:lineRule="auto"/>
              <w:ind w:firstLine="0" w:firstLineChars="0"/>
              <w:jc w:val="center"/>
              <w:rPr>
                <w:kern w:val="0"/>
                <w:sz w:val="21"/>
                <w:szCs w:val="21"/>
              </w:rPr>
            </w:pPr>
          </w:p>
        </w:tc>
        <w:tc>
          <w:tcPr>
            <w:tcW w:w="1109" w:type="dxa"/>
            <w:vMerge w:val="continue"/>
            <w:vAlign w:val="center"/>
          </w:tcPr>
          <w:p w14:paraId="7A29FC1F">
            <w:pPr>
              <w:widowControl/>
              <w:spacing w:line="240" w:lineRule="auto"/>
              <w:ind w:firstLine="0" w:firstLineChars="0"/>
              <w:jc w:val="center"/>
              <w:rPr>
                <w:kern w:val="0"/>
                <w:sz w:val="21"/>
                <w:szCs w:val="21"/>
              </w:rPr>
            </w:pPr>
          </w:p>
        </w:tc>
        <w:tc>
          <w:tcPr>
            <w:tcW w:w="1080" w:type="dxa"/>
            <w:vMerge w:val="continue"/>
            <w:vAlign w:val="center"/>
          </w:tcPr>
          <w:p w14:paraId="5DABCC37">
            <w:pPr>
              <w:widowControl/>
              <w:spacing w:line="240" w:lineRule="auto"/>
              <w:ind w:firstLine="0" w:firstLineChars="0"/>
              <w:jc w:val="center"/>
              <w:rPr>
                <w:kern w:val="0"/>
                <w:sz w:val="21"/>
                <w:szCs w:val="21"/>
              </w:rPr>
            </w:pPr>
          </w:p>
        </w:tc>
      </w:tr>
      <w:tr w14:paraId="12B6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55371618">
            <w:pPr>
              <w:widowControl/>
              <w:spacing w:line="240" w:lineRule="auto"/>
              <w:ind w:firstLine="0" w:firstLineChars="0"/>
              <w:jc w:val="center"/>
              <w:rPr>
                <w:kern w:val="0"/>
                <w:sz w:val="21"/>
                <w:szCs w:val="21"/>
              </w:rPr>
            </w:pPr>
          </w:p>
        </w:tc>
        <w:tc>
          <w:tcPr>
            <w:tcW w:w="863" w:type="dxa"/>
            <w:vMerge w:val="continue"/>
            <w:vAlign w:val="center"/>
          </w:tcPr>
          <w:p w14:paraId="49E6CC87">
            <w:pPr>
              <w:widowControl/>
              <w:spacing w:line="240" w:lineRule="auto"/>
              <w:ind w:firstLine="0" w:firstLineChars="0"/>
              <w:jc w:val="center"/>
              <w:rPr>
                <w:kern w:val="0"/>
                <w:sz w:val="21"/>
                <w:szCs w:val="21"/>
              </w:rPr>
            </w:pPr>
          </w:p>
        </w:tc>
        <w:tc>
          <w:tcPr>
            <w:tcW w:w="794" w:type="dxa"/>
            <w:vMerge w:val="continue"/>
            <w:noWrap/>
            <w:vAlign w:val="center"/>
          </w:tcPr>
          <w:p w14:paraId="141CA315">
            <w:pPr>
              <w:widowControl/>
              <w:spacing w:line="240" w:lineRule="auto"/>
              <w:ind w:firstLine="0" w:firstLineChars="0"/>
              <w:jc w:val="center"/>
              <w:rPr>
                <w:kern w:val="0"/>
                <w:sz w:val="21"/>
                <w:szCs w:val="21"/>
              </w:rPr>
            </w:pPr>
          </w:p>
        </w:tc>
        <w:tc>
          <w:tcPr>
            <w:tcW w:w="1438" w:type="dxa"/>
            <w:vMerge w:val="restart"/>
            <w:noWrap/>
            <w:vAlign w:val="center"/>
          </w:tcPr>
          <w:p w14:paraId="7D4C8CE3">
            <w:pPr>
              <w:widowControl/>
              <w:spacing w:line="240" w:lineRule="auto"/>
              <w:ind w:firstLine="0" w:firstLineChars="0"/>
              <w:jc w:val="center"/>
              <w:rPr>
                <w:kern w:val="0"/>
                <w:sz w:val="21"/>
                <w:szCs w:val="21"/>
              </w:rPr>
            </w:pPr>
            <w:r>
              <w:rPr>
                <w:kern w:val="0"/>
                <w:sz w:val="21"/>
                <w:szCs w:val="21"/>
              </w:rPr>
              <w:t>450~440m</w:t>
            </w:r>
          </w:p>
        </w:tc>
        <w:tc>
          <w:tcPr>
            <w:tcW w:w="1151" w:type="dxa"/>
            <w:noWrap/>
            <w:vAlign w:val="center"/>
          </w:tcPr>
          <w:p w14:paraId="13807885">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TD-450-1</w:t>
            </w:r>
          </w:p>
        </w:tc>
        <w:tc>
          <w:tcPr>
            <w:tcW w:w="1171" w:type="dxa"/>
            <w:noWrap/>
            <w:vAlign w:val="center"/>
          </w:tcPr>
          <w:p w14:paraId="79E90A37">
            <w:pPr>
              <w:widowControl/>
              <w:spacing w:line="240" w:lineRule="auto"/>
              <w:ind w:firstLine="0" w:firstLineChars="0"/>
              <w:jc w:val="center"/>
              <w:rPr>
                <w:kern w:val="0"/>
                <w:sz w:val="21"/>
                <w:szCs w:val="21"/>
              </w:rPr>
            </w:pPr>
            <w:r>
              <w:rPr>
                <w:kern w:val="0"/>
                <w:sz w:val="21"/>
                <w:szCs w:val="21"/>
              </w:rPr>
              <w:t>56377</w:t>
            </w:r>
          </w:p>
        </w:tc>
        <w:tc>
          <w:tcPr>
            <w:tcW w:w="1110" w:type="dxa"/>
            <w:vMerge w:val="restart"/>
            <w:vAlign w:val="center"/>
          </w:tcPr>
          <w:p w14:paraId="0B8543F2">
            <w:pPr>
              <w:widowControl/>
              <w:spacing w:line="240" w:lineRule="auto"/>
              <w:ind w:firstLine="0" w:firstLineChars="0"/>
              <w:jc w:val="center"/>
              <w:rPr>
                <w:kern w:val="0"/>
                <w:sz w:val="21"/>
                <w:szCs w:val="21"/>
              </w:rPr>
            </w:pPr>
            <w:r>
              <w:rPr>
                <w:kern w:val="0"/>
                <w:sz w:val="21"/>
                <w:szCs w:val="21"/>
              </w:rPr>
              <w:t>10</w:t>
            </w:r>
          </w:p>
        </w:tc>
        <w:tc>
          <w:tcPr>
            <w:tcW w:w="2548" w:type="dxa"/>
            <w:vMerge w:val="restart"/>
            <w:vAlign w:val="center"/>
          </w:tcPr>
          <w:p w14:paraId="7A765D95">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vAlign w:val="center"/>
          </w:tcPr>
          <w:p w14:paraId="322617C9">
            <w:pPr>
              <w:widowControl/>
              <w:spacing w:line="240" w:lineRule="auto"/>
              <w:ind w:firstLine="0" w:firstLineChars="0"/>
              <w:jc w:val="center"/>
              <w:rPr>
                <w:kern w:val="0"/>
                <w:sz w:val="21"/>
                <w:szCs w:val="21"/>
              </w:rPr>
            </w:pPr>
            <w:r>
              <w:rPr>
                <w:kern w:val="0"/>
                <w:sz w:val="21"/>
                <w:szCs w:val="21"/>
              </w:rPr>
              <w:t>2.70</w:t>
            </w:r>
          </w:p>
        </w:tc>
        <w:tc>
          <w:tcPr>
            <w:tcW w:w="1069" w:type="dxa"/>
            <w:vMerge w:val="restart"/>
            <w:vAlign w:val="center"/>
          </w:tcPr>
          <w:p w14:paraId="273ED0C4">
            <w:pPr>
              <w:widowControl/>
              <w:spacing w:line="240" w:lineRule="auto"/>
              <w:ind w:firstLine="0" w:firstLineChars="0"/>
              <w:jc w:val="center"/>
              <w:rPr>
                <w:kern w:val="0"/>
                <w:sz w:val="21"/>
                <w:szCs w:val="21"/>
              </w:rPr>
            </w:pPr>
            <w:r>
              <w:rPr>
                <w:kern w:val="0"/>
                <w:sz w:val="21"/>
                <w:szCs w:val="21"/>
              </w:rPr>
              <w:t>60.56</w:t>
            </w:r>
          </w:p>
        </w:tc>
        <w:tc>
          <w:tcPr>
            <w:tcW w:w="1109" w:type="dxa"/>
            <w:vMerge w:val="continue"/>
            <w:vAlign w:val="center"/>
          </w:tcPr>
          <w:p w14:paraId="05893D6F">
            <w:pPr>
              <w:widowControl/>
              <w:spacing w:line="240" w:lineRule="auto"/>
              <w:ind w:firstLine="0" w:firstLineChars="0"/>
              <w:jc w:val="center"/>
              <w:rPr>
                <w:kern w:val="0"/>
                <w:sz w:val="21"/>
                <w:szCs w:val="21"/>
              </w:rPr>
            </w:pPr>
          </w:p>
        </w:tc>
        <w:tc>
          <w:tcPr>
            <w:tcW w:w="1080" w:type="dxa"/>
            <w:vMerge w:val="continue"/>
            <w:vAlign w:val="center"/>
          </w:tcPr>
          <w:p w14:paraId="3DA4FD70">
            <w:pPr>
              <w:widowControl/>
              <w:spacing w:line="240" w:lineRule="auto"/>
              <w:ind w:firstLine="0" w:firstLineChars="0"/>
              <w:jc w:val="center"/>
              <w:rPr>
                <w:kern w:val="0"/>
                <w:sz w:val="21"/>
                <w:szCs w:val="21"/>
              </w:rPr>
            </w:pPr>
          </w:p>
        </w:tc>
      </w:tr>
      <w:tr w14:paraId="3D80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2AEE1355">
            <w:pPr>
              <w:widowControl/>
              <w:spacing w:line="240" w:lineRule="auto"/>
              <w:ind w:firstLine="0" w:firstLineChars="0"/>
              <w:jc w:val="center"/>
              <w:rPr>
                <w:kern w:val="0"/>
                <w:sz w:val="21"/>
                <w:szCs w:val="21"/>
              </w:rPr>
            </w:pPr>
          </w:p>
        </w:tc>
        <w:tc>
          <w:tcPr>
            <w:tcW w:w="863" w:type="dxa"/>
            <w:vMerge w:val="continue"/>
            <w:vAlign w:val="center"/>
          </w:tcPr>
          <w:p w14:paraId="77D76E14">
            <w:pPr>
              <w:widowControl/>
              <w:spacing w:line="240" w:lineRule="auto"/>
              <w:ind w:firstLine="0" w:firstLineChars="0"/>
              <w:jc w:val="center"/>
              <w:rPr>
                <w:kern w:val="0"/>
                <w:sz w:val="21"/>
                <w:szCs w:val="21"/>
              </w:rPr>
            </w:pPr>
          </w:p>
        </w:tc>
        <w:tc>
          <w:tcPr>
            <w:tcW w:w="794" w:type="dxa"/>
            <w:vMerge w:val="continue"/>
            <w:noWrap/>
            <w:vAlign w:val="center"/>
          </w:tcPr>
          <w:p w14:paraId="4CC83073">
            <w:pPr>
              <w:widowControl/>
              <w:spacing w:line="240" w:lineRule="auto"/>
              <w:ind w:firstLine="0" w:firstLineChars="0"/>
              <w:jc w:val="center"/>
              <w:rPr>
                <w:kern w:val="0"/>
                <w:sz w:val="21"/>
                <w:szCs w:val="21"/>
              </w:rPr>
            </w:pPr>
          </w:p>
        </w:tc>
        <w:tc>
          <w:tcPr>
            <w:tcW w:w="1438" w:type="dxa"/>
            <w:vMerge w:val="continue"/>
            <w:noWrap/>
            <w:vAlign w:val="center"/>
          </w:tcPr>
          <w:p w14:paraId="1FBD60E2">
            <w:pPr>
              <w:widowControl/>
              <w:spacing w:line="240" w:lineRule="auto"/>
              <w:ind w:firstLine="0" w:firstLineChars="0"/>
              <w:jc w:val="center"/>
              <w:rPr>
                <w:kern w:val="0"/>
                <w:sz w:val="21"/>
                <w:szCs w:val="21"/>
              </w:rPr>
            </w:pPr>
          </w:p>
        </w:tc>
        <w:tc>
          <w:tcPr>
            <w:tcW w:w="1151" w:type="dxa"/>
            <w:noWrap/>
            <w:vAlign w:val="center"/>
          </w:tcPr>
          <w:p w14:paraId="31A1EE00">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TD-440-1</w:t>
            </w:r>
          </w:p>
        </w:tc>
        <w:tc>
          <w:tcPr>
            <w:tcW w:w="1171" w:type="dxa"/>
            <w:noWrap/>
            <w:vAlign w:val="center"/>
          </w:tcPr>
          <w:p w14:paraId="722CCF0C">
            <w:pPr>
              <w:widowControl/>
              <w:spacing w:line="240" w:lineRule="auto"/>
              <w:ind w:firstLine="0" w:firstLineChars="0"/>
              <w:jc w:val="center"/>
              <w:rPr>
                <w:kern w:val="0"/>
                <w:sz w:val="21"/>
                <w:szCs w:val="21"/>
              </w:rPr>
            </w:pPr>
            <w:r>
              <w:rPr>
                <w:kern w:val="0"/>
                <w:sz w:val="21"/>
                <w:szCs w:val="21"/>
              </w:rPr>
              <w:t>64745</w:t>
            </w:r>
          </w:p>
        </w:tc>
        <w:tc>
          <w:tcPr>
            <w:tcW w:w="1110" w:type="dxa"/>
            <w:vMerge w:val="continue"/>
            <w:vAlign w:val="center"/>
          </w:tcPr>
          <w:p w14:paraId="6EBD90DF">
            <w:pPr>
              <w:widowControl/>
              <w:spacing w:line="240" w:lineRule="auto"/>
              <w:ind w:firstLine="0" w:firstLineChars="0"/>
              <w:jc w:val="center"/>
              <w:rPr>
                <w:kern w:val="0"/>
                <w:sz w:val="21"/>
                <w:szCs w:val="21"/>
              </w:rPr>
            </w:pPr>
          </w:p>
        </w:tc>
        <w:tc>
          <w:tcPr>
            <w:tcW w:w="2548" w:type="dxa"/>
            <w:vMerge w:val="continue"/>
            <w:vAlign w:val="center"/>
          </w:tcPr>
          <w:p w14:paraId="2457F7A4">
            <w:pPr>
              <w:widowControl/>
              <w:spacing w:line="240" w:lineRule="auto"/>
              <w:ind w:firstLine="0" w:firstLineChars="0"/>
              <w:jc w:val="center"/>
              <w:rPr>
                <w:kern w:val="0"/>
                <w:sz w:val="21"/>
                <w:szCs w:val="21"/>
              </w:rPr>
            </w:pPr>
          </w:p>
        </w:tc>
        <w:tc>
          <w:tcPr>
            <w:tcW w:w="1109" w:type="dxa"/>
            <w:vMerge w:val="continue"/>
            <w:vAlign w:val="center"/>
          </w:tcPr>
          <w:p w14:paraId="295453F1">
            <w:pPr>
              <w:widowControl/>
              <w:spacing w:line="240" w:lineRule="auto"/>
              <w:ind w:firstLine="0" w:firstLineChars="0"/>
              <w:jc w:val="center"/>
              <w:rPr>
                <w:kern w:val="0"/>
                <w:sz w:val="21"/>
                <w:szCs w:val="21"/>
              </w:rPr>
            </w:pPr>
          </w:p>
        </w:tc>
        <w:tc>
          <w:tcPr>
            <w:tcW w:w="1069" w:type="dxa"/>
            <w:vMerge w:val="continue"/>
            <w:vAlign w:val="center"/>
          </w:tcPr>
          <w:p w14:paraId="2764CED9">
            <w:pPr>
              <w:widowControl/>
              <w:spacing w:line="240" w:lineRule="auto"/>
              <w:ind w:firstLine="0" w:firstLineChars="0"/>
              <w:jc w:val="center"/>
              <w:rPr>
                <w:kern w:val="0"/>
                <w:sz w:val="21"/>
                <w:szCs w:val="21"/>
              </w:rPr>
            </w:pPr>
          </w:p>
        </w:tc>
        <w:tc>
          <w:tcPr>
            <w:tcW w:w="1109" w:type="dxa"/>
            <w:vMerge w:val="continue"/>
            <w:vAlign w:val="center"/>
          </w:tcPr>
          <w:p w14:paraId="081A1BAD">
            <w:pPr>
              <w:widowControl/>
              <w:spacing w:line="240" w:lineRule="auto"/>
              <w:ind w:firstLine="0" w:firstLineChars="0"/>
              <w:jc w:val="center"/>
              <w:rPr>
                <w:kern w:val="0"/>
                <w:sz w:val="21"/>
                <w:szCs w:val="21"/>
              </w:rPr>
            </w:pPr>
          </w:p>
        </w:tc>
        <w:tc>
          <w:tcPr>
            <w:tcW w:w="1080" w:type="dxa"/>
            <w:vMerge w:val="continue"/>
            <w:vAlign w:val="center"/>
          </w:tcPr>
          <w:p w14:paraId="03C1D6FF">
            <w:pPr>
              <w:widowControl/>
              <w:spacing w:line="240" w:lineRule="auto"/>
              <w:ind w:firstLine="0" w:firstLineChars="0"/>
              <w:jc w:val="center"/>
              <w:rPr>
                <w:kern w:val="0"/>
                <w:sz w:val="21"/>
                <w:szCs w:val="21"/>
              </w:rPr>
            </w:pPr>
          </w:p>
        </w:tc>
      </w:tr>
      <w:tr w14:paraId="7C42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37666C8B">
            <w:pPr>
              <w:widowControl/>
              <w:spacing w:line="240" w:lineRule="auto"/>
              <w:ind w:firstLine="0" w:firstLineChars="0"/>
              <w:jc w:val="center"/>
              <w:rPr>
                <w:kern w:val="0"/>
                <w:sz w:val="21"/>
                <w:szCs w:val="21"/>
              </w:rPr>
            </w:pPr>
          </w:p>
        </w:tc>
        <w:tc>
          <w:tcPr>
            <w:tcW w:w="863" w:type="dxa"/>
            <w:vMerge w:val="continue"/>
            <w:vAlign w:val="center"/>
          </w:tcPr>
          <w:p w14:paraId="0053D53F">
            <w:pPr>
              <w:widowControl/>
              <w:spacing w:line="240" w:lineRule="auto"/>
              <w:ind w:firstLine="0" w:firstLineChars="0"/>
              <w:jc w:val="center"/>
              <w:rPr>
                <w:kern w:val="0"/>
                <w:sz w:val="21"/>
                <w:szCs w:val="21"/>
              </w:rPr>
            </w:pPr>
          </w:p>
        </w:tc>
        <w:tc>
          <w:tcPr>
            <w:tcW w:w="794" w:type="dxa"/>
            <w:vMerge w:val="continue"/>
            <w:noWrap/>
            <w:vAlign w:val="center"/>
          </w:tcPr>
          <w:p w14:paraId="52B634F6">
            <w:pPr>
              <w:widowControl/>
              <w:spacing w:line="240" w:lineRule="auto"/>
              <w:ind w:firstLine="0" w:firstLineChars="0"/>
              <w:jc w:val="center"/>
              <w:rPr>
                <w:kern w:val="0"/>
                <w:sz w:val="21"/>
                <w:szCs w:val="21"/>
              </w:rPr>
            </w:pPr>
          </w:p>
        </w:tc>
        <w:tc>
          <w:tcPr>
            <w:tcW w:w="1438" w:type="dxa"/>
            <w:vMerge w:val="restart"/>
            <w:shd w:val="clear" w:color="auto" w:fill="auto"/>
            <w:noWrap/>
            <w:vAlign w:val="center"/>
          </w:tcPr>
          <w:p w14:paraId="18624BA1">
            <w:pPr>
              <w:widowControl/>
              <w:spacing w:line="240" w:lineRule="auto"/>
              <w:ind w:firstLine="0" w:firstLineChars="0"/>
              <w:jc w:val="center"/>
              <w:rPr>
                <w:kern w:val="0"/>
                <w:sz w:val="21"/>
                <w:szCs w:val="21"/>
              </w:rPr>
            </w:pPr>
            <w:r>
              <w:rPr>
                <w:kern w:val="0"/>
                <w:sz w:val="21"/>
                <w:szCs w:val="21"/>
              </w:rPr>
              <w:t>450~440m</w:t>
            </w:r>
          </w:p>
        </w:tc>
        <w:tc>
          <w:tcPr>
            <w:tcW w:w="1151" w:type="dxa"/>
            <w:shd w:val="clear" w:color="auto" w:fill="auto"/>
            <w:noWrap/>
            <w:vAlign w:val="center"/>
          </w:tcPr>
          <w:p w14:paraId="093AC8F7">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TD-450-2</w:t>
            </w:r>
          </w:p>
        </w:tc>
        <w:tc>
          <w:tcPr>
            <w:tcW w:w="1171" w:type="dxa"/>
            <w:shd w:val="clear" w:color="auto" w:fill="auto"/>
            <w:noWrap/>
            <w:vAlign w:val="center"/>
          </w:tcPr>
          <w:p w14:paraId="1118E609">
            <w:pPr>
              <w:widowControl/>
              <w:spacing w:line="240" w:lineRule="auto"/>
              <w:ind w:firstLine="0" w:firstLineChars="0"/>
              <w:jc w:val="center"/>
              <w:rPr>
                <w:kern w:val="0"/>
                <w:sz w:val="21"/>
                <w:szCs w:val="21"/>
              </w:rPr>
            </w:pPr>
            <w:r>
              <w:rPr>
                <w:kern w:val="0"/>
                <w:sz w:val="21"/>
                <w:szCs w:val="21"/>
              </w:rPr>
              <w:t>0</w:t>
            </w:r>
          </w:p>
        </w:tc>
        <w:tc>
          <w:tcPr>
            <w:tcW w:w="1110" w:type="dxa"/>
            <w:vMerge w:val="restart"/>
            <w:vAlign w:val="center"/>
          </w:tcPr>
          <w:p w14:paraId="209773F8">
            <w:pPr>
              <w:widowControl/>
              <w:spacing w:line="240" w:lineRule="auto"/>
              <w:ind w:firstLine="0" w:firstLineChars="0"/>
              <w:jc w:val="center"/>
              <w:rPr>
                <w:kern w:val="0"/>
                <w:sz w:val="21"/>
                <w:szCs w:val="21"/>
              </w:rPr>
            </w:pPr>
            <w:r>
              <w:rPr>
                <w:kern w:val="0"/>
                <w:sz w:val="21"/>
                <w:szCs w:val="21"/>
              </w:rPr>
              <w:t>6</w:t>
            </w:r>
          </w:p>
        </w:tc>
        <w:tc>
          <w:tcPr>
            <w:tcW w:w="2548" w:type="dxa"/>
            <w:vMerge w:val="restart"/>
            <w:vAlign w:val="center"/>
          </w:tcPr>
          <w:p w14:paraId="0AF6CE8E">
            <w:pPr>
              <w:widowControl/>
              <w:spacing w:line="240" w:lineRule="auto"/>
              <w:ind w:firstLine="0" w:firstLineChars="0"/>
              <w:jc w:val="center"/>
              <w:rPr>
                <w:kern w:val="0"/>
                <w:sz w:val="21"/>
                <w:szCs w:val="21"/>
              </w:rPr>
            </w:pPr>
            <w:r>
              <w:rPr>
                <w:kern w:val="0"/>
                <w:sz w:val="21"/>
                <w:szCs w:val="21"/>
              </w:rPr>
              <w:t>V=S·L/3</w:t>
            </w:r>
          </w:p>
        </w:tc>
        <w:tc>
          <w:tcPr>
            <w:tcW w:w="1109" w:type="dxa"/>
            <w:vMerge w:val="restart"/>
            <w:vAlign w:val="center"/>
          </w:tcPr>
          <w:p w14:paraId="328C20FC">
            <w:pPr>
              <w:widowControl/>
              <w:spacing w:line="240" w:lineRule="auto"/>
              <w:ind w:firstLine="0" w:firstLineChars="0"/>
              <w:jc w:val="center"/>
              <w:rPr>
                <w:kern w:val="0"/>
                <w:sz w:val="21"/>
                <w:szCs w:val="21"/>
              </w:rPr>
            </w:pPr>
            <w:r>
              <w:rPr>
                <w:kern w:val="0"/>
                <w:sz w:val="21"/>
                <w:szCs w:val="21"/>
              </w:rPr>
              <w:t>2.70</w:t>
            </w:r>
          </w:p>
        </w:tc>
        <w:tc>
          <w:tcPr>
            <w:tcW w:w="1069" w:type="dxa"/>
            <w:vMerge w:val="restart"/>
            <w:vAlign w:val="center"/>
          </w:tcPr>
          <w:p w14:paraId="174D1625">
            <w:pPr>
              <w:widowControl/>
              <w:spacing w:line="240" w:lineRule="auto"/>
              <w:ind w:firstLine="0" w:firstLineChars="0"/>
              <w:jc w:val="center"/>
              <w:rPr>
                <w:kern w:val="0"/>
                <w:sz w:val="21"/>
                <w:szCs w:val="21"/>
              </w:rPr>
            </w:pPr>
            <w:r>
              <w:rPr>
                <w:kern w:val="0"/>
                <w:sz w:val="21"/>
                <w:szCs w:val="21"/>
              </w:rPr>
              <w:t>0.16</w:t>
            </w:r>
          </w:p>
        </w:tc>
        <w:tc>
          <w:tcPr>
            <w:tcW w:w="1109" w:type="dxa"/>
            <w:vMerge w:val="continue"/>
            <w:vAlign w:val="center"/>
          </w:tcPr>
          <w:p w14:paraId="2D575112">
            <w:pPr>
              <w:widowControl/>
              <w:spacing w:line="240" w:lineRule="auto"/>
              <w:ind w:firstLine="0" w:firstLineChars="0"/>
              <w:jc w:val="center"/>
              <w:rPr>
                <w:kern w:val="0"/>
                <w:sz w:val="21"/>
                <w:szCs w:val="21"/>
              </w:rPr>
            </w:pPr>
          </w:p>
        </w:tc>
        <w:tc>
          <w:tcPr>
            <w:tcW w:w="1080" w:type="dxa"/>
            <w:vMerge w:val="continue"/>
            <w:vAlign w:val="center"/>
          </w:tcPr>
          <w:p w14:paraId="347370A9">
            <w:pPr>
              <w:widowControl/>
              <w:spacing w:line="240" w:lineRule="auto"/>
              <w:ind w:firstLine="0" w:firstLineChars="0"/>
              <w:jc w:val="center"/>
              <w:rPr>
                <w:kern w:val="0"/>
                <w:sz w:val="21"/>
                <w:szCs w:val="21"/>
              </w:rPr>
            </w:pPr>
          </w:p>
        </w:tc>
      </w:tr>
      <w:tr w14:paraId="5969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4EE22B00">
            <w:pPr>
              <w:widowControl/>
              <w:spacing w:line="240" w:lineRule="auto"/>
              <w:ind w:firstLine="0" w:firstLineChars="0"/>
              <w:jc w:val="center"/>
              <w:rPr>
                <w:kern w:val="0"/>
                <w:sz w:val="21"/>
                <w:szCs w:val="21"/>
              </w:rPr>
            </w:pPr>
          </w:p>
        </w:tc>
        <w:tc>
          <w:tcPr>
            <w:tcW w:w="863" w:type="dxa"/>
            <w:vMerge w:val="continue"/>
            <w:vAlign w:val="center"/>
          </w:tcPr>
          <w:p w14:paraId="7530D304">
            <w:pPr>
              <w:widowControl/>
              <w:spacing w:line="240" w:lineRule="auto"/>
              <w:ind w:firstLine="0" w:firstLineChars="0"/>
              <w:jc w:val="center"/>
              <w:rPr>
                <w:kern w:val="0"/>
                <w:sz w:val="21"/>
                <w:szCs w:val="21"/>
              </w:rPr>
            </w:pPr>
          </w:p>
        </w:tc>
        <w:tc>
          <w:tcPr>
            <w:tcW w:w="794" w:type="dxa"/>
            <w:vMerge w:val="continue"/>
            <w:noWrap/>
            <w:vAlign w:val="center"/>
          </w:tcPr>
          <w:p w14:paraId="44F5D675">
            <w:pPr>
              <w:widowControl/>
              <w:spacing w:line="240" w:lineRule="auto"/>
              <w:ind w:firstLine="0" w:firstLineChars="0"/>
              <w:jc w:val="center"/>
              <w:rPr>
                <w:kern w:val="0"/>
                <w:sz w:val="21"/>
                <w:szCs w:val="21"/>
              </w:rPr>
            </w:pPr>
          </w:p>
        </w:tc>
        <w:tc>
          <w:tcPr>
            <w:tcW w:w="1438" w:type="dxa"/>
            <w:vMerge w:val="continue"/>
            <w:noWrap/>
            <w:vAlign w:val="center"/>
          </w:tcPr>
          <w:p w14:paraId="3FB1B648">
            <w:pPr>
              <w:widowControl/>
              <w:spacing w:line="240" w:lineRule="auto"/>
              <w:ind w:firstLine="0" w:firstLineChars="0"/>
              <w:jc w:val="center"/>
              <w:rPr>
                <w:kern w:val="0"/>
                <w:sz w:val="21"/>
                <w:szCs w:val="21"/>
              </w:rPr>
            </w:pPr>
          </w:p>
        </w:tc>
        <w:tc>
          <w:tcPr>
            <w:tcW w:w="1151" w:type="dxa"/>
            <w:shd w:val="clear" w:color="auto" w:fill="auto"/>
            <w:noWrap/>
            <w:vAlign w:val="center"/>
          </w:tcPr>
          <w:p w14:paraId="29F46F22">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TD-440-2</w:t>
            </w:r>
          </w:p>
        </w:tc>
        <w:tc>
          <w:tcPr>
            <w:tcW w:w="1171" w:type="dxa"/>
            <w:shd w:val="clear" w:color="auto" w:fill="auto"/>
            <w:noWrap/>
            <w:vAlign w:val="center"/>
          </w:tcPr>
          <w:p w14:paraId="76E5D9C3">
            <w:pPr>
              <w:widowControl/>
              <w:spacing w:line="240" w:lineRule="auto"/>
              <w:ind w:firstLine="0" w:firstLineChars="0"/>
              <w:jc w:val="center"/>
              <w:rPr>
                <w:kern w:val="0"/>
                <w:sz w:val="21"/>
                <w:szCs w:val="21"/>
              </w:rPr>
            </w:pPr>
            <w:r>
              <w:rPr>
                <w:kern w:val="0"/>
                <w:sz w:val="21"/>
                <w:szCs w:val="21"/>
              </w:rPr>
              <w:t>779</w:t>
            </w:r>
          </w:p>
        </w:tc>
        <w:tc>
          <w:tcPr>
            <w:tcW w:w="1110" w:type="dxa"/>
            <w:vMerge w:val="continue"/>
            <w:vAlign w:val="center"/>
          </w:tcPr>
          <w:p w14:paraId="52AA0406">
            <w:pPr>
              <w:widowControl/>
              <w:spacing w:line="240" w:lineRule="auto"/>
              <w:ind w:firstLine="0" w:firstLineChars="0"/>
              <w:jc w:val="center"/>
              <w:rPr>
                <w:kern w:val="0"/>
                <w:sz w:val="21"/>
                <w:szCs w:val="21"/>
              </w:rPr>
            </w:pPr>
          </w:p>
        </w:tc>
        <w:tc>
          <w:tcPr>
            <w:tcW w:w="2548" w:type="dxa"/>
            <w:vMerge w:val="continue"/>
            <w:vAlign w:val="center"/>
          </w:tcPr>
          <w:p w14:paraId="6B02C677">
            <w:pPr>
              <w:widowControl/>
              <w:spacing w:line="240" w:lineRule="auto"/>
              <w:ind w:firstLine="0" w:firstLineChars="0"/>
              <w:jc w:val="center"/>
              <w:rPr>
                <w:kern w:val="0"/>
                <w:sz w:val="21"/>
                <w:szCs w:val="21"/>
              </w:rPr>
            </w:pPr>
          </w:p>
        </w:tc>
        <w:tc>
          <w:tcPr>
            <w:tcW w:w="1109" w:type="dxa"/>
            <w:vMerge w:val="continue"/>
            <w:vAlign w:val="center"/>
          </w:tcPr>
          <w:p w14:paraId="1BE2B9C8">
            <w:pPr>
              <w:widowControl/>
              <w:spacing w:line="240" w:lineRule="auto"/>
              <w:ind w:firstLine="0" w:firstLineChars="0"/>
              <w:jc w:val="center"/>
              <w:rPr>
                <w:kern w:val="0"/>
                <w:sz w:val="21"/>
                <w:szCs w:val="21"/>
              </w:rPr>
            </w:pPr>
          </w:p>
        </w:tc>
        <w:tc>
          <w:tcPr>
            <w:tcW w:w="1069" w:type="dxa"/>
            <w:vMerge w:val="continue"/>
            <w:vAlign w:val="center"/>
          </w:tcPr>
          <w:p w14:paraId="7C59F68E">
            <w:pPr>
              <w:widowControl/>
              <w:spacing w:line="240" w:lineRule="auto"/>
              <w:ind w:firstLine="0" w:firstLineChars="0"/>
              <w:jc w:val="center"/>
              <w:rPr>
                <w:kern w:val="0"/>
                <w:sz w:val="21"/>
                <w:szCs w:val="21"/>
              </w:rPr>
            </w:pPr>
          </w:p>
        </w:tc>
        <w:tc>
          <w:tcPr>
            <w:tcW w:w="1109" w:type="dxa"/>
            <w:vMerge w:val="continue"/>
            <w:vAlign w:val="center"/>
          </w:tcPr>
          <w:p w14:paraId="7E8FD021">
            <w:pPr>
              <w:widowControl/>
              <w:spacing w:line="240" w:lineRule="auto"/>
              <w:ind w:firstLine="0" w:firstLineChars="0"/>
              <w:jc w:val="center"/>
              <w:rPr>
                <w:kern w:val="0"/>
                <w:sz w:val="21"/>
                <w:szCs w:val="21"/>
              </w:rPr>
            </w:pPr>
          </w:p>
        </w:tc>
        <w:tc>
          <w:tcPr>
            <w:tcW w:w="1080" w:type="dxa"/>
            <w:vMerge w:val="continue"/>
            <w:vAlign w:val="center"/>
          </w:tcPr>
          <w:p w14:paraId="08DAA0C6">
            <w:pPr>
              <w:widowControl/>
              <w:spacing w:line="240" w:lineRule="auto"/>
              <w:ind w:firstLine="0" w:firstLineChars="0"/>
              <w:jc w:val="center"/>
              <w:rPr>
                <w:kern w:val="0"/>
                <w:sz w:val="21"/>
                <w:szCs w:val="21"/>
              </w:rPr>
            </w:pPr>
          </w:p>
        </w:tc>
      </w:tr>
      <w:tr w14:paraId="3EB9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0AD834A2">
            <w:pPr>
              <w:widowControl/>
              <w:spacing w:line="240" w:lineRule="auto"/>
              <w:ind w:firstLine="0" w:firstLineChars="0"/>
              <w:jc w:val="center"/>
              <w:rPr>
                <w:kern w:val="0"/>
                <w:sz w:val="21"/>
                <w:szCs w:val="21"/>
              </w:rPr>
            </w:pPr>
          </w:p>
        </w:tc>
        <w:tc>
          <w:tcPr>
            <w:tcW w:w="863" w:type="dxa"/>
            <w:vMerge w:val="continue"/>
            <w:vAlign w:val="center"/>
          </w:tcPr>
          <w:p w14:paraId="7D088686">
            <w:pPr>
              <w:widowControl/>
              <w:spacing w:line="240" w:lineRule="auto"/>
              <w:ind w:firstLine="0" w:firstLineChars="0"/>
              <w:jc w:val="center"/>
              <w:rPr>
                <w:kern w:val="0"/>
                <w:sz w:val="21"/>
                <w:szCs w:val="21"/>
              </w:rPr>
            </w:pPr>
          </w:p>
        </w:tc>
        <w:tc>
          <w:tcPr>
            <w:tcW w:w="794" w:type="dxa"/>
            <w:vMerge w:val="continue"/>
            <w:noWrap/>
            <w:vAlign w:val="center"/>
          </w:tcPr>
          <w:p w14:paraId="180B793A">
            <w:pPr>
              <w:widowControl/>
              <w:spacing w:line="240" w:lineRule="auto"/>
              <w:ind w:firstLine="0" w:firstLineChars="0"/>
              <w:jc w:val="center"/>
              <w:rPr>
                <w:kern w:val="0"/>
                <w:sz w:val="21"/>
                <w:szCs w:val="21"/>
              </w:rPr>
            </w:pPr>
          </w:p>
        </w:tc>
        <w:tc>
          <w:tcPr>
            <w:tcW w:w="1438" w:type="dxa"/>
            <w:vMerge w:val="restart"/>
            <w:shd w:val="clear" w:color="auto" w:fill="auto"/>
            <w:noWrap/>
            <w:vAlign w:val="center"/>
          </w:tcPr>
          <w:p w14:paraId="471B6AE3">
            <w:pPr>
              <w:widowControl/>
              <w:spacing w:line="240" w:lineRule="auto"/>
              <w:ind w:firstLine="0" w:firstLineChars="0"/>
              <w:jc w:val="center"/>
              <w:rPr>
                <w:kern w:val="0"/>
                <w:sz w:val="21"/>
                <w:szCs w:val="21"/>
              </w:rPr>
            </w:pPr>
            <w:r>
              <w:rPr>
                <w:kern w:val="0"/>
                <w:sz w:val="21"/>
                <w:szCs w:val="21"/>
              </w:rPr>
              <w:t>450~440m</w:t>
            </w:r>
          </w:p>
        </w:tc>
        <w:tc>
          <w:tcPr>
            <w:tcW w:w="1151" w:type="dxa"/>
            <w:shd w:val="clear" w:color="auto" w:fill="auto"/>
            <w:noWrap/>
            <w:vAlign w:val="center"/>
          </w:tcPr>
          <w:p w14:paraId="52A2E002">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TD-450-3</w:t>
            </w:r>
          </w:p>
        </w:tc>
        <w:tc>
          <w:tcPr>
            <w:tcW w:w="1171" w:type="dxa"/>
            <w:shd w:val="clear" w:color="auto" w:fill="auto"/>
            <w:noWrap/>
            <w:vAlign w:val="center"/>
          </w:tcPr>
          <w:p w14:paraId="3E2AD0C7">
            <w:pPr>
              <w:widowControl/>
              <w:spacing w:line="240" w:lineRule="auto"/>
              <w:ind w:firstLine="0" w:firstLineChars="0"/>
              <w:jc w:val="center"/>
              <w:rPr>
                <w:kern w:val="0"/>
                <w:sz w:val="21"/>
                <w:szCs w:val="21"/>
              </w:rPr>
            </w:pPr>
            <w:r>
              <w:rPr>
                <w:kern w:val="0"/>
                <w:sz w:val="21"/>
                <w:szCs w:val="21"/>
              </w:rPr>
              <w:t>4297</w:t>
            </w:r>
          </w:p>
        </w:tc>
        <w:tc>
          <w:tcPr>
            <w:tcW w:w="1110" w:type="dxa"/>
            <w:vMerge w:val="restart"/>
            <w:shd w:val="clear" w:color="auto" w:fill="auto"/>
            <w:vAlign w:val="center"/>
          </w:tcPr>
          <w:p w14:paraId="6A55D5C9">
            <w:pPr>
              <w:widowControl/>
              <w:spacing w:line="240" w:lineRule="auto"/>
              <w:ind w:firstLine="0" w:firstLineChars="0"/>
              <w:jc w:val="center"/>
              <w:rPr>
                <w:kern w:val="0"/>
                <w:sz w:val="21"/>
                <w:szCs w:val="21"/>
              </w:rPr>
            </w:pPr>
            <w:r>
              <w:rPr>
                <w:kern w:val="0"/>
                <w:sz w:val="21"/>
                <w:szCs w:val="21"/>
              </w:rPr>
              <w:t>10</w:t>
            </w:r>
          </w:p>
        </w:tc>
        <w:tc>
          <w:tcPr>
            <w:tcW w:w="2548" w:type="dxa"/>
            <w:vMerge w:val="restart"/>
            <w:shd w:val="clear" w:color="auto" w:fill="auto"/>
            <w:vAlign w:val="center"/>
          </w:tcPr>
          <w:p w14:paraId="09192D63">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shd w:val="clear" w:color="auto" w:fill="auto"/>
            <w:vAlign w:val="center"/>
          </w:tcPr>
          <w:p w14:paraId="4E340853">
            <w:pPr>
              <w:widowControl/>
              <w:spacing w:line="240" w:lineRule="auto"/>
              <w:ind w:firstLine="0" w:firstLineChars="0"/>
              <w:jc w:val="center"/>
              <w:rPr>
                <w:kern w:val="0"/>
                <w:sz w:val="21"/>
                <w:szCs w:val="21"/>
              </w:rPr>
            </w:pPr>
            <w:r>
              <w:rPr>
                <w:kern w:val="0"/>
                <w:sz w:val="21"/>
                <w:szCs w:val="21"/>
              </w:rPr>
              <w:t>2.70</w:t>
            </w:r>
          </w:p>
        </w:tc>
        <w:tc>
          <w:tcPr>
            <w:tcW w:w="1069" w:type="dxa"/>
            <w:vMerge w:val="restart"/>
            <w:shd w:val="clear" w:color="auto" w:fill="auto"/>
            <w:vAlign w:val="center"/>
          </w:tcPr>
          <w:p w14:paraId="15BB7EAD">
            <w:pPr>
              <w:widowControl/>
              <w:spacing w:line="240" w:lineRule="auto"/>
              <w:ind w:firstLine="0" w:firstLineChars="0"/>
              <w:jc w:val="center"/>
              <w:rPr>
                <w:kern w:val="0"/>
                <w:sz w:val="21"/>
                <w:szCs w:val="21"/>
              </w:rPr>
            </w:pPr>
            <w:r>
              <w:rPr>
                <w:kern w:val="0"/>
                <w:sz w:val="21"/>
                <w:szCs w:val="21"/>
              </w:rPr>
              <w:t>5.82</w:t>
            </w:r>
          </w:p>
        </w:tc>
        <w:tc>
          <w:tcPr>
            <w:tcW w:w="1109" w:type="dxa"/>
            <w:vMerge w:val="continue"/>
            <w:vAlign w:val="center"/>
          </w:tcPr>
          <w:p w14:paraId="726C8D7B">
            <w:pPr>
              <w:widowControl/>
              <w:spacing w:line="240" w:lineRule="auto"/>
              <w:ind w:firstLine="0" w:firstLineChars="0"/>
              <w:jc w:val="center"/>
              <w:rPr>
                <w:kern w:val="0"/>
                <w:sz w:val="21"/>
                <w:szCs w:val="21"/>
              </w:rPr>
            </w:pPr>
          </w:p>
        </w:tc>
        <w:tc>
          <w:tcPr>
            <w:tcW w:w="1080" w:type="dxa"/>
            <w:vMerge w:val="continue"/>
            <w:vAlign w:val="center"/>
          </w:tcPr>
          <w:p w14:paraId="4A2EB1A4">
            <w:pPr>
              <w:widowControl/>
              <w:spacing w:line="240" w:lineRule="auto"/>
              <w:ind w:firstLine="0" w:firstLineChars="0"/>
              <w:jc w:val="center"/>
              <w:rPr>
                <w:kern w:val="0"/>
                <w:sz w:val="21"/>
                <w:szCs w:val="21"/>
              </w:rPr>
            </w:pPr>
          </w:p>
        </w:tc>
      </w:tr>
      <w:tr w14:paraId="6158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4FC85A5E">
            <w:pPr>
              <w:widowControl/>
              <w:spacing w:line="240" w:lineRule="auto"/>
              <w:ind w:firstLine="0" w:firstLineChars="0"/>
              <w:jc w:val="center"/>
              <w:rPr>
                <w:kern w:val="0"/>
                <w:sz w:val="21"/>
                <w:szCs w:val="21"/>
              </w:rPr>
            </w:pPr>
          </w:p>
        </w:tc>
        <w:tc>
          <w:tcPr>
            <w:tcW w:w="863" w:type="dxa"/>
            <w:vMerge w:val="continue"/>
            <w:vAlign w:val="center"/>
          </w:tcPr>
          <w:p w14:paraId="70F558AB">
            <w:pPr>
              <w:widowControl/>
              <w:spacing w:line="240" w:lineRule="auto"/>
              <w:ind w:firstLine="0" w:firstLineChars="0"/>
              <w:jc w:val="center"/>
              <w:rPr>
                <w:kern w:val="0"/>
                <w:sz w:val="21"/>
                <w:szCs w:val="21"/>
              </w:rPr>
            </w:pPr>
          </w:p>
        </w:tc>
        <w:tc>
          <w:tcPr>
            <w:tcW w:w="794" w:type="dxa"/>
            <w:vMerge w:val="continue"/>
            <w:noWrap/>
            <w:vAlign w:val="center"/>
          </w:tcPr>
          <w:p w14:paraId="79FE9A54">
            <w:pPr>
              <w:widowControl/>
              <w:spacing w:line="240" w:lineRule="auto"/>
              <w:ind w:firstLine="0" w:firstLineChars="0"/>
              <w:jc w:val="center"/>
              <w:rPr>
                <w:kern w:val="0"/>
                <w:sz w:val="21"/>
                <w:szCs w:val="21"/>
              </w:rPr>
            </w:pPr>
          </w:p>
        </w:tc>
        <w:tc>
          <w:tcPr>
            <w:tcW w:w="1438" w:type="dxa"/>
            <w:vMerge w:val="continue"/>
            <w:noWrap/>
            <w:vAlign w:val="center"/>
          </w:tcPr>
          <w:p w14:paraId="566AC67F">
            <w:pPr>
              <w:widowControl/>
              <w:spacing w:line="240" w:lineRule="auto"/>
              <w:ind w:firstLine="0" w:firstLineChars="0"/>
              <w:jc w:val="center"/>
              <w:rPr>
                <w:kern w:val="0"/>
                <w:sz w:val="21"/>
                <w:szCs w:val="21"/>
              </w:rPr>
            </w:pPr>
          </w:p>
        </w:tc>
        <w:tc>
          <w:tcPr>
            <w:tcW w:w="1151" w:type="dxa"/>
            <w:shd w:val="clear" w:color="auto" w:fill="auto"/>
            <w:noWrap/>
            <w:vAlign w:val="center"/>
          </w:tcPr>
          <w:p w14:paraId="3937CDFB">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TD-440-3</w:t>
            </w:r>
          </w:p>
        </w:tc>
        <w:tc>
          <w:tcPr>
            <w:tcW w:w="1171" w:type="dxa"/>
            <w:shd w:val="clear" w:color="auto" w:fill="auto"/>
            <w:noWrap/>
            <w:vAlign w:val="center"/>
          </w:tcPr>
          <w:p w14:paraId="22FA5DB8">
            <w:pPr>
              <w:widowControl/>
              <w:spacing w:line="240" w:lineRule="auto"/>
              <w:ind w:firstLine="0" w:firstLineChars="0"/>
              <w:jc w:val="center"/>
              <w:rPr>
                <w:kern w:val="0"/>
                <w:sz w:val="21"/>
                <w:szCs w:val="21"/>
              </w:rPr>
            </w:pPr>
            <w:r>
              <w:rPr>
                <w:kern w:val="0"/>
                <w:sz w:val="21"/>
                <w:szCs w:val="21"/>
              </w:rPr>
              <w:t>7346</w:t>
            </w:r>
          </w:p>
        </w:tc>
        <w:tc>
          <w:tcPr>
            <w:tcW w:w="1110" w:type="dxa"/>
            <w:vMerge w:val="continue"/>
            <w:vAlign w:val="center"/>
          </w:tcPr>
          <w:p w14:paraId="28E6B2F6">
            <w:pPr>
              <w:widowControl/>
              <w:spacing w:line="240" w:lineRule="auto"/>
              <w:ind w:firstLine="0" w:firstLineChars="0"/>
              <w:jc w:val="center"/>
              <w:rPr>
                <w:kern w:val="0"/>
                <w:sz w:val="21"/>
                <w:szCs w:val="21"/>
              </w:rPr>
            </w:pPr>
          </w:p>
        </w:tc>
        <w:tc>
          <w:tcPr>
            <w:tcW w:w="2548" w:type="dxa"/>
            <w:vMerge w:val="continue"/>
            <w:vAlign w:val="center"/>
          </w:tcPr>
          <w:p w14:paraId="662A5BBB">
            <w:pPr>
              <w:widowControl/>
              <w:spacing w:line="240" w:lineRule="auto"/>
              <w:ind w:firstLine="0" w:firstLineChars="0"/>
              <w:jc w:val="center"/>
              <w:rPr>
                <w:kern w:val="0"/>
                <w:sz w:val="21"/>
                <w:szCs w:val="21"/>
              </w:rPr>
            </w:pPr>
          </w:p>
        </w:tc>
        <w:tc>
          <w:tcPr>
            <w:tcW w:w="1109" w:type="dxa"/>
            <w:vMerge w:val="continue"/>
            <w:vAlign w:val="center"/>
          </w:tcPr>
          <w:p w14:paraId="0A67B3DB">
            <w:pPr>
              <w:widowControl/>
              <w:spacing w:line="240" w:lineRule="auto"/>
              <w:ind w:firstLine="0" w:firstLineChars="0"/>
              <w:jc w:val="center"/>
              <w:rPr>
                <w:kern w:val="0"/>
                <w:sz w:val="21"/>
                <w:szCs w:val="21"/>
              </w:rPr>
            </w:pPr>
          </w:p>
        </w:tc>
        <w:tc>
          <w:tcPr>
            <w:tcW w:w="1069" w:type="dxa"/>
            <w:vMerge w:val="continue"/>
            <w:vAlign w:val="center"/>
          </w:tcPr>
          <w:p w14:paraId="69C60B41">
            <w:pPr>
              <w:widowControl/>
              <w:spacing w:line="240" w:lineRule="auto"/>
              <w:ind w:firstLine="0" w:firstLineChars="0"/>
              <w:jc w:val="center"/>
              <w:rPr>
                <w:kern w:val="0"/>
                <w:sz w:val="21"/>
                <w:szCs w:val="21"/>
              </w:rPr>
            </w:pPr>
          </w:p>
        </w:tc>
        <w:tc>
          <w:tcPr>
            <w:tcW w:w="1109" w:type="dxa"/>
            <w:vMerge w:val="continue"/>
            <w:vAlign w:val="center"/>
          </w:tcPr>
          <w:p w14:paraId="6B3B56BE">
            <w:pPr>
              <w:widowControl/>
              <w:spacing w:line="240" w:lineRule="auto"/>
              <w:ind w:firstLine="0" w:firstLineChars="0"/>
              <w:jc w:val="center"/>
              <w:rPr>
                <w:kern w:val="0"/>
                <w:sz w:val="21"/>
                <w:szCs w:val="21"/>
              </w:rPr>
            </w:pPr>
          </w:p>
        </w:tc>
        <w:tc>
          <w:tcPr>
            <w:tcW w:w="1080" w:type="dxa"/>
            <w:vMerge w:val="continue"/>
            <w:vAlign w:val="center"/>
          </w:tcPr>
          <w:p w14:paraId="3869688B">
            <w:pPr>
              <w:widowControl/>
              <w:spacing w:line="240" w:lineRule="auto"/>
              <w:ind w:firstLine="0" w:firstLineChars="0"/>
              <w:jc w:val="center"/>
              <w:rPr>
                <w:kern w:val="0"/>
                <w:sz w:val="21"/>
                <w:szCs w:val="21"/>
              </w:rPr>
            </w:pPr>
          </w:p>
        </w:tc>
      </w:tr>
      <w:tr w14:paraId="0899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7DF703DD">
            <w:pPr>
              <w:widowControl/>
              <w:spacing w:line="240" w:lineRule="auto"/>
              <w:ind w:firstLine="0" w:firstLineChars="0"/>
              <w:jc w:val="center"/>
              <w:rPr>
                <w:kern w:val="0"/>
                <w:sz w:val="21"/>
                <w:szCs w:val="21"/>
              </w:rPr>
            </w:pPr>
          </w:p>
        </w:tc>
        <w:tc>
          <w:tcPr>
            <w:tcW w:w="863" w:type="dxa"/>
            <w:vMerge w:val="continue"/>
            <w:vAlign w:val="center"/>
          </w:tcPr>
          <w:p w14:paraId="54952311">
            <w:pPr>
              <w:widowControl/>
              <w:spacing w:line="240" w:lineRule="auto"/>
              <w:ind w:firstLine="0" w:firstLineChars="0"/>
              <w:jc w:val="center"/>
              <w:rPr>
                <w:kern w:val="0"/>
                <w:sz w:val="21"/>
                <w:szCs w:val="21"/>
              </w:rPr>
            </w:pPr>
          </w:p>
        </w:tc>
        <w:tc>
          <w:tcPr>
            <w:tcW w:w="794" w:type="dxa"/>
            <w:vMerge w:val="continue"/>
            <w:noWrap/>
            <w:vAlign w:val="center"/>
          </w:tcPr>
          <w:p w14:paraId="62F959B5">
            <w:pPr>
              <w:widowControl/>
              <w:spacing w:line="240" w:lineRule="auto"/>
              <w:ind w:firstLine="0" w:firstLineChars="0"/>
              <w:jc w:val="center"/>
              <w:rPr>
                <w:kern w:val="0"/>
                <w:sz w:val="21"/>
                <w:szCs w:val="21"/>
              </w:rPr>
            </w:pPr>
          </w:p>
        </w:tc>
        <w:tc>
          <w:tcPr>
            <w:tcW w:w="1438" w:type="dxa"/>
            <w:vMerge w:val="restart"/>
            <w:shd w:val="clear" w:color="auto" w:fill="auto"/>
            <w:noWrap/>
            <w:vAlign w:val="center"/>
          </w:tcPr>
          <w:p w14:paraId="009CEC43">
            <w:pPr>
              <w:widowControl/>
              <w:spacing w:line="240" w:lineRule="auto"/>
              <w:ind w:firstLine="0" w:firstLineChars="0"/>
              <w:jc w:val="center"/>
              <w:rPr>
                <w:kern w:val="0"/>
                <w:sz w:val="21"/>
                <w:szCs w:val="21"/>
              </w:rPr>
            </w:pPr>
            <w:r>
              <w:rPr>
                <w:kern w:val="0"/>
                <w:sz w:val="21"/>
                <w:szCs w:val="21"/>
              </w:rPr>
              <w:t>450~440m</w:t>
            </w:r>
          </w:p>
        </w:tc>
        <w:tc>
          <w:tcPr>
            <w:tcW w:w="1151" w:type="dxa"/>
            <w:shd w:val="clear" w:color="auto" w:fill="auto"/>
            <w:noWrap/>
            <w:vAlign w:val="center"/>
          </w:tcPr>
          <w:p w14:paraId="263C3F19">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TD-450-4</w:t>
            </w:r>
          </w:p>
        </w:tc>
        <w:tc>
          <w:tcPr>
            <w:tcW w:w="1171" w:type="dxa"/>
            <w:shd w:val="clear" w:color="auto" w:fill="auto"/>
            <w:noWrap/>
            <w:vAlign w:val="center"/>
          </w:tcPr>
          <w:p w14:paraId="5DDA2D92">
            <w:pPr>
              <w:widowControl/>
              <w:spacing w:line="240" w:lineRule="auto"/>
              <w:ind w:firstLine="0" w:firstLineChars="0"/>
              <w:jc w:val="center"/>
              <w:rPr>
                <w:kern w:val="0"/>
                <w:sz w:val="21"/>
                <w:szCs w:val="21"/>
              </w:rPr>
            </w:pPr>
            <w:r>
              <w:rPr>
                <w:kern w:val="0"/>
                <w:sz w:val="21"/>
                <w:szCs w:val="21"/>
              </w:rPr>
              <w:t>942</w:t>
            </w:r>
          </w:p>
        </w:tc>
        <w:tc>
          <w:tcPr>
            <w:tcW w:w="1110" w:type="dxa"/>
            <w:vMerge w:val="restart"/>
            <w:shd w:val="clear" w:color="auto" w:fill="auto"/>
            <w:vAlign w:val="center"/>
          </w:tcPr>
          <w:p w14:paraId="3B5B4A6E">
            <w:pPr>
              <w:widowControl/>
              <w:tabs>
                <w:tab w:val="left" w:pos="361"/>
                <w:tab w:val="center" w:pos="492"/>
              </w:tabs>
              <w:spacing w:line="240" w:lineRule="auto"/>
              <w:ind w:firstLine="0" w:firstLineChars="0"/>
              <w:jc w:val="center"/>
              <w:rPr>
                <w:kern w:val="0"/>
                <w:sz w:val="21"/>
                <w:szCs w:val="21"/>
              </w:rPr>
            </w:pPr>
            <w:r>
              <w:rPr>
                <w:kern w:val="0"/>
                <w:sz w:val="21"/>
                <w:szCs w:val="21"/>
              </w:rPr>
              <w:t>10</w:t>
            </w:r>
          </w:p>
        </w:tc>
        <w:tc>
          <w:tcPr>
            <w:tcW w:w="2548" w:type="dxa"/>
            <w:vMerge w:val="restart"/>
            <w:shd w:val="clear" w:color="auto" w:fill="auto"/>
            <w:vAlign w:val="center"/>
          </w:tcPr>
          <w:p w14:paraId="20E2F75D">
            <w:pPr>
              <w:widowControl/>
              <w:spacing w:line="240" w:lineRule="auto"/>
              <w:ind w:firstLine="0" w:firstLineChars="0"/>
              <w:jc w:val="center"/>
              <w:rPr>
                <w:kern w:val="0"/>
                <w:sz w:val="21"/>
                <w:szCs w:val="21"/>
              </w:rPr>
            </w:pPr>
            <w:r>
              <w:rPr>
                <w:sz w:val="21"/>
                <w:szCs w:val="21"/>
              </w:rPr>
              <w:t>V=(S</w:t>
            </w:r>
            <w:r>
              <w:rPr>
                <w:sz w:val="21"/>
                <w:szCs w:val="21"/>
                <w:vertAlign w:val="subscript"/>
              </w:rPr>
              <w:t>1</w:t>
            </w:r>
            <w:r>
              <w:rPr>
                <w:sz w:val="21"/>
                <w:szCs w:val="21"/>
              </w:rPr>
              <w:t>+S</w:t>
            </w:r>
            <w:r>
              <w:rPr>
                <w:sz w:val="21"/>
                <w:szCs w:val="21"/>
                <w:vertAlign w:val="subscript"/>
              </w:rPr>
              <w:t>2</w:t>
            </w:r>
            <w:r>
              <w:rPr>
                <w:sz w:val="21"/>
                <w:szCs w:val="21"/>
              </w:rPr>
              <w:t>+</w:t>
            </w:r>
            <w:r>
              <w:rPr>
                <w:position w:val="-14"/>
                <w:sz w:val="21"/>
                <w:szCs w:val="21"/>
              </w:rPr>
              <w:object>
                <v:shape id="_x0000_i1033" o:spt="75" type="#_x0000_t75" style="height:24.75pt;width:46.5pt;" o:ole="t" filled="f" o:preferrelative="t" stroked="f" coordsize="21600,21600">
                  <v:path/>
                  <v:fill on="f" focussize="0,0"/>
                  <v:stroke on="f" joinstyle="miter"/>
                  <v:imagedata r:id="rId21" o:title=""/>
                  <o:lock v:ext="edit" aspectratio="t"/>
                  <w10:wrap type="none"/>
                  <w10:anchorlock/>
                </v:shape>
                <o:OLEObject Type="Embed" ProgID="Equation.DSMT4" ShapeID="_x0000_i1033" DrawAspect="Content" ObjectID="_1468075733" r:id="rId28">
                  <o:LockedField>false</o:LockedField>
                </o:OLEObject>
              </w:object>
            </w:r>
            <w:r>
              <w:rPr>
                <w:sz w:val="21"/>
                <w:szCs w:val="21"/>
              </w:rPr>
              <w:t>)·L/3</w:t>
            </w:r>
          </w:p>
        </w:tc>
        <w:tc>
          <w:tcPr>
            <w:tcW w:w="1109" w:type="dxa"/>
            <w:vMerge w:val="restart"/>
            <w:shd w:val="clear" w:color="auto" w:fill="auto"/>
            <w:vAlign w:val="center"/>
          </w:tcPr>
          <w:p w14:paraId="290219C3">
            <w:pPr>
              <w:widowControl/>
              <w:spacing w:line="240" w:lineRule="auto"/>
              <w:ind w:firstLine="0" w:firstLineChars="0"/>
              <w:jc w:val="center"/>
              <w:rPr>
                <w:kern w:val="0"/>
                <w:sz w:val="21"/>
                <w:szCs w:val="21"/>
              </w:rPr>
            </w:pPr>
            <w:r>
              <w:rPr>
                <w:kern w:val="0"/>
                <w:sz w:val="21"/>
                <w:szCs w:val="21"/>
              </w:rPr>
              <w:t>2.70</w:t>
            </w:r>
          </w:p>
        </w:tc>
        <w:tc>
          <w:tcPr>
            <w:tcW w:w="1069" w:type="dxa"/>
            <w:vMerge w:val="restart"/>
            <w:shd w:val="clear" w:color="auto" w:fill="auto"/>
            <w:vAlign w:val="center"/>
          </w:tcPr>
          <w:p w14:paraId="64BE1951">
            <w:pPr>
              <w:widowControl/>
              <w:spacing w:line="240" w:lineRule="auto"/>
              <w:ind w:firstLine="0" w:firstLineChars="0"/>
              <w:jc w:val="center"/>
              <w:rPr>
                <w:kern w:val="0"/>
                <w:sz w:val="21"/>
                <w:szCs w:val="21"/>
              </w:rPr>
            </w:pPr>
            <w:r>
              <w:rPr>
                <w:kern w:val="0"/>
                <w:sz w:val="21"/>
                <w:szCs w:val="21"/>
              </w:rPr>
              <w:t>9.58</w:t>
            </w:r>
          </w:p>
        </w:tc>
        <w:tc>
          <w:tcPr>
            <w:tcW w:w="1109" w:type="dxa"/>
            <w:vMerge w:val="continue"/>
            <w:vAlign w:val="center"/>
          </w:tcPr>
          <w:p w14:paraId="01974187">
            <w:pPr>
              <w:widowControl/>
              <w:spacing w:line="240" w:lineRule="auto"/>
              <w:ind w:firstLine="0" w:firstLineChars="0"/>
              <w:jc w:val="center"/>
              <w:rPr>
                <w:kern w:val="0"/>
                <w:sz w:val="21"/>
                <w:szCs w:val="21"/>
              </w:rPr>
            </w:pPr>
          </w:p>
        </w:tc>
        <w:tc>
          <w:tcPr>
            <w:tcW w:w="1080" w:type="dxa"/>
            <w:vMerge w:val="continue"/>
            <w:vAlign w:val="center"/>
          </w:tcPr>
          <w:p w14:paraId="4CE76B05">
            <w:pPr>
              <w:widowControl/>
              <w:spacing w:line="240" w:lineRule="auto"/>
              <w:ind w:firstLine="0" w:firstLineChars="0"/>
              <w:jc w:val="center"/>
              <w:rPr>
                <w:kern w:val="0"/>
                <w:sz w:val="21"/>
                <w:szCs w:val="21"/>
              </w:rPr>
            </w:pPr>
          </w:p>
        </w:tc>
      </w:tr>
      <w:tr w14:paraId="1ED4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3193D792">
            <w:pPr>
              <w:widowControl/>
              <w:spacing w:line="240" w:lineRule="auto"/>
              <w:ind w:firstLine="0" w:firstLineChars="0"/>
              <w:jc w:val="center"/>
              <w:rPr>
                <w:kern w:val="0"/>
                <w:sz w:val="21"/>
                <w:szCs w:val="21"/>
              </w:rPr>
            </w:pPr>
          </w:p>
        </w:tc>
        <w:tc>
          <w:tcPr>
            <w:tcW w:w="863" w:type="dxa"/>
            <w:vMerge w:val="continue"/>
            <w:vAlign w:val="center"/>
          </w:tcPr>
          <w:p w14:paraId="4F788CC9">
            <w:pPr>
              <w:widowControl/>
              <w:spacing w:line="240" w:lineRule="auto"/>
              <w:ind w:firstLine="0" w:firstLineChars="0"/>
              <w:jc w:val="center"/>
              <w:rPr>
                <w:kern w:val="0"/>
                <w:sz w:val="21"/>
                <w:szCs w:val="21"/>
              </w:rPr>
            </w:pPr>
          </w:p>
        </w:tc>
        <w:tc>
          <w:tcPr>
            <w:tcW w:w="794" w:type="dxa"/>
            <w:vMerge w:val="continue"/>
            <w:noWrap/>
            <w:vAlign w:val="center"/>
          </w:tcPr>
          <w:p w14:paraId="3FD0A5DF">
            <w:pPr>
              <w:widowControl/>
              <w:spacing w:line="240" w:lineRule="auto"/>
              <w:ind w:firstLine="0" w:firstLineChars="0"/>
              <w:jc w:val="center"/>
              <w:rPr>
                <w:kern w:val="0"/>
                <w:sz w:val="21"/>
                <w:szCs w:val="21"/>
              </w:rPr>
            </w:pPr>
          </w:p>
        </w:tc>
        <w:tc>
          <w:tcPr>
            <w:tcW w:w="1438" w:type="dxa"/>
            <w:vMerge w:val="continue"/>
            <w:noWrap/>
            <w:vAlign w:val="center"/>
          </w:tcPr>
          <w:p w14:paraId="0AEBA98D">
            <w:pPr>
              <w:widowControl/>
              <w:spacing w:line="240" w:lineRule="auto"/>
              <w:ind w:firstLine="0" w:firstLineChars="0"/>
              <w:jc w:val="center"/>
              <w:rPr>
                <w:kern w:val="0"/>
                <w:sz w:val="21"/>
                <w:szCs w:val="21"/>
              </w:rPr>
            </w:pPr>
          </w:p>
        </w:tc>
        <w:tc>
          <w:tcPr>
            <w:tcW w:w="1151" w:type="dxa"/>
            <w:shd w:val="clear" w:color="auto" w:fill="auto"/>
            <w:noWrap/>
            <w:vAlign w:val="center"/>
          </w:tcPr>
          <w:p w14:paraId="3958101D">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TD-440-4</w:t>
            </w:r>
          </w:p>
        </w:tc>
        <w:tc>
          <w:tcPr>
            <w:tcW w:w="1171" w:type="dxa"/>
            <w:shd w:val="clear" w:color="auto" w:fill="auto"/>
            <w:noWrap/>
            <w:vAlign w:val="center"/>
          </w:tcPr>
          <w:p w14:paraId="77E6A383">
            <w:pPr>
              <w:widowControl/>
              <w:spacing w:line="240" w:lineRule="auto"/>
              <w:ind w:firstLine="0" w:firstLineChars="0"/>
              <w:jc w:val="center"/>
              <w:rPr>
                <w:kern w:val="0"/>
                <w:sz w:val="21"/>
                <w:szCs w:val="21"/>
              </w:rPr>
            </w:pPr>
            <w:r>
              <w:rPr>
                <w:kern w:val="0"/>
                <w:sz w:val="21"/>
                <w:szCs w:val="21"/>
              </w:rPr>
              <w:t>28836</w:t>
            </w:r>
          </w:p>
        </w:tc>
        <w:tc>
          <w:tcPr>
            <w:tcW w:w="1110" w:type="dxa"/>
            <w:vMerge w:val="continue"/>
            <w:vAlign w:val="center"/>
          </w:tcPr>
          <w:p w14:paraId="501A7948">
            <w:pPr>
              <w:widowControl/>
              <w:spacing w:line="240" w:lineRule="auto"/>
              <w:ind w:firstLine="0" w:firstLineChars="0"/>
              <w:jc w:val="center"/>
              <w:rPr>
                <w:kern w:val="0"/>
                <w:sz w:val="21"/>
                <w:szCs w:val="21"/>
              </w:rPr>
            </w:pPr>
          </w:p>
        </w:tc>
        <w:tc>
          <w:tcPr>
            <w:tcW w:w="2548" w:type="dxa"/>
            <w:vMerge w:val="continue"/>
            <w:vAlign w:val="center"/>
          </w:tcPr>
          <w:p w14:paraId="0099A935">
            <w:pPr>
              <w:widowControl/>
              <w:spacing w:line="240" w:lineRule="auto"/>
              <w:ind w:firstLine="0" w:firstLineChars="0"/>
              <w:jc w:val="center"/>
              <w:rPr>
                <w:kern w:val="0"/>
                <w:sz w:val="21"/>
                <w:szCs w:val="21"/>
              </w:rPr>
            </w:pPr>
          </w:p>
        </w:tc>
        <w:tc>
          <w:tcPr>
            <w:tcW w:w="1109" w:type="dxa"/>
            <w:vMerge w:val="continue"/>
            <w:vAlign w:val="center"/>
          </w:tcPr>
          <w:p w14:paraId="6ABA6560">
            <w:pPr>
              <w:widowControl/>
              <w:spacing w:line="240" w:lineRule="auto"/>
              <w:ind w:firstLine="0" w:firstLineChars="0"/>
              <w:jc w:val="center"/>
              <w:rPr>
                <w:kern w:val="0"/>
                <w:sz w:val="21"/>
                <w:szCs w:val="21"/>
              </w:rPr>
            </w:pPr>
          </w:p>
        </w:tc>
        <w:tc>
          <w:tcPr>
            <w:tcW w:w="1069" w:type="dxa"/>
            <w:vMerge w:val="continue"/>
            <w:vAlign w:val="center"/>
          </w:tcPr>
          <w:p w14:paraId="2756E008">
            <w:pPr>
              <w:widowControl/>
              <w:spacing w:line="240" w:lineRule="auto"/>
              <w:ind w:firstLine="0" w:firstLineChars="0"/>
              <w:jc w:val="center"/>
              <w:rPr>
                <w:kern w:val="0"/>
                <w:sz w:val="21"/>
                <w:szCs w:val="21"/>
              </w:rPr>
            </w:pPr>
          </w:p>
        </w:tc>
        <w:tc>
          <w:tcPr>
            <w:tcW w:w="1109" w:type="dxa"/>
            <w:vMerge w:val="continue"/>
            <w:vAlign w:val="center"/>
          </w:tcPr>
          <w:p w14:paraId="09BB980F">
            <w:pPr>
              <w:widowControl/>
              <w:spacing w:line="240" w:lineRule="auto"/>
              <w:ind w:firstLine="0" w:firstLineChars="0"/>
              <w:jc w:val="center"/>
              <w:rPr>
                <w:kern w:val="0"/>
                <w:sz w:val="21"/>
                <w:szCs w:val="21"/>
              </w:rPr>
            </w:pPr>
          </w:p>
        </w:tc>
        <w:tc>
          <w:tcPr>
            <w:tcW w:w="1080" w:type="dxa"/>
            <w:vMerge w:val="continue"/>
            <w:vAlign w:val="center"/>
          </w:tcPr>
          <w:p w14:paraId="25D2A9BF">
            <w:pPr>
              <w:widowControl/>
              <w:spacing w:line="240" w:lineRule="auto"/>
              <w:ind w:firstLine="0" w:firstLineChars="0"/>
              <w:jc w:val="center"/>
              <w:rPr>
                <w:kern w:val="0"/>
                <w:sz w:val="21"/>
                <w:szCs w:val="21"/>
              </w:rPr>
            </w:pPr>
          </w:p>
        </w:tc>
      </w:tr>
      <w:tr w14:paraId="5C4E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43BBC202">
            <w:pPr>
              <w:widowControl/>
              <w:spacing w:line="240" w:lineRule="auto"/>
              <w:ind w:firstLine="0" w:firstLineChars="0"/>
              <w:jc w:val="center"/>
              <w:rPr>
                <w:kern w:val="0"/>
                <w:sz w:val="21"/>
                <w:szCs w:val="21"/>
              </w:rPr>
            </w:pPr>
          </w:p>
        </w:tc>
        <w:tc>
          <w:tcPr>
            <w:tcW w:w="863" w:type="dxa"/>
            <w:vMerge w:val="continue"/>
            <w:vAlign w:val="center"/>
          </w:tcPr>
          <w:p w14:paraId="42A40FD0">
            <w:pPr>
              <w:widowControl/>
              <w:spacing w:line="240" w:lineRule="auto"/>
              <w:ind w:firstLine="0" w:firstLineChars="0"/>
              <w:jc w:val="center"/>
              <w:rPr>
                <w:kern w:val="0"/>
                <w:sz w:val="21"/>
                <w:szCs w:val="21"/>
              </w:rPr>
            </w:pPr>
          </w:p>
        </w:tc>
        <w:tc>
          <w:tcPr>
            <w:tcW w:w="794" w:type="dxa"/>
            <w:vMerge w:val="continue"/>
            <w:noWrap/>
            <w:vAlign w:val="center"/>
          </w:tcPr>
          <w:p w14:paraId="0AC7A300">
            <w:pPr>
              <w:widowControl/>
              <w:spacing w:line="240" w:lineRule="auto"/>
              <w:ind w:firstLine="0" w:firstLineChars="0"/>
              <w:jc w:val="center"/>
              <w:rPr>
                <w:kern w:val="0"/>
                <w:sz w:val="21"/>
                <w:szCs w:val="21"/>
              </w:rPr>
            </w:pPr>
          </w:p>
        </w:tc>
        <w:tc>
          <w:tcPr>
            <w:tcW w:w="1438" w:type="dxa"/>
            <w:vMerge w:val="restart"/>
            <w:noWrap/>
            <w:vAlign w:val="center"/>
          </w:tcPr>
          <w:p w14:paraId="373AFE1B">
            <w:pPr>
              <w:widowControl/>
              <w:spacing w:line="240" w:lineRule="auto"/>
              <w:ind w:firstLine="0" w:firstLineChars="0"/>
              <w:jc w:val="center"/>
              <w:rPr>
                <w:kern w:val="0"/>
                <w:sz w:val="21"/>
                <w:szCs w:val="21"/>
              </w:rPr>
            </w:pPr>
            <w:r>
              <w:rPr>
                <w:kern w:val="0"/>
                <w:sz w:val="21"/>
                <w:szCs w:val="21"/>
              </w:rPr>
              <w:t>440~430m</w:t>
            </w:r>
          </w:p>
        </w:tc>
        <w:tc>
          <w:tcPr>
            <w:tcW w:w="1151" w:type="dxa"/>
            <w:noWrap/>
            <w:vAlign w:val="center"/>
          </w:tcPr>
          <w:p w14:paraId="1CD31A69">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TD-440-1+2</w:t>
            </w:r>
          </w:p>
        </w:tc>
        <w:tc>
          <w:tcPr>
            <w:tcW w:w="1171" w:type="dxa"/>
            <w:noWrap/>
            <w:vAlign w:val="center"/>
          </w:tcPr>
          <w:p w14:paraId="5522176D">
            <w:pPr>
              <w:widowControl/>
              <w:spacing w:line="240" w:lineRule="auto"/>
              <w:ind w:firstLine="0" w:firstLineChars="0"/>
              <w:jc w:val="center"/>
              <w:rPr>
                <w:kern w:val="0"/>
                <w:sz w:val="21"/>
                <w:szCs w:val="21"/>
              </w:rPr>
            </w:pPr>
            <w:r>
              <w:rPr>
                <w:kern w:val="0"/>
                <w:sz w:val="21"/>
                <w:szCs w:val="21"/>
              </w:rPr>
              <w:t>65524</w:t>
            </w:r>
          </w:p>
        </w:tc>
        <w:tc>
          <w:tcPr>
            <w:tcW w:w="1110" w:type="dxa"/>
            <w:vMerge w:val="restart"/>
            <w:vAlign w:val="center"/>
          </w:tcPr>
          <w:p w14:paraId="5652AC79">
            <w:pPr>
              <w:widowControl/>
              <w:spacing w:line="240" w:lineRule="auto"/>
              <w:ind w:firstLine="0" w:firstLineChars="0"/>
              <w:jc w:val="center"/>
              <w:rPr>
                <w:kern w:val="0"/>
                <w:sz w:val="21"/>
                <w:szCs w:val="21"/>
              </w:rPr>
            </w:pPr>
            <w:r>
              <w:rPr>
                <w:kern w:val="0"/>
                <w:sz w:val="21"/>
                <w:szCs w:val="21"/>
              </w:rPr>
              <w:t>10</w:t>
            </w:r>
          </w:p>
        </w:tc>
        <w:tc>
          <w:tcPr>
            <w:tcW w:w="2548" w:type="dxa"/>
            <w:vMerge w:val="restart"/>
            <w:vAlign w:val="center"/>
          </w:tcPr>
          <w:p w14:paraId="5FDC2A07">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vAlign w:val="center"/>
          </w:tcPr>
          <w:p w14:paraId="775BEA98">
            <w:pPr>
              <w:widowControl/>
              <w:spacing w:line="240" w:lineRule="auto"/>
              <w:ind w:firstLine="0" w:firstLineChars="0"/>
              <w:jc w:val="center"/>
              <w:rPr>
                <w:kern w:val="0"/>
                <w:sz w:val="21"/>
                <w:szCs w:val="21"/>
              </w:rPr>
            </w:pPr>
            <w:r>
              <w:rPr>
                <w:kern w:val="0"/>
                <w:sz w:val="21"/>
                <w:szCs w:val="21"/>
              </w:rPr>
              <w:t>2.70</w:t>
            </w:r>
          </w:p>
        </w:tc>
        <w:tc>
          <w:tcPr>
            <w:tcW w:w="1069" w:type="dxa"/>
            <w:vMerge w:val="restart"/>
            <w:vAlign w:val="center"/>
          </w:tcPr>
          <w:p w14:paraId="4A03997F">
            <w:pPr>
              <w:widowControl/>
              <w:spacing w:line="240" w:lineRule="auto"/>
              <w:ind w:firstLine="0" w:firstLineChars="0"/>
              <w:jc w:val="center"/>
              <w:rPr>
                <w:kern w:val="0"/>
                <w:sz w:val="21"/>
                <w:szCs w:val="21"/>
              </w:rPr>
            </w:pPr>
            <w:r>
              <w:rPr>
                <w:kern w:val="0"/>
                <w:sz w:val="21"/>
                <w:szCs w:val="21"/>
              </w:rPr>
              <w:t>69.26</w:t>
            </w:r>
          </w:p>
        </w:tc>
        <w:tc>
          <w:tcPr>
            <w:tcW w:w="1109" w:type="dxa"/>
            <w:vMerge w:val="continue"/>
            <w:vAlign w:val="center"/>
          </w:tcPr>
          <w:p w14:paraId="06F362F8">
            <w:pPr>
              <w:widowControl/>
              <w:spacing w:line="240" w:lineRule="auto"/>
              <w:ind w:firstLine="0" w:firstLineChars="0"/>
              <w:jc w:val="center"/>
              <w:rPr>
                <w:kern w:val="0"/>
                <w:sz w:val="21"/>
                <w:szCs w:val="21"/>
              </w:rPr>
            </w:pPr>
          </w:p>
        </w:tc>
        <w:tc>
          <w:tcPr>
            <w:tcW w:w="1080" w:type="dxa"/>
            <w:vMerge w:val="continue"/>
            <w:vAlign w:val="center"/>
          </w:tcPr>
          <w:p w14:paraId="64FD07F4">
            <w:pPr>
              <w:widowControl/>
              <w:spacing w:line="240" w:lineRule="auto"/>
              <w:ind w:firstLine="0" w:firstLineChars="0"/>
              <w:jc w:val="center"/>
              <w:rPr>
                <w:kern w:val="0"/>
                <w:sz w:val="21"/>
                <w:szCs w:val="21"/>
              </w:rPr>
            </w:pPr>
          </w:p>
        </w:tc>
      </w:tr>
      <w:tr w14:paraId="289F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19AF3DCE">
            <w:pPr>
              <w:widowControl/>
              <w:spacing w:line="240" w:lineRule="auto"/>
              <w:ind w:firstLine="0" w:firstLineChars="0"/>
              <w:jc w:val="center"/>
              <w:rPr>
                <w:kern w:val="0"/>
                <w:sz w:val="21"/>
                <w:szCs w:val="21"/>
              </w:rPr>
            </w:pPr>
          </w:p>
        </w:tc>
        <w:tc>
          <w:tcPr>
            <w:tcW w:w="863" w:type="dxa"/>
            <w:vMerge w:val="continue"/>
            <w:vAlign w:val="center"/>
          </w:tcPr>
          <w:p w14:paraId="198F02B7">
            <w:pPr>
              <w:widowControl/>
              <w:spacing w:line="240" w:lineRule="auto"/>
              <w:ind w:firstLine="0" w:firstLineChars="0"/>
              <w:jc w:val="center"/>
              <w:rPr>
                <w:kern w:val="0"/>
                <w:sz w:val="21"/>
                <w:szCs w:val="21"/>
              </w:rPr>
            </w:pPr>
          </w:p>
        </w:tc>
        <w:tc>
          <w:tcPr>
            <w:tcW w:w="794" w:type="dxa"/>
            <w:vMerge w:val="continue"/>
            <w:noWrap/>
            <w:vAlign w:val="center"/>
          </w:tcPr>
          <w:p w14:paraId="51CD3581">
            <w:pPr>
              <w:widowControl/>
              <w:spacing w:line="240" w:lineRule="auto"/>
              <w:ind w:firstLine="0" w:firstLineChars="0"/>
              <w:jc w:val="center"/>
              <w:rPr>
                <w:kern w:val="0"/>
                <w:sz w:val="21"/>
                <w:szCs w:val="21"/>
              </w:rPr>
            </w:pPr>
          </w:p>
        </w:tc>
        <w:tc>
          <w:tcPr>
            <w:tcW w:w="1438" w:type="dxa"/>
            <w:vMerge w:val="continue"/>
            <w:noWrap/>
            <w:vAlign w:val="center"/>
          </w:tcPr>
          <w:p w14:paraId="568C065B">
            <w:pPr>
              <w:widowControl/>
              <w:spacing w:line="240" w:lineRule="auto"/>
              <w:ind w:firstLine="0" w:firstLineChars="0"/>
              <w:jc w:val="center"/>
              <w:rPr>
                <w:kern w:val="0"/>
                <w:sz w:val="21"/>
                <w:szCs w:val="21"/>
              </w:rPr>
            </w:pPr>
          </w:p>
        </w:tc>
        <w:tc>
          <w:tcPr>
            <w:tcW w:w="1151" w:type="dxa"/>
            <w:noWrap/>
            <w:vAlign w:val="center"/>
          </w:tcPr>
          <w:p w14:paraId="0C051CA9">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TD-430-1</w:t>
            </w:r>
          </w:p>
        </w:tc>
        <w:tc>
          <w:tcPr>
            <w:tcW w:w="1171" w:type="dxa"/>
            <w:noWrap/>
            <w:vAlign w:val="center"/>
          </w:tcPr>
          <w:p w14:paraId="24BA10D5">
            <w:pPr>
              <w:widowControl/>
              <w:spacing w:line="240" w:lineRule="auto"/>
              <w:ind w:firstLine="0" w:firstLineChars="0"/>
              <w:jc w:val="center"/>
              <w:rPr>
                <w:kern w:val="0"/>
                <w:sz w:val="21"/>
                <w:szCs w:val="21"/>
              </w:rPr>
            </w:pPr>
            <w:r>
              <w:rPr>
                <w:kern w:val="0"/>
                <w:sz w:val="21"/>
                <w:szCs w:val="21"/>
              </w:rPr>
              <w:t>72992</w:t>
            </w:r>
          </w:p>
        </w:tc>
        <w:tc>
          <w:tcPr>
            <w:tcW w:w="1110" w:type="dxa"/>
            <w:vMerge w:val="continue"/>
            <w:vAlign w:val="center"/>
          </w:tcPr>
          <w:p w14:paraId="33AF7A98">
            <w:pPr>
              <w:widowControl/>
              <w:spacing w:line="240" w:lineRule="auto"/>
              <w:ind w:firstLine="0" w:firstLineChars="0"/>
              <w:jc w:val="center"/>
              <w:rPr>
                <w:kern w:val="0"/>
                <w:sz w:val="21"/>
                <w:szCs w:val="21"/>
              </w:rPr>
            </w:pPr>
          </w:p>
        </w:tc>
        <w:tc>
          <w:tcPr>
            <w:tcW w:w="2548" w:type="dxa"/>
            <w:vMerge w:val="continue"/>
            <w:vAlign w:val="center"/>
          </w:tcPr>
          <w:p w14:paraId="1B261E62">
            <w:pPr>
              <w:widowControl/>
              <w:spacing w:line="240" w:lineRule="auto"/>
              <w:ind w:firstLine="0" w:firstLineChars="0"/>
              <w:jc w:val="center"/>
              <w:rPr>
                <w:kern w:val="0"/>
                <w:sz w:val="21"/>
                <w:szCs w:val="21"/>
              </w:rPr>
            </w:pPr>
          </w:p>
        </w:tc>
        <w:tc>
          <w:tcPr>
            <w:tcW w:w="1109" w:type="dxa"/>
            <w:vMerge w:val="continue"/>
            <w:vAlign w:val="center"/>
          </w:tcPr>
          <w:p w14:paraId="723B5B8D">
            <w:pPr>
              <w:widowControl/>
              <w:spacing w:line="240" w:lineRule="auto"/>
              <w:ind w:firstLine="0" w:firstLineChars="0"/>
              <w:jc w:val="center"/>
              <w:rPr>
                <w:kern w:val="0"/>
                <w:sz w:val="21"/>
                <w:szCs w:val="21"/>
              </w:rPr>
            </w:pPr>
          </w:p>
        </w:tc>
        <w:tc>
          <w:tcPr>
            <w:tcW w:w="1069" w:type="dxa"/>
            <w:vMerge w:val="continue"/>
            <w:vAlign w:val="center"/>
          </w:tcPr>
          <w:p w14:paraId="5B0CABBC">
            <w:pPr>
              <w:widowControl/>
              <w:spacing w:line="240" w:lineRule="auto"/>
              <w:ind w:firstLine="0" w:firstLineChars="0"/>
              <w:jc w:val="center"/>
              <w:rPr>
                <w:kern w:val="0"/>
                <w:sz w:val="21"/>
                <w:szCs w:val="21"/>
              </w:rPr>
            </w:pPr>
          </w:p>
        </w:tc>
        <w:tc>
          <w:tcPr>
            <w:tcW w:w="1109" w:type="dxa"/>
            <w:vMerge w:val="continue"/>
            <w:vAlign w:val="center"/>
          </w:tcPr>
          <w:p w14:paraId="37280818">
            <w:pPr>
              <w:widowControl/>
              <w:spacing w:line="240" w:lineRule="auto"/>
              <w:ind w:firstLine="0" w:firstLineChars="0"/>
              <w:jc w:val="center"/>
              <w:rPr>
                <w:kern w:val="0"/>
                <w:sz w:val="21"/>
                <w:szCs w:val="21"/>
              </w:rPr>
            </w:pPr>
          </w:p>
        </w:tc>
        <w:tc>
          <w:tcPr>
            <w:tcW w:w="1080" w:type="dxa"/>
            <w:vMerge w:val="continue"/>
            <w:vAlign w:val="center"/>
          </w:tcPr>
          <w:p w14:paraId="2969DF17">
            <w:pPr>
              <w:widowControl/>
              <w:spacing w:line="240" w:lineRule="auto"/>
              <w:ind w:firstLine="0" w:firstLineChars="0"/>
              <w:jc w:val="center"/>
              <w:rPr>
                <w:kern w:val="0"/>
                <w:sz w:val="21"/>
                <w:szCs w:val="21"/>
              </w:rPr>
            </w:pPr>
          </w:p>
        </w:tc>
      </w:tr>
      <w:tr w14:paraId="6F16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26458A95">
            <w:pPr>
              <w:widowControl/>
              <w:spacing w:line="240" w:lineRule="auto"/>
              <w:ind w:firstLine="0" w:firstLineChars="0"/>
              <w:jc w:val="center"/>
              <w:rPr>
                <w:kern w:val="0"/>
                <w:sz w:val="21"/>
                <w:szCs w:val="21"/>
              </w:rPr>
            </w:pPr>
          </w:p>
        </w:tc>
        <w:tc>
          <w:tcPr>
            <w:tcW w:w="863" w:type="dxa"/>
            <w:vMerge w:val="continue"/>
            <w:vAlign w:val="center"/>
          </w:tcPr>
          <w:p w14:paraId="1791C5AD">
            <w:pPr>
              <w:widowControl/>
              <w:spacing w:line="240" w:lineRule="auto"/>
              <w:ind w:firstLine="0" w:firstLineChars="0"/>
              <w:jc w:val="center"/>
              <w:rPr>
                <w:kern w:val="0"/>
                <w:sz w:val="21"/>
                <w:szCs w:val="21"/>
              </w:rPr>
            </w:pPr>
          </w:p>
        </w:tc>
        <w:tc>
          <w:tcPr>
            <w:tcW w:w="794" w:type="dxa"/>
            <w:vMerge w:val="continue"/>
            <w:noWrap/>
            <w:vAlign w:val="center"/>
          </w:tcPr>
          <w:p w14:paraId="08047CEC">
            <w:pPr>
              <w:widowControl/>
              <w:spacing w:line="240" w:lineRule="auto"/>
              <w:ind w:firstLine="0" w:firstLineChars="0"/>
              <w:jc w:val="center"/>
              <w:rPr>
                <w:kern w:val="0"/>
                <w:sz w:val="21"/>
                <w:szCs w:val="21"/>
              </w:rPr>
            </w:pPr>
          </w:p>
        </w:tc>
        <w:tc>
          <w:tcPr>
            <w:tcW w:w="1438" w:type="dxa"/>
            <w:vMerge w:val="restart"/>
            <w:shd w:val="clear" w:color="auto" w:fill="auto"/>
            <w:noWrap/>
            <w:vAlign w:val="center"/>
          </w:tcPr>
          <w:p w14:paraId="5436F8E4">
            <w:pPr>
              <w:widowControl/>
              <w:spacing w:line="240" w:lineRule="auto"/>
              <w:ind w:firstLine="0" w:firstLineChars="0"/>
              <w:jc w:val="center"/>
              <w:rPr>
                <w:kern w:val="0"/>
                <w:sz w:val="21"/>
                <w:szCs w:val="21"/>
              </w:rPr>
            </w:pPr>
            <w:r>
              <w:rPr>
                <w:kern w:val="0"/>
                <w:sz w:val="21"/>
                <w:szCs w:val="21"/>
              </w:rPr>
              <w:t>440~430m</w:t>
            </w:r>
          </w:p>
        </w:tc>
        <w:tc>
          <w:tcPr>
            <w:tcW w:w="1151" w:type="dxa"/>
            <w:shd w:val="clear" w:color="auto" w:fill="auto"/>
            <w:noWrap/>
            <w:vAlign w:val="center"/>
          </w:tcPr>
          <w:p w14:paraId="4C62537A">
            <w:pPr>
              <w:widowControl/>
              <w:spacing w:line="240" w:lineRule="auto"/>
              <w:ind w:firstLine="0" w:firstLineChars="0"/>
              <w:jc w:val="center"/>
              <w:rPr>
                <w:kern w:val="0"/>
                <w:sz w:val="21"/>
                <w:szCs w:val="21"/>
                <w:vertAlign w:val="subscript"/>
              </w:rPr>
            </w:pPr>
            <w:r>
              <w:rPr>
                <w:kern w:val="0"/>
                <w:sz w:val="21"/>
                <w:szCs w:val="21"/>
              </w:rPr>
              <w:t>S</w:t>
            </w:r>
            <w:r>
              <w:rPr>
                <w:kern w:val="0"/>
                <w:sz w:val="21"/>
                <w:szCs w:val="21"/>
                <w:vertAlign w:val="subscript"/>
              </w:rPr>
              <w:t>TD-440-3</w:t>
            </w:r>
          </w:p>
        </w:tc>
        <w:tc>
          <w:tcPr>
            <w:tcW w:w="1171" w:type="dxa"/>
            <w:shd w:val="clear" w:color="auto" w:fill="auto"/>
            <w:noWrap/>
            <w:vAlign w:val="center"/>
          </w:tcPr>
          <w:p w14:paraId="77E552E0">
            <w:pPr>
              <w:widowControl/>
              <w:spacing w:line="240" w:lineRule="auto"/>
              <w:ind w:firstLine="0" w:firstLineChars="0"/>
              <w:jc w:val="center"/>
              <w:rPr>
                <w:kern w:val="0"/>
                <w:sz w:val="21"/>
                <w:szCs w:val="21"/>
              </w:rPr>
            </w:pPr>
            <w:r>
              <w:rPr>
                <w:kern w:val="0"/>
                <w:sz w:val="21"/>
                <w:szCs w:val="21"/>
              </w:rPr>
              <w:t>7346</w:t>
            </w:r>
          </w:p>
        </w:tc>
        <w:tc>
          <w:tcPr>
            <w:tcW w:w="1110" w:type="dxa"/>
            <w:vMerge w:val="restart"/>
            <w:vAlign w:val="center"/>
          </w:tcPr>
          <w:p w14:paraId="7FA6CF7F">
            <w:pPr>
              <w:widowControl/>
              <w:spacing w:line="240" w:lineRule="auto"/>
              <w:ind w:firstLine="0" w:firstLineChars="0"/>
              <w:jc w:val="center"/>
              <w:rPr>
                <w:kern w:val="0"/>
                <w:sz w:val="21"/>
                <w:szCs w:val="21"/>
              </w:rPr>
            </w:pPr>
            <w:r>
              <w:rPr>
                <w:kern w:val="0"/>
                <w:sz w:val="21"/>
                <w:szCs w:val="21"/>
              </w:rPr>
              <w:t>10</w:t>
            </w:r>
          </w:p>
        </w:tc>
        <w:tc>
          <w:tcPr>
            <w:tcW w:w="2548" w:type="dxa"/>
            <w:vMerge w:val="restart"/>
            <w:shd w:val="clear" w:color="auto" w:fill="auto"/>
            <w:vAlign w:val="center"/>
          </w:tcPr>
          <w:p w14:paraId="64312750">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shd w:val="clear" w:color="auto" w:fill="auto"/>
            <w:vAlign w:val="center"/>
          </w:tcPr>
          <w:p w14:paraId="20D08BBC">
            <w:pPr>
              <w:widowControl/>
              <w:spacing w:line="240" w:lineRule="auto"/>
              <w:ind w:firstLine="0" w:firstLineChars="0"/>
              <w:jc w:val="center"/>
              <w:rPr>
                <w:kern w:val="0"/>
                <w:sz w:val="21"/>
                <w:szCs w:val="21"/>
              </w:rPr>
            </w:pPr>
            <w:r>
              <w:rPr>
                <w:kern w:val="0"/>
                <w:sz w:val="21"/>
                <w:szCs w:val="21"/>
              </w:rPr>
              <w:t>2.70</w:t>
            </w:r>
          </w:p>
        </w:tc>
        <w:tc>
          <w:tcPr>
            <w:tcW w:w="1069" w:type="dxa"/>
            <w:vMerge w:val="restart"/>
            <w:shd w:val="clear" w:color="auto" w:fill="auto"/>
            <w:vAlign w:val="center"/>
          </w:tcPr>
          <w:p w14:paraId="7C8C5137">
            <w:pPr>
              <w:widowControl/>
              <w:spacing w:line="240" w:lineRule="auto"/>
              <w:ind w:firstLine="0" w:firstLineChars="0"/>
              <w:jc w:val="center"/>
              <w:rPr>
                <w:kern w:val="0"/>
                <w:sz w:val="21"/>
                <w:szCs w:val="21"/>
              </w:rPr>
            </w:pPr>
            <w:r>
              <w:rPr>
                <w:kern w:val="0"/>
                <w:sz w:val="21"/>
                <w:szCs w:val="21"/>
              </w:rPr>
              <w:t>9.36</w:t>
            </w:r>
          </w:p>
        </w:tc>
        <w:tc>
          <w:tcPr>
            <w:tcW w:w="1109" w:type="dxa"/>
            <w:vMerge w:val="continue"/>
            <w:vAlign w:val="center"/>
          </w:tcPr>
          <w:p w14:paraId="70DA1D61">
            <w:pPr>
              <w:widowControl/>
              <w:spacing w:line="240" w:lineRule="auto"/>
              <w:ind w:firstLine="0" w:firstLineChars="0"/>
              <w:jc w:val="center"/>
              <w:rPr>
                <w:kern w:val="0"/>
                <w:sz w:val="21"/>
                <w:szCs w:val="21"/>
              </w:rPr>
            </w:pPr>
          </w:p>
        </w:tc>
        <w:tc>
          <w:tcPr>
            <w:tcW w:w="1080" w:type="dxa"/>
            <w:vMerge w:val="continue"/>
            <w:vAlign w:val="center"/>
          </w:tcPr>
          <w:p w14:paraId="42BE164E">
            <w:pPr>
              <w:widowControl/>
              <w:spacing w:line="240" w:lineRule="auto"/>
              <w:ind w:firstLine="0" w:firstLineChars="0"/>
              <w:jc w:val="center"/>
              <w:rPr>
                <w:kern w:val="0"/>
                <w:sz w:val="21"/>
                <w:szCs w:val="21"/>
              </w:rPr>
            </w:pPr>
          </w:p>
        </w:tc>
      </w:tr>
      <w:tr w14:paraId="6EF51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636F1456">
            <w:pPr>
              <w:widowControl/>
              <w:spacing w:line="240" w:lineRule="auto"/>
              <w:ind w:firstLine="0" w:firstLineChars="0"/>
              <w:jc w:val="center"/>
              <w:rPr>
                <w:kern w:val="0"/>
                <w:sz w:val="21"/>
                <w:szCs w:val="21"/>
              </w:rPr>
            </w:pPr>
          </w:p>
        </w:tc>
        <w:tc>
          <w:tcPr>
            <w:tcW w:w="863" w:type="dxa"/>
            <w:vMerge w:val="continue"/>
            <w:vAlign w:val="center"/>
          </w:tcPr>
          <w:p w14:paraId="27DC93DE">
            <w:pPr>
              <w:widowControl/>
              <w:spacing w:line="240" w:lineRule="auto"/>
              <w:ind w:firstLine="0" w:firstLineChars="0"/>
              <w:jc w:val="center"/>
              <w:rPr>
                <w:kern w:val="0"/>
                <w:sz w:val="21"/>
                <w:szCs w:val="21"/>
              </w:rPr>
            </w:pPr>
          </w:p>
        </w:tc>
        <w:tc>
          <w:tcPr>
            <w:tcW w:w="794" w:type="dxa"/>
            <w:vMerge w:val="continue"/>
            <w:noWrap/>
            <w:vAlign w:val="center"/>
          </w:tcPr>
          <w:p w14:paraId="133919C0">
            <w:pPr>
              <w:widowControl/>
              <w:spacing w:line="240" w:lineRule="auto"/>
              <w:ind w:firstLine="0" w:firstLineChars="0"/>
              <w:jc w:val="center"/>
              <w:rPr>
                <w:kern w:val="0"/>
                <w:sz w:val="21"/>
                <w:szCs w:val="21"/>
              </w:rPr>
            </w:pPr>
          </w:p>
        </w:tc>
        <w:tc>
          <w:tcPr>
            <w:tcW w:w="1438" w:type="dxa"/>
            <w:vMerge w:val="continue"/>
            <w:noWrap/>
            <w:vAlign w:val="center"/>
          </w:tcPr>
          <w:p w14:paraId="63422AE0">
            <w:pPr>
              <w:widowControl/>
              <w:spacing w:line="240" w:lineRule="auto"/>
              <w:ind w:firstLine="0" w:firstLineChars="0"/>
              <w:jc w:val="center"/>
              <w:rPr>
                <w:kern w:val="0"/>
                <w:sz w:val="21"/>
                <w:szCs w:val="21"/>
              </w:rPr>
            </w:pPr>
          </w:p>
        </w:tc>
        <w:tc>
          <w:tcPr>
            <w:tcW w:w="1151" w:type="dxa"/>
            <w:shd w:val="clear" w:color="auto" w:fill="auto"/>
            <w:noWrap/>
            <w:vAlign w:val="center"/>
          </w:tcPr>
          <w:p w14:paraId="1F59828F">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TD-430-2</w:t>
            </w:r>
          </w:p>
        </w:tc>
        <w:tc>
          <w:tcPr>
            <w:tcW w:w="1171" w:type="dxa"/>
            <w:shd w:val="clear" w:color="auto" w:fill="auto"/>
            <w:noWrap/>
            <w:vAlign w:val="center"/>
          </w:tcPr>
          <w:p w14:paraId="26A5E58D">
            <w:pPr>
              <w:widowControl/>
              <w:spacing w:line="240" w:lineRule="auto"/>
              <w:ind w:firstLine="0" w:firstLineChars="0"/>
              <w:jc w:val="center"/>
              <w:rPr>
                <w:kern w:val="0"/>
                <w:sz w:val="21"/>
                <w:szCs w:val="21"/>
              </w:rPr>
            </w:pPr>
            <w:r>
              <w:rPr>
                <w:kern w:val="0"/>
                <w:sz w:val="21"/>
                <w:szCs w:val="21"/>
              </w:rPr>
              <w:t>11372</w:t>
            </w:r>
          </w:p>
        </w:tc>
        <w:tc>
          <w:tcPr>
            <w:tcW w:w="1110" w:type="dxa"/>
            <w:vMerge w:val="continue"/>
            <w:vAlign w:val="center"/>
          </w:tcPr>
          <w:p w14:paraId="2BE5B384">
            <w:pPr>
              <w:widowControl/>
              <w:spacing w:line="240" w:lineRule="auto"/>
              <w:ind w:firstLine="0" w:firstLineChars="0"/>
              <w:jc w:val="center"/>
              <w:rPr>
                <w:kern w:val="0"/>
                <w:sz w:val="21"/>
                <w:szCs w:val="21"/>
              </w:rPr>
            </w:pPr>
          </w:p>
        </w:tc>
        <w:tc>
          <w:tcPr>
            <w:tcW w:w="2548" w:type="dxa"/>
            <w:vMerge w:val="continue"/>
            <w:vAlign w:val="center"/>
          </w:tcPr>
          <w:p w14:paraId="51C9D38D">
            <w:pPr>
              <w:widowControl/>
              <w:spacing w:line="240" w:lineRule="auto"/>
              <w:ind w:firstLine="0" w:firstLineChars="0"/>
              <w:jc w:val="center"/>
              <w:rPr>
                <w:kern w:val="0"/>
                <w:sz w:val="21"/>
                <w:szCs w:val="21"/>
              </w:rPr>
            </w:pPr>
          </w:p>
        </w:tc>
        <w:tc>
          <w:tcPr>
            <w:tcW w:w="1109" w:type="dxa"/>
            <w:vMerge w:val="continue"/>
            <w:vAlign w:val="center"/>
          </w:tcPr>
          <w:p w14:paraId="37B0C394">
            <w:pPr>
              <w:widowControl/>
              <w:spacing w:line="240" w:lineRule="auto"/>
              <w:ind w:firstLine="0" w:firstLineChars="0"/>
              <w:jc w:val="center"/>
              <w:rPr>
                <w:kern w:val="0"/>
                <w:sz w:val="21"/>
                <w:szCs w:val="21"/>
              </w:rPr>
            </w:pPr>
          </w:p>
        </w:tc>
        <w:tc>
          <w:tcPr>
            <w:tcW w:w="1069" w:type="dxa"/>
            <w:vMerge w:val="continue"/>
            <w:vAlign w:val="center"/>
          </w:tcPr>
          <w:p w14:paraId="42FD4D5C">
            <w:pPr>
              <w:widowControl/>
              <w:spacing w:line="240" w:lineRule="auto"/>
              <w:ind w:firstLine="0" w:firstLineChars="0"/>
              <w:jc w:val="center"/>
              <w:rPr>
                <w:kern w:val="0"/>
                <w:sz w:val="21"/>
                <w:szCs w:val="21"/>
              </w:rPr>
            </w:pPr>
          </w:p>
        </w:tc>
        <w:tc>
          <w:tcPr>
            <w:tcW w:w="1109" w:type="dxa"/>
            <w:vMerge w:val="continue"/>
            <w:vAlign w:val="center"/>
          </w:tcPr>
          <w:p w14:paraId="1C70CD63">
            <w:pPr>
              <w:widowControl/>
              <w:spacing w:line="240" w:lineRule="auto"/>
              <w:ind w:firstLine="0" w:firstLineChars="0"/>
              <w:jc w:val="center"/>
              <w:rPr>
                <w:kern w:val="0"/>
                <w:sz w:val="21"/>
                <w:szCs w:val="21"/>
              </w:rPr>
            </w:pPr>
          </w:p>
        </w:tc>
        <w:tc>
          <w:tcPr>
            <w:tcW w:w="1080" w:type="dxa"/>
            <w:vMerge w:val="continue"/>
            <w:vAlign w:val="center"/>
          </w:tcPr>
          <w:p w14:paraId="321DCF88">
            <w:pPr>
              <w:widowControl/>
              <w:spacing w:line="240" w:lineRule="auto"/>
              <w:ind w:firstLine="0" w:firstLineChars="0"/>
              <w:jc w:val="center"/>
              <w:rPr>
                <w:kern w:val="0"/>
                <w:sz w:val="21"/>
                <w:szCs w:val="21"/>
              </w:rPr>
            </w:pPr>
          </w:p>
        </w:tc>
      </w:tr>
      <w:tr w14:paraId="530E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137" w:type="dxa"/>
            <w:vMerge w:val="continue"/>
            <w:vAlign w:val="center"/>
          </w:tcPr>
          <w:p w14:paraId="24C8A8D8">
            <w:pPr>
              <w:widowControl/>
              <w:spacing w:line="240" w:lineRule="auto"/>
              <w:ind w:firstLine="0" w:firstLineChars="0"/>
              <w:jc w:val="center"/>
              <w:rPr>
                <w:kern w:val="0"/>
                <w:sz w:val="21"/>
                <w:szCs w:val="21"/>
              </w:rPr>
            </w:pPr>
          </w:p>
        </w:tc>
        <w:tc>
          <w:tcPr>
            <w:tcW w:w="863" w:type="dxa"/>
            <w:vMerge w:val="continue"/>
            <w:vAlign w:val="center"/>
          </w:tcPr>
          <w:p w14:paraId="7B980F2F">
            <w:pPr>
              <w:widowControl/>
              <w:spacing w:line="240" w:lineRule="auto"/>
              <w:ind w:firstLine="0" w:firstLineChars="0"/>
              <w:jc w:val="center"/>
              <w:rPr>
                <w:kern w:val="0"/>
                <w:sz w:val="21"/>
                <w:szCs w:val="21"/>
              </w:rPr>
            </w:pPr>
          </w:p>
        </w:tc>
        <w:tc>
          <w:tcPr>
            <w:tcW w:w="794" w:type="dxa"/>
            <w:vMerge w:val="continue"/>
            <w:noWrap/>
            <w:vAlign w:val="center"/>
          </w:tcPr>
          <w:p w14:paraId="08142987">
            <w:pPr>
              <w:widowControl/>
              <w:spacing w:line="240" w:lineRule="auto"/>
              <w:ind w:firstLine="0" w:firstLineChars="0"/>
              <w:jc w:val="center"/>
              <w:rPr>
                <w:kern w:val="0"/>
                <w:sz w:val="21"/>
                <w:szCs w:val="21"/>
              </w:rPr>
            </w:pPr>
          </w:p>
        </w:tc>
        <w:tc>
          <w:tcPr>
            <w:tcW w:w="1438" w:type="dxa"/>
            <w:vMerge w:val="restart"/>
            <w:shd w:val="clear" w:color="auto" w:fill="auto"/>
            <w:noWrap/>
            <w:vAlign w:val="center"/>
          </w:tcPr>
          <w:p w14:paraId="6200CC9D">
            <w:pPr>
              <w:widowControl/>
              <w:spacing w:line="240" w:lineRule="auto"/>
              <w:ind w:firstLine="0" w:firstLineChars="0"/>
              <w:jc w:val="center"/>
              <w:rPr>
                <w:kern w:val="0"/>
                <w:sz w:val="21"/>
                <w:szCs w:val="21"/>
              </w:rPr>
            </w:pPr>
            <w:r>
              <w:rPr>
                <w:kern w:val="0"/>
                <w:sz w:val="21"/>
                <w:szCs w:val="21"/>
              </w:rPr>
              <w:t>440~430m</w:t>
            </w:r>
          </w:p>
        </w:tc>
        <w:tc>
          <w:tcPr>
            <w:tcW w:w="1151" w:type="dxa"/>
            <w:shd w:val="clear" w:color="auto" w:fill="auto"/>
            <w:noWrap/>
            <w:vAlign w:val="center"/>
          </w:tcPr>
          <w:p w14:paraId="7E5C8C95">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TD-440-4</w:t>
            </w:r>
          </w:p>
        </w:tc>
        <w:tc>
          <w:tcPr>
            <w:tcW w:w="1171" w:type="dxa"/>
            <w:shd w:val="clear" w:color="auto" w:fill="auto"/>
            <w:noWrap/>
            <w:vAlign w:val="center"/>
          </w:tcPr>
          <w:p w14:paraId="6C426267">
            <w:pPr>
              <w:widowControl/>
              <w:spacing w:line="240" w:lineRule="auto"/>
              <w:ind w:firstLine="0" w:firstLineChars="0"/>
              <w:jc w:val="center"/>
              <w:rPr>
                <w:kern w:val="0"/>
                <w:sz w:val="21"/>
                <w:szCs w:val="21"/>
              </w:rPr>
            </w:pPr>
            <w:r>
              <w:rPr>
                <w:kern w:val="0"/>
                <w:sz w:val="21"/>
                <w:szCs w:val="21"/>
              </w:rPr>
              <w:t>28836</w:t>
            </w:r>
          </w:p>
        </w:tc>
        <w:tc>
          <w:tcPr>
            <w:tcW w:w="1110" w:type="dxa"/>
            <w:vMerge w:val="restart"/>
            <w:vAlign w:val="center"/>
          </w:tcPr>
          <w:p w14:paraId="54395D23">
            <w:pPr>
              <w:widowControl/>
              <w:spacing w:line="240" w:lineRule="auto"/>
              <w:ind w:firstLine="0" w:firstLineChars="0"/>
              <w:jc w:val="center"/>
              <w:rPr>
                <w:kern w:val="0"/>
                <w:sz w:val="21"/>
                <w:szCs w:val="21"/>
              </w:rPr>
            </w:pPr>
            <w:r>
              <w:rPr>
                <w:kern w:val="0"/>
                <w:sz w:val="21"/>
                <w:szCs w:val="21"/>
              </w:rPr>
              <w:t>10</w:t>
            </w:r>
          </w:p>
        </w:tc>
        <w:tc>
          <w:tcPr>
            <w:tcW w:w="2548" w:type="dxa"/>
            <w:vMerge w:val="restart"/>
            <w:shd w:val="clear" w:color="auto" w:fill="auto"/>
            <w:vAlign w:val="center"/>
          </w:tcPr>
          <w:p w14:paraId="1AFB209B">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shd w:val="clear" w:color="auto" w:fill="auto"/>
            <w:vAlign w:val="center"/>
          </w:tcPr>
          <w:p w14:paraId="75B8EFF8">
            <w:pPr>
              <w:widowControl/>
              <w:spacing w:line="240" w:lineRule="auto"/>
              <w:ind w:firstLine="0" w:firstLineChars="0"/>
              <w:jc w:val="center"/>
              <w:rPr>
                <w:kern w:val="0"/>
                <w:sz w:val="21"/>
                <w:szCs w:val="21"/>
              </w:rPr>
            </w:pPr>
            <w:r>
              <w:rPr>
                <w:kern w:val="0"/>
                <w:sz w:val="21"/>
                <w:szCs w:val="21"/>
              </w:rPr>
              <w:t>2.70</w:t>
            </w:r>
          </w:p>
        </w:tc>
        <w:tc>
          <w:tcPr>
            <w:tcW w:w="1069" w:type="dxa"/>
            <w:vMerge w:val="restart"/>
            <w:shd w:val="clear" w:color="auto" w:fill="auto"/>
            <w:vAlign w:val="center"/>
          </w:tcPr>
          <w:p w14:paraId="361FA542">
            <w:pPr>
              <w:widowControl/>
              <w:spacing w:line="240" w:lineRule="auto"/>
              <w:ind w:firstLine="0" w:firstLineChars="0"/>
              <w:jc w:val="center"/>
              <w:rPr>
                <w:kern w:val="0"/>
                <w:sz w:val="21"/>
                <w:szCs w:val="21"/>
              </w:rPr>
            </w:pPr>
            <w:r>
              <w:rPr>
                <w:kern w:val="0"/>
                <w:sz w:val="21"/>
                <w:szCs w:val="21"/>
              </w:rPr>
              <w:t>35.07</w:t>
            </w:r>
          </w:p>
        </w:tc>
        <w:tc>
          <w:tcPr>
            <w:tcW w:w="1109" w:type="dxa"/>
            <w:vMerge w:val="continue"/>
            <w:vAlign w:val="center"/>
          </w:tcPr>
          <w:p w14:paraId="2C6700A2">
            <w:pPr>
              <w:widowControl/>
              <w:spacing w:line="240" w:lineRule="auto"/>
              <w:ind w:firstLine="0" w:firstLineChars="0"/>
              <w:jc w:val="center"/>
              <w:rPr>
                <w:kern w:val="0"/>
                <w:sz w:val="21"/>
                <w:szCs w:val="21"/>
              </w:rPr>
            </w:pPr>
          </w:p>
        </w:tc>
        <w:tc>
          <w:tcPr>
            <w:tcW w:w="1080" w:type="dxa"/>
            <w:vMerge w:val="continue"/>
            <w:vAlign w:val="center"/>
          </w:tcPr>
          <w:p w14:paraId="2B9350CE">
            <w:pPr>
              <w:widowControl/>
              <w:spacing w:line="240" w:lineRule="auto"/>
              <w:ind w:firstLine="0" w:firstLineChars="0"/>
              <w:jc w:val="center"/>
              <w:rPr>
                <w:kern w:val="0"/>
                <w:sz w:val="21"/>
                <w:szCs w:val="21"/>
              </w:rPr>
            </w:pPr>
          </w:p>
        </w:tc>
      </w:tr>
      <w:tr w14:paraId="450A8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00E5C7B0">
            <w:pPr>
              <w:widowControl/>
              <w:spacing w:line="240" w:lineRule="auto"/>
              <w:ind w:firstLine="0" w:firstLineChars="0"/>
              <w:jc w:val="center"/>
              <w:rPr>
                <w:kern w:val="0"/>
                <w:sz w:val="21"/>
                <w:szCs w:val="21"/>
              </w:rPr>
            </w:pPr>
          </w:p>
        </w:tc>
        <w:tc>
          <w:tcPr>
            <w:tcW w:w="863" w:type="dxa"/>
            <w:vMerge w:val="continue"/>
            <w:vAlign w:val="center"/>
          </w:tcPr>
          <w:p w14:paraId="490DBF50">
            <w:pPr>
              <w:widowControl/>
              <w:spacing w:line="240" w:lineRule="auto"/>
              <w:ind w:firstLine="0" w:firstLineChars="0"/>
              <w:jc w:val="center"/>
              <w:rPr>
                <w:kern w:val="0"/>
                <w:sz w:val="21"/>
                <w:szCs w:val="21"/>
              </w:rPr>
            </w:pPr>
          </w:p>
        </w:tc>
        <w:tc>
          <w:tcPr>
            <w:tcW w:w="794" w:type="dxa"/>
            <w:vMerge w:val="continue"/>
            <w:noWrap/>
            <w:vAlign w:val="center"/>
          </w:tcPr>
          <w:p w14:paraId="12BC5DF5">
            <w:pPr>
              <w:widowControl/>
              <w:spacing w:line="240" w:lineRule="auto"/>
              <w:ind w:firstLine="0" w:firstLineChars="0"/>
              <w:jc w:val="center"/>
              <w:rPr>
                <w:kern w:val="0"/>
                <w:sz w:val="21"/>
                <w:szCs w:val="21"/>
              </w:rPr>
            </w:pPr>
          </w:p>
        </w:tc>
        <w:tc>
          <w:tcPr>
            <w:tcW w:w="1438" w:type="dxa"/>
            <w:vMerge w:val="continue"/>
            <w:noWrap/>
            <w:vAlign w:val="center"/>
          </w:tcPr>
          <w:p w14:paraId="5D175FDF">
            <w:pPr>
              <w:widowControl/>
              <w:spacing w:line="240" w:lineRule="auto"/>
              <w:ind w:firstLine="0" w:firstLineChars="0"/>
              <w:jc w:val="center"/>
              <w:rPr>
                <w:kern w:val="0"/>
                <w:sz w:val="21"/>
                <w:szCs w:val="21"/>
              </w:rPr>
            </w:pPr>
          </w:p>
        </w:tc>
        <w:tc>
          <w:tcPr>
            <w:tcW w:w="1151" w:type="dxa"/>
            <w:shd w:val="clear" w:color="auto" w:fill="auto"/>
            <w:noWrap/>
            <w:vAlign w:val="center"/>
          </w:tcPr>
          <w:p w14:paraId="058F2A31">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TD-430-3</w:t>
            </w:r>
          </w:p>
        </w:tc>
        <w:tc>
          <w:tcPr>
            <w:tcW w:w="1171" w:type="dxa"/>
            <w:shd w:val="clear" w:color="auto" w:fill="auto"/>
            <w:noWrap/>
            <w:vAlign w:val="center"/>
          </w:tcPr>
          <w:p w14:paraId="6E35B258">
            <w:pPr>
              <w:widowControl/>
              <w:spacing w:line="240" w:lineRule="auto"/>
              <w:ind w:firstLine="0" w:firstLineChars="0"/>
              <w:jc w:val="center"/>
              <w:rPr>
                <w:kern w:val="0"/>
                <w:sz w:val="21"/>
                <w:szCs w:val="21"/>
              </w:rPr>
            </w:pPr>
            <w:r>
              <w:rPr>
                <w:kern w:val="0"/>
                <w:sz w:val="21"/>
                <w:szCs w:val="21"/>
              </w:rPr>
              <w:t>41304</w:t>
            </w:r>
          </w:p>
        </w:tc>
        <w:tc>
          <w:tcPr>
            <w:tcW w:w="1110" w:type="dxa"/>
            <w:vMerge w:val="continue"/>
            <w:vAlign w:val="center"/>
          </w:tcPr>
          <w:p w14:paraId="46DECB38">
            <w:pPr>
              <w:widowControl/>
              <w:spacing w:line="240" w:lineRule="auto"/>
              <w:ind w:firstLine="0" w:firstLineChars="0"/>
              <w:jc w:val="center"/>
              <w:rPr>
                <w:kern w:val="0"/>
                <w:sz w:val="21"/>
                <w:szCs w:val="21"/>
              </w:rPr>
            </w:pPr>
          </w:p>
        </w:tc>
        <w:tc>
          <w:tcPr>
            <w:tcW w:w="2548" w:type="dxa"/>
            <w:vMerge w:val="continue"/>
            <w:vAlign w:val="center"/>
          </w:tcPr>
          <w:p w14:paraId="3F5752EA">
            <w:pPr>
              <w:widowControl/>
              <w:spacing w:line="240" w:lineRule="auto"/>
              <w:ind w:firstLine="0" w:firstLineChars="0"/>
              <w:jc w:val="center"/>
              <w:rPr>
                <w:kern w:val="0"/>
                <w:sz w:val="21"/>
                <w:szCs w:val="21"/>
              </w:rPr>
            </w:pPr>
          </w:p>
        </w:tc>
        <w:tc>
          <w:tcPr>
            <w:tcW w:w="1109" w:type="dxa"/>
            <w:vMerge w:val="continue"/>
            <w:vAlign w:val="center"/>
          </w:tcPr>
          <w:p w14:paraId="4BA518BE">
            <w:pPr>
              <w:widowControl/>
              <w:spacing w:line="240" w:lineRule="auto"/>
              <w:ind w:firstLine="0" w:firstLineChars="0"/>
              <w:jc w:val="center"/>
              <w:rPr>
                <w:kern w:val="0"/>
                <w:sz w:val="21"/>
                <w:szCs w:val="21"/>
              </w:rPr>
            </w:pPr>
          </w:p>
        </w:tc>
        <w:tc>
          <w:tcPr>
            <w:tcW w:w="1069" w:type="dxa"/>
            <w:vMerge w:val="continue"/>
            <w:vAlign w:val="center"/>
          </w:tcPr>
          <w:p w14:paraId="2A932D80">
            <w:pPr>
              <w:widowControl/>
              <w:spacing w:line="240" w:lineRule="auto"/>
              <w:ind w:firstLine="0" w:firstLineChars="0"/>
              <w:jc w:val="center"/>
              <w:rPr>
                <w:kern w:val="0"/>
                <w:sz w:val="21"/>
                <w:szCs w:val="21"/>
              </w:rPr>
            </w:pPr>
          </w:p>
        </w:tc>
        <w:tc>
          <w:tcPr>
            <w:tcW w:w="1109" w:type="dxa"/>
            <w:vMerge w:val="continue"/>
            <w:vAlign w:val="center"/>
          </w:tcPr>
          <w:p w14:paraId="4971C864">
            <w:pPr>
              <w:widowControl/>
              <w:spacing w:line="240" w:lineRule="auto"/>
              <w:ind w:firstLine="0" w:firstLineChars="0"/>
              <w:jc w:val="center"/>
              <w:rPr>
                <w:kern w:val="0"/>
                <w:sz w:val="21"/>
                <w:szCs w:val="21"/>
              </w:rPr>
            </w:pPr>
          </w:p>
        </w:tc>
        <w:tc>
          <w:tcPr>
            <w:tcW w:w="1080" w:type="dxa"/>
            <w:vMerge w:val="continue"/>
            <w:vAlign w:val="center"/>
          </w:tcPr>
          <w:p w14:paraId="6652B703">
            <w:pPr>
              <w:widowControl/>
              <w:spacing w:line="240" w:lineRule="auto"/>
              <w:ind w:firstLine="0" w:firstLineChars="0"/>
              <w:jc w:val="center"/>
              <w:rPr>
                <w:kern w:val="0"/>
                <w:sz w:val="21"/>
                <w:szCs w:val="21"/>
              </w:rPr>
            </w:pPr>
          </w:p>
        </w:tc>
      </w:tr>
      <w:tr w14:paraId="1703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2" w:hRule="atLeast"/>
        </w:trPr>
        <w:tc>
          <w:tcPr>
            <w:tcW w:w="1137" w:type="dxa"/>
            <w:vMerge w:val="continue"/>
            <w:vAlign w:val="center"/>
          </w:tcPr>
          <w:p w14:paraId="1E3A82AA">
            <w:pPr>
              <w:widowControl/>
              <w:spacing w:line="240" w:lineRule="auto"/>
              <w:ind w:firstLine="0" w:firstLineChars="0"/>
              <w:jc w:val="center"/>
              <w:rPr>
                <w:kern w:val="0"/>
                <w:sz w:val="21"/>
                <w:szCs w:val="21"/>
              </w:rPr>
            </w:pPr>
          </w:p>
        </w:tc>
        <w:tc>
          <w:tcPr>
            <w:tcW w:w="863" w:type="dxa"/>
            <w:vMerge w:val="continue"/>
            <w:vAlign w:val="center"/>
          </w:tcPr>
          <w:p w14:paraId="392A1807">
            <w:pPr>
              <w:widowControl/>
              <w:spacing w:line="240" w:lineRule="auto"/>
              <w:ind w:firstLine="0" w:firstLineChars="0"/>
              <w:jc w:val="center"/>
              <w:rPr>
                <w:kern w:val="0"/>
                <w:sz w:val="21"/>
                <w:szCs w:val="21"/>
              </w:rPr>
            </w:pPr>
          </w:p>
        </w:tc>
        <w:tc>
          <w:tcPr>
            <w:tcW w:w="794" w:type="dxa"/>
            <w:vMerge w:val="continue"/>
            <w:noWrap/>
            <w:vAlign w:val="center"/>
          </w:tcPr>
          <w:p w14:paraId="7B680A12">
            <w:pPr>
              <w:widowControl/>
              <w:spacing w:line="240" w:lineRule="auto"/>
              <w:ind w:firstLine="0" w:firstLineChars="0"/>
              <w:jc w:val="center"/>
              <w:rPr>
                <w:kern w:val="0"/>
                <w:sz w:val="21"/>
                <w:szCs w:val="21"/>
              </w:rPr>
            </w:pPr>
          </w:p>
        </w:tc>
        <w:tc>
          <w:tcPr>
            <w:tcW w:w="1438" w:type="dxa"/>
            <w:vMerge w:val="restart"/>
            <w:noWrap/>
            <w:vAlign w:val="center"/>
          </w:tcPr>
          <w:p w14:paraId="14415D47">
            <w:pPr>
              <w:widowControl/>
              <w:spacing w:line="240" w:lineRule="auto"/>
              <w:ind w:firstLine="0" w:firstLineChars="0"/>
              <w:jc w:val="center"/>
              <w:rPr>
                <w:kern w:val="0"/>
                <w:sz w:val="21"/>
                <w:szCs w:val="21"/>
              </w:rPr>
            </w:pPr>
            <w:r>
              <w:rPr>
                <w:kern w:val="0"/>
                <w:sz w:val="21"/>
                <w:szCs w:val="21"/>
              </w:rPr>
              <w:t>430~420m</w:t>
            </w:r>
          </w:p>
        </w:tc>
        <w:tc>
          <w:tcPr>
            <w:tcW w:w="1151" w:type="dxa"/>
            <w:noWrap/>
            <w:vAlign w:val="center"/>
          </w:tcPr>
          <w:p w14:paraId="7AC86FD0">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TD-430-1</w:t>
            </w:r>
          </w:p>
        </w:tc>
        <w:tc>
          <w:tcPr>
            <w:tcW w:w="1171" w:type="dxa"/>
            <w:noWrap/>
            <w:vAlign w:val="center"/>
          </w:tcPr>
          <w:p w14:paraId="1B41E125">
            <w:pPr>
              <w:widowControl/>
              <w:spacing w:line="240" w:lineRule="auto"/>
              <w:ind w:firstLine="0" w:firstLineChars="0"/>
              <w:jc w:val="center"/>
              <w:rPr>
                <w:kern w:val="0"/>
                <w:sz w:val="21"/>
                <w:szCs w:val="21"/>
              </w:rPr>
            </w:pPr>
            <w:r>
              <w:rPr>
                <w:kern w:val="0"/>
                <w:sz w:val="21"/>
                <w:szCs w:val="21"/>
              </w:rPr>
              <w:t>72992</w:t>
            </w:r>
          </w:p>
        </w:tc>
        <w:tc>
          <w:tcPr>
            <w:tcW w:w="1110" w:type="dxa"/>
            <w:vMerge w:val="restart"/>
            <w:vAlign w:val="center"/>
          </w:tcPr>
          <w:p w14:paraId="7AE58DCE">
            <w:pPr>
              <w:widowControl/>
              <w:spacing w:line="240" w:lineRule="auto"/>
              <w:ind w:firstLine="0" w:firstLineChars="0"/>
              <w:jc w:val="center"/>
              <w:rPr>
                <w:kern w:val="0"/>
                <w:sz w:val="21"/>
                <w:szCs w:val="21"/>
              </w:rPr>
            </w:pPr>
            <w:r>
              <w:rPr>
                <w:kern w:val="0"/>
                <w:sz w:val="21"/>
                <w:szCs w:val="21"/>
              </w:rPr>
              <w:t>10</w:t>
            </w:r>
          </w:p>
        </w:tc>
        <w:tc>
          <w:tcPr>
            <w:tcW w:w="2548" w:type="dxa"/>
            <w:vMerge w:val="restart"/>
            <w:vAlign w:val="center"/>
          </w:tcPr>
          <w:p w14:paraId="33FCFE90">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vAlign w:val="center"/>
          </w:tcPr>
          <w:p w14:paraId="2503B0F9">
            <w:pPr>
              <w:widowControl/>
              <w:spacing w:line="240" w:lineRule="auto"/>
              <w:ind w:firstLine="0" w:firstLineChars="0"/>
              <w:jc w:val="center"/>
              <w:rPr>
                <w:kern w:val="0"/>
                <w:sz w:val="21"/>
                <w:szCs w:val="21"/>
              </w:rPr>
            </w:pPr>
            <w:r>
              <w:rPr>
                <w:kern w:val="0"/>
                <w:sz w:val="21"/>
                <w:szCs w:val="21"/>
              </w:rPr>
              <w:t>2.70</w:t>
            </w:r>
          </w:p>
        </w:tc>
        <w:tc>
          <w:tcPr>
            <w:tcW w:w="1069" w:type="dxa"/>
            <w:vMerge w:val="restart"/>
            <w:vAlign w:val="center"/>
          </w:tcPr>
          <w:p w14:paraId="65EBF883">
            <w:pPr>
              <w:widowControl/>
              <w:spacing w:line="240" w:lineRule="auto"/>
              <w:ind w:firstLine="0" w:firstLineChars="0"/>
              <w:jc w:val="center"/>
              <w:rPr>
                <w:kern w:val="0"/>
                <w:sz w:val="21"/>
                <w:szCs w:val="21"/>
              </w:rPr>
            </w:pPr>
            <w:r>
              <w:rPr>
                <w:kern w:val="0"/>
                <w:sz w:val="21"/>
                <w:szCs w:val="21"/>
              </w:rPr>
              <w:t>77.69</w:t>
            </w:r>
          </w:p>
        </w:tc>
        <w:tc>
          <w:tcPr>
            <w:tcW w:w="1109" w:type="dxa"/>
            <w:vMerge w:val="continue"/>
            <w:vAlign w:val="center"/>
          </w:tcPr>
          <w:p w14:paraId="6EC7BE0C">
            <w:pPr>
              <w:widowControl/>
              <w:spacing w:line="240" w:lineRule="auto"/>
              <w:ind w:firstLine="0" w:firstLineChars="0"/>
              <w:jc w:val="center"/>
              <w:rPr>
                <w:kern w:val="0"/>
                <w:sz w:val="21"/>
                <w:szCs w:val="21"/>
              </w:rPr>
            </w:pPr>
          </w:p>
        </w:tc>
        <w:tc>
          <w:tcPr>
            <w:tcW w:w="1080" w:type="dxa"/>
            <w:vMerge w:val="continue"/>
            <w:vAlign w:val="center"/>
          </w:tcPr>
          <w:p w14:paraId="2BF69404">
            <w:pPr>
              <w:widowControl/>
              <w:spacing w:line="240" w:lineRule="auto"/>
              <w:ind w:firstLine="0" w:firstLineChars="0"/>
              <w:jc w:val="center"/>
              <w:rPr>
                <w:kern w:val="0"/>
                <w:sz w:val="21"/>
                <w:szCs w:val="21"/>
              </w:rPr>
            </w:pPr>
          </w:p>
        </w:tc>
      </w:tr>
      <w:tr w14:paraId="618A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137" w:type="dxa"/>
            <w:vMerge w:val="continue"/>
            <w:vAlign w:val="center"/>
          </w:tcPr>
          <w:p w14:paraId="01A601B6">
            <w:pPr>
              <w:widowControl/>
              <w:spacing w:line="240" w:lineRule="auto"/>
              <w:ind w:firstLine="0" w:firstLineChars="0"/>
              <w:jc w:val="center"/>
              <w:rPr>
                <w:kern w:val="0"/>
                <w:sz w:val="21"/>
                <w:szCs w:val="21"/>
              </w:rPr>
            </w:pPr>
          </w:p>
        </w:tc>
        <w:tc>
          <w:tcPr>
            <w:tcW w:w="863" w:type="dxa"/>
            <w:vMerge w:val="continue"/>
            <w:vAlign w:val="center"/>
          </w:tcPr>
          <w:p w14:paraId="23CC479A">
            <w:pPr>
              <w:widowControl/>
              <w:spacing w:line="240" w:lineRule="auto"/>
              <w:ind w:firstLine="0" w:firstLineChars="0"/>
              <w:jc w:val="center"/>
              <w:rPr>
                <w:kern w:val="0"/>
                <w:sz w:val="21"/>
                <w:szCs w:val="21"/>
              </w:rPr>
            </w:pPr>
          </w:p>
        </w:tc>
        <w:tc>
          <w:tcPr>
            <w:tcW w:w="794" w:type="dxa"/>
            <w:vMerge w:val="continue"/>
            <w:noWrap/>
            <w:vAlign w:val="center"/>
          </w:tcPr>
          <w:p w14:paraId="212181AC">
            <w:pPr>
              <w:widowControl/>
              <w:spacing w:line="240" w:lineRule="auto"/>
              <w:ind w:firstLine="0" w:firstLineChars="0"/>
              <w:jc w:val="center"/>
              <w:rPr>
                <w:kern w:val="0"/>
                <w:sz w:val="21"/>
                <w:szCs w:val="21"/>
              </w:rPr>
            </w:pPr>
          </w:p>
        </w:tc>
        <w:tc>
          <w:tcPr>
            <w:tcW w:w="1438" w:type="dxa"/>
            <w:vMerge w:val="continue"/>
            <w:noWrap/>
            <w:vAlign w:val="center"/>
          </w:tcPr>
          <w:p w14:paraId="7C5EA961">
            <w:pPr>
              <w:widowControl/>
              <w:spacing w:line="240" w:lineRule="auto"/>
              <w:ind w:firstLine="0" w:firstLineChars="0"/>
              <w:jc w:val="center"/>
              <w:rPr>
                <w:kern w:val="0"/>
                <w:sz w:val="21"/>
                <w:szCs w:val="21"/>
              </w:rPr>
            </w:pPr>
          </w:p>
        </w:tc>
        <w:tc>
          <w:tcPr>
            <w:tcW w:w="1151" w:type="dxa"/>
            <w:noWrap/>
            <w:vAlign w:val="center"/>
          </w:tcPr>
          <w:p w14:paraId="31DA1E51">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TD-420-1</w:t>
            </w:r>
          </w:p>
        </w:tc>
        <w:tc>
          <w:tcPr>
            <w:tcW w:w="1171" w:type="dxa"/>
            <w:noWrap/>
            <w:vAlign w:val="center"/>
          </w:tcPr>
          <w:p w14:paraId="4E66F7F1">
            <w:pPr>
              <w:widowControl/>
              <w:spacing w:line="240" w:lineRule="auto"/>
              <w:ind w:firstLine="0" w:firstLineChars="0"/>
              <w:jc w:val="center"/>
              <w:rPr>
                <w:kern w:val="0"/>
                <w:sz w:val="21"/>
                <w:szCs w:val="21"/>
              </w:rPr>
            </w:pPr>
            <w:r>
              <w:rPr>
                <w:kern w:val="0"/>
                <w:sz w:val="21"/>
                <w:szCs w:val="21"/>
              </w:rPr>
              <w:t>82380</w:t>
            </w:r>
          </w:p>
        </w:tc>
        <w:tc>
          <w:tcPr>
            <w:tcW w:w="1110" w:type="dxa"/>
            <w:vMerge w:val="continue"/>
            <w:vAlign w:val="center"/>
          </w:tcPr>
          <w:p w14:paraId="47C3AEA7">
            <w:pPr>
              <w:widowControl/>
              <w:spacing w:line="240" w:lineRule="auto"/>
              <w:ind w:firstLine="0" w:firstLineChars="0"/>
              <w:jc w:val="center"/>
              <w:rPr>
                <w:kern w:val="0"/>
                <w:sz w:val="21"/>
                <w:szCs w:val="21"/>
              </w:rPr>
            </w:pPr>
          </w:p>
        </w:tc>
        <w:tc>
          <w:tcPr>
            <w:tcW w:w="2548" w:type="dxa"/>
            <w:vMerge w:val="continue"/>
            <w:vAlign w:val="center"/>
          </w:tcPr>
          <w:p w14:paraId="71753490">
            <w:pPr>
              <w:widowControl/>
              <w:spacing w:line="240" w:lineRule="auto"/>
              <w:ind w:firstLine="0" w:firstLineChars="0"/>
              <w:jc w:val="center"/>
              <w:rPr>
                <w:kern w:val="0"/>
                <w:sz w:val="21"/>
                <w:szCs w:val="21"/>
              </w:rPr>
            </w:pPr>
          </w:p>
        </w:tc>
        <w:tc>
          <w:tcPr>
            <w:tcW w:w="1109" w:type="dxa"/>
            <w:vMerge w:val="continue"/>
            <w:vAlign w:val="center"/>
          </w:tcPr>
          <w:p w14:paraId="19F519EB">
            <w:pPr>
              <w:widowControl/>
              <w:spacing w:line="240" w:lineRule="auto"/>
              <w:ind w:firstLine="0" w:firstLineChars="0"/>
              <w:jc w:val="center"/>
              <w:rPr>
                <w:kern w:val="0"/>
                <w:sz w:val="21"/>
                <w:szCs w:val="21"/>
              </w:rPr>
            </w:pPr>
          </w:p>
        </w:tc>
        <w:tc>
          <w:tcPr>
            <w:tcW w:w="1069" w:type="dxa"/>
            <w:vMerge w:val="continue"/>
            <w:vAlign w:val="center"/>
          </w:tcPr>
          <w:p w14:paraId="20ED7641">
            <w:pPr>
              <w:widowControl/>
              <w:spacing w:line="240" w:lineRule="auto"/>
              <w:ind w:firstLine="0" w:firstLineChars="0"/>
              <w:jc w:val="center"/>
              <w:rPr>
                <w:kern w:val="0"/>
                <w:sz w:val="21"/>
                <w:szCs w:val="21"/>
              </w:rPr>
            </w:pPr>
          </w:p>
        </w:tc>
        <w:tc>
          <w:tcPr>
            <w:tcW w:w="1109" w:type="dxa"/>
            <w:vMerge w:val="continue"/>
            <w:vAlign w:val="center"/>
          </w:tcPr>
          <w:p w14:paraId="2D1FA3B4">
            <w:pPr>
              <w:widowControl/>
              <w:spacing w:line="240" w:lineRule="auto"/>
              <w:ind w:firstLine="0" w:firstLineChars="0"/>
              <w:jc w:val="center"/>
              <w:rPr>
                <w:kern w:val="0"/>
                <w:sz w:val="21"/>
                <w:szCs w:val="21"/>
              </w:rPr>
            </w:pPr>
          </w:p>
        </w:tc>
        <w:tc>
          <w:tcPr>
            <w:tcW w:w="1080" w:type="dxa"/>
            <w:vMerge w:val="continue"/>
            <w:vAlign w:val="center"/>
          </w:tcPr>
          <w:p w14:paraId="7CF18ECD">
            <w:pPr>
              <w:widowControl/>
              <w:spacing w:line="240" w:lineRule="auto"/>
              <w:ind w:firstLine="0" w:firstLineChars="0"/>
              <w:jc w:val="center"/>
              <w:rPr>
                <w:kern w:val="0"/>
                <w:sz w:val="21"/>
                <w:szCs w:val="21"/>
              </w:rPr>
            </w:pPr>
          </w:p>
        </w:tc>
      </w:tr>
      <w:tr w14:paraId="65DF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48068B66">
            <w:pPr>
              <w:widowControl/>
              <w:spacing w:line="240" w:lineRule="auto"/>
              <w:ind w:firstLine="0" w:firstLineChars="0"/>
              <w:jc w:val="center"/>
              <w:rPr>
                <w:kern w:val="0"/>
                <w:sz w:val="21"/>
                <w:szCs w:val="21"/>
              </w:rPr>
            </w:pPr>
          </w:p>
        </w:tc>
        <w:tc>
          <w:tcPr>
            <w:tcW w:w="863" w:type="dxa"/>
            <w:vMerge w:val="continue"/>
            <w:vAlign w:val="center"/>
          </w:tcPr>
          <w:p w14:paraId="5790C5B7">
            <w:pPr>
              <w:widowControl/>
              <w:spacing w:line="240" w:lineRule="auto"/>
              <w:ind w:firstLine="0" w:firstLineChars="0"/>
              <w:jc w:val="center"/>
              <w:rPr>
                <w:kern w:val="0"/>
                <w:sz w:val="21"/>
                <w:szCs w:val="21"/>
              </w:rPr>
            </w:pPr>
          </w:p>
        </w:tc>
        <w:tc>
          <w:tcPr>
            <w:tcW w:w="794" w:type="dxa"/>
            <w:vMerge w:val="continue"/>
            <w:noWrap/>
            <w:vAlign w:val="center"/>
          </w:tcPr>
          <w:p w14:paraId="4613FBCB">
            <w:pPr>
              <w:widowControl/>
              <w:spacing w:line="240" w:lineRule="auto"/>
              <w:ind w:firstLine="0" w:firstLineChars="0"/>
              <w:jc w:val="center"/>
              <w:rPr>
                <w:kern w:val="0"/>
                <w:sz w:val="21"/>
                <w:szCs w:val="21"/>
              </w:rPr>
            </w:pPr>
          </w:p>
        </w:tc>
        <w:tc>
          <w:tcPr>
            <w:tcW w:w="1438" w:type="dxa"/>
            <w:vMerge w:val="restart"/>
            <w:shd w:val="clear" w:color="auto" w:fill="auto"/>
            <w:noWrap/>
            <w:vAlign w:val="center"/>
          </w:tcPr>
          <w:p w14:paraId="0DFCEEC0">
            <w:pPr>
              <w:widowControl/>
              <w:spacing w:line="240" w:lineRule="auto"/>
              <w:ind w:firstLine="0" w:firstLineChars="0"/>
              <w:jc w:val="center"/>
              <w:rPr>
                <w:kern w:val="0"/>
                <w:sz w:val="21"/>
                <w:szCs w:val="21"/>
              </w:rPr>
            </w:pPr>
            <w:r>
              <w:rPr>
                <w:kern w:val="0"/>
                <w:sz w:val="21"/>
                <w:szCs w:val="21"/>
              </w:rPr>
              <w:t>430~420m</w:t>
            </w:r>
          </w:p>
        </w:tc>
        <w:tc>
          <w:tcPr>
            <w:tcW w:w="1151" w:type="dxa"/>
            <w:shd w:val="clear" w:color="auto" w:fill="auto"/>
            <w:noWrap/>
            <w:vAlign w:val="center"/>
          </w:tcPr>
          <w:p w14:paraId="11B0F1E4">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TD-430-2+3</w:t>
            </w:r>
          </w:p>
        </w:tc>
        <w:tc>
          <w:tcPr>
            <w:tcW w:w="1171" w:type="dxa"/>
            <w:shd w:val="clear" w:color="auto" w:fill="auto"/>
            <w:noWrap/>
            <w:vAlign w:val="center"/>
          </w:tcPr>
          <w:p w14:paraId="577D90AF">
            <w:pPr>
              <w:widowControl/>
              <w:spacing w:line="240" w:lineRule="auto"/>
              <w:ind w:firstLine="0" w:firstLineChars="0"/>
              <w:jc w:val="center"/>
              <w:rPr>
                <w:kern w:val="0"/>
                <w:sz w:val="21"/>
                <w:szCs w:val="21"/>
              </w:rPr>
            </w:pPr>
            <w:r>
              <w:rPr>
                <w:kern w:val="0"/>
                <w:sz w:val="21"/>
                <w:szCs w:val="21"/>
              </w:rPr>
              <w:t>52676</w:t>
            </w:r>
          </w:p>
        </w:tc>
        <w:tc>
          <w:tcPr>
            <w:tcW w:w="1110" w:type="dxa"/>
            <w:vMerge w:val="restart"/>
            <w:vAlign w:val="center"/>
          </w:tcPr>
          <w:p w14:paraId="55E3FB6E">
            <w:pPr>
              <w:widowControl/>
              <w:spacing w:line="240" w:lineRule="auto"/>
              <w:ind w:firstLine="0" w:firstLineChars="0"/>
              <w:jc w:val="center"/>
              <w:rPr>
                <w:kern w:val="0"/>
                <w:sz w:val="21"/>
                <w:szCs w:val="21"/>
              </w:rPr>
            </w:pPr>
            <w:r>
              <w:rPr>
                <w:kern w:val="0"/>
                <w:sz w:val="21"/>
                <w:szCs w:val="21"/>
              </w:rPr>
              <w:t>10</w:t>
            </w:r>
          </w:p>
        </w:tc>
        <w:tc>
          <w:tcPr>
            <w:tcW w:w="2548" w:type="dxa"/>
            <w:vMerge w:val="restart"/>
            <w:shd w:val="clear" w:color="auto" w:fill="auto"/>
            <w:vAlign w:val="center"/>
          </w:tcPr>
          <w:p w14:paraId="1BB7A9D0">
            <w:pPr>
              <w:widowControl/>
              <w:spacing w:line="240" w:lineRule="auto"/>
              <w:ind w:firstLine="0" w:firstLineChars="0"/>
              <w:jc w:val="center"/>
              <w:rPr>
                <w:kern w:val="0"/>
                <w:sz w:val="21"/>
                <w:szCs w:val="21"/>
              </w:rPr>
            </w:pPr>
            <w:r>
              <w:rPr>
                <w:sz w:val="21"/>
                <w:szCs w:val="21"/>
              </w:rPr>
              <w:t>V=(S</w:t>
            </w:r>
            <w:r>
              <w:rPr>
                <w:sz w:val="21"/>
                <w:szCs w:val="21"/>
                <w:vertAlign w:val="subscript"/>
              </w:rPr>
              <w:t>1</w:t>
            </w:r>
            <w:r>
              <w:rPr>
                <w:sz w:val="21"/>
                <w:szCs w:val="21"/>
              </w:rPr>
              <w:t>+S</w:t>
            </w:r>
            <w:r>
              <w:rPr>
                <w:sz w:val="21"/>
                <w:szCs w:val="21"/>
                <w:vertAlign w:val="subscript"/>
              </w:rPr>
              <w:t>2</w:t>
            </w:r>
            <w:r>
              <w:rPr>
                <w:sz w:val="21"/>
                <w:szCs w:val="21"/>
              </w:rPr>
              <w:t>+</w:t>
            </w:r>
            <w:r>
              <w:rPr>
                <w:position w:val="-14"/>
                <w:sz w:val="21"/>
                <w:szCs w:val="21"/>
              </w:rPr>
              <w:object>
                <v:shape id="_x0000_i1034" o:spt="75" type="#_x0000_t75" style="height:24.75pt;width:46.5pt;" o:ole="t" filled="f" o:preferrelative="t" stroked="f" coordsize="21600,21600">
                  <v:path/>
                  <v:fill on="f" focussize="0,0"/>
                  <v:stroke on="f" joinstyle="miter"/>
                  <v:imagedata r:id="rId21" o:title=""/>
                  <o:lock v:ext="edit" aspectratio="t"/>
                  <w10:wrap type="none"/>
                  <w10:anchorlock/>
                </v:shape>
                <o:OLEObject Type="Embed" ProgID="Equation.DSMT4" ShapeID="_x0000_i1034" DrawAspect="Content" ObjectID="_1468075734" r:id="rId29">
                  <o:LockedField>false</o:LockedField>
                </o:OLEObject>
              </w:object>
            </w:r>
            <w:r>
              <w:rPr>
                <w:sz w:val="21"/>
                <w:szCs w:val="21"/>
              </w:rPr>
              <w:t>)·L/3</w:t>
            </w:r>
          </w:p>
        </w:tc>
        <w:tc>
          <w:tcPr>
            <w:tcW w:w="1109" w:type="dxa"/>
            <w:vMerge w:val="restart"/>
            <w:shd w:val="clear" w:color="auto" w:fill="auto"/>
            <w:vAlign w:val="center"/>
          </w:tcPr>
          <w:p w14:paraId="26F33B25">
            <w:pPr>
              <w:widowControl/>
              <w:spacing w:line="240" w:lineRule="auto"/>
              <w:ind w:firstLine="0" w:firstLineChars="0"/>
              <w:jc w:val="center"/>
              <w:rPr>
                <w:kern w:val="0"/>
                <w:sz w:val="21"/>
                <w:szCs w:val="21"/>
              </w:rPr>
            </w:pPr>
            <w:r>
              <w:rPr>
                <w:kern w:val="0"/>
                <w:sz w:val="21"/>
                <w:szCs w:val="21"/>
              </w:rPr>
              <w:t>2.70</w:t>
            </w:r>
          </w:p>
        </w:tc>
        <w:tc>
          <w:tcPr>
            <w:tcW w:w="1069" w:type="dxa"/>
            <w:vMerge w:val="restart"/>
            <w:shd w:val="clear" w:color="auto" w:fill="auto"/>
            <w:vAlign w:val="center"/>
          </w:tcPr>
          <w:p w14:paraId="197E6BD7">
            <w:pPr>
              <w:widowControl/>
              <w:spacing w:line="240" w:lineRule="auto"/>
              <w:ind w:firstLine="0" w:firstLineChars="0"/>
              <w:jc w:val="center"/>
              <w:rPr>
                <w:kern w:val="0"/>
                <w:sz w:val="21"/>
                <w:szCs w:val="21"/>
              </w:rPr>
            </w:pPr>
            <w:r>
              <w:rPr>
                <w:kern w:val="0"/>
                <w:sz w:val="21"/>
                <w:szCs w:val="21"/>
              </w:rPr>
              <w:t>78.71</w:t>
            </w:r>
          </w:p>
        </w:tc>
        <w:tc>
          <w:tcPr>
            <w:tcW w:w="1109" w:type="dxa"/>
            <w:vMerge w:val="continue"/>
            <w:vAlign w:val="center"/>
          </w:tcPr>
          <w:p w14:paraId="067DEA20">
            <w:pPr>
              <w:widowControl/>
              <w:spacing w:line="240" w:lineRule="auto"/>
              <w:ind w:firstLine="0" w:firstLineChars="0"/>
              <w:jc w:val="center"/>
              <w:rPr>
                <w:kern w:val="0"/>
                <w:sz w:val="21"/>
                <w:szCs w:val="21"/>
              </w:rPr>
            </w:pPr>
          </w:p>
        </w:tc>
        <w:tc>
          <w:tcPr>
            <w:tcW w:w="1080" w:type="dxa"/>
            <w:vMerge w:val="continue"/>
            <w:vAlign w:val="center"/>
          </w:tcPr>
          <w:p w14:paraId="7470A2D7">
            <w:pPr>
              <w:widowControl/>
              <w:spacing w:line="240" w:lineRule="auto"/>
              <w:ind w:firstLine="0" w:firstLineChars="0"/>
              <w:jc w:val="center"/>
              <w:rPr>
                <w:kern w:val="0"/>
                <w:sz w:val="21"/>
                <w:szCs w:val="21"/>
              </w:rPr>
            </w:pPr>
          </w:p>
        </w:tc>
      </w:tr>
      <w:tr w14:paraId="2BE4F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45BC1D47">
            <w:pPr>
              <w:widowControl/>
              <w:spacing w:line="240" w:lineRule="auto"/>
              <w:ind w:firstLine="0" w:firstLineChars="0"/>
              <w:jc w:val="center"/>
              <w:rPr>
                <w:kern w:val="0"/>
                <w:sz w:val="21"/>
                <w:szCs w:val="21"/>
              </w:rPr>
            </w:pPr>
          </w:p>
        </w:tc>
        <w:tc>
          <w:tcPr>
            <w:tcW w:w="863" w:type="dxa"/>
            <w:vMerge w:val="continue"/>
            <w:vAlign w:val="center"/>
          </w:tcPr>
          <w:p w14:paraId="48BA2A42">
            <w:pPr>
              <w:widowControl/>
              <w:spacing w:line="240" w:lineRule="auto"/>
              <w:ind w:firstLine="0" w:firstLineChars="0"/>
              <w:jc w:val="center"/>
              <w:rPr>
                <w:kern w:val="0"/>
                <w:sz w:val="21"/>
                <w:szCs w:val="21"/>
              </w:rPr>
            </w:pPr>
          </w:p>
        </w:tc>
        <w:tc>
          <w:tcPr>
            <w:tcW w:w="794" w:type="dxa"/>
            <w:vMerge w:val="continue"/>
            <w:noWrap/>
            <w:vAlign w:val="center"/>
          </w:tcPr>
          <w:p w14:paraId="7FF1C85A">
            <w:pPr>
              <w:widowControl/>
              <w:spacing w:line="240" w:lineRule="auto"/>
              <w:ind w:firstLine="0" w:firstLineChars="0"/>
              <w:jc w:val="center"/>
              <w:rPr>
                <w:kern w:val="0"/>
                <w:sz w:val="21"/>
                <w:szCs w:val="21"/>
              </w:rPr>
            </w:pPr>
          </w:p>
        </w:tc>
        <w:tc>
          <w:tcPr>
            <w:tcW w:w="1438" w:type="dxa"/>
            <w:vMerge w:val="continue"/>
            <w:noWrap/>
            <w:vAlign w:val="center"/>
          </w:tcPr>
          <w:p w14:paraId="611C062E">
            <w:pPr>
              <w:widowControl/>
              <w:spacing w:line="240" w:lineRule="auto"/>
              <w:ind w:firstLine="0" w:firstLineChars="0"/>
              <w:jc w:val="center"/>
              <w:rPr>
                <w:kern w:val="0"/>
                <w:sz w:val="21"/>
                <w:szCs w:val="21"/>
              </w:rPr>
            </w:pPr>
          </w:p>
        </w:tc>
        <w:tc>
          <w:tcPr>
            <w:tcW w:w="1151" w:type="dxa"/>
            <w:shd w:val="clear" w:color="auto" w:fill="auto"/>
            <w:noWrap/>
            <w:vAlign w:val="center"/>
          </w:tcPr>
          <w:p w14:paraId="5290CBC6">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TD-420-2</w:t>
            </w:r>
          </w:p>
        </w:tc>
        <w:tc>
          <w:tcPr>
            <w:tcW w:w="1171" w:type="dxa"/>
            <w:shd w:val="clear" w:color="auto" w:fill="auto"/>
            <w:noWrap/>
            <w:vAlign w:val="center"/>
          </w:tcPr>
          <w:p w14:paraId="167ACB30">
            <w:pPr>
              <w:widowControl/>
              <w:spacing w:line="240" w:lineRule="auto"/>
              <w:ind w:firstLine="0" w:firstLineChars="0"/>
              <w:jc w:val="center"/>
              <w:rPr>
                <w:kern w:val="0"/>
                <w:sz w:val="21"/>
                <w:szCs w:val="21"/>
              </w:rPr>
            </w:pPr>
            <w:r>
              <w:rPr>
                <w:kern w:val="0"/>
                <w:sz w:val="21"/>
                <w:szCs w:val="21"/>
              </w:rPr>
              <w:t>108024</w:t>
            </w:r>
          </w:p>
        </w:tc>
        <w:tc>
          <w:tcPr>
            <w:tcW w:w="1110" w:type="dxa"/>
            <w:vMerge w:val="continue"/>
            <w:vAlign w:val="center"/>
          </w:tcPr>
          <w:p w14:paraId="0A3C31E7">
            <w:pPr>
              <w:widowControl/>
              <w:spacing w:line="240" w:lineRule="auto"/>
              <w:ind w:firstLine="0" w:firstLineChars="0"/>
              <w:jc w:val="center"/>
              <w:rPr>
                <w:kern w:val="0"/>
                <w:sz w:val="21"/>
                <w:szCs w:val="21"/>
              </w:rPr>
            </w:pPr>
          </w:p>
        </w:tc>
        <w:tc>
          <w:tcPr>
            <w:tcW w:w="2548" w:type="dxa"/>
            <w:vMerge w:val="continue"/>
            <w:vAlign w:val="center"/>
          </w:tcPr>
          <w:p w14:paraId="70943EA2">
            <w:pPr>
              <w:widowControl/>
              <w:spacing w:line="240" w:lineRule="auto"/>
              <w:ind w:firstLine="0" w:firstLineChars="0"/>
              <w:jc w:val="center"/>
              <w:rPr>
                <w:kern w:val="0"/>
                <w:sz w:val="21"/>
                <w:szCs w:val="21"/>
              </w:rPr>
            </w:pPr>
          </w:p>
        </w:tc>
        <w:tc>
          <w:tcPr>
            <w:tcW w:w="1109" w:type="dxa"/>
            <w:vMerge w:val="continue"/>
            <w:vAlign w:val="center"/>
          </w:tcPr>
          <w:p w14:paraId="1420ED79">
            <w:pPr>
              <w:widowControl/>
              <w:spacing w:line="240" w:lineRule="auto"/>
              <w:ind w:firstLine="0" w:firstLineChars="0"/>
              <w:jc w:val="center"/>
              <w:rPr>
                <w:kern w:val="0"/>
                <w:sz w:val="21"/>
                <w:szCs w:val="21"/>
              </w:rPr>
            </w:pPr>
          </w:p>
        </w:tc>
        <w:tc>
          <w:tcPr>
            <w:tcW w:w="1069" w:type="dxa"/>
            <w:vMerge w:val="continue"/>
            <w:vAlign w:val="center"/>
          </w:tcPr>
          <w:p w14:paraId="25645EEF">
            <w:pPr>
              <w:widowControl/>
              <w:spacing w:line="240" w:lineRule="auto"/>
              <w:ind w:firstLine="0" w:firstLineChars="0"/>
              <w:jc w:val="center"/>
              <w:rPr>
                <w:kern w:val="0"/>
                <w:sz w:val="21"/>
                <w:szCs w:val="21"/>
              </w:rPr>
            </w:pPr>
          </w:p>
        </w:tc>
        <w:tc>
          <w:tcPr>
            <w:tcW w:w="1109" w:type="dxa"/>
            <w:vMerge w:val="continue"/>
            <w:vAlign w:val="center"/>
          </w:tcPr>
          <w:p w14:paraId="06623B31">
            <w:pPr>
              <w:widowControl/>
              <w:spacing w:line="240" w:lineRule="auto"/>
              <w:ind w:firstLine="0" w:firstLineChars="0"/>
              <w:jc w:val="center"/>
              <w:rPr>
                <w:kern w:val="0"/>
                <w:sz w:val="21"/>
                <w:szCs w:val="21"/>
              </w:rPr>
            </w:pPr>
          </w:p>
        </w:tc>
        <w:tc>
          <w:tcPr>
            <w:tcW w:w="1080" w:type="dxa"/>
            <w:vMerge w:val="continue"/>
            <w:vAlign w:val="center"/>
          </w:tcPr>
          <w:p w14:paraId="5D4FF418">
            <w:pPr>
              <w:widowControl/>
              <w:spacing w:line="240" w:lineRule="auto"/>
              <w:ind w:firstLine="0" w:firstLineChars="0"/>
              <w:jc w:val="center"/>
              <w:rPr>
                <w:kern w:val="0"/>
                <w:sz w:val="21"/>
                <w:szCs w:val="21"/>
              </w:rPr>
            </w:pPr>
          </w:p>
        </w:tc>
      </w:tr>
      <w:tr w14:paraId="62DE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2D58823C">
            <w:pPr>
              <w:widowControl/>
              <w:spacing w:line="240" w:lineRule="auto"/>
              <w:ind w:firstLine="0" w:firstLineChars="0"/>
              <w:jc w:val="center"/>
              <w:rPr>
                <w:kern w:val="0"/>
                <w:sz w:val="21"/>
                <w:szCs w:val="21"/>
              </w:rPr>
            </w:pPr>
          </w:p>
        </w:tc>
        <w:tc>
          <w:tcPr>
            <w:tcW w:w="863" w:type="dxa"/>
            <w:vMerge w:val="continue"/>
            <w:vAlign w:val="center"/>
          </w:tcPr>
          <w:p w14:paraId="6265CF86">
            <w:pPr>
              <w:widowControl/>
              <w:spacing w:line="240" w:lineRule="auto"/>
              <w:ind w:firstLine="0" w:firstLineChars="0"/>
              <w:jc w:val="center"/>
              <w:rPr>
                <w:kern w:val="0"/>
                <w:sz w:val="21"/>
                <w:szCs w:val="21"/>
              </w:rPr>
            </w:pPr>
          </w:p>
        </w:tc>
        <w:tc>
          <w:tcPr>
            <w:tcW w:w="794" w:type="dxa"/>
            <w:vMerge w:val="continue"/>
            <w:noWrap/>
            <w:vAlign w:val="center"/>
          </w:tcPr>
          <w:p w14:paraId="2330CCFA">
            <w:pPr>
              <w:widowControl/>
              <w:spacing w:line="240" w:lineRule="auto"/>
              <w:ind w:firstLine="0" w:firstLineChars="0"/>
              <w:jc w:val="center"/>
              <w:rPr>
                <w:kern w:val="0"/>
                <w:sz w:val="21"/>
                <w:szCs w:val="21"/>
              </w:rPr>
            </w:pPr>
          </w:p>
        </w:tc>
        <w:tc>
          <w:tcPr>
            <w:tcW w:w="1438" w:type="dxa"/>
            <w:vMerge w:val="restart"/>
            <w:shd w:val="clear" w:color="auto" w:fill="auto"/>
            <w:noWrap/>
            <w:vAlign w:val="center"/>
          </w:tcPr>
          <w:p w14:paraId="53A441CC">
            <w:pPr>
              <w:widowControl/>
              <w:spacing w:line="240" w:lineRule="auto"/>
              <w:ind w:firstLine="0" w:firstLineChars="0"/>
              <w:jc w:val="center"/>
              <w:rPr>
                <w:kern w:val="0"/>
                <w:sz w:val="21"/>
                <w:szCs w:val="21"/>
              </w:rPr>
            </w:pPr>
            <w:r>
              <w:rPr>
                <w:kern w:val="0"/>
                <w:sz w:val="21"/>
                <w:szCs w:val="21"/>
              </w:rPr>
              <w:t>430~420m</w:t>
            </w:r>
          </w:p>
        </w:tc>
        <w:tc>
          <w:tcPr>
            <w:tcW w:w="1151" w:type="dxa"/>
            <w:shd w:val="clear" w:color="auto" w:fill="auto"/>
            <w:noWrap/>
            <w:vAlign w:val="center"/>
          </w:tcPr>
          <w:p w14:paraId="13F8B966">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TD-426</w:t>
            </w:r>
          </w:p>
        </w:tc>
        <w:tc>
          <w:tcPr>
            <w:tcW w:w="1171" w:type="dxa"/>
            <w:shd w:val="clear" w:color="auto" w:fill="auto"/>
            <w:noWrap/>
            <w:vAlign w:val="center"/>
          </w:tcPr>
          <w:p w14:paraId="2E00F8E0">
            <w:pPr>
              <w:widowControl/>
              <w:spacing w:line="240" w:lineRule="auto"/>
              <w:ind w:firstLine="0" w:firstLineChars="0"/>
              <w:jc w:val="center"/>
              <w:rPr>
                <w:kern w:val="0"/>
                <w:sz w:val="21"/>
                <w:szCs w:val="21"/>
              </w:rPr>
            </w:pPr>
            <w:r>
              <w:rPr>
                <w:kern w:val="0"/>
                <w:sz w:val="21"/>
                <w:szCs w:val="21"/>
              </w:rPr>
              <w:t>0</w:t>
            </w:r>
          </w:p>
        </w:tc>
        <w:tc>
          <w:tcPr>
            <w:tcW w:w="1110" w:type="dxa"/>
            <w:vMerge w:val="restart"/>
            <w:vAlign w:val="center"/>
          </w:tcPr>
          <w:p w14:paraId="0C206004">
            <w:pPr>
              <w:widowControl/>
              <w:spacing w:line="240" w:lineRule="auto"/>
              <w:ind w:firstLine="0" w:firstLineChars="0"/>
              <w:jc w:val="center"/>
              <w:rPr>
                <w:kern w:val="0"/>
                <w:sz w:val="21"/>
                <w:szCs w:val="21"/>
              </w:rPr>
            </w:pPr>
            <w:r>
              <w:rPr>
                <w:kern w:val="0"/>
                <w:sz w:val="21"/>
                <w:szCs w:val="21"/>
              </w:rPr>
              <w:t>6</w:t>
            </w:r>
          </w:p>
        </w:tc>
        <w:tc>
          <w:tcPr>
            <w:tcW w:w="2548" w:type="dxa"/>
            <w:vMerge w:val="restart"/>
            <w:vAlign w:val="center"/>
          </w:tcPr>
          <w:p w14:paraId="143902CE">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vAlign w:val="center"/>
          </w:tcPr>
          <w:p w14:paraId="1D14DC42">
            <w:pPr>
              <w:widowControl/>
              <w:spacing w:line="240" w:lineRule="auto"/>
              <w:ind w:firstLine="0" w:firstLineChars="0"/>
              <w:jc w:val="center"/>
              <w:rPr>
                <w:kern w:val="0"/>
                <w:sz w:val="21"/>
                <w:szCs w:val="21"/>
              </w:rPr>
            </w:pPr>
            <w:r>
              <w:rPr>
                <w:kern w:val="0"/>
                <w:sz w:val="21"/>
                <w:szCs w:val="21"/>
              </w:rPr>
              <w:t>2.70</w:t>
            </w:r>
          </w:p>
        </w:tc>
        <w:tc>
          <w:tcPr>
            <w:tcW w:w="1069" w:type="dxa"/>
            <w:vMerge w:val="restart"/>
            <w:vAlign w:val="center"/>
          </w:tcPr>
          <w:p w14:paraId="13AA5592">
            <w:pPr>
              <w:widowControl/>
              <w:spacing w:line="240" w:lineRule="auto"/>
              <w:ind w:firstLine="0" w:firstLineChars="0"/>
              <w:jc w:val="center"/>
              <w:rPr>
                <w:kern w:val="0"/>
                <w:sz w:val="21"/>
                <w:szCs w:val="21"/>
              </w:rPr>
            </w:pPr>
            <w:r>
              <w:rPr>
                <w:kern w:val="0"/>
                <w:sz w:val="21"/>
                <w:szCs w:val="21"/>
              </w:rPr>
              <w:t>1.58</w:t>
            </w:r>
          </w:p>
        </w:tc>
        <w:tc>
          <w:tcPr>
            <w:tcW w:w="1109" w:type="dxa"/>
            <w:vMerge w:val="continue"/>
            <w:vAlign w:val="center"/>
          </w:tcPr>
          <w:p w14:paraId="0A05BB2A">
            <w:pPr>
              <w:widowControl/>
              <w:spacing w:line="240" w:lineRule="auto"/>
              <w:ind w:firstLine="0" w:firstLineChars="0"/>
              <w:jc w:val="center"/>
              <w:rPr>
                <w:kern w:val="0"/>
                <w:sz w:val="21"/>
                <w:szCs w:val="21"/>
              </w:rPr>
            </w:pPr>
          </w:p>
        </w:tc>
        <w:tc>
          <w:tcPr>
            <w:tcW w:w="1080" w:type="dxa"/>
            <w:vMerge w:val="continue"/>
            <w:vAlign w:val="center"/>
          </w:tcPr>
          <w:p w14:paraId="130AAFF9">
            <w:pPr>
              <w:widowControl/>
              <w:spacing w:line="240" w:lineRule="auto"/>
              <w:ind w:firstLine="0" w:firstLineChars="0"/>
              <w:jc w:val="center"/>
              <w:rPr>
                <w:kern w:val="0"/>
                <w:sz w:val="21"/>
                <w:szCs w:val="21"/>
              </w:rPr>
            </w:pPr>
          </w:p>
        </w:tc>
      </w:tr>
      <w:tr w14:paraId="191F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3ED0B9D6">
            <w:pPr>
              <w:widowControl/>
              <w:spacing w:line="240" w:lineRule="auto"/>
              <w:ind w:firstLine="0" w:firstLineChars="0"/>
              <w:jc w:val="center"/>
              <w:rPr>
                <w:kern w:val="0"/>
                <w:sz w:val="21"/>
                <w:szCs w:val="21"/>
              </w:rPr>
            </w:pPr>
          </w:p>
        </w:tc>
        <w:tc>
          <w:tcPr>
            <w:tcW w:w="863" w:type="dxa"/>
            <w:vMerge w:val="continue"/>
            <w:vAlign w:val="center"/>
          </w:tcPr>
          <w:p w14:paraId="00A05687">
            <w:pPr>
              <w:widowControl/>
              <w:spacing w:line="240" w:lineRule="auto"/>
              <w:ind w:firstLine="0" w:firstLineChars="0"/>
              <w:jc w:val="center"/>
              <w:rPr>
                <w:kern w:val="0"/>
                <w:sz w:val="21"/>
                <w:szCs w:val="21"/>
              </w:rPr>
            </w:pPr>
          </w:p>
        </w:tc>
        <w:tc>
          <w:tcPr>
            <w:tcW w:w="794" w:type="dxa"/>
            <w:vMerge w:val="continue"/>
            <w:noWrap/>
            <w:vAlign w:val="center"/>
          </w:tcPr>
          <w:p w14:paraId="06F99AFA">
            <w:pPr>
              <w:widowControl/>
              <w:spacing w:line="240" w:lineRule="auto"/>
              <w:ind w:firstLine="0" w:firstLineChars="0"/>
              <w:jc w:val="center"/>
              <w:rPr>
                <w:kern w:val="0"/>
                <w:sz w:val="21"/>
                <w:szCs w:val="21"/>
              </w:rPr>
            </w:pPr>
          </w:p>
        </w:tc>
        <w:tc>
          <w:tcPr>
            <w:tcW w:w="1438" w:type="dxa"/>
            <w:vMerge w:val="continue"/>
            <w:noWrap/>
            <w:vAlign w:val="center"/>
          </w:tcPr>
          <w:p w14:paraId="69997F74">
            <w:pPr>
              <w:widowControl/>
              <w:spacing w:line="240" w:lineRule="auto"/>
              <w:ind w:firstLine="0" w:firstLineChars="0"/>
              <w:jc w:val="center"/>
              <w:rPr>
                <w:kern w:val="0"/>
                <w:sz w:val="21"/>
                <w:szCs w:val="21"/>
              </w:rPr>
            </w:pPr>
          </w:p>
        </w:tc>
        <w:tc>
          <w:tcPr>
            <w:tcW w:w="1151" w:type="dxa"/>
            <w:shd w:val="clear" w:color="auto" w:fill="auto"/>
            <w:noWrap/>
            <w:vAlign w:val="center"/>
          </w:tcPr>
          <w:p w14:paraId="129CA63D">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TD-420-3</w:t>
            </w:r>
          </w:p>
        </w:tc>
        <w:tc>
          <w:tcPr>
            <w:tcW w:w="1171" w:type="dxa"/>
            <w:shd w:val="clear" w:color="auto" w:fill="auto"/>
            <w:noWrap/>
            <w:vAlign w:val="center"/>
          </w:tcPr>
          <w:p w14:paraId="2FC5A790">
            <w:pPr>
              <w:widowControl/>
              <w:spacing w:line="240" w:lineRule="auto"/>
              <w:ind w:firstLine="0" w:firstLineChars="0"/>
              <w:jc w:val="center"/>
              <w:rPr>
                <w:kern w:val="0"/>
                <w:sz w:val="21"/>
                <w:szCs w:val="21"/>
              </w:rPr>
            </w:pPr>
            <w:r>
              <w:rPr>
                <w:kern w:val="0"/>
                <w:sz w:val="21"/>
                <w:szCs w:val="21"/>
              </w:rPr>
              <w:t>5260</w:t>
            </w:r>
          </w:p>
        </w:tc>
        <w:tc>
          <w:tcPr>
            <w:tcW w:w="1110" w:type="dxa"/>
            <w:vMerge w:val="continue"/>
            <w:vAlign w:val="center"/>
          </w:tcPr>
          <w:p w14:paraId="276FD204">
            <w:pPr>
              <w:widowControl/>
              <w:spacing w:line="240" w:lineRule="auto"/>
              <w:ind w:firstLine="0" w:firstLineChars="0"/>
              <w:jc w:val="center"/>
              <w:rPr>
                <w:kern w:val="0"/>
                <w:sz w:val="21"/>
                <w:szCs w:val="21"/>
              </w:rPr>
            </w:pPr>
          </w:p>
        </w:tc>
        <w:tc>
          <w:tcPr>
            <w:tcW w:w="2548" w:type="dxa"/>
            <w:vMerge w:val="continue"/>
            <w:vAlign w:val="center"/>
          </w:tcPr>
          <w:p w14:paraId="7D6D363C">
            <w:pPr>
              <w:widowControl/>
              <w:spacing w:line="240" w:lineRule="auto"/>
              <w:ind w:firstLine="0" w:firstLineChars="0"/>
              <w:jc w:val="center"/>
              <w:rPr>
                <w:kern w:val="0"/>
                <w:sz w:val="21"/>
                <w:szCs w:val="21"/>
              </w:rPr>
            </w:pPr>
          </w:p>
        </w:tc>
        <w:tc>
          <w:tcPr>
            <w:tcW w:w="1109" w:type="dxa"/>
            <w:vMerge w:val="continue"/>
            <w:vAlign w:val="center"/>
          </w:tcPr>
          <w:p w14:paraId="58BE0842">
            <w:pPr>
              <w:widowControl/>
              <w:spacing w:line="240" w:lineRule="auto"/>
              <w:ind w:firstLine="0" w:firstLineChars="0"/>
              <w:jc w:val="center"/>
              <w:rPr>
                <w:kern w:val="0"/>
                <w:sz w:val="21"/>
                <w:szCs w:val="21"/>
              </w:rPr>
            </w:pPr>
          </w:p>
        </w:tc>
        <w:tc>
          <w:tcPr>
            <w:tcW w:w="1069" w:type="dxa"/>
            <w:vMerge w:val="continue"/>
            <w:vAlign w:val="center"/>
          </w:tcPr>
          <w:p w14:paraId="711A2DD5">
            <w:pPr>
              <w:widowControl/>
              <w:spacing w:line="240" w:lineRule="auto"/>
              <w:ind w:firstLine="0" w:firstLineChars="0"/>
              <w:jc w:val="center"/>
              <w:rPr>
                <w:kern w:val="0"/>
                <w:sz w:val="21"/>
                <w:szCs w:val="21"/>
              </w:rPr>
            </w:pPr>
          </w:p>
        </w:tc>
        <w:tc>
          <w:tcPr>
            <w:tcW w:w="1109" w:type="dxa"/>
            <w:vMerge w:val="continue"/>
            <w:vAlign w:val="center"/>
          </w:tcPr>
          <w:p w14:paraId="50902B23">
            <w:pPr>
              <w:widowControl/>
              <w:spacing w:line="240" w:lineRule="auto"/>
              <w:ind w:firstLine="0" w:firstLineChars="0"/>
              <w:jc w:val="center"/>
              <w:rPr>
                <w:kern w:val="0"/>
                <w:sz w:val="21"/>
                <w:szCs w:val="21"/>
              </w:rPr>
            </w:pPr>
          </w:p>
        </w:tc>
        <w:tc>
          <w:tcPr>
            <w:tcW w:w="1080" w:type="dxa"/>
            <w:vMerge w:val="continue"/>
            <w:vAlign w:val="center"/>
          </w:tcPr>
          <w:p w14:paraId="78D9CF8B">
            <w:pPr>
              <w:widowControl/>
              <w:spacing w:line="240" w:lineRule="auto"/>
              <w:ind w:firstLine="0" w:firstLineChars="0"/>
              <w:jc w:val="center"/>
              <w:rPr>
                <w:kern w:val="0"/>
                <w:sz w:val="21"/>
                <w:szCs w:val="21"/>
              </w:rPr>
            </w:pPr>
          </w:p>
        </w:tc>
      </w:tr>
      <w:tr w14:paraId="104B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48984A56">
            <w:pPr>
              <w:widowControl/>
              <w:spacing w:line="240" w:lineRule="auto"/>
              <w:ind w:firstLine="0" w:firstLineChars="0"/>
              <w:jc w:val="center"/>
              <w:rPr>
                <w:kern w:val="0"/>
                <w:sz w:val="21"/>
                <w:szCs w:val="21"/>
              </w:rPr>
            </w:pPr>
          </w:p>
        </w:tc>
        <w:tc>
          <w:tcPr>
            <w:tcW w:w="863" w:type="dxa"/>
            <w:vMerge w:val="continue"/>
            <w:vAlign w:val="center"/>
          </w:tcPr>
          <w:p w14:paraId="79BE1F0B">
            <w:pPr>
              <w:widowControl/>
              <w:spacing w:line="240" w:lineRule="auto"/>
              <w:ind w:firstLine="0" w:firstLineChars="0"/>
              <w:jc w:val="center"/>
              <w:rPr>
                <w:kern w:val="0"/>
                <w:sz w:val="21"/>
                <w:szCs w:val="21"/>
              </w:rPr>
            </w:pPr>
          </w:p>
        </w:tc>
        <w:tc>
          <w:tcPr>
            <w:tcW w:w="794" w:type="dxa"/>
            <w:vMerge w:val="continue"/>
            <w:noWrap/>
            <w:vAlign w:val="center"/>
          </w:tcPr>
          <w:p w14:paraId="7B78878D">
            <w:pPr>
              <w:widowControl/>
              <w:spacing w:line="240" w:lineRule="auto"/>
              <w:ind w:firstLine="0" w:firstLineChars="0"/>
              <w:jc w:val="center"/>
              <w:rPr>
                <w:kern w:val="0"/>
                <w:sz w:val="21"/>
                <w:szCs w:val="21"/>
              </w:rPr>
            </w:pPr>
          </w:p>
        </w:tc>
        <w:tc>
          <w:tcPr>
            <w:tcW w:w="1438" w:type="dxa"/>
            <w:vMerge w:val="restart"/>
            <w:noWrap/>
            <w:vAlign w:val="center"/>
          </w:tcPr>
          <w:p w14:paraId="3671DD3A">
            <w:pPr>
              <w:widowControl/>
              <w:spacing w:line="240" w:lineRule="auto"/>
              <w:ind w:firstLine="0" w:firstLineChars="0"/>
              <w:jc w:val="center"/>
              <w:rPr>
                <w:kern w:val="0"/>
                <w:sz w:val="21"/>
                <w:szCs w:val="21"/>
              </w:rPr>
            </w:pPr>
            <w:r>
              <w:rPr>
                <w:kern w:val="0"/>
                <w:sz w:val="21"/>
                <w:szCs w:val="21"/>
              </w:rPr>
              <w:t>420~410m</w:t>
            </w:r>
          </w:p>
        </w:tc>
        <w:tc>
          <w:tcPr>
            <w:tcW w:w="1151" w:type="dxa"/>
            <w:noWrap/>
            <w:vAlign w:val="center"/>
          </w:tcPr>
          <w:p w14:paraId="3FE612C8">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TD-420-1</w:t>
            </w:r>
          </w:p>
        </w:tc>
        <w:tc>
          <w:tcPr>
            <w:tcW w:w="1171" w:type="dxa"/>
            <w:noWrap/>
            <w:vAlign w:val="center"/>
          </w:tcPr>
          <w:p w14:paraId="61417E96">
            <w:pPr>
              <w:widowControl/>
              <w:spacing w:line="240" w:lineRule="auto"/>
              <w:ind w:firstLine="0" w:firstLineChars="0"/>
              <w:jc w:val="center"/>
              <w:rPr>
                <w:kern w:val="0"/>
                <w:sz w:val="21"/>
                <w:szCs w:val="21"/>
              </w:rPr>
            </w:pPr>
            <w:r>
              <w:rPr>
                <w:kern w:val="0"/>
                <w:sz w:val="21"/>
                <w:szCs w:val="21"/>
              </w:rPr>
              <w:t>82380</w:t>
            </w:r>
          </w:p>
        </w:tc>
        <w:tc>
          <w:tcPr>
            <w:tcW w:w="1110" w:type="dxa"/>
            <w:vMerge w:val="restart"/>
            <w:vAlign w:val="center"/>
          </w:tcPr>
          <w:p w14:paraId="46048F9D">
            <w:pPr>
              <w:widowControl/>
              <w:tabs>
                <w:tab w:val="left" w:pos="361"/>
                <w:tab w:val="center" w:pos="492"/>
              </w:tabs>
              <w:spacing w:line="240" w:lineRule="auto"/>
              <w:ind w:firstLine="0" w:firstLineChars="0"/>
              <w:jc w:val="center"/>
              <w:rPr>
                <w:kern w:val="0"/>
                <w:sz w:val="21"/>
                <w:szCs w:val="21"/>
              </w:rPr>
            </w:pPr>
            <w:r>
              <w:rPr>
                <w:kern w:val="0"/>
                <w:sz w:val="21"/>
                <w:szCs w:val="21"/>
              </w:rPr>
              <w:t>10</w:t>
            </w:r>
          </w:p>
        </w:tc>
        <w:tc>
          <w:tcPr>
            <w:tcW w:w="2548" w:type="dxa"/>
            <w:vMerge w:val="restart"/>
            <w:vAlign w:val="center"/>
          </w:tcPr>
          <w:p w14:paraId="3D6B4592">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vAlign w:val="center"/>
          </w:tcPr>
          <w:p w14:paraId="0F0AFFB5">
            <w:pPr>
              <w:widowControl/>
              <w:spacing w:line="240" w:lineRule="auto"/>
              <w:ind w:firstLine="0" w:firstLineChars="0"/>
              <w:jc w:val="center"/>
              <w:rPr>
                <w:kern w:val="0"/>
                <w:sz w:val="21"/>
                <w:szCs w:val="21"/>
              </w:rPr>
            </w:pPr>
            <w:r>
              <w:rPr>
                <w:kern w:val="0"/>
                <w:sz w:val="21"/>
                <w:szCs w:val="21"/>
              </w:rPr>
              <w:t>2.70</w:t>
            </w:r>
          </w:p>
        </w:tc>
        <w:tc>
          <w:tcPr>
            <w:tcW w:w="1069" w:type="dxa"/>
            <w:vMerge w:val="restart"/>
            <w:vAlign w:val="center"/>
          </w:tcPr>
          <w:p w14:paraId="768ADBCE">
            <w:pPr>
              <w:widowControl/>
              <w:spacing w:line="240" w:lineRule="auto"/>
              <w:ind w:firstLine="0" w:firstLineChars="0"/>
              <w:jc w:val="center"/>
              <w:rPr>
                <w:kern w:val="0"/>
                <w:sz w:val="21"/>
                <w:szCs w:val="21"/>
              </w:rPr>
            </w:pPr>
            <w:r>
              <w:rPr>
                <w:kern w:val="0"/>
                <w:sz w:val="21"/>
                <w:szCs w:val="21"/>
              </w:rPr>
              <w:t>85.37</w:t>
            </w:r>
          </w:p>
        </w:tc>
        <w:tc>
          <w:tcPr>
            <w:tcW w:w="1109" w:type="dxa"/>
            <w:vMerge w:val="continue"/>
            <w:vAlign w:val="center"/>
          </w:tcPr>
          <w:p w14:paraId="563D69E0">
            <w:pPr>
              <w:widowControl/>
              <w:spacing w:line="240" w:lineRule="auto"/>
              <w:ind w:firstLine="0" w:firstLineChars="0"/>
              <w:jc w:val="center"/>
              <w:rPr>
                <w:kern w:val="0"/>
                <w:sz w:val="21"/>
                <w:szCs w:val="21"/>
              </w:rPr>
            </w:pPr>
          </w:p>
        </w:tc>
        <w:tc>
          <w:tcPr>
            <w:tcW w:w="1080" w:type="dxa"/>
            <w:vMerge w:val="continue"/>
            <w:vAlign w:val="center"/>
          </w:tcPr>
          <w:p w14:paraId="204793F6">
            <w:pPr>
              <w:widowControl/>
              <w:spacing w:line="240" w:lineRule="auto"/>
              <w:ind w:firstLine="0" w:firstLineChars="0"/>
              <w:jc w:val="center"/>
              <w:rPr>
                <w:kern w:val="0"/>
                <w:sz w:val="21"/>
                <w:szCs w:val="21"/>
              </w:rPr>
            </w:pPr>
          </w:p>
        </w:tc>
      </w:tr>
      <w:tr w14:paraId="3B73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076F6D16">
            <w:pPr>
              <w:widowControl/>
              <w:spacing w:line="240" w:lineRule="auto"/>
              <w:ind w:firstLine="0" w:firstLineChars="0"/>
              <w:jc w:val="center"/>
              <w:rPr>
                <w:kern w:val="0"/>
                <w:sz w:val="21"/>
                <w:szCs w:val="21"/>
              </w:rPr>
            </w:pPr>
          </w:p>
        </w:tc>
        <w:tc>
          <w:tcPr>
            <w:tcW w:w="863" w:type="dxa"/>
            <w:vMerge w:val="continue"/>
            <w:vAlign w:val="center"/>
          </w:tcPr>
          <w:p w14:paraId="5F73B7E2">
            <w:pPr>
              <w:widowControl/>
              <w:spacing w:line="240" w:lineRule="auto"/>
              <w:ind w:firstLine="0" w:firstLineChars="0"/>
              <w:jc w:val="center"/>
              <w:rPr>
                <w:kern w:val="0"/>
                <w:sz w:val="21"/>
                <w:szCs w:val="21"/>
              </w:rPr>
            </w:pPr>
          </w:p>
        </w:tc>
        <w:tc>
          <w:tcPr>
            <w:tcW w:w="794" w:type="dxa"/>
            <w:vMerge w:val="continue"/>
            <w:noWrap/>
            <w:vAlign w:val="center"/>
          </w:tcPr>
          <w:p w14:paraId="44F383FC">
            <w:pPr>
              <w:widowControl/>
              <w:spacing w:line="240" w:lineRule="auto"/>
              <w:ind w:firstLine="0" w:firstLineChars="0"/>
              <w:jc w:val="center"/>
              <w:rPr>
                <w:kern w:val="0"/>
                <w:sz w:val="21"/>
                <w:szCs w:val="21"/>
              </w:rPr>
            </w:pPr>
          </w:p>
        </w:tc>
        <w:tc>
          <w:tcPr>
            <w:tcW w:w="1438" w:type="dxa"/>
            <w:vMerge w:val="continue"/>
            <w:noWrap/>
            <w:vAlign w:val="center"/>
          </w:tcPr>
          <w:p w14:paraId="7A52465C">
            <w:pPr>
              <w:widowControl/>
              <w:spacing w:line="240" w:lineRule="auto"/>
              <w:ind w:firstLine="0" w:firstLineChars="0"/>
              <w:jc w:val="center"/>
              <w:rPr>
                <w:kern w:val="0"/>
                <w:sz w:val="21"/>
                <w:szCs w:val="21"/>
              </w:rPr>
            </w:pPr>
          </w:p>
        </w:tc>
        <w:tc>
          <w:tcPr>
            <w:tcW w:w="1151" w:type="dxa"/>
            <w:noWrap/>
            <w:vAlign w:val="center"/>
          </w:tcPr>
          <w:p w14:paraId="0171258A">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TD-410-1</w:t>
            </w:r>
          </w:p>
        </w:tc>
        <w:tc>
          <w:tcPr>
            <w:tcW w:w="1171" w:type="dxa"/>
            <w:noWrap/>
            <w:vAlign w:val="center"/>
          </w:tcPr>
          <w:p w14:paraId="55ED3A89">
            <w:pPr>
              <w:widowControl/>
              <w:spacing w:line="240" w:lineRule="auto"/>
              <w:ind w:firstLine="0" w:firstLineChars="0"/>
              <w:jc w:val="center"/>
              <w:rPr>
                <w:kern w:val="0"/>
                <w:sz w:val="21"/>
                <w:szCs w:val="21"/>
              </w:rPr>
            </w:pPr>
            <w:r>
              <w:rPr>
                <w:kern w:val="0"/>
                <w:sz w:val="21"/>
                <w:szCs w:val="21"/>
              </w:rPr>
              <w:t>88361</w:t>
            </w:r>
          </w:p>
        </w:tc>
        <w:tc>
          <w:tcPr>
            <w:tcW w:w="1110" w:type="dxa"/>
            <w:vMerge w:val="continue"/>
            <w:vAlign w:val="center"/>
          </w:tcPr>
          <w:p w14:paraId="791AF5F9">
            <w:pPr>
              <w:widowControl/>
              <w:spacing w:line="240" w:lineRule="auto"/>
              <w:ind w:firstLine="0" w:firstLineChars="0"/>
              <w:jc w:val="center"/>
              <w:rPr>
                <w:kern w:val="0"/>
                <w:sz w:val="21"/>
                <w:szCs w:val="21"/>
              </w:rPr>
            </w:pPr>
          </w:p>
        </w:tc>
        <w:tc>
          <w:tcPr>
            <w:tcW w:w="2548" w:type="dxa"/>
            <w:vMerge w:val="continue"/>
            <w:vAlign w:val="center"/>
          </w:tcPr>
          <w:p w14:paraId="3D046B49">
            <w:pPr>
              <w:widowControl/>
              <w:spacing w:line="240" w:lineRule="auto"/>
              <w:ind w:firstLine="0" w:firstLineChars="0"/>
              <w:jc w:val="center"/>
              <w:rPr>
                <w:kern w:val="0"/>
                <w:sz w:val="21"/>
                <w:szCs w:val="21"/>
              </w:rPr>
            </w:pPr>
          </w:p>
        </w:tc>
        <w:tc>
          <w:tcPr>
            <w:tcW w:w="1109" w:type="dxa"/>
            <w:vMerge w:val="continue"/>
            <w:vAlign w:val="center"/>
          </w:tcPr>
          <w:p w14:paraId="422DDAD5">
            <w:pPr>
              <w:widowControl/>
              <w:spacing w:line="240" w:lineRule="auto"/>
              <w:ind w:firstLine="0" w:firstLineChars="0"/>
              <w:jc w:val="center"/>
              <w:rPr>
                <w:kern w:val="0"/>
                <w:sz w:val="21"/>
                <w:szCs w:val="21"/>
              </w:rPr>
            </w:pPr>
          </w:p>
        </w:tc>
        <w:tc>
          <w:tcPr>
            <w:tcW w:w="1069" w:type="dxa"/>
            <w:vMerge w:val="continue"/>
            <w:vAlign w:val="center"/>
          </w:tcPr>
          <w:p w14:paraId="47BC51E1">
            <w:pPr>
              <w:widowControl/>
              <w:spacing w:line="240" w:lineRule="auto"/>
              <w:ind w:firstLine="0" w:firstLineChars="0"/>
              <w:jc w:val="center"/>
              <w:rPr>
                <w:kern w:val="0"/>
                <w:sz w:val="21"/>
                <w:szCs w:val="21"/>
              </w:rPr>
            </w:pPr>
          </w:p>
        </w:tc>
        <w:tc>
          <w:tcPr>
            <w:tcW w:w="1109" w:type="dxa"/>
            <w:vMerge w:val="continue"/>
            <w:vAlign w:val="center"/>
          </w:tcPr>
          <w:p w14:paraId="3F10B71C">
            <w:pPr>
              <w:widowControl/>
              <w:spacing w:line="240" w:lineRule="auto"/>
              <w:ind w:firstLine="0" w:firstLineChars="0"/>
              <w:jc w:val="center"/>
              <w:rPr>
                <w:kern w:val="0"/>
                <w:sz w:val="21"/>
                <w:szCs w:val="21"/>
              </w:rPr>
            </w:pPr>
          </w:p>
        </w:tc>
        <w:tc>
          <w:tcPr>
            <w:tcW w:w="1080" w:type="dxa"/>
            <w:vMerge w:val="continue"/>
            <w:vAlign w:val="center"/>
          </w:tcPr>
          <w:p w14:paraId="36B3C298">
            <w:pPr>
              <w:widowControl/>
              <w:spacing w:line="240" w:lineRule="auto"/>
              <w:ind w:firstLine="0" w:firstLineChars="0"/>
              <w:jc w:val="center"/>
              <w:rPr>
                <w:kern w:val="0"/>
                <w:sz w:val="21"/>
                <w:szCs w:val="21"/>
              </w:rPr>
            </w:pPr>
          </w:p>
        </w:tc>
      </w:tr>
      <w:tr w14:paraId="4E76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0E235E63">
            <w:pPr>
              <w:widowControl/>
              <w:spacing w:line="240" w:lineRule="auto"/>
              <w:ind w:firstLine="0" w:firstLineChars="0"/>
              <w:jc w:val="center"/>
              <w:rPr>
                <w:kern w:val="0"/>
                <w:sz w:val="21"/>
                <w:szCs w:val="21"/>
              </w:rPr>
            </w:pPr>
          </w:p>
        </w:tc>
        <w:tc>
          <w:tcPr>
            <w:tcW w:w="863" w:type="dxa"/>
            <w:vMerge w:val="continue"/>
            <w:vAlign w:val="center"/>
          </w:tcPr>
          <w:p w14:paraId="51221930">
            <w:pPr>
              <w:widowControl/>
              <w:spacing w:line="240" w:lineRule="auto"/>
              <w:ind w:firstLine="0" w:firstLineChars="0"/>
              <w:jc w:val="center"/>
              <w:rPr>
                <w:kern w:val="0"/>
                <w:sz w:val="21"/>
                <w:szCs w:val="21"/>
              </w:rPr>
            </w:pPr>
          </w:p>
        </w:tc>
        <w:tc>
          <w:tcPr>
            <w:tcW w:w="794" w:type="dxa"/>
            <w:vMerge w:val="continue"/>
            <w:noWrap/>
            <w:vAlign w:val="center"/>
          </w:tcPr>
          <w:p w14:paraId="3A73B8EA">
            <w:pPr>
              <w:widowControl/>
              <w:spacing w:line="240" w:lineRule="auto"/>
              <w:ind w:firstLine="0" w:firstLineChars="0"/>
              <w:jc w:val="center"/>
              <w:rPr>
                <w:kern w:val="0"/>
                <w:sz w:val="21"/>
                <w:szCs w:val="21"/>
              </w:rPr>
            </w:pPr>
          </w:p>
        </w:tc>
        <w:tc>
          <w:tcPr>
            <w:tcW w:w="1438" w:type="dxa"/>
            <w:vMerge w:val="restart"/>
            <w:shd w:val="clear" w:color="auto" w:fill="auto"/>
            <w:noWrap/>
            <w:vAlign w:val="center"/>
          </w:tcPr>
          <w:p w14:paraId="4037290D">
            <w:pPr>
              <w:widowControl/>
              <w:spacing w:line="240" w:lineRule="auto"/>
              <w:ind w:firstLine="0" w:firstLineChars="0"/>
              <w:jc w:val="center"/>
              <w:rPr>
                <w:kern w:val="0"/>
                <w:sz w:val="21"/>
                <w:szCs w:val="21"/>
              </w:rPr>
            </w:pPr>
            <w:r>
              <w:rPr>
                <w:kern w:val="0"/>
                <w:sz w:val="21"/>
                <w:szCs w:val="21"/>
              </w:rPr>
              <w:t>420~410m</w:t>
            </w:r>
          </w:p>
        </w:tc>
        <w:tc>
          <w:tcPr>
            <w:tcW w:w="1151" w:type="dxa"/>
            <w:shd w:val="clear" w:color="auto" w:fill="auto"/>
            <w:noWrap/>
            <w:vAlign w:val="center"/>
          </w:tcPr>
          <w:p w14:paraId="1B88A1CA">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TD-420-2+3</w:t>
            </w:r>
          </w:p>
        </w:tc>
        <w:tc>
          <w:tcPr>
            <w:tcW w:w="1171" w:type="dxa"/>
            <w:shd w:val="clear" w:color="auto" w:fill="auto"/>
            <w:noWrap/>
            <w:vAlign w:val="center"/>
          </w:tcPr>
          <w:p w14:paraId="3699D4EE">
            <w:pPr>
              <w:widowControl/>
              <w:spacing w:line="240" w:lineRule="auto"/>
              <w:ind w:firstLine="0" w:firstLineChars="0"/>
              <w:jc w:val="center"/>
              <w:rPr>
                <w:kern w:val="0"/>
                <w:sz w:val="21"/>
                <w:szCs w:val="21"/>
              </w:rPr>
            </w:pPr>
            <w:r>
              <w:rPr>
                <w:kern w:val="0"/>
                <w:sz w:val="21"/>
                <w:szCs w:val="21"/>
              </w:rPr>
              <w:t>113284</w:t>
            </w:r>
          </w:p>
        </w:tc>
        <w:tc>
          <w:tcPr>
            <w:tcW w:w="1110" w:type="dxa"/>
            <w:vMerge w:val="restart"/>
            <w:vAlign w:val="center"/>
          </w:tcPr>
          <w:p w14:paraId="470DDF37">
            <w:pPr>
              <w:widowControl/>
              <w:spacing w:line="240" w:lineRule="auto"/>
              <w:ind w:firstLine="0" w:firstLineChars="0"/>
              <w:jc w:val="center"/>
              <w:rPr>
                <w:kern w:val="0"/>
                <w:sz w:val="21"/>
                <w:szCs w:val="21"/>
              </w:rPr>
            </w:pPr>
            <w:r>
              <w:rPr>
                <w:kern w:val="0"/>
                <w:sz w:val="21"/>
                <w:szCs w:val="21"/>
              </w:rPr>
              <w:t>10</w:t>
            </w:r>
          </w:p>
        </w:tc>
        <w:tc>
          <w:tcPr>
            <w:tcW w:w="2548" w:type="dxa"/>
            <w:vMerge w:val="restart"/>
            <w:shd w:val="clear" w:color="auto" w:fill="auto"/>
            <w:vAlign w:val="center"/>
          </w:tcPr>
          <w:p w14:paraId="108ED710">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shd w:val="clear" w:color="auto" w:fill="auto"/>
            <w:vAlign w:val="center"/>
          </w:tcPr>
          <w:p w14:paraId="5C3E87BA">
            <w:pPr>
              <w:widowControl/>
              <w:spacing w:line="240" w:lineRule="auto"/>
              <w:ind w:firstLine="0" w:firstLineChars="0"/>
              <w:jc w:val="center"/>
              <w:rPr>
                <w:kern w:val="0"/>
                <w:sz w:val="21"/>
                <w:szCs w:val="21"/>
              </w:rPr>
            </w:pPr>
            <w:r>
              <w:rPr>
                <w:kern w:val="0"/>
                <w:sz w:val="21"/>
                <w:szCs w:val="21"/>
              </w:rPr>
              <w:t>2.70</w:t>
            </w:r>
          </w:p>
        </w:tc>
        <w:tc>
          <w:tcPr>
            <w:tcW w:w="1069" w:type="dxa"/>
            <w:vMerge w:val="restart"/>
            <w:vAlign w:val="center"/>
          </w:tcPr>
          <w:p w14:paraId="5AD1572F">
            <w:pPr>
              <w:widowControl/>
              <w:spacing w:line="240" w:lineRule="auto"/>
              <w:ind w:firstLine="0" w:firstLineChars="0"/>
              <w:jc w:val="center"/>
              <w:rPr>
                <w:kern w:val="0"/>
                <w:sz w:val="21"/>
                <w:szCs w:val="21"/>
              </w:rPr>
            </w:pPr>
            <w:r>
              <w:rPr>
                <w:kern w:val="0"/>
                <w:sz w:val="21"/>
                <w:szCs w:val="21"/>
              </w:rPr>
              <w:t>133.60</w:t>
            </w:r>
          </w:p>
        </w:tc>
        <w:tc>
          <w:tcPr>
            <w:tcW w:w="1109" w:type="dxa"/>
            <w:vMerge w:val="continue"/>
            <w:vAlign w:val="center"/>
          </w:tcPr>
          <w:p w14:paraId="7BA2FAC3">
            <w:pPr>
              <w:widowControl/>
              <w:spacing w:line="240" w:lineRule="auto"/>
              <w:ind w:firstLine="0" w:firstLineChars="0"/>
              <w:jc w:val="center"/>
              <w:rPr>
                <w:kern w:val="0"/>
                <w:sz w:val="21"/>
                <w:szCs w:val="21"/>
              </w:rPr>
            </w:pPr>
          </w:p>
        </w:tc>
        <w:tc>
          <w:tcPr>
            <w:tcW w:w="1080" w:type="dxa"/>
            <w:vMerge w:val="continue"/>
            <w:vAlign w:val="center"/>
          </w:tcPr>
          <w:p w14:paraId="215808C5">
            <w:pPr>
              <w:widowControl/>
              <w:spacing w:line="240" w:lineRule="auto"/>
              <w:ind w:firstLine="0" w:firstLineChars="0"/>
              <w:jc w:val="center"/>
              <w:rPr>
                <w:kern w:val="0"/>
                <w:sz w:val="21"/>
                <w:szCs w:val="21"/>
              </w:rPr>
            </w:pPr>
          </w:p>
        </w:tc>
      </w:tr>
      <w:tr w14:paraId="2773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37B9AB74">
            <w:pPr>
              <w:widowControl/>
              <w:spacing w:line="240" w:lineRule="auto"/>
              <w:ind w:firstLine="0" w:firstLineChars="0"/>
              <w:jc w:val="center"/>
              <w:rPr>
                <w:kern w:val="0"/>
                <w:sz w:val="21"/>
                <w:szCs w:val="21"/>
              </w:rPr>
            </w:pPr>
          </w:p>
        </w:tc>
        <w:tc>
          <w:tcPr>
            <w:tcW w:w="863" w:type="dxa"/>
            <w:vMerge w:val="continue"/>
            <w:vAlign w:val="center"/>
          </w:tcPr>
          <w:p w14:paraId="68D96009">
            <w:pPr>
              <w:widowControl/>
              <w:spacing w:line="240" w:lineRule="auto"/>
              <w:ind w:firstLine="0" w:firstLineChars="0"/>
              <w:jc w:val="center"/>
              <w:rPr>
                <w:kern w:val="0"/>
                <w:sz w:val="21"/>
                <w:szCs w:val="21"/>
              </w:rPr>
            </w:pPr>
          </w:p>
        </w:tc>
        <w:tc>
          <w:tcPr>
            <w:tcW w:w="794" w:type="dxa"/>
            <w:vMerge w:val="continue"/>
            <w:noWrap/>
            <w:vAlign w:val="center"/>
          </w:tcPr>
          <w:p w14:paraId="3855F2A0">
            <w:pPr>
              <w:widowControl/>
              <w:spacing w:line="240" w:lineRule="auto"/>
              <w:ind w:firstLine="0" w:firstLineChars="0"/>
              <w:jc w:val="center"/>
              <w:rPr>
                <w:kern w:val="0"/>
                <w:sz w:val="21"/>
                <w:szCs w:val="21"/>
              </w:rPr>
            </w:pPr>
          </w:p>
        </w:tc>
        <w:tc>
          <w:tcPr>
            <w:tcW w:w="1438" w:type="dxa"/>
            <w:vMerge w:val="continue"/>
            <w:noWrap/>
            <w:vAlign w:val="center"/>
          </w:tcPr>
          <w:p w14:paraId="3C72BCE9">
            <w:pPr>
              <w:widowControl/>
              <w:spacing w:line="240" w:lineRule="auto"/>
              <w:ind w:firstLine="0" w:firstLineChars="0"/>
              <w:jc w:val="center"/>
              <w:rPr>
                <w:kern w:val="0"/>
                <w:sz w:val="21"/>
                <w:szCs w:val="21"/>
              </w:rPr>
            </w:pPr>
          </w:p>
        </w:tc>
        <w:tc>
          <w:tcPr>
            <w:tcW w:w="1151" w:type="dxa"/>
            <w:shd w:val="clear" w:color="auto" w:fill="auto"/>
            <w:noWrap/>
            <w:vAlign w:val="center"/>
          </w:tcPr>
          <w:p w14:paraId="7D0F72C5">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TD-410-2</w:t>
            </w:r>
          </w:p>
        </w:tc>
        <w:tc>
          <w:tcPr>
            <w:tcW w:w="1171" w:type="dxa"/>
            <w:shd w:val="clear" w:color="auto" w:fill="auto"/>
            <w:noWrap/>
            <w:vAlign w:val="center"/>
          </w:tcPr>
          <w:p w14:paraId="2B5F417F">
            <w:pPr>
              <w:widowControl/>
              <w:spacing w:line="240" w:lineRule="auto"/>
              <w:ind w:firstLine="0" w:firstLineChars="0"/>
              <w:jc w:val="center"/>
              <w:rPr>
                <w:kern w:val="0"/>
                <w:sz w:val="21"/>
                <w:szCs w:val="21"/>
              </w:rPr>
            </w:pPr>
            <w:r>
              <w:rPr>
                <w:kern w:val="0"/>
                <w:sz w:val="21"/>
                <w:szCs w:val="21"/>
              </w:rPr>
              <w:t>153920</w:t>
            </w:r>
          </w:p>
        </w:tc>
        <w:tc>
          <w:tcPr>
            <w:tcW w:w="1110" w:type="dxa"/>
            <w:vMerge w:val="continue"/>
            <w:vAlign w:val="center"/>
          </w:tcPr>
          <w:p w14:paraId="1E043044">
            <w:pPr>
              <w:widowControl/>
              <w:spacing w:line="240" w:lineRule="auto"/>
              <w:ind w:firstLine="0" w:firstLineChars="0"/>
              <w:jc w:val="center"/>
              <w:rPr>
                <w:kern w:val="0"/>
                <w:sz w:val="21"/>
                <w:szCs w:val="21"/>
              </w:rPr>
            </w:pPr>
          </w:p>
        </w:tc>
        <w:tc>
          <w:tcPr>
            <w:tcW w:w="2548" w:type="dxa"/>
            <w:vMerge w:val="continue"/>
            <w:vAlign w:val="center"/>
          </w:tcPr>
          <w:p w14:paraId="4DCD63F0">
            <w:pPr>
              <w:widowControl/>
              <w:spacing w:line="240" w:lineRule="auto"/>
              <w:ind w:firstLine="0" w:firstLineChars="0"/>
              <w:jc w:val="center"/>
              <w:rPr>
                <w:kern w:val="0"/>
                <w:sz w:val="21"/>
                <w:szCs w:val="21"/>
              </w:rPr>
            </w:pPr>
          </w:p>
        </w:tc>
        <w:tc>
          <w:tcPr>
            <w:tcW w:w="1109" w:type="dxa"/>
            <w:vMerge w:val="continue"/>
            <w:vAlign w:val="center"/>
          </w:tcPr>
          <w:p w14:paraId="64372554">
            <w:pPr>
              <w:widowControl/>
              <w:spacing w:line="240" w:lineRule="auto"/>
              <w:ind w:firstLine="0" w:firstLineChars="0"/>
              <w:jc w:val="center"/>
              <w:rPr>
                <w:kern w:val="0"/>
                <w:sz w:val="21"/>
                <w:szCs w:val="21"/>
              </w:rPr>
            </w:pPr>
          </w:p>
        </w:tc>
        <w:tc>
          <w:tcPr>
            <w:tcW w:w="1069" w:type="dxa"/>
            <w:vMerge w:val="continue"/>
            <w:vAlign w:val="center"/>
          </w:tcPr>
          <w:p w14:paraId="2A8DDED4">
            <w:pPr>
              <w:widowControl/>
              <w:spacing w:line="240" w:lineRule="auto"/>
              <w:ind w:firstLine="0" w:firstLineChars="0"/>
              <w:jc w:val="center"/>
              <w:rPr>
                <w:kern w:val="0"/>
                <w:sz w:val="21"/>
                <w:szCs w:val="21"/>
              </w:rPr>
            </w:pPr>
          </w:p>
        </w:tc>
        <w:tc>
          <w:tcPr>
            <w:tcW w:w="1109" w:type="dxa"/>
            <w:vMerge w:val="continue"/>
            <w:vAlign w:val="center"/>
          </w:tcPr>
          <w:p w14:paraId="74B9A31E">
            <w:pPr>
              <w:widowControl/>
              <w:spacing w:line="240" w:lineRule="auto"/>
              <w:ind w:firstLine="0" w:firstLineChars="0"/>
              <w:jc w:val="center"/>
              <w:rPr>
                <w:kern w:val="0"/>
                <w:sz w:val="21"/>
                <w:szCs w:val="21"/>
              </w:rPr>
            </w:pPr>
          </w:p>
        </w:tc>
        <w:tc>
          <w:tcPr>
            <w:tcW w:w="1080" w:type="dxa"/>
            <w:vMerge w:val="continue"/>
            <w:vAlign w:val="center"/>
          </w:tcPr>
          <w:p w14:paraId="09FE0207">
            <w:pPr>
              <w:widowControl/>
              <w:spacing w:line="240" w:lineRule="auto"/>
              <w:ind w:firstLine="0" w:firstLineChars="0"/>
              <w:jc w:val="center"/>
              <w:rPr>
                <w:kern w:val="0"/>
                <w:sz w:val="21"/>
                <w:szCs w:val="21"/>
              </w:rPr>
            </w:pPr>
          </w:p>
        </w:tc>
      </w:tr>
      <w:tr w14:paraId="2181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2" w:hRule="atLeast"/>
        </w:trPr>
        <w:tc>
          <w:tcPr>
            <w:tcW w:w="1137" w:type="dxa"/>
            <w:vMerge w:val="continue"/>
            <w:vAlign w:val="center"/>
          </w:tcPr>
          <w:p w14:paraId="1974D09F">
            <w:pPr>
              <w:widowControl/>
              <w:spacing w:line="240" w:lineRule="auto"/>
              <w:ind w:firstLine="0" w:firstLineChars="0"/>
              <w:jc w:val="center"/>
              <w:rPr>
                <w:kern w:val="0"/>
                <w:sz w:val="21"/>
                <w:szCs w:val="21"/>
              </w:rPr>
            </w:pPr>
          </w:p>
        </w:tc>
        <w:tc>
          <w:tcPr>
            <w:tcW w:w="863" w:type="dxa"/>
            <w:vMerge w:val="continue"/>
            <w:vAlign w:val="center"/>
          </w:tcPr>
          <w:p w14:paraId="0AFB88DC">
            <w:pPr>
              <w:widowControl/>
              <w:spacing w:line="240" w:lineRule="auto"/>
              <w:ind w:firstLine="0" w:firstLineChars="0"/>
              <w:jc w:val="center"/>
              <w:rPr>
                <w:kern w:val="0"/>
                <w:sz w:val="21"/>
                <w:szCs w:val="21"/>
              </w:rPr>
            </w:pPr>
          </w:p>
        </w:tc>
        <w:tc>
          <w:tcPr>
            <w:tcW w:w="794" w:type="dxa"/>
            <w:vMerge w:val="continue"/>
            <w:noWrap/>
            <w:vAlign w:val="center"/>
          </w:tcPr>
          <w:p w14:paraId="72E86F0C">
            <w:pPr>
              <w:widowControl/>
              <w:spacing w:line="240" w:lineRule="auto"/>
              <w:ind w:firstLine="0" w:firstLineChars="0"/>
              <w:jc w:val="center"/>
              <w:rPr>
                <w:kern w:val="0"/>
                <w:sz w:val="21"/>
                <w:szCs w:val="21"/>
              </w:rPr>
            </w:pPr>
          </w:p>
        </w:tc>
        <w:tc>
          <w:tcPr>
            <w:tcW w:w="1438" w:type="dxa"/>
            <w:vMerge w:val="restart"/>
            <w:noWrap/>
            <w:vAlign w:val="center"/>
          </w:tcPr>
          <w:p w14:paraId="1178DFC5">
            <w:pPr>
              <w:widowControl/>
              <w:spacing w:line="240" w:lineRule="auto"/>
              <w:ind w:firstLine="0" w:firstLineChars="0"/>
              <w:jc w:val="center"/>
              <w:rPr>
                <w:kern w:val="0"/>
                <w:sz w:val="21"/>
                <w:szCs w:val="21"/>
              </w:rPr>
            </w:pPr>
            <w:r>
              <w:rPr>
                <w:kern w:val="0"/>
                <w:sz w:val="21"/>
                <w:szCs w:val="21"/>
              </w:rPr>
              <w:t>410~400m</w:t>
            </w:r>
          </w:p>
        </w:tc>
        <w:tc>
          <w:tcPr>
            <w:tcW w:w="1151" w:type="dxa"/>
            <w:noWrap/>
            <w:vAlign w:val="center"/>
          </w:tcPr>
          <w:p w14:paraId="4F2D924E">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TD-410-1</w:t>
            </w:r>
          </w:p>
        </w:tc>
        <w:tc>
          <w:tcPr>
            <w:tcW w:w="1171" w:type="dxa"/>
            <w:noWrap/>
            <w:vAlign w:val="center"/>
          </w:tcPr>
          <w:p w14:paraId="2B37C313">
            <w:pPr>
              <w:widowControl/>
              <w:spacing w:line="240" w:lineRule="auto"/>
              <w:ind w:firstLine="0" w:firstLineChars="0"/>
              <w:jc w:val="center"/>
              <w:rPr>
                <w:kern w:val="0"/>
                <w:sz w:val="21"/>
                <w:szCs w:val="21"/>
              </w:rPr>
            </w:pPr>
            <w:r>
              <w:rPr>
                <w:kern w:val="0"/>
                <w:sz w:val="21"/>
                <w:szCs w:val="21"/>
              </w:rPr>
              <w:t>88361</w:t>
            </w:r>
          </w:p>
        </w:tc>
        <w:tc>
          <w:tcPr>
            <w:tcW w:w="1110" w:type="dxa"/>
            <w:vMerge w:val="restart"/>
            <w:vAlign w:val="center"/>
          </w:tcPr>
          <w:p w14:paraId="67155E9A">
            <w:pPr>
              <w:widowControl/>
              <w:spacing w:line="240" w:lineRule="auto"/>
              <w:ind w:firstLine="0" w:firstLineChars="0"/>
              <w:jc w:val="center"/>
              <w:rPr>
                <w:kern w:val="0"/>
                <w:sz w:val="21"/>
                <w:szCs w:val="21"/>
              </w:rPr>
            </w:pPr>
            <w:r>
              <w:rPr>
                <w:kern w:val="0"/>
                <w:sz w:val="21"/>
                <w:szCs w:val="21"/>
              </w:rPr>
              <w:t>10</w:t>
            </w:r>
          </w:p>
        </w:tc>
        <w:tc>
          <w:tcPr>
            <w:tcW w:w="2548" w:type="dxa"/>
            <w:vMerge w:val="restart"/>
            <w:vAlign w:val="center"/>
          </w:tcPr>
          <w:p w14:paraId="4B6358B9">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vAlign w:val="center"/>
          </w:tcPr>
          <w:p w14:paraId="79302A52">
            <w:pPr>
              <w:widowControl/>
              <w:spacing w:line="240" w:lineRule="auto"/>
              <w:ind w:firstLine="0" w:firstLineChars="0"/>
              <w:jc w:val="center"/>
              <w:rPr>
                <w:kern w:val="0"/>
                <w:sz w:val="21"/>
                <w:szCs w:val="21"/>
              </w:rPr>
            </w:pPr>
            <w:r>
              <w:rPr>
                <w:kern w:val="0"/>
                <w:sz w:val="21"/>
                <w:szCs w:val="21"/>
              </w:rPr>
              <w:t>2.70</w:t>
            </w:r>
          </w:p>
        </w:tc>
        <w:tc>
          <w:tcPr>
            <w:tcW w:w="1069" w:type="dxa"/>
            <w:vMerge w:val="restart"/>
            <w:vAlign w:val="center"/>
          </w:tcPr>
          <w:p w14:paraId="258AAD5A">
            <w:pPr>
              <w:widowControl/>
              <w:spacing w:line="240" w:lineRule="auto"/>
              <w:ind w:firstLine="0" w:firstLineChars="0"/>
              <w:jc w:val="center"/>
              <w:rPr>
                <w:kern w:val="0"/>
                <w:sz w:val="21"/>
                <w:szCs w:val="21"/>
              </w:rPr>
            </w:pPr>
            <w:r>
              <w:rPr>
                <w:kern w:val="0"/>
                <w:sz w:val="21"/>
                <w:szCs w:val="21"/>
              </w:rPr>
              <w:t>90.18</w:t>
            </w:r>
          </w:p>
        </w:tc>
        <w:tc>
          <w:tcPr>
            <w:tcW w:w="1109" w:type="dxa"/>
            <w:vMerge w:val="continue"/>
            <w:vAlign w:val="center"/>
          </w:tcPr>
          <w:p w14:paraId="446D81AD">
            <w:pPr>
              <w:widowControl/>
              <w:spacing w:line="240" w:lineRule="auto"/>
              <w:ind w:firstLine="0" w:firstLineChars="0"/>
              <w:jc w:val="center"/>
              <w:rPr>
                <w:kern w:val="0"/>
                <w:sz w:val="21"/>
                <w:szCs w:val="21"/>
              </w:rPr>
            </w:pPr>
          </w:p>
        </w:tc>
        <w:tc>
          <w:tcPr>
            <w:tcW w:w="1080" w:type="dxa"/>
            <w:vMerge w:val="continue"/>
            <w:vAlign w:val="center"/>
          </w:tcPr>
          <w:p w14:paraId="6933530B">
            <w:pPr>
              <w:widowControl/>
              <w:spacing w:line="240" w:lineRule="auto"/>
              <w:ind w:firstLine="0" w:firstLineChars="0"/>
              <w:jc w:val="center"/>
              <w:rPr>
                <w:kern w:val="0"/>
                <w:sz w:val="21"/>
                <w:szCs w:val="21"/>
              </w:rPr>
            </w:pPr>
          </w:p>
        </w:tc>
      </w:tr>
      <w:tr w14:paraId="7D2D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72D123E0">
            <w:pPr>
              <w:widowControl/>
              <w:spacing w:line="240" w:lineRule="auto"/>
              <w:ind w:firstLine="0" w:firstLineChars="0"/>
              <w:jc w:val="center"/>
              <w:rPr>
                <w:kern w:val="0"/>
                <w:sz w:val="21"/>
                <w:szCs w:val="21"/>
              </w:rPr>
            </w:pPr>
          </w:p>
        </w:tc>
        <w:tc>
          <w:tcPr>
            <w:tcW w:w="863" w:type="dxa"/>
            <w:vMerge w:val="continue"/>
            <w:vAlign w:val="center"/>
          </w:tcPr>
          <w:p w14:paraId="482F3822">
            <w:pPr>
              <w:widowControl/>
              <w:spacing w:line="240" w:lineRule="auto"/>
              <w:ind w:firstLine="0" w:firstLineChars="0"/>
              <w:jc w:val="center"/>
              <w:rPr>
                <w:kern w:val="0"/>
                <w:sz w:val="21"/>
                <w:szCs w:val="21"/>
              </w:rPr>
            </w:pPr>
          </w:p>
        </w:tc>
        <w:tc>
          <w:tcPr>
            <w:tcW w:w="794" w:type="dxa"/>
            <w:vMerge w:val="continue"/>
            <w:noWrap/>
            <w:vAlign w:val="center"/>
          </w:tcPr>
          <w:p w14:paraId="1F5D499D">
            <w:pPr>
              <w:widowControl/>
              <w:spacing w:line="240" w:lineRule="auto"/>
              <w:ind w:firstLine="0" w:firstLineChars="0"/>
              <w:jc w:val="center"/>
              <w:rPr>
                <w:kern w:val="0"/>
                <w:sz w:val="21"/>
                <w:szCs w:val="21"/>
              </w:rPr>
            </w:pPr>
          </w:p>
        </w:tc>
        <w:tc>
          <w:tcPr>
            <w:tcW w:w="1438" w:type="dxa"/>
            <w:vMerge w:val="continue"/>
            <w:noWrap/>
            <w:vAlign w:val="center"/>
          </w:tcPr>
          <w:p w14:paraId="28BE85F0">
            <w:pPr>
              <w:widowControl/>
              <w:spacing w:line="240" w:lineRule="auto"/>
              <w:ind w:firstLine="0" w:firstLineChars="0"/>
              <w:jc w:val="center"/>
              <w:rPr>
                <w:kern w:val="0"/>
                <w:sz w:val="21"/>
                <w:szCs w:val="21"/>
              </w:rPr>
            </w:pPr>
          </w:p>
        </w:tc>
        <w:tc>
          <w:tcPr>
            <w:tcW w:w="1151" w:type="dxa"/>
            <w:noWrap/>
            <w:vAlign w:val="center"/>
          </w:tcPr>
          <w:p w14:paraId="42097E3F">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TD-400-1</w:t>
            </w:r>
          </w:p>
        </w:tc>
        <w:tc>
          <w:tcPr>
            <w:tcW w:w="1171" w:type="dxa"/>
            <w:noWrap/>
            <w:vAlign w:val="center"/>
          </w:tcPr>
          <w:p w14:paraId="026073CA">
            <w:pPr>
              <w:widowControl/>
              <w:spacing w:line="240" w:lineRule="auto"/>
              <w:ind w:firstLine="0" w:firstLineChars="0"/>
              <w:jc w:val="center"/>
              <w:rPr>
                <w:kern w:val="0"/>
                <w:sz w:val="21"/>
                <w:szCs w:val="21"/>
              </w:rPr>
            </w:pPr>
            <w:r>
              <w:rPr>
                <w:kern w:val="0"/>
                <w:sz w:val="21"/>
                <w:szCs w:val="21"/>
              </w:rPr>
              <w:t>92005</w:t>
            </w:r>
          </w:p>
        </w:tc>
        <w:tc>
          <w:tcPr>
            <w:tcW w:w="1110" w:type="dxa"/>
            <w:vMerge w:val="continue"/>
            <w:vAlign w:val="center"/>
          </w:tcPr>
          <w:p w14:paraId="7631CC85">
            <w:pPr>
              <w:widowControl/>
              <w:spacing w:line="240" w:lineRule="auto"/>
              <w:ind w:firstLine="0" w:firstLineChars="0"/>
              <w:jc w:val="center"/>
              <w:rPr>
                <w:kern w:val="0"/>
                <w:sz w:val="21"/>
                <w:szCs w:val="21"/>
              </w:rPr>
            </w:pPr>
          </w:p>
        </w:tc>
        <w:tc>
          <w:tcPr>
            <w:tcW w:w="2548" w:type="dxa"/>
            <w:vMerge w:val="continue"/>
            <w:vAlign w:val="center"/>
          </w:tcPr>
          <w:p w14:paraId="26D503DD">
            <w:pPr>
              <w:widowControl/>
              <w:spacing w:line="240" w:lineRule="auto"/>
              <w:ind w:firstLine="0" w:firstLineChars="0"/>
              <w:jc w:val="center"/>
              <w:rPr>
                <w:kern w:val="0"/>
                <w:sz w:val="21"/>
                <w:szCs w:val="21"/>
              </w:rPr>
            </w:pPr>
          </w:p>
        </w:tc>
        <w:tc>
          <w:tcPr>
            <w:tcW w:w="1109" w:type="dxa"/>
            <w:vMerge w:val="continue"/>
            <w:vAlign w:val="center"/>
          </w:tcPr>
          <w:p w14:paraId="78B1D9B0">
            <w:pPr>
              <w:widowControl/>
              <w:spacing w:line="240" w:lineRule="auto"/>
              <w:ind w:firstLine="0" w:firstLineChars="0"/>
              <w:jc w:val="center"/>
              <w:rPr>
                <w:kern w:val="0"/>
                <w:sz w:val="21"/>
                <w:szCs w:val="21"/>
              </w:rPr>
            </w:pPr>
          </w:p>
        </w:tc>
        <w:tc>
          <w:tcPr>
            <w:tcW w:w="1069" w:type="dxa"/>
            <w:vMerge w:val="continue"/>
            <w:vAlign w:val="center"/>
          </w:tcPr>
          <w:p w14:paraId="2BA13253">
            <w:pPr>
              <w:widowControl/>
              <w:spacing w:line="240" w:lineRule="auto"/>
              <w:ind w:firstLine="0" w:firstLineChars="0"/>
              <w:jc w:val="center"/>
              <w:rPr>
                <w:kern w:val="0"/>
                <w:sz w:val="21"/>
                <w:szCs w:val="21"/>
              </w:rPr>
            </w:pPr>
          </w:p>
        </w:tc>
        <w:tc>
          <w:tcPr>
            <w:tcW w:w="1109" w:type="dxa"/>
            <w:vMerge w:val="continue"/>
            <w:vAlign w:val="center"/>
          </w:tcPr>
          <w:p w14:paraId="100817D4">
            <w:pPr>
              <w:widowControl/>
              <w:spacing w:line="240" w:lineRule="auto"/>
              <w:ind w:firstLine="0" w:firstLineChars="0"/>
              <w:jc w:val="center"/>
              <w:rPr>
                <w:kern w:val="0"/>
                <w:sz w:val="21"/>
                <w:szCs w:val="21"/>
              </w:rPr>
            </w:pPr>
          </w:p>
        </w:tc>
        <w:tc>
          <w:tcPr>
            <w:tcW w:w="1080" w:type="dxa"/>
            <w:vMerge w:val="continue"/>
            <w:vAlign w:val="center"/>
          </w:tcPr>
          <w:p w14:paraId="71A0D5FF">
            <w:pPr>
              <w:widowControl/>
              <w:spacing w:line="240" w:lineRule="auto"/>
              <w:ind w:firstLine="0" w:firstLineChars="0"/>
              <w:jc w:val="center"/>
              <w:rPr>
                <w:kern w:val="0"/>
                <w:sz w:val="21"/>
                <w:szCs w:val="21"/>
              </w:rPr>
            </w:pPr>
          </w:p>
        </w:tc>
      </w:tr>
      <w:tr w14:paraId="4B7B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3AE0584C">
            <w:pPr>
              <w:widowControl/>
              <w:spacing w:line="240" w:lineRule="auto"/>
              <w:ind w:firstLine="0" w:firstLineChars="0"/>
              <w:jc w:val="center"/>
              <w:rPr>
                <w:kern w:val="0"/>
                <w:sz w:val="21"/>
                <w:szCs w:val="21"/>
              </w:rPr>
            </w:pPr>
          </w:p>
        </w:tc>
        <w:tc>
          <w:tcPr>
            <w:tcW w:w="863" w:type="dxa"/>
            <w:vMerge w:val="continue"/>
            <w:vAlign w:val="center"/>
          </w:tcPr>
          <w:p w14:paraId="3F34AF16">
            <w:pPr>
              <w:widowControl/>
              <w:spacing w:line="240" w:lineRule="auto"/>
              <w:ind w:firstLine="0" w:firstLineChars="0"/>
              <w:jc w:val="center"/>
              <w:rPr>
                <w:kern w:val="0"/>
                <w:sz w:val="21"/>
                <w:szCs w:val="21"/>
              </w:rPr>
            </w:pPr>
          </w:p>
        </w:tc>
        <w:tc>
          <w:tcPr>
            <w:tcW w:w="794" w:type="dxa"/>
            <w:vMerge w:val="continue"/>
            <w:noWrap/>
            <w:vAlign w:val="center"/>
          </w:tcPr>
          <w:p w14:paraId="478A0B30">
            <w:pPr>
              <w:widowControl/>
              <w:spacing w:line="240" w:lineRule="auto"/>
              <w:ind w:firstLine="0" w:firstLineChars="0"/>
              <w:jc w:val="center"/>
              <w:rPr>
                <w:kern w:val="0"/>
                <w:sz w:val="21"/>
                <w:szCs w:val="21"/>
              </w:rPr>
            </w:pPr>
          </w:p>
        </w:tc>
        <w:tc>
          <w:tcPr>
            <w:tcW w:w="1438" w:type="dxa"/>
            <w:vMerge w:val="restart"/>
            <w:shd w:val="clear" w:color="auto" w:fill="auto"/>
            <w:noWrap/>
            <w:vAlign w:val="center"/>
          </w:tcPr>
          <w:p w14:paraId="1C905735">
            <w:pPr>
              <w:widowControl/>
              <w:spacing w:line="240" w:lineRule="auto"/>
              <w:ind w:firstLine="0" w:firstLineChars="0"/>
              <w:jc w:val="center"/>
              <w:rPr>
                <w:kern w:val="0"/>
                <w:sz w:val="21"/>
                <w:szCs w:val="21"/>
              </w:rPr>
            </w:pPr>
            <w:r>
              <w:rPr>
                <w:kern w:val="0"/>
                <w:sz w:val="21"/>
                <w:szCs w:val="21"/>
              </w:rPr>
              <w:t>410~400m</w:t>
            </w:r>
          </w:p>
        </w:tc>
        <w:tc>
          <w:tcPr>
            <w:tcW w:w="1151" w:type="dxa"/>
            <w:shd w:val="clear" w:color="auto" w:fill="auto"/>
            <w:noWrap/>
            <w:vAlign w:val="center"/>
          </w:tcPr>
          <w:p w14:paraId="207AC263">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TD-410-2</w:t>
            </w:r>
          </w:p>
        </w:tc>
        <w:tc>
          <w:tcPr>
            <w:tcW w:w="1171" w:type="dxa"/>
            <w:noWrap/>
            <w:vAlign w:val="center"/>
          </w:tcPr>
          <w:p w14:paraId="3ACAEBFB">
            <w:pPr>
              <w:widowControl/>
              <w:spacing w:line="240" w:lineRule="auto"/>
              <w:ind w:firstLine="0" w:firstLineChars="0"/>
              <w:jc w:val="center"/>
              <w:rPr>
                <w:kern w:val="0"/>
                <w:sz w:val="21"/>
                <w:szCs w:val="21"/>
              </w:rPr>
            </w:pPr>
            <w:r>
              <w:rPr>
                <w:kern w:val="0"/>
                <w:sz w:val="21"/>
                <w:szCs w:val="21"/>
              </w:rPr>
              <w:t>153920</w:t>
            </w:r>
          </w:p>
        </w:tc>
        <w:tc>
          <w:tcPr>
            <w:tcW w:w="1110" w:type="dxa"/>
            <w:vMerge w:val="restart"/>
            <w:shd w:val="clear" w:color="auto" w:fill="auto"/>
            <w:vAlign w:val="center"/>
          </w:tcPr>
          <w:p w14:paraId="5DA4331C">
            <w:pPr>
              <w:widowControl/>
              <w:spacing w:line="240" w:lineRule="auto"/>
              <w:ind w:firstLine="0" w:firstLineChars="0"/>
              <w:jc w:val="center"/>
              <w:rPr>
                <w:kern w:val="0"/>
                <w:sz w:val="21"/>
                <w:szCs w:val="21"/>
              </w:rPr>
            </w:pPr>
            <w:r>
              <w:rPr>
                <w:kern w:val="0"/>
                <w:sz w:val="21"/>
                <w:szCs w:val="21"/>
              </w:rPr>
              <w:t>10</w:t>
            </w:r>
          </w:p>
        </w:tc>
        <w:tc>
          <w:tcPr>
            <w:tcW w:w="2548" w:type="dxa"/>
            <w:vMerge w:val="restart"/>
            <w:shd w:val="clear" w:color="auto" w:fill="auto"/>
            <w:vAlign w:val="center"/>
          </w:tcPr>
          <w:p w14:paraId="6C363F2B">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shd w:val="clear" w:color="auto" w:fill="auto"/>
            <w:vAlign w:val="center"/>
          </w:tcPr>
          <w:p w14:paraId="059FB646">
            <w:pPr>
              <w:widowControl/>
              <w:spacing w:line="240" w:lineRule="auto"/>
              <w:ind w:firstLine="0" w:firstLineChars="0"/>
              <w:jc w:val="center"/>
              <w:rPr>
                <w:kern w:val="0"/>
                <w:sz w:val="21"/>
                <w:szCs w:val="21"/>
              </w:rPr>
            </w:pPr>
            <w:r>
              <w:rPr>
                <w:kern w:val="0"/>
                <w:sz w:val="21"/>
                <w:szCs w:val="21"/>
              </w:rPr>
              <w:t>2.70</w:t>
            </w:r>
          </w:p>
        </w:tc>
        <w:tc>
          <w:tcPr>
            <w:tcW w:w="1069" w:type="dxa"/>
            <w:vMerge w:val="restart"/>
            <w:shd w:val="clear" w:color="auto" w:fill="auto"/>
            <w:vAlign w:val="center"/>
          </w:tcPr>
          <w:p w14:paraId="47A4DA57">
            <w:pPr>
              <w:widowControl/>
              <w:spacing w:line="240" w:lineRule="auto"/>
              <w:ind w:firstLine="0" w:firstLineChars="0"/>
              <w:jc w:val="center"/>
              <w:rPr>
                <w:kern w:val="0"/>
                <w:sz w:val="21"/>
                <w:szCs w:val="21"/>
              </w:rPr>
            </w:pPr>
            <w:r>
              <w:rPr>
                <w:kern w:val="0"/>
                <w:sz w:val="21"/>
                <w:szCs w:val="21"/>
              </w:rPr>
              <w:t>166.33</w:t>
            </w:r>
          </w:p>
        </w:tc>
        <w:tc>
          <w:tcPr>
            <w:tcW w:w="1109" w:type="dxa"/>
            <w:vMerge w:val="continue"/>
            <w:vAlign w:val="center"/>
          </w:tcPr>
          <w:p w14:paraId="087C48F3">
            <w:pPr>
              <w:widowControl/>
              <w:spacing w:line="240" w:lineRule="auto"/>
              <w:ind w:firstLine="0" w:firstLineChars="0"/>
              <w:jc w:val="center"/>
              <w:rPr>
                <w:kern w:val="0"/>
                <w:sz w:val="21"/>
                <w:szCs w:val="21"/>
              </w:rPr>
            </w:pPr>
          </w:p>
        </w:tc>
        <w:tc>
          <w:tcPr>
            <w:tcW w:w="1080" w:type="dxa"/>
            <w:vMerge w:val="continue"/>
            <w:vAlign w:val="center"/>
          </w:tcPr>
          <w:p w14:paraId="7B94E484">
            <w:pPr>
              <w:widowControl/>
              <w:spacing w:line="240" w:lineRule="auto"/>
              <w:ind w:firstLine="0" w:firstLineChars="0"/>
              <w:jc w:val="center"/>
              <w:rPr>
                <w:kern w:val="0"/>
                <w:sz w:val="21"/>
                <w:szCs w:val="21"/>
              </w:rPr>
            </w:pPr>
          </w:p>
        </w:tc>
      </w:tr>
      <w:tr w14:paraId="4D02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2" w:hRule="atLeast"/>
        </w:trPr>
        <w:tc>
          <w:tcPr>
            <w:tcW w:w="1137" w:type="dxa"/>
            <w:vMerge w:val="continue"/>
            <w:vAlign w:val="center"/>
          </w:tcPr>
          <w:p w14:paraId="42D8FB6B">
            <w:pPr>
              <w:widowControl/>
              <w:spacing w:line="240" w:lineRule="auto"/>
              <w:ind w:firstLine="0" w:firstLineChars="0"/>
              <w:jc w:val="center"/>
              <w:rPr>
                <w:kern w:val="0"/>
                <w:sz w:val="21"/>
                <w:szCs w:val="21"/>
              </w:rPr>
            </w:pPr>
          </w:p>
        </w:tc>
        <w:tc>
          <w:tcPr>
            <w:tcW w:w="863" w:type="dxa"/>
            <w:vMerge w:val="continue"/>
            <w:vAlign w:val="center"/>
          </w:tcPr>
          <w:p w14:paraId="24259149">
            <w:pPr>
              <w:widowControl/>
              <w:spacing w:line="240" w:lineRule="auto"/>
              <w:ind w:firstLine="0" w:firstLineChars="0"/>
              <w:jc w:val="center"/>
              <w:rPr>
                <w:kern w:val="0"/>
                <w:sz w:val="21"/>
                <w:szCs w:val="21"/>
              </w:rPr>
            </w:pPr>
          </w:p>
        </w:tc>
        <w:tc>
          <w:tcPr>
            <w:tcW w:w="794" w:type="dxa"/>
            <w:vMerge w:val="continue"/>
            <w:noWrap/>
            <w:vAlign w:val="center"/>
          </w:tcPr>
          <w:p w14:paraId="3C1EA484">
            <w:pPr>
              <w:widowControl/>
              <w:spacing w:line="240" w:lineRule="auto"/>
              <w:ind w:firstLine="0" w:firstLineChars="0"/>
              <w:jc w:val="center"/>
              <w:rPr>
                <w:kern w:val="0"/>
                <w:sz w:val="21"/>
                <w:szCs w:val="21"/>
              </w:rPr>
            </w:pPr>
          </w:p>
        </w:tc>
        <w:tc>
          <w:tcPr>
            <w:tcW w:w="1438" w:type="dxa"/>
            <w:vMerge w:val="continue"/>
            <w:noWrap/>
            <w:vAlign w:val="center"/>
          </w:tcPr>
          <w:p w14:paraId="1C983D29">
            <w:pPr>
              <w:widowControl/>
              <w:spacing w:line="240" w:lineRule="auto"/>
              <w:ind w:firstLine="0" w:firstLineChars="0"/>
              <w:jc w:val="center"/>
              <w:rPr>
                <w:kern w:val="0"/>
                <w:sz w:val="21"/>
                <w:szCs w:val="21"/>
              </w:rPr>
            </w:pPr>
          </w:p>
        </w:tc>
        <w:tc>
          <w:tcPr>
            <w:tcW w:w="1151" w:type="dxa"/>
            <w:shd w:val="clear" w:color="auto" w:fill="auto"/>
            <w:noWrap/>
            <w:vAlign w:val="center"/>
          </w:tcPr>
          <w:p w14:paraId="184C4721">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TD-400-2</w:t>
            </w:r>
          </w:p>
        </w:tc>
        <w:tc>
          <w:tcPr>
            <w:tcW w:w="1171" w:type="dxa"/>
            <w:noWrap/>
            <w:vAlign w:val="center"/>
          </w:tcPr>
          <w:p w14:paraId="5288C5AF">
            <w:pPr>
              <w:widowControl/>
              <w:spacing w:line="240" w:lineRule="auto"/>
              <w:ind w:firstLine="0" w:firstLineChars="0"/>
              <w:jc w:val="center"/>
              <w:rPr>
                <w:kern w:val="0"/>
                <w:sz w:val="21"/>
                <w:szCs w:val="21"/>
              </w:rPr>
            </w:pPr>
            <w:r>
              <w:rPr>
                <w:kern w:val="0"/>
                <w:sz w:val="21"/>
                <w:szCs w:val="21"/>
              </w:rPr>
              <w:t>178748</w:t>
            </w:r>
          </w:p>
        </w:tc>
        <w:tc>
          <w:tcPr>
            <w:tcW w:w="1110" w:type="dxa"/>
            <w:vMerge w:val="continue"/>
            <w:vAlign w:val="center"/>
          </w:tcPr>
          <w:p w14:paraId="3EF3580E">
            <w:pPr>
              <w:widowControl/>
              <w:spacing w:line="240" w:lineRule="auto"/>
              <w:ind w:firstLine="0" w:firstLineChars="0"/>
              <w:jc w:val="center"/>
              <w:rPr>
                <w:kern w:val="0"/>
                <w:sz w:val="21"/>
                <w:szCs w:val="21"/>
              </w:rPr>
            </w:pPr>
          </w:p>
        </w:tc>
        <w:tc>
          <w:tcPr>
            <w:tcW w:w="2548" w:type="dxa"/>
            <w:vMerge w:val="continue"/>
            <w:vAlign w:val="center"/>
          </w:tcPr>
          <w:p w14:paraId="22455153">
            <w:pPr>
              <w:widowControl/>
              <w:spacing w:line="240" w:lineRule="auto"/>
              <w:ind w:firstLine="0" w:firstLineChars="0"/>
              <w:jc w:val="center"/>
              <w:rPr>
                <w:kern w:val="0"/>
                <w:sz w:val="21"/>
                <w:szCs w:val="21"/>
              </w:rPr>
            </w:pPr>
          </w:p>
        </w:tc>
        <w:tc>
          <w:tcPr>
            <w:tcW w:w="1109" w:type="dxa"/>
            <w:vMerge w:val="continue"/>
            <w:vAlign w:val="center"/>
          </w:tcPr>
          <w:p w14:paraId="462C0023">
            <w:pPr>
              <w:widowControl/>
              <w:spacing w:line="240" w:lineRule="auto"/>
              <w:ind w:firstLine="0" w:firstLineChars="0"/>
              <w:jc w:val="center"/>
              <w:rPr>
                <w:kern w:val="0"/>
                <w:sz w:val="21"/>
                <w:szCs w:val="21"/>
              </w:rPr>
            </w:pPr>
          </w:p>
        </w:tc>
        <w:tc>
          <w:tcPr>
            <w:tcW w:w="1069" w:type="dxa"/>
            <w:vMerge w:val="continue"/>
            <w:vAlign w:val="center"/>
          </w:tcPr>
          <w:p w14:paraId="25BE0815">
            <w:pPr>
              <w:widowControl/>
              <w:spacing w:line="240" w:lineRule="auto"/>
              <w:ind w:firstLine="0" w:firstLineChars="0"/>
              <w:jc w:val="center"/>
              <w:rPr>
                <w:kern w:val="0"/>
                <w:sz w:val="21"/>
                <w:szCs w:val="21"/>
              </w:rPr>
            </w:pPr>
          </w:p>
        </w:tc>
        <w:tc>
          <w:tcPr>
            <w:tcW w:w="1109" w:type="dxa"/>
            <w:vMerge w:val="continue"/>
            <w:vAlign w:val="center"/>
          </w:tcPr>
          <w:p w14:paraId="1A2565FA">
            <w:pPr>
              <w:widowControl/>
              <w:spacing w:line="240" w:lineRule="auto"/>
              <w:ind w:firstLine="0" w:firstLineChars="0"/>
              <w:jc w:val="center"/>
              <w:rPr>
                <w:kern w:val="0"/>
                <w:sz w:val="21"/>
                <w:szCs w:val="21"/>
              </w:rPr>
            </w:pPr>
          </w:p>
        </w:tc>
        <w:tc>
          <w:tcPr>
            <w:tcW w:w="1080" w:type="dxa"/>
            <w:vMerge w:val="continue"/>
            <w:vAlign w:val="center"/>
          </w:tcPr>
          <w:p w14:paraId="100A5087">
            <w:pPr>
              <w:widowControl/>
              <w:spacing w:line="240" w:lineRule="auto"/>
              <w:ind w:firstLine="0" w:firstLineChars="0"/>
              <w:jc w:val="center"/>
              <w:rPr>
                <w:kern w:val="0"/>
                <w:sz w:val="21"/>
                <w:szCs w:val="21"/>
              </w:rPr>
            </w:pPr>
          </w:p>
        </w:tc>
      </w:tr>
      <w:tr w14:paraId="3BC7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vAlign w:val="center"/>
          </w:tcPr>
          <w:p w14:paraId="2A78C647">
            <w:pPr>
              <w:widowControl/>
              <w:spacing w:line="240" w:lineRule="auto"/>
              <w:ind w:firstLine="0" w:firstLineChars="0"/>
              <w:jc w:val="center"/>
              <w:rPr>
                <w:kern w:val="0"/>
                <w:sz w:val="21"/>
                <w:szCs w:val="21"/>
              </w:rPr>
            </w:pPr>
          </w:p>
        </w:tc>
        <w:tc>
          <w:tcPr>
            <w:tcW w:w="863" w:type="dxa"/>
            <w:vMerge w:val="continue"/>
            <w:vAlign w:val="center"/>
          </w:tcPr>
          <w:p w14:paraId="00EA24E2">
            <w:pPr>
              <w:widowControl/>
              <w:spacing w:line="240" w:lineRule="auto"/>
              <w:ind w:firstLine="0" w:firstLineChars="0"/>
              <w:jc w:val="center"/>
              <w:rPr>
                <w:kern w:val="0"/>
                <w:sz w:val="21"/>
                <w:szCs w:val="21"/>
              </w:rPr>
            </w:pPr>
          </w:p>
        </w:tc>
        <w:tc>
          <w:tcPr>
            <w:tcW w:w="794" w:type="dxa"/>
            <w:vMerge w:val="continue"/>
            <w:vAlign w:val="center"/>
          </w:tcPr>
          <w:p w14:paraId="072575A7">
            <w:pPr>
              <w:widowControl/>
              <w:spacing w:line="240" w:lineRule="auto"/>
              <w:ind w:firstLine="0" w:firstLineChars="0"/>
              <w:jc w:val="center"/>
              <w:rPr>
                <w:kern w:val="0"/>
                <w:sz w:val="21"/>
                <w:szCs w:val="21"/>
              </w:rPr>
            </w:pPr>
          </w:p>
        </w:tc>
        <w:tc>
          <w:tcPr>
            <w:tcW w:w="1438" w:type="dxa"/>
            <w:vMerge w:val="restart"/>
            <w:vAlign w:val="center"/>
          </w:tcPr>
          <w:p w14:paraId="427E0475">
            <w:pPr>
              <w:widowControl/>
              <w:spacing w:line="240" w:lineRule="auto"/>
              <w:ind w:firstLine="0" w:firstLineChars="0"/>
              <w:jc w:val="center"/>
              <w:rPr>
                <w:kern w:val="0"/>
                <w:sz w:val="21"/>
                <w:szCs w:val="21"/>
              </w:rPr>
            </w:pPr>
            <w:r>
              <w:rPr>
                <w:kern w:val="0"/>
                <w:sz w:val="21"/>
                <w:szCs w:val="21"/>
              </w:rPr>
              <w:t>400~390m</w:t>
            </w:r>
          </w:p>
        </w:tc>
        <w:tc>
          <w:tcPr>
            <w:tcW w:w="1151" w:type="dxa"/>
            <w:vAlign w:val="center"/>
          </w:tcPr>
          <w:p w14:paraId="4A92727D">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TD-400-1</w:t>
            </w:r>
          </w:p>
        </w:tc>
        <w:tc>
          <w:tcPr>
            <w:tcW w:w="1171" w:type="dxa"/>
            <w:vAlign w:val="center"/>
          </w:tcPr>
          <w:p w14:paraId="6838CCCE">
            <w:pPr>
              <w:widowControl/>
              <w:spacing w:line="240" w:lineRule="auto"/>
              <w:ind w:firstLine="0" w:firstLineChars="0"/>
              <w:jc w:val="center"/>
              <w:rPr>
                <w:kern w:val="0"/>
                <w:sz w:val="21"/>
                <w:szCs w:val="21"/>
              </w:rPr>
            </w:pPr>
            <w:r>
              <w:rPr>
                <w:kern w:val="0"/>
                <w:sz w:val="21"/>
                <w:szCs w:val="21"/>
              </w:rPr>
              <w:t>92005</w:t>
            </w:r>
          </w:p>
        </w:tc>
        <w:tc>
          <w:tcPr>
            <w:tcW w:w="1110" w:type="dxa"/>
            <w:vMerge w:val="restart"/>
            <w:vAlign w:val="center"/>
          </w:tcPr>
          <w:p w14:paraId="64059B4E">
            <w:pPr>
              <w:widowControl/>
              <w:spacing w:line="240" w:lineRule="auto"/>
              <w:ind w:firstLine="0" w:firstLineChars="0"/>
              <w:jc w:val="center"/>
              <w:rPr>
                <w:kern w:val="0"/>
                <w:sz w:val="21"/>
                <w:szCs w:val="21"/>
              </w:rPr>
            </w:pPr>
            <w:r>
              <w:rPr>
                <w:kern w:val="0"/>
                <w:sz w:val="21"/>
                <w:szCs w:val="21"/>
              </w:rPr>
              <w:t>10</w:t>
            </w:r>
          </w:p>
        </w:tc>
        <w:tc>
          <w:tcPr>
            <w:tcW w:w="2548" w:type="dxa"/>
            <w:vMerge w:val="restart"/>
            <w:vAlign w:val="center"/>
          </w:tcPr>
          <w:p w14:paraId="0FA877E4">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vAlign w:val="center"/>
          </w:tcPr>
          <w:p w14:paraId="5BF7207A">
            <w:pPr>
              <w:widowControl/>
              <w:spacing w:line="240" w:lineRule="auto"/>
              <w:ind w:firstLine="0" w:firstLineChars="0"/>
              <w:jc w:val="center"/>
              <w:rPr>
                <w:kern w:val="0"/>
                <w:sz w:val="21"/>
                <w:szCs w:val="21"/>
              </w:rPr>
            </w:pPr>
            <w:r>
              <w:rPr>
                <w:kern w:val="0"/>
                <w:sz w:val="21"/>
                <w:szCs w:val="21"/>
              </w:rPr>
              <w:t>2.70</w:t>
            </w:r>
          </w:p>
        </w:tc>
        <w:tc>
          <w:tcPr>
            <w:tcW w:w="1069" w:type="dxa"/>
            <w:vMerge w:val="restart"/>
            <w:vAlign w:val="center"/>
          </w:tcPr>
          <w:p w14:paraId="19696E0C">
            <w:pPr>
              <w:widowControl/>
              <w:spacing w:line="240" w:lineRule="auto"/>
              <w:ind w:firstLine="0" w:firstLineChars="0"/>
              <w:jc w:val="center"/>
              <w:rPr>
                <w:kern w:val="0"/>
                <w:sz w:val="21"/>
                <w:szCs w:val="21"/>
              </w:rPr>
            </w:pPr>
            <w:r>
              <w:rPr>
                <w:kern w:val="0"/>
                <w:sz w:val="21"/>
                <w:szCs w:val="21"/>
              </w:rPr>
              <w:t>93.38</w:t>
            </w:r>
          </w:p>
        </w:tc>
        <w:tc>
          <w:tcPr>
            <w:tcW w:w="1109" w:type="dxa"/>
            <w:vMerge w:val="continue"/>
            <w:vAlign w:val="center"/>
          </w:tcPr>
          <w:p w14:paraId="473F59F6">
            <w:pPr>
              <w:widowControl/>
              <w:spacing w:line="240" w:lineRule="auto"/>
              <w:ind w:firstLine="0" w:firstLineChars="0"/>
              <w:jc w:val="center"/>
              <w:rPr>
                <w:kern w:val="0"/>
                <w:sz w:val="21"/>
                <w:szCs w:val="21"/>
              </w:rPr>
            </w:pPr>
          </w:p>
        </w:tc>
        <w:tc>
          <w:tcPr>
            <w:tcW w:w="1080" w:type="dxa"/>
            <w:vMerge w:val="continue"/>
            <w:vAlign w:val="center"/>
          </w:tcPr>
          <w:p w14:paraId="68D5588D">
            <w:pPr>
              <w:widowControl/>
              <w:spacing w:line="240" w:lineRule="auto"/>
              <w:ind w:firstLine="0" w:firstLineChars="0"/>
              <w:jc w:val="center"/>
              <w:rPr>
                <w:kern w:val="0"/>
                <w:sz w:val="21"/>
                <w:szCs w:val="21"/>
              </w:rPr>
            </w:pPr>
          </w:p>
        </w:tc>
      </w:tr>
      <w:tr w14:paraId="27CE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tcPr>
          <w:p w14:paraId="7F95F747">
            <w:pPr>
              <w:widowControl/>
              <w:spacing w:line="240" w:lineRule="auto"/>
              <w:ind w:firstLine="0" w:firstLineChars="0"/>
              <w:jc w:val="center"/>
              <w:rPr>
                <w:kern w:val="0"/>
                <w:sz w:val="21"/>
                <w:szCs w:val="21"/>
              </w:rPr>
            </w:pPr>
          </w:p>
        </w:tc>
        <w:tc>
          <w:tcPr>
            <w:tcW w:w="863" w:type="dxa"/>
            <w:vMerge w:val="continue"/>
          </w:tcPr>
          <w:p w14:paraId="40D6DB6E">
            <w:pPr>
              <w:widowControl/>
              <w:spacing w:line="240" w:lineRule="auto"/>
              <w:ind w:firstLine="0" w:firstLineChars="0"/>
              <w:jc w:val="center"/>
              <w:rPr>
                <w:kern w:val="0"/>
                <w:sz w:val="21"/>
                <w:szCs w:val="21"/>
              </w:rPr>
            </w:pPr>
          </w:p>
        </w:tc>
        <w:tc>
          <w:tcPr>
            <w:tcW w:w="794" w:type="dxa"/>
            <w:vMerge w:val="continue"/>
          </w:tcPr>
          <w:p w14:paraId="1B44A610">
            <w:pPr>
              <w:widowControl/>
              <w:spacing w:line="240" w:lineRule="auto"/>
              <w:ind w:firstLine="0" w:firstLineChars="0"/>
              <w:jc w:val="center"/>
              <w:rPr>
                <w:kern w:val="0"/>
                <w:sz w:val="21"/>
                <w:szCs w:val="21"/>
              </w:rPr>
            </w:pPr>
          </w:p>
        </w:tc>
        <w:tc>
          <w:tcPr>
            <w:tcW w:w="1438" w:type="dxa"/>
            <w:vMerge w:val="continue"/>
          </w:tcPr>
          <w:p w14:paraId="43602C3C">
            <w:pPr>
              <w:widowControl/>
              <w:spacing w:line="240" w:lineRule="auto"/>
              <w:ind w:firstLine="0" w:firstLineChars="0"/>
              <w:jc w:val="center"/>
              <w:rPr>
                <w:kern w:val="0"/>
                <w:sz w:val="21"/>
                <w:szCs w:val="21"/>
              </w:rPr>
            </w:pPr>
          </w:p>
        </w:tc>
        <w:tc>
          <w:tcPr>
            <w:tcW w:w="1151" w:type="dxa"/>
            <w:vAlign w:val="center"/>
          </w:tcPr>
          <w:p w14:paraId="33BB938D">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TD-390-1</w:t>
            </w:r>
          </w:p>
        </w:tc>
        <w:tc>
          <w:tcPr>
            <w:tcW w:w="1171" w:type="dxa"/>
          </w:tcPr>
          <w:p w14:paraId="2ACDA50D">
            <w:pPr>
              <w:widowControl/>
              <w:spacing w:line="240" w:lineRule="auto"/>
              <w:ind w:firstLine="0" w:firstLineChars="0"/>
              <w:jc w:val="center"/>
              <w:rPr>
                <w:kern w:val="0"/>
                <w:sz w:val="21"/>
                <w:szCs w:val="21"/>
              </w:rPr>
            </w:pPr>
            <w:r>
              <w:rPr>
                <w:kern w:val="0"/>
                <w:sz w:val="21"/>
                <w:szCs w:val="21"/>
              </w:rPr>
              <w:t>94750</w:t>
            </w:r>
          </w:p>
        </w:tc>
        <w:tc>
          <w:tcPr>
            <w:tcW w:w="1110" w:type="dxa"/>
            <w:vMerge w:val="continue"/>
            <w:vAlign w:val="center"/>
          </w:tcPr>
          <w:p w14:paraId="2F32FE25">
            <w:pPr>
              <w:widowControl/>
              <w:spacing w:line="240" w:lineRule="auto"/>
              <w:ind w:firstLine="0" w:firstLineChars="0"/>
              <w:jc w:val="center"/>
              <w:rPr>
                <w:kern w:val="0"/>
                <w:sz w:val="21"/>
                <w:szCs w:val="21"/>
              </w:rPr>
            </w:pPr>
          </w:p>
        </w:tc>
        <w:tc>
          <w:tcPr>
            <w:tcW w:w="2548" w:type="dxa"/>
            <w:vMerge w:val="continue"/>
            <w:vAlign w:val="center"/>
          </w:tcPr>
          <w:p w14:paraId="0AB1E15A">
            <w:pPr>
              <w:widowControl/>
              <w:spacing w:line="240" w:lineRule="auto"/>
              <w:ind w:firstLine="0" w:firstLineChars="0"/>
              <w:jc w:val="center"/>
              <w:rPr>
                <w:kern w:val="0"/>
                <w:sz w:val="21"/>
                <w:szCs w:val="21"/>
              </w:rPr>
            </w:pPr>
          </w:p>
        </w:tc>
        <w:tc>
          <w:tcPr>
            <w:tcW w:w="1109" w:type="dxa"/>
            <w:vMerge w:val="continue"/>
            <w:vAlign w:val="center"/>
          </w:tcPr>
          <w:p w14:paraId="56E405CB">
            <w:pPr>
              <w:widowControl/>
              <w:spacing w:line="240" w:lineRule="auto"/>
              <w:ind w:firstLine="0" w:firstLineChars="0"/>
              <w:jc w:val="center"/>
              <w:rPr>
                <w:kern w:val="0"/>
                <w:sz w:val="21"/>
                <w:szCs w:val="21"/>
              </w:rPr>
            </w:pPr>
          </w:p>
        </w:tc>
        <w:tc>
          <w:tcPr>
            <w:tcW w:w="1069" w:type="dxa"/>
            <w:vMerge w:val="continue"/>
            <w:vAlign w:val="center"/>
          </w:tcPr>
          <w:p w14:paraId="14D49A5F">
            <w:pPr>
              <w:widowControl/>
              <w:spacing w:line="240" w:lineRule="auto"/>
              <w:ind w:firstLine="0" w:firstLineChars="0"/>
              <w:jc w:val="center"/>
              <w:rPr>
                <w:kern w:val="0"/>
                <w:sz w:val="21"/>
                <w:szCs w:val="21"/>
              </w:rPr>
            </w:pPr>
          </w:p>
        </w:tc>
        <w:tc>
          <w:tcPr>
            <w:tcW w:w="1109" w:type="dxa"/>
            <w:vMerge w:val="continue"/>
          </w:tcPr>
          <w:p w14:paraId="12134D1F">
            <w:pPr>
              <w:widowControl/>
              <w:spacing w:line="240" w:lineRule="auto"/>
              <w:ind w:firstLine="0" w:firstLineChars="0"/>
              <w:jc w:val="center"/>
              <w:rPr>
                <w:kern w:val="0"/>
                <w:sz w:val="21"/>
                <w:szCs w:val="21"/>
              </w:rPr>
            </w:pPr>
          </w:p>
        </w:tc>
        <w:tc>
          <w:tcPr>
            <w:tcW w:w="1080" w:type="dxa"/>
            <w:vMerge w:val="continue"/>
          </w:tcPr>
          <w:p w14:paraId="66CB79A2">
            <w:pPr>
              <w:widowControl/>
              <w:spacing w:line="240" w:lineRule="auto"/>
              <w:ind w:firstLine="0" w:firstLineChars="0"/>
              <w:jc w:val="center"/>
              <w:rPr>
                <w:kern w:val="0"/>
                <w:sz w:val="21"/>
                <w:szCs w:val="21"/>
              </w:rPr>
            </w:pPr>
          </w:p>
        </w:tc>
      </w:tr>
      <w:tr w14:paraId="10BB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tcPr>
          <w:p w14:paraId="4B8CB28F">
            <w:pPr>
              <w:widowControl/>
              <w:spacing w:line="240" w:lineRule="auto"/>
              <w:ind w:firstLine="0" w:firstLineChars="0"/>
              <w:jc w:val="center"/>
              <w:rPr>
                <w:kern w:val="0"/>
                <w:sz w:val="21"/>
                <w:szCs w:val="21"/>
              </w:rPr>
            </w:pPr>
          </w:p>
        </w:tc>
        <w:tc>
          <w:tcPr>
            <w:tcW w:w="863" w:type="dxa"/>
            <w:vMerge w:val="continue"/>
          </w:tcPr>
          <w:p w14:paraId="56B41380">
            <w:pPr>
              <w:widowControl/>
              <w:spacing w:line="240" w:lineRule="auto"/>
              <w:ind w:firstLine="0" w:firstLineChars="0"/>
              <w:jc w:val="center"/>
              <w:rPr>
                <w:kern w:val="0"/>
                <w:sz w:val="21"/>
                <w:szCs w:val="21"/>
              </w:rPr>
            </w:pPr>
          </w:p>
        </w:tc>
        <w:tc>
          <w:tcPr>
            <w:tcW w:w="794" w:type="dxa"/>
            <w:vMerge w:val="continue"/>
          </w:tcPr>
          <w:p w14:paraId="67CEE25A">
            <w:pPr>
              <w:widowControl/>
              <w:spacing w:line="240" w:lineRule="auto"/>
              <w:ind w:firstLine="0" w:firstLineChars="0"/>
              <w:jc w:val="center"/>
              <w:rPr>
                <w:kern w:val="0"/>
                <w:sz w:val="21"/>
                <w:szCs w:val="21"/>
              </w:rPr>
            </w:pPr>
          </w:p>
        </w:tc>
        <w:tc>
          <w:tcPr>
            <w:tcW w:w="1438" w:type="dxa"/>
            <w:vMerge w:val="restart"/>
            <w:shd w:val="clear" w:color="auto" w:fill="auto"/>
            <w:vAlign w:val="center"/>
          </w:tcPr>
          <w:p w14:paraId="58E450D7">
            <w:pPr>
              <w:widowControl/>
              <w:spacing w:line="240" w:lineRule="auto"/>
              <w:ind w:firstLine="0" w:firstLineChars="0"/>
              <w:jc w:val="center"/>
              <w:rPr>
                <w:kern w:val="0"/>
                <w:sz w:val="21"/>
                <w:szCs w:val="21"/>
              </w:rPr>
            </w:pPr>
            <w:r>
              <w:rPr>
                <w:kern w:val="0"/>
                <w:sz w:val="21"/>
                <w:szCs w:val="21"/>
              </w:rPr>
              <w:t>400~390m</w:t>
            </w:r>
          </w:p>
        </w:tc>
        <w:tc>
          <w:tcPr>
            <w:tcW w:w="1151" w:type="dxa"/>
            <w:shd w:val="clear" w:color="auto" w:fill="auto"/>
            <w:vAlign w:val="center"/>
          </w:tcPr>
          <w:p w14:paraId="15DC58D2">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TD-400-2</w:t>
            </w:r>
          </w:p>
        </w:tc>
        <w:tc>
          <w:tcPr>
            <w:tcW w:w="1171" w:type="dxa"/>
            <w:vAlign w:val="center"/>
          </w:tcPr>
          <w:p w14:paraId="07414860">
            <w:pPr>
              <w:widowControl/>
              <w:spacing w:line="240" w:lineRule="auto"/>
              <w:ind w:firstLine="0" w:firstLineChars="0"/>
              <w:jc w:val="center"/>
              <w:rPr>
                <w:kern w:val="0"/>
                <w:sz w:val="21"/>
                <w:szCs w:val="21"/>
              </w:rPr>
            </w:pPr>
            <w:r>
              <w:rPr>
                <w:kern w:val="0"/>
                <w:sz w:val="21"/>
                <w:szCs w:val="21"/>
              </w:rPr>
              <w:t>178748</w:t>
            </w:r>
          </w:p>
        </w:tc>
        <w:tc>
          <w:tcPr>
            <w:tcW w:w="1110" w:type="dxa"/>
            <w:vMerge w:val="restart"/>
            <w:shd w:val="clear" w:color="auto" w:fill="auto"/>
            <w:vAlign w:val="center"/>
          </w:tcPr>
          <w:p w14:paraId="00796BA5">
            <w:pPr>
              <w:widowControl/>
              <w:spacing w:line="240" w:lineRule="auto"/>
              <w:ind w:firstLine="0" w:firstLineChars="0"/>
              <w:jc w:val="center"/>
              <w:rPr>
                <w:kern w:val="0"/>
                <w:sz w:val="21"/>
                <w:szCs w:val="21"/>
              </w:rPr>
            </w:pPr>
            <w:r>
              <w:rPr>
                <w:kern w:val="0"/>
                <w:sz w:val="21"/>
                <w:szCs w:val="21"/>
              </w:rPr>
              <w:t>10</w:t>
            </w:r>
          </w:p>
        </w:tc>
        <w:tc>
          <w:tcPr>
            <w:tcW w:w="2548" w:type="dxa"/>
            <w:vMerge w:val="restart"/>
            <w:shd w:val="clear" w:color="auto" w:fill="auto"/>
            <w:vAlign w:val="center"/>
          </w:tcPr>
          <w:p w14:paraId="68BEBCFA">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vAlign w:val="center"/>
          </w:tcPr>
          <w:p w14:paraId="0CF8A1C3">
            <w:pPr>
              <w:widowControl/>
              <w:spacing w:line="240" w:lineRule="auto"/>
              <w:ind w:firstLine="0" w:firstLineChars="0"/>
              <w:jc w:val="center"/>
              <w:rPr>
                <w:kern w:val="0"/>
                <w:sz w:val="21"/>
                <w:szCs w:val="21"/>
              </w:rPr>
            </w:pPr>
            <w:r>
              <w:rPr>
                <w:kern w:val="0"/>
                <w:sz w:val="21"/>
                <w:szCs w:val="21"/>
              </w:rPr>
              <w:t>2.70</w:t>
            </w:r>
          </w:p>
        </w:tc>
        <w:tc>
          <w:tcPr>
            <w:tcW w:w="1069" w:type="dxa"/>
            <w:vMerge w:val="restart"/>
            <w:vAlign w:val="center"/>
          </w:tcPr>
          <w:p w14:paraId="3ED6F345">
            <w:pPr>
              <w:widowControl/>
              <w:spacing w:line="240" w:lineRule="auto"/>
              <w:ind w:firstLine="0" w:firstLineChars="0"/>
              <w:jc w:val="center"/>
              <w:rPr>
                <w:kern w:val="0"/>
                <w:sz w:val="21"/>
                <w:szCs w:val="21"/>
              </w:rPr>
            </w:pPr>
            <w:r>
              <w:rPr>
                <w:kern w:val="0"/>
                <w:sz w:val="21"/>
                <w:szCs w:val="21"/>
              </w:rPr>
              <w:t>190.22</w:t>
            </w:r>
          </w:p>
        </w:tc>
        <w:tc>
          <w:tcPr>
            <w:tcW w:w="1109" w:type="dxa"/>
            <w:vMerge w:val="continue"/>
          </w:tcPr>
          <w:p w14:paraId="51317ECC">
            <w:pPr>
              <w:widowControl/>
              <w:spacing w:line="240" w:lineRule="auto"/>
              <w:ind w:firstLine="0" w:firstLineChars="0"/>
              <w:jc w:val="center"/>
              <w:rPr>
                <w:kern w:val="0"/>
                <w:sz w:val="21"/>
                <w:szCs w:val="21"/>
              </w:rPr>
            </w:pPr>
          </w:p>
        </w:tc>
        <w:tc>
          <w:tcPr>
            <w:tcW w:w="1080" w:type="dxa"/>
            <w:vMerge w:val="continue"/>
          </w:tcPr>
          <w:p w14:paraId="0D4871EA">
            <w:pPr>
              <w:widowControl/>
              <w:spacing w:line="240" w:lineRule="auto"/>
              <w:ind w:firstLine="0" w:firstLineChars="0"/>
              <w:jc w:val="center"/>
              <w:rPr>
                <w:kern w:val="0"/>
                <w:sz w:val="21"/>
                <w:szCs w:val="21"/>
              </w:rPr>
            </w:pPr>
          </w:p>
        </w:tc>
      </w:tr>
      <w:tr w14:paraId="4CF4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tcPr>
          <w:p w14:paraId="00F42905">
            <w:pPr>
              <w:widowControl/>
              <w:spacing w:line="240" w:lineRule="auto"/>
              <w:ind w:firstLine="0" w:firstLineChars="0"/>
              <w:jc w:val="center"/>
              <w:rPr>
                <w:kern w:val="0"/>
                <w:sz w:val="21"/>
                <w:szCs w:val="21"/>
              </w:rPr>
            </w:pPr>
          </w:p>
        </w:tc>
        <w:tc>
          <w:tcPr>
            <w:tcW w:w="863" w:type="dxa"/>
            <w:vMerge w:val="continue"/>
          </w:tcPr>
          <w:p w14:paraId="75339ED6">
            <w:pPr>
              <w:widowControl/>
              <w:spacing w:line="240" w:lineRule="auto"/>
              <w:ind w:firstLine="0" w:firstLineChars="0"/>
              <w:jc w:val="center"/>
              <w:rPr>
                <w:kern w:val="0"/>
                <w:sz w:val="21"/>
                <w:szCs w:val="21"/>
              </w:rPr>
            </w:pPr>
          </w:p>
        </w:tc>
        <w:tc>
          <w:tcPr>
            <w:tcW w:w="794" w:type="dxa"/>
            <w:vMerge w:val="continue"/>
          </w:tcPr>
          <w:p w14:paraId="326507EB">
            <w:pPr>
              <w:widowControl/>
              <w:spacing w:line="240" w:lineRule="auto"/>
              <w:ind w:firstLine="0" w:firstLineChars="0"/>
              <w:jc w:val="center"/>
              <w:rPr>
                <w:kern w:val="0"/>
                <w:sz w:val="21"/>
                <w:szCs w:val="21"/>
              </w:rPr>
            </w:pPr>
          </w:p>
        </w:tc>
        <w:tc>
          <w:tcPr>
            <w:tcW w:w="1438" w:type="dxa"/>
            <w:vMerge w:val="continue"/>
          </w:tcPr>
          <w:p w14:paraId="652BE4D5">
            <w:pPr>
              <w:widowControl/>
              <w:spacing w:line="240" w:lineRule="auto"/>
              <w:ind w:firstLine="0" w:firstLineChars="0"/>
              <w:jc w:val="center"/>
              <w:rPr>
                <w:kern w:val="0"/>
                <w:sz w:val="21"/>
                <w:szCs w:val="21"/>
              </w:rPr>
            </w:pPr>
          </w:p>
        </w:tc>
        <w:tc>
          <w:tcPr>
            <w:tcW w:w="1151" w:type="dxa"/>
            <w:shd w:val="clear" w:color="auto" w:fill="auto"/>
            <w:vAlign w:val="center"/>
          </w:tcPr>
          <w:p w14:paraId="759EC24B">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TD-390-2</w:t>
            </w:r>
          </w:p>
        </w:tc>
        <w:tc>
          <w:tcPr>
            <w:tcW w:w="1171" w:type="dxa"/>
            <w:vAlign w:val="center"/>
          </w:tcPr>
          <w:p w14:paraId="36AECF3C">
            <w:pPr>
              <w:widowControl/>
              <w:spacing w:line="240" w:lineRule="auto"/>
              <w:ind w:firstLine="0" w:firstLineChars="0"/>
              <w:jc w:val="center"/>
              <w:rPr>
                <w:kern w:val="0"/>
                <w:sz w:val="21"/>
                <w:szCs w:val="21"/>
              </w:rPr>
            </w:pPr>
            <w:r>
              <w:rPr>
                <w:kern w:val="0"/>
                <w:sz w:val="21"/>
                <w:szCs w:val="21"/>
              </w:rPr>
              <w:t>201693</w:t>
            </w:r>
          </w:p>
        </w:tc>
        <w:tc>
          <w:tcPr>
            <w:tcW w:w="1110" w:type="dxa"/>
            <w:vMerge w:val="continue"/>
            <w:vAlign w:val="center"/>
          </w:tcPr>
          <w:p w14:paraId="151A7231">
            <w:pPr>
              <w:widowControl/>
              <w:spacing w:line="240" w:lineRule="auto"/>
              <w:ind w:firstLine="0" w:firstLineChars="0"/>
              <w:jc w:val="center"/>
              <w:rPr>
                <w:kern w:val="0"/>
                <w:sz w:val="21"/>
                <w:szCs w:val="21"/>
              </w:rPr>
            </w:pPr>
          </w:p>
        </w:tc>
        <w:tc>
          <w:tcPr>
            <w:tcW w:w="2548" w:type="dxa"/>
            <w:vMerge w:val="continue"/>
            <w:vAlign w:val="center"/>
          </w:tcPr>
          <w:p w14:paraId="4AF9D379">
            <w:pPr>
              <w:widowControl/>
              <w:spacing w:line="240" w:lineRule="auto"/>
              <w:ind w:firstLine="0" w:firstLineChars="0"/>
              <w:jc w:val="center"/>
              <w:rPr>
                <w:kern w:val="0"/>
                <w:sz w:val="21"/>
                <w:szCs w:val="21"/>
              </w:rPr>
            </w:pPr>
          </w:p>
        </w:tc>
        <w:tc>
          <w:tcPr>
            <w:tcW w:w="1109" w:type="dxa"/>
            <w:vMerge w:val="continue"/>
            <w:vAlign w:val="center"/>
          </w:tcPr>
          <w:p w14:paraId="47F2D15E">
            <w:pPr>
              <w:widowControl/>
              <w:spacing w:line="240" w:lineRule="auto"/>
              <w:ind w:firstLine="0" w:firstLineChars="0"/>
              <w:jc w:val="center"/>
              <w:rPr>
                <w:kern w:val="0"/>
                <w:sz w:val="21"/>
                <w:szCs w:val="21"/>
              </w:rPr>
            </w:pPr>
          </w:p>
        </w:tc>
        <w:tc>
          <w:tcPr>
            <w:tcW w:w="1069" w:type="dxa"/>
            <w:vMerge w:val="continue"/>
            <w:vAlign w:val="center"/>
          </w:tcPr>
          <w:p w14:paraId="6FAE48B6">
            <w:pPr>
              <w:widowControl/>
              <w:spacing w:line="240" w:lineRule="auto"/>
              <w:ind w:firstLine="0" w:firstLineChars="0"/>
              <w:jc w:val="center"/>
              <w:rPr>
                <w:kern w:val="0"/>
                <w:sz w:val="21"/>
                <w:szCs w:val="21"/>
              </w:rPr>
            </w:pPr>
          </w:p>
        </w:tc>
        <w:tc>
          <w:tcPr>
            <w:tcW w:w="1109" w:type="dxa"/>
            <w:vMerge w:val="continue"/>
          </w:tcPr>
          <w:p w14:paraId="14E2CDFF">
            <w:pPr>
              <w:widowControl/>
              <w:spacing w:line="240" w:lineRule="auto"/>
              <w:ind w:firstLine="0" w:firstLineChars="0"/>
              <w:jc w:val="center"/>
              <w:rPr>
                <w:kern w:val="0"/>
                <w:sz w:val="21"/>
                <w:szCs w:val="21"/>
              </w:rPr>
            </w:pPr>
          </w:p>
        </w:tc>
        <w:tc>
          <w:tcPr>
            <w:tcW w:w="1080" w:type="dxa"/>
            <w:vMerge w:val="continue"/>
          </w:tcPr>
          <w:p w14:paraId="502C31F6">
            <w:pPr>
              <w:widowControl/>
              <w:spacing w:line="240" w:lineRule="auto"/>
              <w:ind w:firstLine="0" w:firstLineChars="0"/>
              <w:jc w:val="center"/>
              <w:rPr>
                <w:kern w:val="0"/>
                <w:sz w:val="21"/>
                <w:szCs w:val="21"/>
              </w:rPr>
            </w:pPr>
          </w:p>
        </w:tc>
      </w:tr>
      <w:tr w14:paraId="4910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tcPr>
          <w:p w14:paraId="2FA534E1">
            <w:pPr>
              <w:widowControl/>
              <w:spacing w:line="240" w:lineRule="auto"/>
              <w:ind w:firstLine="0" w:firstLineChars="0"/>
              <w:jc w:val="center"/>
              <w:rPr>
                <w:kern w:val="0"/>
                <w:sz w:val="21"/>
                <w:szCs w:val="21"/>
              </w:rPr>
            </w:pPr>
          </w:p>
        </w:tc>
        <w:tc>
          <w:tcPr>
            <w:tcW w:w="863" w:type="dxa"/>
            <w:vMerge w:val="continue"/>
          </w:tcPr>
          <w:p w14:paraId="7EC9E965">
            <w:pPr>
              <w:widowControl/>
              <w:spacing w:line="240" w:lineRule="auto"/>
              <w:ind w:firstLine="0" w:firstLineChars="0"/>
              <w:jc w:val="center"/>
              <w:rPr>
                <w:kern w:val="0"/>
                <w:sz w:val="21"/>
                <w:szCs w:val="21"/>
              </w:rPr>
            </w:pPr>
          </w:p>
        </w:tc>
        <w:tc>
          <w:tcPr>
            <w:tcW w:w="794" w:type="dxa"/>
            <w:vMerge w:val="continue"/>
            <w:vAlign w:val="center"/>
          </w:tcPr>
          <w:p w14:paraId="6A136158">
            <w:pPr>
              <w:widowControl/>
              <w:spacing w:line="240" w:lineRule="auto"/>
              <w:ind w:firstLine="0" w:firstLineChars="0"/>
              <w:jc w:val="center"/>
              <w:rPr>
                <w:kern w:val="0"/>
                <w:sz w:val="21"/>
                <w:szCs w:val="21"/>
              </w:rPr>
            </w:pPr>
          </w:p>
        </w:tc>
        <w:tc>
          <w:tcPr>
            <w:tcW w:w="1438" w:type="dxa"/>
            <w:vMerge w:val="restart"/>
            <w:vAlign w:val="center"/>
          </w:tcPr>
          <w:p w14:paraId="646CDF86">
            <w:pPr>
              <w:widowControl/>
              <w:spacing w:line="240" w:lineRule="auto"/>
              <w:ind w:firstLine="0" w:firstLineChars="0"/>
              <w:jc w:val="center"/>
              <w:rPr>
                <w:kern w:val="0"/>
                <w:sz w:val="21"/>
                <w:szCs w:val="21"/>
              </w:rPr>
            </w:pPr>
            <w:r>
              <w:rPr>
                <w:kern w:val="0"/>
                <w:sz w:val="21"/>
                <w:szCs w:val="21"/>
              </w:rPr>
              <w:t>390~380m</w:t>
            </w:r>
          </w:p>
        </w:tc>
        <w:tc>
          <w:tcPr>
            <w:tcW w:w="1151" w:type="dxa"/>
            <w:vAlign w:val="center"/>
          </w:tcPr>
          <w:p w14:paraId="7F42549F">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TD-390-1</w:t>
            </w:r>
          </w:p>
        </w:tc>
        <w:tc>
          <w:tcPr>
            <w:tcW w:w="1171" w:type="dxa"/>
            <w:vAlign w:val="center"/>
          </w:tcPr>
          <w:p w14:paraId="67FC1DC1">
            <w:pPr>
              <w:widowControl/>
              <w:spacing w:line="240" w:lineRule="auto"/>
              <w:ind w:firstLine="0" w:firstLineChars="0"/>
              <w:jc w:val="center"/>
              <w:rPr>
                <w:kern w:val="0"/>
                <w:sz w:val="21"/>
                <w:szCs w:val="21"/>
              </w:rPr>
            </w:pPr>
            <w:r>
              <w:rPr>
                <w:kern w:val="0"/>
                <w:sz w:val="21"/>
                <w:szCs w:val="21"/>
              </w:rPr>
              <w:t>94750</w:t>
            </w:r>
          </w:p>
        </w:tc>
        <w:tc>
          <w:tcPr>
            <w:tcW w:w="1110" w:type="dxa"/>
            <w:vMerge w:val="restart"/>
            <w:vAlign w:val="center"/>
          </w:tcPr>
          <w:p w14:paraId="26AAB55B">
            <w:pPr>
              <w:widowControl/>
              <w:spacing w:line="240" w:lineRule="auto"/>
              <w:ind w:firstLine="0" w:firstLineChars="0"/>
              <w:jc w:val="center"/>
              <w:rPr>
                <w:kern w:val="0"/>
                <w:sz w:val="21"/>
                <w:szCs w:val="21"/>
              </w:rPr>
            </w:pPr>
            <w:r>
              <w:rPr>
                <w:kern w:val="0"/>
                <w:sz w:val="21"/>
                <w:szCs w:val="21"/>
              </w:rPr>
              <w:t>10</w:t>
            </w:r>
          </w:p>
        </w:tc>
        <w:tc>
          <w:tcPr>
            <w:tcW w:w="2548" w:type="dxa"/>
            <w:vMerge w:val="restart"/>
            <w:vAlign w:val="center"/>
          </w:tcPr>
          <w:p w14:paraId="0B6D2180">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vAlign w:val="center"/>
          </w:tcPr>
          <w:p w14:paraId="00D9F637">
            <w:pPr>
              <w:widowControl/>
              <w:spacing w:line="240" w:lineRule="auto"/>
              <w:ind w:firstLine="0" w:firstLineChars="0"/>
              <w:jc w:val="center"/>
              <w:rPr>
                <w:kern w:val="0"/>
                <w:sz w:val="21"/>
                <w:szCs w:val="21"/>
              </w:rPr>
            </w:pPr>
            <w:r>
              <w:rPr>
                <w:kern w:val="0"/>
                <w:sz w:val="21"/>
                <w:szCs w:val="21"/>
              </w:rPr>
              <w:t>2.70</w:t>
            </w:r>
          </w:p>
        </w:tc>
        <w:tc>
          <w:tcPr>
            <w:tcW w:w="1069" w:type="dxa"/>
            <w:vMerge w:val="restart"/>
            <w:vAlign w:val="center"/>
          </w:tcPr>
          <w:p w14:paraId="64D61308">
            <w:pPr>
              <w:widowControl/>
              <w:spacing w:line="240" w:lineRule="auto"/>
              <w:ind w:firstLine="0" w:firstLineChars="0"/>
              <w:jc w:val="center"/>
              <w:rPr>
                <w:kern w:val="0"/>
                <w:sz w:val="21"/>
                <w:szCs w:val="21"/>
              </w:rPr>
            </w:pPr>
            <w:r>
              <w:rPr>
                <w:kern w:val="0"/>
                <w:sz w:val="21"/>
                <w:szCs w:val="21"/>
              </w:rPr>
              <w:t>96.48</w:t>
            </w:r>
          </w:p>
        </w:tc>
        <w:tc>
          <w:tcPr>
            <w:tcW w:w="1109" w:type="dxa"/>
            <w:vMerge w:val="continue"/>
          </w:tcPr>
          <w:p w14:paraId="6FD021A8">
            <w:pPr>
              <w:widowControl/>
              <w:spacing w:line="240" w:lineRule="auto"/>
              <w:ind w:firstLine="0" w:firstLineChars="0"/>
              <w:jc w:val="center"/>
              <w:rPr>
                <w:kern w:val="0"/>
                <w:sz w:val="21"/>
                <w:szCs w:val="21"/>
              </w:rPr>
            </w:pPr>
          </w:p>
        </w:tc>
        <w:tc>
          <w:tcPr>
            <w:tcW w:w="1080" w:type="dxa"/>
            <w:vMerge w:val="continue"/>
          </w:tcPr>
          <w:p w14:paraId="651A56DA">
            <w:pPr>
              <w:widowControl/>
              <w:spacing w:line="240" w:lineRule="auto"/>
              <w:ind w:firstLine="0" w:firstLineChars="0"/>
              <w:jc w:val="center"/>
              <w:rPr>
                <w:kern w:val="0"/>
                <w:sz w:val="21"/>
                <w:szCs w:val="21"/>
              </w:rPr>
            </w:pPr>
          </w:p>
        </w:tc>
      </w:tr>
      <w:tr w14:paraId="30EB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tcPr>
          <w:p w14:paraId="6F7C73B3">
            <w:pPr>
              <w:widowControl/>
              <w:spacing w:line="240" w:lineRule="auto"/>
              <w:ind w:firstLine="0" w:firstLineChars="0"/>
              <w:jc w:val="center"/>
              <w:rPr>
                <w:kern w:val="0"/>
                <w:sz w:val="21"/>
                <w:szCs w:val="21"/>
              </w:rPr>
            </w:pPr>
          </w:p>
        </w:tc>
        <w:tc>
          <w:tcPr>
            <w:tcW w:w="863" w:type="dxa"/>
            <w:vMerge w:val="continue"/>
          </w:tcPr>
          <w:p w14:paraId="1A345AED">
            <w:pPr>
              <w:widowControl/>
              <w:spacing w:line="240" w:lineRule="auto"/>
              <w:ind w:firstLine="0" w:firstLineChars="0"/>
              <w:jc w:val="center"/>
              <w:rPr>
                <w:kern w:val="0"/>
                <w:sz w:val="21"/>
                <w:szCs w:val="21"/>
              </w:rPr>
            </w:pPr>
          </w:p>
        </w:tc>
        <w:tc>
          <w:tcPr>
            <w:tcW w:w="794" w:type="dxa"/>
            <w:vMerge w:val="continue"/>
          </w:tcPr>
          <w:p w14:paraId="6BC19B05">
            <w:pPr>
              <w:widowControl/>
              <w:spacing w:line="240" w:lineRule="auto"/>
              <w:ind w:firstLine="0" w:firstLineChars="0"/>
              <w:jc w:val="center"/>
              <w:rPr>
                <w:kern w:val="0"/>
                <w:sz w:val="21"/>
                <w:szCs w:val="21"/>
              </w:rPr>
            </w:pPr>
          </w:p>
        </w:tc>
        <w:tc>
          <w:tcPr>
            <w:tcW w:w="1438" w:type="dxa"/>
            <w:vMerge w:val="continue"/>
          </w:tcPr>
          <w:p w14:paraId="1CF08A32">
            <w:pPr>
              <w:widowControl/>
              <w:spacing w:line="240" w:lineRule="auto"/>
              <w:ind w:firstLine="0" w:firstLineChars="0"/>
              <w:jc w:val="center"/>
              <w:rPr>
                <w:kern w:val="0"/>
                <w:sz w:val="21"/>
                <w:szCs w:val="21"/>
              </w:rPr>
            </w:pPr>
          </w:p>
        </w:tc>
        <w:tc>
          <w:tcPr>
            <w:tcW w:w="1151" w:type="dxa"/>
            <w:vAlign w:val="center"/>
          </w:tcPr>
          <w:p w14:paraId="7E2628B4">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TD-380-1</w:t>
            </w:r>
          </w:p>
        </w:tc>
        <w:tc>
          <w:tcPr>
            <w:tcW w:w="1171" w:type="dxa"/>
            <w:vAlign w:val="center"/>
          </w:tcPr>
          <w:p w14:paraId="130EB58A">
            <w:pPr>
              <w:widowControl/>
              <w:spacing w:line="240" w:lineRule="auto"/>
              <w:ind w:firstLine="0" w:firstLineChars="0"/>
              <w:jc w:val="center"/>
              <w:rPr>
                <w:kern w:val="0"/>
                <w:sz w:val="21"/>
                <w:szCs w:val="21"/>
              </w:rPr>
            </w:pPr>
            <w:r>
              <w:rPr>
                <w:kern w:val="0"/>
                <w:sz w:val="21"/>
                <w:szCs w:val="21"/>
              </w:rPr>
              <w:t>98204</w:t>
            </w:r>
          </w:p>
        </w:tc>
        <w:tc>
          <w:tcPr>
            <w:tcW w:w="1110" w:type="dxa"/>
            <w:vMerge w:val="continue"/>
            <w:vAlign w:val="center"/>
          </w:tcPr>
          <w:p w14:paraId="1977E761">
            <w:pPr>
              <w:widowControl/>
              <w:spacing w:line="240" w:lineRule="auto"/>
              <w:ind w:firstLine="0" w:firstLineChars="0"/>
              <w:jc w:val="center"/>
              <w:rPr>
                <w:kern w:val="0"/>
                <w:sz w:val="21"/>
                <w:szCs w:val="21"/>
              </w:rPr>
            </w:pPr>
          </w:p>
        </w:tc>
        <w:tc>
          <w:tcPr>
            <w:tcW w:w="2548" w:type="dxa"/>
            <w:vMerge w:val="continue"/>
            <w:vAlign w:val="center"/>
          </w:tcPr>
          <w:p w14:paraId="57E98D24">
            <w:pPr>
              <w:widowControl/>
              <w:spacing w:line="240" w:lineRule="auto"/>
              <w:ind w:firstLine="0" w:firstLineChars="0"/>
              <w:jc w:val="center"/>
              <w:rPr>
                <w:kern w:val="0"/>
                <w:sz w:val="21"/>
                <w:szCs w:val="21"/>
              </w:rPr>
            </w:pPr>
          </w:p>
        </w:tc>
        <w:tc>
          <w:tcPr>
            <w:tcW w:w="1109" w:type="dxa"/>
            <w:vMerge w:val="continue"/>
            <w:vAlign w:val="center"/>
          </w:tcPr>
          <w:p w14:paraId="211E4BC5">
            <w:pPr>
              <w:widowControl/>
              <w:spacing w:line="240" w:lineRule="auto"/>
              <w:ind w:firstLine="0" w:firstLineChars="0"/>
              <w:jc w:val="center"/>
              <w:rPr>
                <w:kern w:val="0"/>
                <w:sz w:val="21"/>
                <w:szCs w:val="21"/>
              </w:rPr>
            </w:pPr>
          </w:p>
        </w:tc>
        <w:tc>
          <w:tcPr>
            <w:tcW w:w="1069" w:type="dxa"/>
            <w:vMerge w:val="continue"/>
            <w:vAlign w:val="center"/>
          </w:tcPr>
          <w:p w14:paraId="1FCB5AD8">
            <w:pPr>
              <w:widowControl/>
              <w:spacing w:line="240" w:lineRule="auto"/>
              <w:ind w:firstLine="0" w:firstLineChars="0"/>
              <w:jc w:val="center"/>
              <w:rPr>
                <w:kern w:val="0"/>
                <w:sz w:val="21"/>
                <w:szCs w:val="21"/>
              </w:rPr>
            </w:pPr>
          </w:p>
        </w:tc>
        <w:tc>
          <w:tcPr>
            <w:tcW w:w="1109" w:type="dxa"/>
            <w:vMerge w:val="continue"/>
          </w:tcPr>
          <w:p w14:paraId="1C8A5559">
            <w:pPr>
              <w:widowControl/>
              <w:spacing w:line="240" w:lineRule="auto"/>
              <w:ind w:firstLine="0" w:firstLineChars="0"/>
              <w:jc w:val="center"/>
              <w:rPr>
                <w:kern w:val="0"/>
                <w:sz w:val="21"/>
                <w:szCs w:val="21"/>
              </w:rPr>
            </w:pPr>
          </w:p>
        </w:tc>
        <w:tc>
          <w:tcPr>
            <w:tcW w:w="1080" w:type="dxa"/>
            <w:vMerge w:val="continue"/>
          </w:tcPr>
          <w:p w14:paraId="2212F2D4">
            <w:pPr>
              <w:widowControl/>
              <w:spacing w:line="240" w:lineRule="auto"/>
              <w:ind w:firstLine="0" w:firstLineChars="0"/>
              <w:jc w:val="center"/>
              <w:rPr>
                <w:kern w:val="0"/>
                <w:sz w:val="21"/>
                <w:szCs w:val="21"/>
              </w:rPr>
            </w:pPr>
          </w:p>
        </w:tc>
      </w:tr>
      <w:tr w14:paraId="11B3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tcPr>
          <w:p w14:paraId="7D3497A9">
            <w:pPr>
              <w:widowControl/>
              <w:spacing w:line="240" w:lineRule="auto"/>
              <w:ind w:firstLine="0" w:firstLineChars="0"/>
              <w:jc w:val="center"/>
              <w:rPr>
                <w:kern w:val="0"/>
                <w:sz w:val="21"/>
                <w:szCs w:val="21"/>
              </w:rPr>
            </w:pPr>
          </w:p>
        </w:tc>
        <w:tc>
          <w:tcPr>
            <w:tcW w:w="863" w:type="dxa"/>
            <w:vMerge w:val="continue"/>
          </w:tcPr>
          <w:p w14:paraId="79A1DAC0">
            <w:pPr>
              <w:widowControl/>
              <w:spacing w:line="240" w:lineRule="auto"/>
              <w:ind w:firstLine="0" w:firstLineChars="0"/>
              <w:jc w:val="center"/>
              <w:rPr>
                <w:kern w:val="0"/>
                <w:sz w:val="21"/>
                <w:szCs w:val="21"/>
              </w:rPr>
            </w:pPr>
          </w:p>
        </w:tc>
        <w:tc>
          <w:tcPr>
            <w:tcW w:w="794" w:type="dxa"/>
            <w:vMerge w:val="continue"/>
          </w:tcPr>
          <w:p w14:paraId="5D3A5002">
            <w:pPr>
              <w:widowControl/>
              <w:spacing w:line="240" w:lineRule="auto"/>
              <w:ind w:firstLine="0" w:firstLineChars="0"/>
              <w:jc w:val="center"/>
              <w:rPr>
                <w:kern w:val="0"/>
                <w:sz w:val="21"/>
                <w:szCs w:val="21"/>
              </w:rPr>
            </w:pPr>
          </w:p>
        </w:tc>
        <w:tc>
          <w:tcPr>
            <w:tcW w:w="1438" w:type="dxa"/>
            <w:vMerge w:val="restart"/>
            <w:shd w:val="clear" w:color="auto" w:fill="auto"/>
            <w:vAlign w:val="center"/>
          </w:tcPr>
          <w:p w14:paraId="0E8B4017">
            <w:pPr>
              <w:widowControl/>
              <w:spacing w:line="240" w:lineRule="auto"/>
              <w:ind w:firstLine="0" w:firstLineChars="0"/>
              <w:jc w:val="center"/>
              <w:rPr>
                <w:kern w:val="0"/>
                <w:sz w:val="21"/>
                <w:szCs w:val="21"/>
              </w:rPr>
            </w:pPr>
            <w:r>
              <w:rPr>
                <w:kern w:val="0"/>
                <w:sz w:val="21"/>
                <w:szCs w:val="21"/>
              </w:rPr>
              <w:t>390~380m</w:t>
            </w:r>
          </w:p>
        </w:tc>
        <w:tc>
          <w:tcPr>
            <w:tcW w:w="1151" w:type="dxa"/>
            <w:shd w:val="clear" w:color="auto" w:fill="auto"/>
            <w:vAlign w:val="center"/>
          </w:tcPr>
          <w:p w14:paraId="3A235F90">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TD-390-2</w:t>
            </w:r>
          </w:p>
        </w:tc>
        <w:tc>
          <w:tcPr>
            <w:tcW w:w="1171" w:type="dxa"/>
            <w:vAlign w:val="center"/>
          </w:tcPr>
          <w:p w14:paraId="421BDF3E">
            <w:pPr>
              <w:widowControl/>
              <w:spacing w:line="240" w:lineRule="auto"/>
              <w:ind w:firstLine="0" w:firstLineChars="0"/>
              <w:jc w:val="center"/>
              <w:rPr>
                <w:kern w:val="0"/>
                <w:sz w:val="21"/>
                <w:szCs w:val="21"/>
              </w:rPr>
            </w:pPr>
            <w:r>
              <w:rPr>
                <w:kern w:val="0"/>
                <w:sz w:val="21"/>
                <w:szCs w:val="21"/>
              </w:rPr>
              <w:t>201693</w:t>
            </w:r>
          </w:p>
        </w:tc>
        <w:tc>
          <w:tcPr>
            <w:tcW w:w="1110" w:type="dxa"/>
            <w:vMerge w:val="restart"/>
            <w:shd w:val="clear" w:color="auto" w:fill="auto"/>
            <w:vAlign w:val="center"/>
          </w:tcPr>
          <w:p w14:paraId="7143367E">
            <w:pPr>
              <w:widowControl/>
              <w:spacing w:line="240" w:lineRule="auto"/>
              <w:ind w:firstLine="0" w:firstLineChars="0"/>
              <w:jc w:val="center"/>
              <w:rPr>
                <w:kern w:val="0"/>
                <w:sz w:val="21"/>
                <w:szCs w:val="21"/>
              </w:rPr>
            </w:pPr>
            <w:r>
              <w:rPr>
                <w:kern w:val="0"/>
                <w:sz w:val="21"/>
                <w:szCs w:val="21"/>
              </w:rPr>
              <w:t>10</w:t>
            </w:r>
          </w:p>
        </w:tc>
        <w:tc>
          <w:tcPr>
            <w:tcW w:w="2548" w:type="dxa"/>
            <w:vMerge w:val="restart"/>
            <w:shd w:val="clear" w:color="auto" w:fill="auto"/>
            <w:vAlign w:val="center"/>
          </w:tcPr>
          <w:p w14:paraId="016D9057">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vAlign w:val="center"/>
          </w:tcPr>
          <w:p w14:paraId="310DE62B">
            <w:pPr>
              <w:widowControl/>
              <w:spacing w:line="240" w:lineRule="auto"/>
              <w:ind w:firstLine="0" w:firstLineChars="0"/>
              <w:jc w:val="center"/>
              <w:rPr>
                <w:kern w:val="0"/>
                <w:sz w:val="21"/>
                <w:szCs w:val="21"/>
              </w:rPr>
            </w:pPr>
            <w:r>
              <w:rPr>
                <w:kern w:val="0"/>
                <w:sz w:val="21"/>
                <w:szCs w:val="21"/>
              </w:rPr>
              <w:t>2.70</w:t>
            </w:r>
          </w:p>
        </w:tc>
        <w:tc>
          <w:tcPr>
            <w:tcW w:w="1069" w:type="dxa"/>
            <w:vMerge w:val="restart"/>
            <w:vAlign w:val="center"/>
          </w:tcPr>
          <w:p w14:paraId="3D9E7B23">
            <w:pPr>
              <w:widowControl/>
              <w:spacing w:line="240" w:lineRule="auto"/>
              <w:ind w:firstLine="0" w:firstLineChars="0"/>
              <w:jc w:val="center"/>
              <w:rPr>
                <w:kern w:val="0"/>
                <w:sz w:val="21"/>
                <w:szCs w:val="21"/>
              </w:rPr>
            </w:pPr>
            <w:r>
              <w:rPr>
                <w:kern w:val="0"/>
                <w:sz w:val="21"/>
                <w:szCs w:val="21"/>
              </w:rPr>
              <w:t>206.78</w:t>
            </w:r>
          </w:p>
        </w:tc>
        <w:tc>
          <w:tcPr>
            <w:tcW w:w="1109" w:type="dxa"/>
            <w:vMerge w:val="continue"/>
          </w:tcPr>
          <w:p w14:paraId="1A043169">
            <w:pPr>
              <w:widowControl/>
              <w:spacing w:line="240" w:lineRule="auto"/>
              <w:ind w:firstLine="0" w:firstLineChars="0"/>
              <w:jc w:val="center"/>
              <w:rPr>
                <w:kern w:val="0"/>
                <w:sz w:val="21"/>
                <w:szCs w:val="21"/>
              </w:rPr>
            </w:pPr>
          </w:p>
        </w:tc>
        <w:tc>
          <w:tcPr>
            <w:tcW w:w="1080" w:type="dxa"/>
            <w:vMerge w:val="continue"/>
          </w:tcPr>
          <w:p w14:paraId="1BE05565">
            <w:pPr>
              <w:widowControl/>
              <w:spacing w:line="240" w:lineRule="auto"/>
              <w:ind w:firstLine="0" w:firstLineChars="0"/>
              <w:jc w:val="center"/>
              <w:rPr>
                <w:kern w:val="0"/>
                <w:sz w:val="21"/>
                <w:szCs w:val="21"/>
              </w:rPr>
            </w:pPr>
          </w:p>
        </w:tc>
      </w:tr>
      <w:tr w14:paraId="7A20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tcPr>
          <w:p w14:paraId="3EA486B5">
            <w:pPr>
              <w:widowControl/>
              <w:spacing w:line="240" w:lineRule="auto"/>
              <w:ind w:firstLine="0" w:firstLineChars="0"/>
              <w:jc w:val="center"/>
              <w:rPr>
                <w:kern w:val="0"/>
                <w:sz w:val="21"/>
                <w:szCs w:val="21"/>
              </w:rPr>
            </w:pPr>
          </w:p>
        </w:tc>
        <w:tc>
          <w:tcPr>
            <w:tcW w:w="863" w:type="dxa"/>
            <w:vMerge w:val="continue"/>
          </w:tcPr>
          <w:p w14:paraId="15DE4099">
            <w:pPr>
              <w:widowControl/>
              <w:spacing w:line="240" w:lineRule="auto"/>
              <w:ind w:firstLine="0" w:firstLineChars="0"/>
              <w:jc w:val="center"/>
              <w:rPr>
                <w:kern w:val="0"/>
                <w:sz w:val="21"/>
                <w:szCs w:val="21"/>
              </w:rPr>
            </w:pPr>
          </w:p>
        </w:tc>
        <w:tc>
          <w:tcPr>
            <w:tcW w:w="794" w:type="dxa"/>
            <w:vMerge w:val="continue"/>
          </w:tcPr>
          <w:p w14:paraId="31CB5A35">
            <w:pPr>
              <w:widowControl/>
              <w:spacing w:line="240" w:lineRule="auto"/>
              <w:ind w:firstLine="0" w:firstLineChars="0"/>
              <w:jc w:val="center"/>
              <w:rPr>
                <w:kern w:val="0"/>
                <w:sz w:val="21"/>
                <w:szCs w:val="21"/>
              </w:rPr>
            </w:pPr>
          </w:p>
        </w:tc>
        <w:tc>
          <w:tcPr>
            <w:tcW w:w="1438" w:type="dxa"/>
            <w:vMerge w:val="continue"/>
          </w:tcPr>
          <w:p w14:paraId="3C892A4A">
            <w:pPr>
              <w:widowControl/>
              <w:spacing w:line="240" w:lineRule="auto"/>
              <w:ind w:firstLine="0" w:firstLineChars="0"/>
              <w:jc w:val="center"/>
              <w:rPr>
                <w:kern w:val="0"/>
                <w:sz w:val="21"/>
                <w:szCs w:val="21"/>
              </w:rPr>
            </w:pPr>
          </w:p>
        </w:tc>
        <w:tc>
          <w:tcPr>
            <w:tcW w:w="1151" w:type="dxa"/>
            <w:shd w:val="clear" w:color="auto" w:fill="auto"/>
            <w:vAlign w:val="center"/>
          </w:tcPr>
          <w:p w14:paraId="31D38A0B">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TD-380-2</w:t>
            </w:r>
          </w:p>
        </w:tc>
        <w:tc>
          <w:tcPr>
            <w:tcW w:w="1171" w:type="dxa"/>
            <w:vAlign w:val="center"/>
          </w:tcPr>
          <w:p w14:paraId="657EC2E9">
            <w:pPr>
              <w:widowControl/>
              <w:spacing w:line="240" w:lineRule="auto"/>
              <w:ind w:firstLine="0" w:firstLineChars="0"/>
              <w:jc w:val="center"/>
              <w:rPr>
                <w:kern w:val="0"/>
                <w:sz w:val="21"/>
                <w:szCs w:val="21"/>
              </w:rPr>
            </w:pPr>
            <w:r>
              <w:rPr>
                <w:kern w:val="0"/>
                <w:sz w:val="21"/>
                <w:szCs w:val="21"/>
              </w:rPr>
              <w:t>211894</w:t>
            </w:r>
          </w:p>
        </w:tc>
        <w:tc>
          <w:tcPr>
            <w:tcW w:w="1110" w:type="dxa"/>
            <w:vMerge w:val="continue"/>
            <w:vAlign w:val="center"/>
          </w:tcPr>
          <w:p w14:paraId="4EF96968">
            <w:pPr>
              <w:widowControl/>
              <w:spacing w:line="240" w:lineRule="auto"/>
              <w:ind w:firstLine="0" w:firstLineChars="0"/>
              <w:jc w:val="center"/>
              <w:rPr>
                <w:kern w:val="0"/>
                <w:sz w:val="21"/>
                <w:szCs w:val="21"/>
              </w:rPr>
            </w:pPr>
          </w:p>
        </w:tc>
        <w:tc>
          <w:tcPr>
            <w:tcW w:w="2548" w:type="dxa"/>
            <w:vMerge w:val="continue"/>
            <w:vAlign w:val="center"/>
          </w:tcPr>
          <w:p w14:paraId="076F8D88">
            <w:pPr>
              <w:widowControl/>
              <w:spacing w:line="240" w:lineRule="auto"/>
              <w:ind w:firstLine="0" w:firstLineChars="0"/>
              <w:jc w:val="center"/>
              <w:rPr>
                <w:kern w:val="0"/>
                <w:sz w:val="21"/>
                <w:szCs w:val="21"/>
              </w:rPr>
            </w:pPr>
          </w:p>
        </w:tc>
        <w:tc>
          <w:tcPr>
            <w:tcW w:w="1109" w:type="dxa"/>
            <w:vMerge w:val="continue"/>
            <w:vAlign w:val="center"/>
          </w:tcPr>
          <w:p w14:paraId="34E15E15">
            <w:pPr>
              <w:widowControl/>
              <w:spacing w:line="240" w:lineRule="auto"/>
              <w:ind w:firstLine="0" w:firstLineChars="0"/>
              <w:jc w:val="center"/>
              <w:rPr>
                <w:kern w:val="0"/>
                <w:sz w:val="21"/>
                <w:szCs w:val="21"/>
              </w:rPr>
            </w:pPr>
          </w:p>
        </w:tc>
        <w:tc>
          <w:tcPr>
            <w:tcW w:w="1069" w:type="dxa"/>
            <w:vMerge w:val="continue"/>
            <w:vAlign w:val="center"/>
          </w:tcPr>
          <w:p w14:paraId="6450D72C">
            <w:pPr>
              <w:widowControl/>
              <w:spacing w:line="240" w:lineRule="auto"/>
              <w:ind w:firstLine="0" w:firstLineChars="0"/>
              <w:jc w:val="center"/>
              <w:rPr>
                <w:kern w:val="0"/>
                <w:sz w:val="21"/>
                <w:szCs w:val="21"/>
              </w:rPr>
            </w:pPr>
          </w:p>
        </w:tc>
        <w:tc>
          <w:tcPr>
            <w:tcW w:w="1109" w:type="dxa"/>
            <w:vMerge w:val="continue"/>
          </w:tcPr>
          <w:p w14:paraId="7D5D1B00">
            <w:pPr>
              <w:widowControl/>
              <w:spacing w:line="240" w:lineRule="auto"/>
              <w:ind w:firstLine="0" w:firstLineChars="0"/>
              <w:jc w:val="center"/>
              <w:rPr>
                <w:kern w:val="0"/>
                <w:sz w:val="21"/>
                <w:szCs w:val="21"/>
              </w:rPr>
            </w:pPr>
          </w:p>
        </w:tc>
        <w:tc>
          <w:tcPr>
            <w:tcW w:w="1080" w:type="dxa"/>
            <w:vMerge w:val="continue"/>
          </w:tcPr>
          <w:p w14:paraId="509747E6">
            <w:pPr>
              <w:widowControl/>
              <w:spacing w:line="240" w:lineRule="auto"/>
              <w:ind w:firstLine="0" w:firstLineChars="0"/>
              <w:jc w:val="center"/>
              <w:rPr>
                <w:kern w:val="0"/>
                <w:sz w:val="21"/>
                <w:szCs w:val="21"/>
              </w:rPr>
            </w:pPr>
          </w:p>
        </w:tc>
      </w:tr>
      <w:tr w14:paraId="0327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tcPr>
          <w:p w14:paraId="7D38B671">
            <w:pPr>
              <w:widowControl/>
              <w:spacing w:line="240" w:lineRule="auto"/>
              <w:ind w:firstLine="0" w:firstLineChars="0"/>
              <w:jc w:val="center"/>
              <w:rPr>
                <w:kern w:val="0"/>
                <w:sz w:val="21"/>
                <w:szCs w:val="21"/>
              </w:rPr>
            </w:pPr>
          </w:p>
        </w:tc>
        <w:tc>
          <w:tcPr>
            <w:tcW w:w="863" w:type="dxa"/>
            <w:vMerge w:val="continue"/>
          </w:tcPr>
          <w:p w14:paraId="5B00890A">
            <w:pPr>
              <w:widowControl/>
              <w:spacing w:line="240" w:lineRule="auto"/>
              <w:ind w:firstLine="0" w:firstLineChars="0"/>
              <w:jc w:val="center"/>
              <w:rPr>
                <w:kern w:val="0"/>
                <w:sz w:val="21"/>
                <w:szCs w:val="21"/>
              </w:rPr>
            </w:pPr>
          </w:p>
        </w:tc>
        <w:tc>
          <w:tcPr>
            <w:tcW w:w="794" w:type="dxa"/>
            <w:vMerge w:val="continue"/>
            <w:vAlign w:val="center"/>
          </w:tcPr>
          <w:p w14:paraId="5987E2FB">
            <w:pPr>
              <w:widowControl/>
              <w:spacing w:line="240" w:lineRule="auto"/>
              <w:ind w:firstLine="0" w:firstLineChars="0"/>
              <w:jc w:val="center"/>
              <w:rPr>
                <w:kern w:val="0"/>
                <w:sz w:val="21"/>
                <w:szCs w:val="21"/>
              </w:rPr>
            </w:pPr>
          </w:p>
        </w:tc>
        <w:tc>
          <w:tcPr>
            <w:tcW w:w="1438" w:type="dxa"/>
            <w:vMerge w:val="restart"/>
            <w:vAlign w:val="center"/>
          </w:tcPr>
          <w:p w14:paraId="037D8FB8">
            <w:pPr>
              <w:widowControl/>
              <w:spacing w:line="240" w:lineRule="auto"/>
              <w:ind w:firstLine="0" w:firstLineChars="0"/>
              <w:jc w:val="center"/>
              <w:rPr>
                <w:kern w:val="0"/>
                <w:sz w:val="21"/>
                <w:szCs w:val="21"/>
              </w:rPr>
            </w:pPr>
            <w:r>
              <w:rPr>
                <w:kern w:val="0"/>
                <w:sz w:val="21"/>
                <w:szCs w:val="21"/>
              </w:rPr>
              <w:t>380~372m</w:t>
            </w:r>
          </w:p>
        </w:tc>
        <w:tc>
          <w:tcPr>
            <w:tcW w:w="1151" w:type="dxa"/>
            <w:vAlign w:val="center"/>
          </w:tcPr>
          <w:p w14:paraId="3B773CA1">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TD-380-1</w:t>
            </w:r>
          </w:p>
        </w:tc>
        <w:tc>
          <w:tcPr>
            <w:tcW w:w="1171" w:type="dxa"/>
            <w:vAlign w:val="center"/>
          </w:tcPr>
          <w:p w14:paraId="1EDDF7A6">
            <w:pPr>
              <w:widowControl/>
              <w:spacing w:line="240" w:lineRule="auto"/>
              <w:ind w:firstLine="0" w:firstLineChars="0"/>
              <w:jc w:val="center"/>
              <w:rPr>
                <w:kern w:val="0"/>
                <w:sz w:val="21"/>
                <w:szCs w:val="21"/>
              </w:rPr>
            </w:pPr>
            <w:r>
              <w:rPr>
                <w:kern w:val="0"/>
                <w:sz w:val="21"/>
                <w:szCs w:val="21"/>
              </w:rPr>
              <w:t>98204</w:t>
            </w:r>
          </w:p>
        </w:tc>
        <w:tc>
          <w:tcPr>
            <w:tcW w:w="1110" w:type="dxa"/>
            <w:vMerge w:val="restart"/>
            <w:vAlign w:val="center"/>
          </w:tcPr>
          <w:p w14:paraId="2F438D4A">
            <w:pPr>
              <w:widowControl/>
              <w:spacing w:line="240" w:lineRule="auto"/>
              <w:ind w:firstLine="0" w:firstLineChars="0"/>
              <w:jc w:val="center"/>
              <w:rPr>
                <w:kern w:val="0"/>
                <w:sz w:val="21"/>
                <w:szCs w:val="21"/>
              </w:rPr>
            </w:pPr>
            <w:r>
              <w:rPr>
                <w:kern w:val="0"/>
                <w:sz w:val="21"/>
                <w:szCs w:val="21"/>
              </w:rPr>
              <w:t>10</w:t>
            </w:r>
          </w:p>
        </w:tc>
        <w:tc>
          <w:tcPr>
            <w:tcW w:w="2548" w:type="dxa"/>
            <w:vMerge w:val="restart"/>
            <w:vAlign w:val="center"/>
          </w:tcPr>
          <w:p w14:paraId="0E9CC2E1">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vAlign w:val="center"/>
          </w:tcPr>
          <w:p w14:paraId="66114BD5">
            <w:pPr>
              <w:widowControl/>
              <w:spacing w:line="240" w:lineRule="auto"/>
              <w:ind w:firstLine="0" w:firstLineChars="0"/>
              <w:jc w:val="center"/>
              <w:rPr>
                <w:kern w:val="0"/>
                <w:sz w:val="21"/>
                <w:szCs w:val="21"/>
              </w:rPr>
            </w:pPr>
            <w:r>
              <w:rPr>
                <w:kern w:val="0"/>
                <w:sz w:val="21"/>
                <w:szCs w:val="21"/>
              </w:rPr>
              <w:t>2.70</w:t>
            </w:r>
          </w:p>
        </w:tc>
        <w:tc>
          <w:tcPr>
            <w:tcW w:w="1069" w:type="dxa"/>
            <w:vMerge w:val="restart"/>
            <w:vAlign w:val="center"/>
          </w:tcPr>
          <w:p w14:paraId="755EFBB1">
            <w:pPr>
              <w:widowControl/>
              <w:spacing w:line="240" w:lineRule="auto"/>
              <w:ind w:firstLine="0" w:firstLineChars="0"/>
              <w:jc w:val="center"/>
              <w:rPr>
                <w:kern w:val="0"/>
                <w:sz w:val="21"/>
                <w:szCs w:val="21"/>
              </w:rPr>
            </w:pPr>
            <w:r>
              <w:rPr>
                <w:kern w:val="0"/>
                <w:sz w:val="21"/>
                <w:szCs w:val="21"/>
              </w:rPr>
              <w:t>80.88</w:t>
            </w:r>
          </w:p>
        </w:tc>
        <w:tc>
          <w:tcPr>
            <w:tcW w:w="1109" w:type="dxa"/>
            <w:vMerge w:val="continue"/>
          </w:tcPr>
          <w:p w14:paraId="7FABD378">
            <w:pPr>
              <w:widowControl/>
              <w:spacing w:line="240" w:lineRule="auto"/>
              <w:ind w:firstLine="0" w:firstLineChars="0"/>
              <w:jc w:val="center"/>
              <w:rPr>
                <w:kern w:val="0"/>
                <w:sz w:val="21"/>
                <w:szCs w:val="21"/>
              </w:rPr>
            </w:pPr>
          </w:p>
        </w:tc>
        <w:tc>
          <w:tcPr>
            <w:tcW w:w="1080" w:type="dxa"/>
            <w:vMerge w:val="continue"/>
          </w:tcPr>
          <w:p w14:paraId="4A1C9E5B">
            <w:pPr>
              <w:widowControl/>
              <w:spacing w:line="240" w:lineRule="auto"/>
              <w:ind w:firstLine="0" w:firstLineChars="0"/>
              <w:jc w:val="center"/>
              <w:rPr>
                <w:kern w:val="0"/>
                <w:sz w:val="21"/>
                <w:szCs w:val="21"/>
              </w:rPr>
            </w:pPr>
          </w:p>
        </w:tc>
      </w:tr>
      <w:tr w14:paraId="1A465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tcPr>
          <w:p w14:paraId="5B716866">
            <w:pPr>
              <w:widowControl/>
              <w:spacing w:line="240" w:lineRule="auto"/>
              <w:ind w:firstLine="0" w:firstLineChars="0"/>
              <w:jc w:val="center"/>
              <w:rPr>
                <w:kern w:val="0"/>
                <w:sz w:val="21"/>
                <w:szCs w:val="21"/>
              </w:rPr>
            </w:pPr>
          </w:p>
        </w:tc>
        <w:tc>
          <w:tcPr>
            <w:tcW w:w="863" w:type="dxa"/>
            <w:vMerge w:val="continue"/>
          </w:tcPr>
          <w:p w14:paraId="5B3F174D">
            <w:pPr>
              <w:widowControl/>
              <w:spacing w:line="240" w:lineRule="auto"/>
              <w:ind w:firstLine="0" w:firstLineChars="0"/>
              <w:jc w:val="center"/>
              <w:rPr>
                <w:kern w:val="0"/>
                <w:sz w:val="21"/>
                <w:szCs w:val="21"/>
              </w:rPr>
            </w:pPr>
          </w:p>
        </w:tc>
        <w:tc>
          <w:tcPr>
            <w:tcW w:w="794" w:type="dxa"/>
            <w:vMerge w:val="continue"/>
          </w:tcPr>
          <w:p w14:paraId="7A5222CC">
            <w:pPr>
              <w:widowControl/>
              <w:spacing w:line="240" w:lineRule="auto"/>
              <w:ind w:firstLine="0" w:firstLineChars="0"/>
              <w:jc w:val="center"/>
              <w:rPr>
                <w:kern w:val="0"/>
                <w:sz w:val="21"/>
                <w:szCs w:val="21"/>
              </w:rPr>
            </w:pPr>
          </w:p>
        </w:tc>
        <w:tc>
          <w:tcPr>
            <w:tcW w:w="1438" w:type="dxa"/>
            <w:vMerge w:val="continue"/>
          </w:tcPr>
          <w:p w14:paraId="00F313BF">
            <w:pPr>
              <w:widowControl/>
              <w:spacing w:line="240" w:lineRule="auto"/>
              <w:ind w:firstLine="0" w:firstLineChars="0"/>
              <w:jc w:val="center"/>
              <w:rPr>
                <w:kern w:val="0"/>
                <w:sz w:val="21"/>
                <w:szCs w:val="21"/>
              </w:rPr>
            </w:pPr>
          </w:p>
        </w:tc>
        <w:tc>
          <w:tcPr>
            <w:tcW w:w="1151" w:type="dxa"/>
            <w:vAlign w:val="center"/>
          </w:tcPr>
          <w:p w14:paraId="0D4BEA78">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TD-372-1</w:t>
            </w:r>
          </w:p>
        </w:tc>
        <w:tc>
          <w:tcPr>
            <w:tcW w:w="1171" w:type="dxa"/>
            <w:vAlign w:val="center"/>
          </w:tcPr>
          <w:p w14:paraId="01D2D1F5">
            <w:pPr>
              <w:widowControl/>
              <w:spacing w:line="240" w:lineRule="auto"/>
              <w:ind w:firstLine="0" w:firstLineChars="0"/>
              <w:jc w:val="center"/>
              <w:rPr>
                <w:kern w:val="0"/>
                <w:sz w:val="21"/>
                <w:szCs w:val="21"/>
              </w:rPr>
            </w:pPr>
            <w:r>
              <w:rPr>
                <w:kern w:val="0"/>
                <w:sz w:val="21"/>
                <w:szCs w:val="21"/>
              </w:rPr>
              <w:t>104003</w:t>
            </w:r>
          </w:p>
        </w:tc>
        <w:tc>
          <w:tcPr>
            <w:tcW w:w="1110" w:type="dxa"/>
            <w:vMerge w:val="continue"/>
          </w:tcPr>
          <w:p w14:paraId="5631028F">
            <w:pPr>
              <w:widowControl/>
              <w:spacing w:line="240" w:lineRule="auto"/>
              <w:ind w:firstLine="0" w:firstLineChars="0"/>
              <w:jc w:val="center"/>
              <w:rPr>
                <w:kern w:val="0"/>
                <w:sz w:val="21"/>
                <w:szCs w:val="21"/>
              </w:rPr>
            </w:pPr>
          </w:p>
        </w:tc>
        <w:tc>
          <w:tcPr>
            <w:tcW w:w="2548" w:type="dxa"/>
            <w:vMerge w:val="continue"/>
          </w:tcPr>
          <w:p w14:paraId="1B5F1553">
            <w:pPr>
              <w:widowControl/>
              <w:spacing w:line="240" w:lineRule="auto"/>
              <w:ind w:firstLine="0" w:firstLineChars="0"/>
              <w:jc w:val="center"/>
              <w:rPr>
                <w:kern w:val="0"/>
                <w:sz w:val="21"/>
                <w:szCs w:val="21"/>
              </w:rPr>
            </w:pPr>
          </w:p>
        </w:tc>
        <w:tc>
          <w:tcPr>
            <w:tcW w:w="1109" w:type="dxa"/>
            <w:vMerge w:val="continue"/>
          </w:tcPr>
          <w:p w14:paraId="2449A964">
            <w:pPr>
              <w:widowControl/>
              <w:spacing w:line="240" w:lineRule="auto"/>
              <w:ind w:firstLine="0" w:firstLineChars="0"/>
              <w:jc w:val="center"/>
              <w:rPr>
                <w:kern w:val="0"/>
                <w:sz w:val="21"/>
                <w:szCs w:val="21"/>
              </w:rPr>
            </w:pPr>
          </w:p>
        </w:tc>
        <w:tc>
          <w:tcPr>
            <w:tcW w:w="1069" w:type="dxa"/>
            <w:vMerge w:val="continue"/>
          </w:tcPr>
          <w:p w14:paraId="070D106B">
            <w:pPr>
              <w:widowControl/>
              <w:spacing w:line="240" w:lineRule="auto"/>
              <w:ind w:firstLine="0" w:firstLineChars="0"/>
              <w:jc w:val="center"/>
              <w:rPr>
                <w:kern w:val="0"/>
                <w:sz w:val="21"/>
                <w:szCs w:val="21"/>
              </w:rPr>
            </w:pPr>
          </w:p>
        </w:tc>
        <w:tc>
          <w:tcPr>
            <w:tcW w:w="1109" w:type="dxa"/>
            <w:vMerge w:val="continue"/>
          </w:tcPr>
          <w:p w14:paraId="05531F06">
            <w:pPr>
              <w:widowControl/>
              <w:spacing w:line="240" w:lineRule="auto"/>
              <w:ind w:firstLine="0" w:firstLineChars="0"/>
              <w:jc w:val="center"/>
              <w:rPr>
                <w:kern w:val="0"/>
                <w:sz w:val="21"/>
                <w:szCs w:val="21"/>
              </w:rPr>
            </w:pPr>
          </w:p>
        </w:tc>
        <w:tc>
          <w:tcPr>
            <w:tcW w:w="1080" w:type="dxa"/>
            <w:vMerge w:val="continue"/>
          </w:tcPr>
          <w:p w14:paraId="506D55C7">
            <w:pPr>
              <w:widowControl/>
              <w:spacing w:line="240" w:lineRule="auto"/>
              <w:ind w:firstLine="0" w:firstLineChars="0"/>
              <w:jc w:val="center"/>
              <w:rPr>
                <w:kern w:val="0"/>
                <w:sz w:val="21"/>
                <w:szCs w:val="21"/>
              </w:rPr>
            </w:pPr>
          </w:p>
        </w:tc>
      </w:tr>
      <w:tr w14:paraId="38DA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tcPr>
          <w:p w14:paraId="19A6447E">
            <w:pPr>
              <w:widowControl/>
              <w:spacing w:line="240" w:lineRule="auto"/>
              <w:ind w:firstLine="0" w:firstLineChars="0"/>
              <w:jc w:val="center"/>
              <w:rPr>
                <w:kern w:val="0"/>
                <w:sz w:val="21"/>
                <w:szCs w:val="21"/>
              </w:rPr>
            </w:pPr>
          </w:p>
        </w:tc>
        <w:tc>
          <w:tcPr>
            <w:tcW w:w="863" w:type="dxa"/>
            <w:vMerge w:val="continue"/>
          </w:tcPr>
          <w:p w14:paraId="78E56D6D">
            <w:pPr>
              <w:widowControl/>
              <w:spacing w:line="240" w:lineRule="auto"/>
              <w:ind w:firstLine="0" w:firstLineChars="0"/>
              <w:jc w:val="center"/>
              <w:rPr>
                <w:kern w:val="0"/>
                <w:sz w:val="21"/>
                <w:szCs w:val="21"/>
              </w:rPr>
            </w:pPr>
          </w:p>
        </w:tc>
        <w:tc>
          <w:tcPr>
            <w:tcW w:w="794" w:type="dxa"/>
            <w:vMerge w:val="continue"/>
          </w:tcPr>
          <w:p w14:paraId="44702773">
            <w:pPr>
              <w:widowControl/>
              <w:spacing w:line="240" w:lineRule="auto"/>
              <w:ind w:firstLine="0" w:firstLineChars="0"/>
              <w:jc w:val="center"/>
              <w:rPr>
                <w:kern w:val="0"/>
                <w:sz w:val="21"/>
                <w:szCs w:val="21"/>
              </w:rPr>
            </w:pPr>
          </w:p>
        </w:tc>
        <w:tc>
          <w:tcPr>
            <w:tcW w:w="1438" w:type="dxa"/>
            <w:vMerge w:val="restart"/>
            <w:shd w:val="clear" w:color="auto" w:fill="auto"/>
            <w:vAlign w:val="center"/>
          </w:tcPr>
          <w:p w14:paraId="29ED4D2B">
            <w:pPr>
              <w:widowControl/>
              <w:spacing w:line="240" w:lineRule="auto"/>
              <w:ind w:firstLine="0" w:firstLineChars="0"/>
              <w:jc w:val="center"/>
              <w:rPr>
                <w:kern w:val="0"/>
                <w:sz w:val="21"/>
                <w:szCs w:val="21"/>
              </w:rPr>
            </w:pPr>
            <w:r>
              <w:rPr>
                <w:kern w:val="0"/>
                <w:sz w:val="21"/>
                <w:szCs w:val="21"/>
              </w:rPr>
              <w:t>380~372m</w:t>
            </w:r>
          </w:p>
        </w:tc>
        <w:tc>
          <w:tcPr>
            <w:tcW w:w="1151" w:type="dxa"/>
            <w:shd w:val="clear" w:color="auto" w:fill="auto"/>
            <w:vAlign w:val="center"/>
          </w:tcPr>
          <w:p w14:paraId="0138361B">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TD-380-2</w:t>
            </w:r>
          </w:p>
        </w:tc>
        <w:tc>
          <w:tcPr>
            <w:tcW w:w="1171" w:type="dxa"/>
            <w:vAlign w:val="center"/>
          </w:tcPr>
          <w:p w14:paraId="210D2CC3">
            <w:pPr>
              <w:widowControl/>
              <w:spacing w:line="240" w:lineRule="auto"/>
              <w:ind w:firstLine="0" w:firstLineChars="0"/>
              <w:jc w:val="center"/>
              <w:rPr>
                <w:kern w:val="0"/>
                <w:sz w:val="21"/>
                <w:szCs w:val="21"/>
              </w:rPr>
            </w:pPr>
            <w:r>
              <w:rPr>
                <w:kern w:val="0"/>
                <w:sz w:val="21"/>
                <w:szCs w:val="21"/>
              </w:rPr>
              <w:t>211894</w:t>
            </w:r>
          </w:p>
        </w:tc>
        <w:tc>
          <w:tcPr>
            <w:tcW w:w="1110" w:type="dxa"/>
            <w:vMerge w:val="restart"/>
            <w:shd w:val="clear" w:color="auto" w:fill="auto"/>
            <w:vAlign w:val="center"/>
          </w:tcPr>
          <w:p w14:paraId="7EF83E7B">
            <w:pPr>
              <w:widowControl/>
              <w:spacing w:line="240" w:lineRule="auto"/>
              <w:ind w:firstLine="0" w:firstLineChars="0"/>
              <w:jc w:val="center"/>
              <w:rPr>
                <w:kern w:val="0"/>
                <w:sz w:val="21"/>
                <w:szCs w:val="21"/>
              </w:rPr>
            </w:pPr>
            <w:r>
              <w:rPr>
                <w:kern w:val="0"/>
                <w:sz w:val="21"/>
                <w:szCs w:val="21"/>
              </w:rPr>
              <w:t>10</w:t>
            </w:r>
          </w:p>
        </w:tc>
        <w:tc>
          <w:tcPr>
            <w:tcW w:w="2548" w:type="dxa"/>
            <w:vMerge w:val="restart"/>
            <w:shd w:val="clear" w:color="auto" w:fill="auto"/>
            <w:vAlign w:val="center"/>
          </w:tcPr>
          <w:p w14:paraId="3D60437D">
            <w:pPr>
              <w:widowControl/>
              <w:spacing w:line="240" w:lineRule="auto"/>
              <w:ind w:firstLine="0" w:firstLineChars="0"/>
              <w:jc w:val="center"/>
              <w:rPr>
                <w:kern w:val="0"/>
                <w:sz w:val="21"/>
                <w:szCs w:val="21"/>
              </w:rPr>
            </w:pPr>
            <w:r>
              <w:rPr>
                <w:kern w:val="0"/>
                <w:sz w:val="21"/>
                <w:szCs w:val="21"/>
              </w:rPr>
              <w:t>V=(S</w:t>
            </w:r>
            <w:r>
              <w:rPr>
                <w:kern w:val="0"/>
                <w:sz w:val="21"/>
                <w:szCs w:val="21"/>
                <w:vertAlign w:val="subscript"/>
              </w:rPr>
              <w:t>1</w:t>
            </w:r>
            <w:r>
              <w:rPr>
                <w:kern w:val="0"/>
                <w:sz w:val="21"/>
                <w:szCs w:val="21"/>
              </w:rPr>
              <w:t>+S</w:t>
            </w:r>
            <w:r>
              <w:rPr>
                <w:kern w:val="0"/>
                <w:sz w:val="21"/>
                <w:szCs w:val="21"/>
                <w:vertAlign w:val="subscript"/>
              </w:rPr>
              <w:t>2</w:t>
            </w:r>
            <w:r>
              <w:rPr>
                <w:kern w:val="0"/>
                <w:sz w:val="21"/>
                <w:szCs w:val="21"/>
              </w:rPr>
              <w:t>)·L/2</w:t>
            </w:r>
          </w:p>
        </w:tc>
        <w:tc>
          <w:tcPr>
            <w:tcW w:w="1109" w:type="dxa"/>
            <w:vMerge w:val="restart"/>
            <w:vAlign w:val="center"/>
          </w:tcPr>
          <w:p w14:paraId="04F5554E">
            <w:pPr>
              <w:widowControl/>
              <w:spacing w:line="240" w:lineRule="auto"/>
              <w:ind w:firstLine="0" w:firstLineChars="0"/>
              <w:jc w:val="center"/>
              <w:rPr>
                <w:kern w:val="0"/>
                <w:sz w:val="21"/>
                <w:szCs w:val="21"/>
              </w:rPr>
            </w:pPr>
            <w:r>
              <w:rPr>
                <w:kern w:val="0"/>
                <w:sz w:val="21"/>
                <w:szCs w:val="21"/>
              </w:rPr>
              <w:t>2.7</w:t>
            </w:r>
          </w:p>
        </w:tc>
        <w:tc>
          <w:tcPr>
            <w:tcW w:w="1069" w:type="dxa"/>
            <w:vMerge w:val="restart"/>
            <w:vAlign w:val="center"/>
          </w:tcPr>
          <w:p w14:paraId="44257E17">
            <w:pPr>
              <w:widowControl/>
              <w:spacing w:line="240" w:lineRule="auto"/>
              <w:ind w:firstLine="0" w:firstLineChars="0"/>
              <w:jc w:val="center"/>
              <w:rPr>
                <w:kern w:val="0"/>
                <w:sz w:val="21"/>
                <w:szCs w:val="21"/>
              </w:rPr>
            </w:pPr>
            <w:r>
              <w:rPr>
                <w:kern w:val="0"/>
                <w:sz w:val="21"/>
                <w:szCs w:val="21"/>
              </w:rPr>
              <w:t>176.39</w:t>
            </w:r>
          </w:p>
        </w:tc>
        <w:tc>
          <w:tcPr>
            <w:tcW w:w="1109" w:type="dxa"/>
            <w:vMerge w:val="continue"/>
          </w:tcPr>
          <w:p w14:paraId="3C2E0D6E">
            <w:pPr>
              <w:widowControl/>
              <w:spacing w:line="240" w:lineRule="auto"/>
              <w:ind w:firstLine="0" w:firstLineChars="0"/>
              <w:jc w:val="center"/>
              <w:rPr>
                <w:kern w:val="0"/>
                <w:sz w:val="21"/>
                <w:szCs w:val="21"/>
              </w:rPr>
            </w:pPr>
          </w:p>
        </w:tc>
        <w:tc>
          <w:tcPr>
            <w:tcW w:w="1080" w:type="dxa"/>
            <w:vMerge w:val="continue"/>
          </w:tcPr>
          <w:p w14:paraId="1B5F76CC">
            <w:pPr>
              <w:widowControl/>
              <w:spacing w:line="240" w:lineRule="auto"/>
              <w:ind w:firstLine="0" w:firstLineChars="0"/>
              <w:jc w:val="center"/>
              <w:rPr>
                <w:kern w:val="0"/>
                <w:sz w:val="21"/>
                <w:szCs w:val="21"/>
              </w:rPr>
            </w:pPr>
          </w:p>
        </w:tc>
      </w:tr>
      <w:tr w14:paraId="7F9B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37" w:type="dxa"/>
            <w:vMerge w:val="continue"/>
            <w:tcBorders>
              <w:bottom w:val="single" w:color="auto" w:sz="4" w:space="0"/>
            </w:tcBorders>
          </w:tcPr>
          <w:p w14:paraId="6DFEC311">
            <w:pPr>
              <w:widowControl/>
              <w:spacing w:line="240" w:lineRule="auto"/>
              <w:ind w:firstLine="0" w:firstLineChars="0"/>
              <w:jc w:val="center"/>
              <w:rPr>
                <w:kern w:val="0"/>
                <w:sz w:val="21"/>
                <w:szCs w:val="21"/>
              </w:rPr>
            </w:pPr>
          </w:p>
        </w:tc>
        <w:tc>
          <w:tcPr>
            <w:tcW w:w="863" w:type="dxa"/>
            <w:vMerge w:val="continue"/>
            <w:tcBorders>
              <w:bottom w:val="single" w:color="auto" w:sz="4" w:space="0"/>
            </w:tcBorders>
          </w:tcPr>
          <w:p w14:paraId="1BA50FCF">
            <w:pPr>
              <w:widowControl/>
              <w:spacing w:line="240" w:lineRule="auto"/>
              <w:ind w:firstLine="0" w:firstLineChars="0"/>
              <w:jc w:val="center"/>
              <w:rPr>
                <w:kern w:val="0"/>
                <w:sz w:val="21"/>
                <w:szCs w:val="21"/>
              </w:rPr>
            </w:pPr>
          </w:p>
        </w:tc>
        <w:tc>
          <w:tcPr>
            <w:tcW w:w="794" w:type="dxa"/>
            <w:vMerge w:val="continue"/>
          </w:tcPr>
          <w:p w14:paraId="47FEE288">
            <w:pPr>
              <w:widowControl/>
              <w:spacing w:line="240" w:lineRule="auto"/>
              <w:ind w:firstLine="0" w:firstLineChars="0"/>
              <w:jc w:val="center"/>
              <w:rPr>
                <w:kern w:val="0"/>
                <w:sz w:val="21"/>
                <w:szCs w:val="21"/>
              </w:rPr>
            </w:pPr>
          </w:p>
        </w:tc>
        <w:tc>
          <w:tcPr>
            <w:tcW w:w="1438" w:type="dxa"/>
            <w:vMerge w:val="continue"/>
          </w:tcPr>
          <w:p w14:paraId="52BFDB5A">
            <w:pPr>
              <w:widowControl/>
              <w:spacing w:line="240" w:lineRule="auto"/>
              <w:ind w:firstLine="0" w:firstLineChars="0"/>
              <w:jc w:val="center"/>
              <w:rPr>
                <w:kern w:val="0"/>
                <w:sz w:val="21"/>
                <w:szCs w:val="21"/>
              </w:rPr>
            </w:pPr>
          </w:p>
        </w:tc>
        <w:tc>
          <w:tcPr>
            <w:tcW w:w="1151" w:type="dxa"/>
            <w:shd w:val="clear" w:color="auto" w:fill="auto"/>
            <w:vAlign w:val="center"/>
          </w:tcPr>
          <w:p w14:paraId="74E89330">
            <w:pPr>
              <w:widowControl/>
              <w:spacing w:line="240" w:lineRule="auto"/>
              <w:ind w:firstLine="0" w:firstLineChars="0"/>
              <w:jc w:val="center"/>
              <w:rPr>
                <w:kern w:val="0"/>
                <w:sz w:val="21"/>
                <w:szCs w:val="21"/>
              </w:rPr>
            </w:pPr>
            <w:r>
              <w:rPr>
                <w:kern w:val="0"/>
                <w:sz w:val="21"/>
                <w:szCs w:val="21"/>
              </w:rPr>
              <w:t>S</w:t>
            </w:r>
            <w:r>
              <w:rPr>
                <w:kern w:val="0"/>
                <w:sz w:val="21"/>
                <w:szCs w:val="21"/>
                <w:vertAlign w:val="subscript"/>
              </w:rPr>
              <w:t>TD-372-2</w:t>
            </w:r>
          </w:p>
        </w:tc>
        <w:tc>
          <w:tcPr>
            <w:tcW w:w="1171" w:type="dxa"/>
            <w:vAlign w:val="center"/>
          </w:tcPr>
          <w:p w14:paraId="5178255E">
            <w:pPr>
              <w:widowControl/>
              <w:spacing w:line="240" w:lineRule="auto"/>
              <w:ind w:firstLine="0" w:firstLineChars="0"/>
              <w:jc w:val="center"/>
              <w:rPr>
                <w:kern w:val="0"/>
                <w:sz w:val="21"/>
                <w:szCs w:val="21"/>
              </w:rPr>
            </w:pPr>
            <w:r>
              <w:rPr>
                <w:kern w:val="0"/>
                <w:sz w:val="21"/>
                <w:szCs w:val="21"/>
              </w:rPr>
              <w:t>229069</w:t>
            </w:r>
          </w:p>
        </w:tc>
        <w:tc>
          <w:tcPr>
            <w:tcW w:w="1110" w:type="dxa"/>
            <w:vMerge w:val="continue"/>
          </w:tcPr>
          <w:p w14:paraId="1F2A7078">
            <w:pPr>
              <w:widowControl/>
              <w:spacing w:line="240" w:lineRule="auto"/>
              <w:ind w:firstLine="0" w:firstLineChars="0"/>
              <w:jc w:val="center"/>
              <w:rPr>
                <w:kern w:val="0"/>
                <w:sz w:val="21"/>
                <w:szCs w:val="21"/>
              </w:rPr>
            </w:pPr>
          </w:p>
        </w:tc>
        <w:tc>
          <w:tcPr>
            <w:tcW w:w="2548" w:type="dxa"/>
            <w:vMerge w:val="continue"/>
          </w:tcPr>
          <w:p w14:paraId="6142001E">
            <w:pPr>
              <w:widowControl/>
              <w:spacing w:line="240" w:lineRule="auto"/>
              <w:ind w:firstLine="0" w:firstLineChars="0"/>
              <w:jc w:val="center"/>
              <w:rPr>
                <w:kern w:val="0"/>
                <w:sz w:val="21"/>
                <w:szCs w:val="21"/>
              </w:rPr>
            </w:pPr>
          </w:p>
        </w:tc>
        <w:tc>
          <w:tcPr>
            <w:tcW w:w="1109" w:type="dxa"/>
            <w:vMerge w:val="continue"/>
          </w:tcPr>
          <w:p w14:paraId="1475E5C8">
            <w:pPr>
              <w:widowControl/>
              <w:spacing w:line="240" w:lineRule="auto"/>
              <w:ind w:firstLine="0" w:firstLineChars="0"/>
              <w:jc w:val="center"/>
              <w:rPr>
                <w:kern w:val="0"/>
                <w:sz w:val="21"/>
                <w:szCs w:val="21"/>
              </w:rPr>
            </w:pPr>
          </w:p>
        </w:tc>
        <w:tc>
          <w:tcPr>
            <w:tcW w:w="1069" w:type="dxa"/>
            <w:vMerge w:val="continue"/>
          </w:tcPr>
          <w:p w14:paraId="546C0490">
            <w:pPr>
              <w:widowControl/>
              <w:spacing w:line="240" w:lineRule="auto"/>
              <w:ind w:firstLine="0" w:firstLineChars="0"/>
              <w:jc w:val="center"/>
              <w:rPr>
                <w:kern w:val="0"/>
                <w:sz w:val="21"/>
                <w:szCs w:val="21"/>
              </w:rPr>
            </w:pPr>
          </w:p>
        </w:tc>
        <w:tc>
          <w:tcPr>
            <w:tcW w:w="1109" w:type="dxa"/>
            <w:vMerge w:val="continue"/>
          </w:tcPr>
          <w:p w14:paraId="5E937139">
            <w:pPr>
              <w:widowControl/>
              <w:spacing w:line="240" w:lineRule="auto"/>
              <w:ind w:firstLine="0" w:firstLineChars="0"/>
              <w:jc w:val="center"/>
              <w:rPr>
                <w:kern w:val="0"/>
                <w:sz w:val="21"/>
                <w:szCs w:val="21"/>
              </w:rPr>
            </w:pPr>
          </w:p>
        </w:tc>
        <w:tc>
          <w:tcPr>
            <w:tcW w:w="1080" w:type="dxa"/>
            <w:vMerge w:val="continue"/>
          </w:tcPr>
          <w:p w14:paraId="51D87443">
            <w:pPr>
              <w:widowControl/>
              <w:spacing w:line="240" w:lineRule="auto"/>
              <w:ind w:firstLine="0" w:firstLineChars="0"/>
              <w:jc w:val="center"/>
              <w:rPr>
                <w:kern w:val="0"/>
                <w:sz w:val="21"/>
                <w:szCs w:val="21"/>
              </w:rPr>
            </w:pPr>
          </w:p>
        </w:tc>
      </w:tr>
      <w:tr w14:paraId="0EDC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000" w:type="dxa"/>
            <w:gridSpan w:val="2"/>
            <w:vMerge w:val="restart"/>
            <w:vAlign w:val="center"/>
          </w:tcPr>
          <w:p w14:paraId="450B2473">
            <w:pPr>
              <w:widowControl/>
              <w:spacing w:line="240" w:lineRule="auto"/>
              <w:ind w:firstLine="0" w:firstLineChars="0"/>
              <w:jc w:val="center"/>
              <w:rPr>
                <w:kern w:val="0"/>
                <w:sz w:val="21"/>
                <w:szCs w:val="21"/>
              </w:rPr>
            </w:pPr>
            <w:r>
              <w:rPr>
                <w:kern w:val="0"/>
                <w:sz w:val="21"/>
                <w:szCs w:val="21"/>
              </w:rPr>
              <w:t>合计</w:t>
            </w:r>
          </w:p>
        </w:tc>
        <w:tc>
          <w:tcPr>
            <w:tcW w:w="2232" w:type="dxa"/>
            <w:gridSpan w:val="2"/>
            <w:noWrap/>
            <w:vAlign w:val="center"/>
          </w:tcPr>
          <w:p w14:paraId="3ACEC2F4">
            <w:pPr>
              <w:widowControl/>
              <w:spacing w:line="240" w:lineRule="auto"/>
              <w:ind w:firstLine="0" w:firstLineChars="0"/>
              <w:jc w:val="center"/>
              <w:rPr>
                <w:kern w:val="0"/>
                <w:sz w:val="21"/>
                <w:szCs w:val="21"/>
              </w:rPr>
            </w:pPr>
            <w:r>
              <w:rPr>
                <w:kern w:val="0"/>
                <w:sz w:val="21"/>
                <w:szCs w:val="21"/>
              </w:rPr>
              <w:t>控制</w:t>
            </w:r>
          </w:p>
        </w:tc>
        <w:tc>
          <w:tcPr>
            <w:tcW w:w="1151" w:type="dxa"/>
            <w:noWrap/>
            <w:vAlign w:val="center"/>
          </w:tcPr>
          <w:p w14:paraId="0D2DDD06">
            <w:pPr>
              <w:widowControl/>
              <w:spacing w:line="240" w:lineRule="auto"/>
              <w:ind w:firstLine="0" w:firstLineChars="0"/>
              <w:jc w:val="center"/>
              <w:rPr>
                <w:kern w:val="0"/>
                <w:sz w:val="21"/>
                <w:szCs w:val="21"/>
              </w:rPr>
            </w:pPr>
          </w:p>
        </w:tc>
        <w:tc>
          <w:tcPr>
            <w:tcW w:w="1171" w:type="dxa"/>
            <w:noWrap/>
            <w:vAlign w:val="center"/>
          </w:tcPr>
          <w:p w14:paraId="7597CDFF">
            <w:pPr>
              <w:widowControl/>
              <w:spacing w:line="240" w:lineRule="auto"/>
              <w:ind w:firstLine="0" w:firstLineChars="0"/>
              <w:jc w:val="center"/>
              <w:rPr>
                <w:kern w:val="0"/>
                <w:sz w:val="21"/>
                <w:szCs w:val="21"/>
              </w:rPr>
            </w:pPr>
          </w:p>
        </w:tc>
        <w:tc>
          <w:tcPr>
            <w:tcW w:w="1110" w:type="dxa"/>
            <w:vAlign w:val="center"/>
          </w:tcPr>
          <w:p w14:paraId="41731ED5">
            <w:pPr>
              <w:widowControl/>
              <w:spacing w:line="240" w:lineRule="auto"/>
              <w:ind w:firstLine="0" w:firstLineChars="0"/>
              <w:jc w:val="center"/>
              <w:rPr>
                <w:kern w:val="0"/>
                <w:sz w:val="21"/>
                <w:szCs w:val="21"/>
              </w:rPr>
            </w:pPr>
          </w:p>
        </w:tc>
        <w:tc>
          <w:tcPr>
            <w:tcW w:w="2548" w:type="dxa"/>
            <w:vAlign w:val="center"/>
          </w:tcPr>
          <w:p w14:paraId="50910C20">
            <w:pPr>
              <w:widowControl/>
              <w:spacing w:line="240" w:lineRule="auto"/>
              <w:ind w:firstLine="0" w:firstLineChars="0"/>
              <w:jc w:val="center"/>
              <w:rPr>
                <w:kern w:val="0"/>
                <w:sz w:val="21"/>
                <w:szCs w:val="21"/>
              </w:rPr>
            </w:pPr>
          </w:p>
        </w:tc>
        <w:tc>
          <w:tcPr>
            <w:tcW w:w="1109" w:type="dxa"/>
            <w:vMerge w:val="restart"/>
            <w:vAlign w:val="center"/>
          </w:tcPr>
          <w:p w14:paraId="7E8D9FAF">
            <w:pPr>
              <w:widowControl/>
              <w:spacing w:line="240" w:lineRule="auto"/>
              <w:ind w:firstLine="0" w:firstLineChars="0"/>
              <w:jc w:val="center"/>
              <w:rPr>
                <w:kern w:val="0"/>
                <w:sz w:val="21"/>
                <w:szCs w:val="21"/>
              </w:rPr>
            </w:pPr>
            <w:r>
              <w:rPr>
                <w:kern w:val="0"/>
                <w:sz w:val="21"/>
                <w:szCs w:val="21"/>
              </w:rPr>
              <w:t>2.70</w:t>
            </w:r>
          </w:p>
        </w:tc>
        <w:tc>
          <w:tcPr>
            <w:tcW w:w="1069" w:type="dxa"/>
            <w:vAlign w:val="center"/>
          </w:tcPr>
          <w:p w14:paraId="102662CF">
            <w:pPr>
              <w:widowControl/>
              <w:spacing w:line="240" w:lineRule="auto"/>
              <w:ind w:firstLine="0" w:firstLineChars="0"/>
              <w:jc w:val="center"/>
              <w:rPr>
                <w:kern w:val="0"/>
                <w:sz w:val="21"/>
                <w:szCs w:val="21"/>
              </w:rPr>
            </w:pPr>
          </w:p>
        </w:tc>
        <w:tc>
          <w:tcPr>
            <w:tcW w:w="1109" w:type="dxa"/>
            <w:vAlign w:val="center"/>
          </w:tcPr>
          <w:p w14:paraId="1E4801F5">
            <w:pPr>
              <w:widowControl/>
              <w:spacing w:line="240" w:lineRule="auto"/>
              <w:ind w:firstLine="0" w:firstLineChars="0"/>
              <w:jc w:val="center"/>
              <w:rPr>
                <w:kern w:val="0"/>
                <w:sz w:val="21"/>
                <w:szCs w:val="21"/>
              </w:rPr>
            </w:pPr>
            <w:r>
              <w:rPr>
                <w:kern w:val="0"/>
                <w:sz w:val="21"/>
                <w:szCs w:val="21"/>
              </w:rPr>
              <w:t>4527.26</w:t>
            </w:r>
          </w:p>
        </w:tc>
        <w:tc>
          <w:tcPr>
            <w:tcW w:w="1080" w:type="dxa"/>
            <w:vAlign w:val="center"/>
          </w:tcPr>
          <w:p w14:paraId="12CCA9D1">
            <w:pPr>
              <w:widowControl/>
              <w:spacing w:line="240" w:lineRule="auto"/>
              <w:ind w:firstLine="0" w:firstLineChars="0"/>
              <w:jc w:val="center"/>
              <w:rPr>
                <w:kern w:val="0"/>
                <w:sz w:val="21"/>
                <w:szCs w:val="21"/>
              </w:rPr>
            </w:pPr>
            <w:r>
              <w:rPr>
                <w:kern w:val="0"/>
                <w:sz w:val="21"/>
                <w:szCs w:val="21"/>
              </w:rPr>
              <w:t>12223.61</w:t>
            </w:r>
          </w:p>
        </w:tc>
      </w:tr>
      <w:tr w14:paraId="1D70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000" w:type="dxa"/>
            <w:gridSpan w:val="2"/>
            <w:vMerge w:val="continue"/>
            <w:vAlign w:val="center"/>
          </w:tcPr>
          <w:p w14:paraId="78982E59">
            <w:pPr>
              <w:widowControl/>
              <w:spacing w:line="240" w:lineRule="auto"/>
              <w:ind w:firstLine="0" w:firstLineChars="0"/>
              <w:jc w:val="center"/>
              <w:rPr>
                <w:kern w:val="0"/>
                <w:sz w:val="21"/>
                <w:szCs w:val="21"/>
              </w:rPr>
            </w:pPr>
          </w:p>
        </w:tc>
        <w:tc>
          <w:tcPr>
            <w:tcW w:w="2232" w:type="dxa"/>
            <w:gridSpan w:val="2"/>
            <w:noWrap/>
            <w:vAlign w:val="center"/>
          </w:tcPr>
          <w:p w14:paraId="1CE2F087">
            <w:pPr>
              <w:widowControl/>
              <w:spacing w:line="240" w:lineRule="auto"/>
              <w:ind w:firstLine="0" w:firstLineChars="0"/>
              <w:jc w:val="center"/>
              <w:rPr>
                <w:kern w:val="0"/>
                <w:sz w:val="21"/>
                <w:szCs w:val="21"/>
              </w:rPr>
            </w:pPr>
            <w:r>
              <w:rPr>
                <w:kern w:val="0"/>
                <w:sz w:val="21"/>
                <w:szCs w:val="21"/>
              </w:rPr>
              <w:t>推断</w:t>
            </w:r>
          </w:p>
        </w:tc>
        <w:tc>
          <w:tcPr>
            <w:tcW w:w="1151" w:type="dxa"/>
            <w:noWrap/>
            <w:vAlign w:val="center"/>
          </w:tcPr>
          <w:p w14:paraId="37D667C7">
            <w:pPr>
              <w:widowControl/>
              <w:spacing w:line="240" w:lineRule="auto"/>
              <w:ind w:firstLine="0" w:firstLineChars="0"/>
              <w:jc w:val="center"/>
              <w:rPr>
                <w:kern w:val="0"/>
                <w:sz w:val="21"/>
                <w:szCs w:val="21"/>
              </w:rPr>
            </w:pPr>
          </w:p>
        </w:tc>
        <w:tc>
          <w:tcPr>
            <w:tcW w:w="1171" w:type="dxa"/>
            <w:noWrap/>
            <w:vAlign w:val="center"/>
          </w:tcPr>
          <w:p w14:paraId="0741136E">
            <w:pPr>
              <w:widowControl/>
              <w:spacing w:line="240" w:lineRule="auto"/>
              <w:ind w:firstLine="0" w:firstLineChars="0"/>
              <w:jc w:val="center"/>
              <w:rPr>
                <w:kern w:val="0"/>
                <w:sz w:val="21"/>
                <w:szCs w:val="21"/>
              </w:rPr>
            </w:pPr>
          </w:p>
        </w:tc>
        <w:tc>
          <w:tcPr>
            <w:tcW w:w="1110" w:type="dxa"/>
            <w:vAlign w:val="center"/>
          </w:tcPr>
          <w:p w14:paraId="39D7F354">
            <w:pPr>
              <w:widowControl/>
              <w:spacing w:line="240" w:lineRule="auto"/>
              <w:ind w:firstLine="0" w:firstLineChars="0"/>
              <w:jc w:val="center"/>
              <w:rPr>
                <w:kern w:val="0"/>
                <w:sz w:val="21"/>
                <w:szCs w:val="21"/>
              </w:rPr>
            </w:pPr>
          </w:p>
        </w:tc>
        <w:tc>
          <w:tcPr>
            <w:tcW w:w="2548" w:type="dxa"/>
            <w:vAlign w:val="center"/>
          </w:tcPr>
          <w:p w14:paraId="1B264032">
            <w:pPr>
              <w:widowControl/>
              <w:spacing w:line="240" w:lineRule="auto"/>
              <w:ind w:firstLine="0" w:firstLineChars="0"/>
              <w:jc w:val="center"/>
              <w:rPr>
                <w:kern w:val="0"/>
                <w:sz w:val="21"/>
                <w:szCs w:val="21"/>
              </w:rPr>
            </w:pPr>
          </w:p>
        </w:tc>
        <w:tc>
          <w:tcPr>
            <w:tcW w:w="1109" w:type="dxa"/>
            <w:vMerge w:val="continue"/>
            <w:vAlign w:val="center"/>
          </w:tcPr>
          <w:p w14:paraId="4FA4DD0E">
            <w:pPr>
              <w:widowControl/>
              <w:spacing w:line="240" w:lineRule="auto"/>
              <w:ind w:firstLine="0" w:firstLineChars="0"/>
              <w:jc w:val="center"/>
              <w:rPr>
                <w:kern w:val="0"/>
                <w:sz w:val="21"/>
                <w:szCs w:val="21"/>
              </w:rPr>
            </w:pPr>
          </w:p>
        </w:tc>
        <w:tc>
          <w:tcPr>
            <w:tcW w:w="1069" w:type="dxa"/>
            <w:vAlign w:val="center"/>
          </w:tcPr>
          <w:p w14:paraId="79E20F52">
            <w:pPr>
              <w:widowControl/>
              <w:spacing w:line="240" w:lineRule="auto"/>
              <w:ind w:firstLine="0" w:firstLineChars="0"/>
              <w:jc w:val="center"/>
              <w:rPr>
                <w:kern w:val="0"/>
                <w:sz w:val="21"/>
                <w:szCs w:val="21"/>
              </w:rPr>
            </w:pPr>
          </w:p>
        </w:tc>
        <w:tc>
          <w:tcPr>
            <w:tcW w:w="1109" w:type="dxa"/>
            <w:vAlign w:val="center"/>
          </w:tcPr>
          <w:p w14:paraId="152FE9D0">
            <w:pPr>
              <w:widowControl/>
              <w:spacing w:line="240" w:lineRule="auto"/>
              <w:ind w:firstLine="0" w:firstLineChars="0"/>
              <w:jc w:val="center"/>
              <w:rPr>
                <w:kern w:val="0"/>
                <w:sz w:val="21"/>
                <w:szCs w:val="21"/>
              </w:rPr>
            </w:pPr>
            <w:r>
              <w:rPr>
                <w:kern w:val="0"/>
                <w:sz w:val="21"/>
                <w:szCs w:val="21"/>
              </w:rPr>
              <w:t>1798.61</w:t>
            </w:r>
          </w:p>
        </w:tc>
        <w:tc>
          <w:tcPr>
            <w:tcW w:w="1080" w:type="dxa"/>
            <w:vAlign w:val="center"/>
          </w:tcPr>
          <w:p w14:paraId="001A72F2">
            <w:pPr>
              <w:widowControl/>
              <w:spacing w:line="240" w:lineRule="auto"/>
              <w:ind w:firstLine="0" w:firstLineChars="0"/>
              <w:jc w:val="center"/>
              <w:rPr>
                <w:kern w:val="0"/>
                <w:sz w:val="21"/>
                <w:szCs w:val="21"/>
              </w:rPr>
            </w:pPr>
            <w:r>
              <w:rPr>
                <w:kern w:val="0"/>
                <w:sz w:val="21"/>
                <w:szCs w:val="21"/>
              </w:rPr>
              <w:t>4856.26</w:t>
            </w:r>
          </w:p>
        </w:tc>
      </w:tr>
      <w:tr w14:paraId="0E3D7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000" w:type="dxa"/>
            <w:gridSpan w:val="2"/>
            <w:vMerge w:val="continue"/>
            <w:vAlign w:val="center"/>
          </w:tcPr>
          <w:p w14:paraId="28442C76">
            <w:pPr>
              <w:widowControl/>
              <w:spacing w:line="240" w:lineRule="auto"/>
              <w:ind w:firstLine="0" w:firstLineChars="0"/>
              <w:jc w:val="center"/>
              <w:rPr>
                <w:kern w:val="0"/>
                <w:sz w:val="21"/>
                <w:szCs w:val="21"/>
              </w:rPr>
            </w:pPr>
          </w:p>
        </w:tc>
        <w:tc>
          <w:tcPr>
            <w:tcW w:w="2232" w:type="dxa"/>
            <w:gridSpan w:val="2"/>
            <w:noWrap/>
            <w:vAlign w:val="center"/>
          </w:tcPr>
          <w:p w14:paraId="11C80618">
            <w:pPr>
              <w:widowControl/>
              <w:spacing w:line="240" w:lineRule="auto"/>
              <w:ind w:firstLine="0" w:firstLineChars="0"/>
              <w:jc w:val="center"/>
              <w:rPr>
                <w:kern w:val="0"/>
                <w:sz w:val="21"/>
                <w:szCs w:val="21"/>
              </w:rPr>
            </w:pPr>
            <w:r>
              <w:rPr>
                <w:kern w:val="0"/>
                <w:sz w:val="21"/>
                <w:szCs w:val="21"/>
              </w:rPr>
              <w:t>控制+推断</w:t>
            </w:r>
          </w:p>
        </w:tc>
        <w:tc>
          <w:tcPr>
            <w:tcW w:w="1151" w:type="dxa"/>
            <w:noWrap/>
            <w:vAlign w:val="center"/>
          </w:tcPr>
          <w:p w14:paraId="3F783CD4">
            <w:pPr>
              <w:widowControl/>
              <w:spacing w:line="240" w:lineRule="auto"/>
              <w:ind w:firstLine="0" w:firstLineChars="0"/>
              <w:jc w:val="center"/>
              <w:rPr>
                <w:kern w:val="0"/>
                <w:sz w:val="21"/>
                <w:szCs w:val="21"/>
              </w:rPr>
            </w:pPr>
          </w:p>
        </w:tc>
        <w:tc>
          <w:tcPr>
            <w:tcW w:w="1171" w:type="dxa"/>
            <w:noWrap/>
            <w:vAlign w:val="center"/>
          </w:tcPr>
          <w:p w14:paraId="4EAAD507">
            <w:pPr>
              <w:widowControl/>
              <w:spacing w:line="240" w:lineRule="auto"/>
              <w:ind w:firstLine="0" w:firstLineChars="0"/>
              <w:jc w:val="center"/>
              <w:rPr>
                <w:kern w:val="0"/>
                <w:sz w:val="21"/>
                <w:szCs w:val="21"/>
              </w:rPr>
            </w:pPr>
          </w:p>
        </w:tc>
        <w:tc>
          <w:tcPr>
            <w:tcW w:w="1110" w:type="dxa"/>
            <w:vAlign w:val="center"/>
          </w:tcPr>
          <w:p w14:paraId="0BAEA7CA">
            <w:pPr>
              <w:widowControl/>
              <w:spacing w:line="240" w:lineRule="auto"/>
              <w:ind w:firstLine="0" w:firstLineChars="0"/>
              <w:jc w:val="center"/>
              <w:rPr>
                <w:kern w:val="0"/>
                <w:sz w:val="21"/>
                <w:szCs w:val="21"/>
              </w:rPr>
            </w:pPr>
          </w:p>
        </w:tc>
        <w:tc>
          <w:tcPr>
            <w:tcW w:w="2548" w:type="dxa"/>
            <w:vAlign w:val="center"/>
          </w:tcPr>
          <w:p w14:paraId="482721E1">
            <w:pPr>
              <w:widowControl/>
              <w:spacing w:line="240" w:lineRule="auto"/>
              <w:ind w:firstLine="0" w:firstLineChars="0"/>
              <w:jc w:val="center"/>
              <w:rPr>
                <w:kern w:val="0"/>
                <w:sz w:val="21"/>
                <w:szCs w:val="21"/>
              </w:rPr>
            </w:pPr>
          </w:p>
        </w:tc>
        <w:tc>
          <w:tcPr>
            <w:tcW w:w="1109" w:type="dxa"/>
            <w:vMerge w:val="continue"/>
            <w:vAlign w:val="center"/>
          </w:tcPr>
          <w:p w14:paraId="6C7B7919">
            <w:pPr>
              <w:widowControl/>
              <w:spacing w:line="240" w:lineRule="auto"/>
              <w:ind w:firstLine="0" w:firstLineChars="0"/>
              <w:jc w:val="center"/>
              <w:rPr>
                <w:kern w:val="0"/>
                <w:sz w:val="21"/>
                <w:szCs w:val="21"/>
              </w:rPr>
            </w:pPr>
          </w:p>
        </w:tc>
        <w:tc>
          <w:tcPr>
            <w:tcW w:w="1069" w:type="dxa"/>
            <w:vAlign w:val="center"/>
          </w:tcPr>
          <w:p w14:paraId="4312D15F">
            <w:pPr>
              <w:widowControl/>
              <w:spacing w:line="240" w:lineRule="auto"/>
              <w:ind w:firstLine="0" w:firstLineChars="0"/>
              <w:jc w:val="center"/>
              <w:rPr>
                <w:kern w:val="0"/>
                <w:sz w:val="21"/>
                <w:szCs w:val="21"/>
              </w:rPr>
            </w:pPr>
          </w:p>
        </w:tc>
        <w:tc>
          <w:tcPr>
            <w:tcW w:w="1109" w:type="dxa"/>
            <w:vAlign w:val="center"/>
          </w:tcPr>
          <w:p w14:paraId="15597F52">
            <w:pPr>
              <w:widowControl/>
              <w:spacing w:line="240" w:lineRule="auto"/>
              <w:ind w:firstLine="0" w:firstLineChars="0"/>
              <w:jc w:val="center"/>
              <w:rPr>
                <w:kern w:val="0"/>
                <w:sz w:val="21"/>
                <w:szCs w:val="21"/>
              </w:rPr>
            </w:pPr>
            <w:r>
              <w:rPr>
                <w:kern w:val="0"/>
                <w:sz w:val="21"/>
                <w:szCs w:val="21"/>
              </w:rPr>
              <w:t>6325.88</w:t>
            </w:r>
          </w:p>
        </w:tc>
        <w:tc>
          <w:tcPr>
            <w:tcW w:w="1080" w:type="dxa"/>
            <w:vAlign w:val="center"/>
          </w:tcPr>
          <w:p w14:paraId="45C5764A">
            <w:pPr>
              <w:widowControl/>
              <w:spacing w:line="240" w:lineRule="auto"/>
              <w:ind w:firstLine="0" w:firstLineChars="0"/>
              <w:jc w:val="center"/>
              <w:rPr>
                <w:kern w:val="0"/>
                <w:sz w:val="21"/>
                <w:szCs w:val="21"/>
              </w:rPr>
            </w:pPr>
            <w:r>
              <w:rPr>
                <w:kern w:val="0"/>
                <w:sz w:val="21"/>
                <w:szCs w:val="21"/>
              </w:rPr>
              <w:t>17079.87</w:t>
            </w:r>
          </w:p>
        </w:tc>
      </w:tr>
    </w:tbl>
    <w:p w14:paraId="0BFDB8E3">
      <w:pPr>
        <w:ind w:firstLine="198" w:firstLineChars="71"/>
      </w:pPr>
    </w:p>
    <w:p w14:paraId="10D3993A">
      <w:pPr>
        <w:pStyle w:val="50"/>
        <w:adjustRightInd w:val="0"/>
        <w:snapToGrid w:val="0"/>
        <w:ind w:left="0" w:firstLine="0" w:firstLineChars="0"/>
        <w:rPr>
          <w:rFonts w:ascii="Times New Roman" w:eastAsia="仿宋"/>
          <w:szCs w:val="28"/>
        </w:rPr>
        <w:sectPr>
          <w:pgSz w:w="16838" w:h="11906" w:orient="landscape"/>
          <w:pgMar w:top="1247" w:right="1247" w:bottom="1134" w:left="1247" w:header="720" w:footer="720" w:gutter="0"/>
          <w:cols w:space="720" w:num="1"/>
          <w:docGrid w:type="lines" w:linePitch="381" w:charSpace="0"/>
        </w:sectPr>
      </w:pPr>
    </w:p>
    <w:p w14:paraId="4C1C5CC2">
      <w:pPr>
        <w:pStyle w:val="4"/>
      </w:pPr>
      <w:bookmarkStart w:id="391" w:name="_Toc31623"/>
      <w:bookmarkStart w:id="392" w:name="_Toc15347"/>
      <w:bookmarkStart w:id="393" w:name="_Toc176901256"/>
      <w:bookmarkStart w:id="394" w:name="_Toc10378"/>
      <w:bookmarkStart w:id="395" w:name="_Toc11140"/>
      <w:r>
        <w:t>5.6 资源量预算其他问题</w:t>
      </w:r>
      <w:bookmarkEnd w:id="391"/>
      <w:bookmarkEnd w:id="392"/>
      <w:bookmarkEnd w:id="393"/>
      <w:bookmarkEnd w:id="394"/>
      <w:bookmarkEnd w:id="395"/>
    </w:p>
    <w:p w14:paraId="41EEE9F8">
      <w:pPr>
        <w:ind w:firstLine="560"/>
      </w:pPr>
      <w:r>
        <w:t>（1）本次资源量预估算没有考虑夹石、夹层、第四系覆盖层及开采边坡压占等因素，仅矿体纯灰岩预算。</w:t>
      </w:r>
    </w:p>
    <w:p w14:paraId="27B2E1BA">
      <w:pPr>
        <w:ind w:firstLine="560"/>
      </w:pPr>
      <w:bookmarkStart w:id="396" w:name="_Hlk176729174"/>
      <w:r>
        <w:t>（2）由于本次实施方案的地表浮土厚度采用的是区域性常规厚度，不具代表性，因此未对其进行估算，建议今后统计探矿工程揭露的浮土厚度，并估算其浮土量。</w:t>
      </w:r>
      <w:bookmarkEnd w:id="396"/>
      <w:r>
        <w:t>本次资源量估算仅供参考。</w:t>
      </w:r>
    </w:p>
    <w:p w14:paraId="5DFBEF4F">
      <w:pPr>
        <w:pStyle w:val="50"/>
        <w:adjustRightInd w:val="0"/>
        <w:snapToGrid w:val="0"/>
        <w:ind w:left="0"/>
        <w:rPr>
          <w:rFonts w:ascii="Times New Roman" w:eastAsia="仿宋"/>
          <w:szCs w:val="28"/>
        </w:rPr>
        <w:sectPr>
          <w:pgSz w:w="11906" w:h="16838"/>
          <w:pgMar w:top="1418" w:right="1418" w:bottom="1418" w:left="1418" w:header="720" w:footer="720" w:gutter="0"/>
          <w:cols w:space="720" w:num="1"/>
          <w:docGrid w:type="lines" w:linePitch="381" w:charSpace="0"/>
        </w:sectPr>
      </w:pPr>
    </w:p>
    <w:p w14:paraId="23524F6A">
      <w:pPr>
        <w:pStyle w:val="3"/>
      </w:pPr>
      <w:bookmarkStart w:id="397" w:name="_Toc23360"/>
      <w:bookmarkStart w:id="398" w:name="_Toc176901257"/>
      <w:bookmarkStart w:id="399" w:name="_Toc124107415"/>
      <w:bookmarkStart w:id="400" w:name="_Toc26622"/>
      <w:bookmarkStart w:id="401" w:name="_Toc6352"/>
      <w:bookmarkStart w:id="402" w:name="_Toc11478"/>
      <w:bookmarkStart w:id="403" w:name="_Toc17243"/>
      <w:bookmarkStart w:id="404" w:name="_Toc176901259"/>
      <w:bookmarkStart w:id="405" w:name="_Toc18481"/>
      <w:bookmarkStart w:id="406" w:name="_Toc25533"/>
      <w:bookmarkStart w:id="407" w:name="_Toc26107"/>
      <w:bookmarkStart w:id="408" w:name="_Toc176773728"/>
      <w:bookmarkStart w:id="409" w:name="_Toc124107416"/>
      <w:r>
        <w:t>6 预期成果</w:t>
      </w:r>
      <w:bookmarkEnd w:id="397"/>
      <w:bookmarkEnd w:id="398"/>
      <w:bookmarkEnd w:id="399"/>
      <w:bookmarkEnd w:id="400"/>
      <w:bookmarkEnd w:id="401"/>
      <w:bookmarkEnd w:id="402"/>
      <w:bookmarkEnd w:id="403"/>
    </w:p>
    <w:p w14:paraId="4DD2B6C1">
      <w:pPr>
        <w:widowControl/>
        <w:ind w:firstLine="560"/>
        <w:jc w:val="left"/>
        <w:rPr>
          <w:color w:val="auto"/>
        </w:rPr>
      </w:pPr>
      <w:r>
        <w:rPr>
          <w:color w:val="auto"/>
          <w:kern w:val="0"/>
          <w:szCs w:val="28"/>
        </w:rPr>
        <w:t>预期本次勘查野外工作2026年</w:t>
      </w:r>
      <w:r>
        <w:rPr>
          <w:rFonts w:hint="eastAsia"/>
          <w:color w:val="auto"/>
          <w:kern w:val="0"/>
          <w:szCs w:val="28"/>
        </w:rPr>
        <w:t>11</w:t>
      </w:r>
      <w:r>
        <w:rPr>
          <w:color w:val="auto"/>
          <w:kern w:val="0"/>
          <w:szCs w:val="28"/>
        </w:rPr>
        <w:t>月底完成，</w:t>
      </w:r>
      <w:r>
        <w:rPr>
          <w:rFonts w:hint="eastAsia"/>
          <w:color w:val="auto"/>
          <w:kern w:val="0"/>
          <w:szCs w:val="28"/>
        </w:rPr>
        <w:t>2027年1</w:t>
      </w:r>
      <w:r>
        <w:rPr>
          <w:color w:val="auto"/>
          <w:kern w:val="0"/>
          <w:szCs w:val="28"/>
        </w:rPr>
        <w:t>月底提交《</w:t>
      </w:r>
      <w:r>
        <w:rPr>
          <w:color w:val="auto"/>
        </w:rPr>
        <w:t>广西上思县龙大山-讲鱼山矿区水泥用灰岩矿核实报告</w:t>
      </w:r>
      <w:r>
        <w:rPr>
          <w:color w:val="auto"/>
          <w:kern w:val="0"/>
          <w:szCs w:val="28"/>
        </w:rPr>
        <w:t>》成果报告及相关附图、附表及附件。</w:t>
      </w:r>
    </w:p>
    <w:p w14:paraId="5CC7E92E">
      <w:pPr>
        <w:ind w:firstLine="560"/>
      </w:pPr>
      <w:r>
        <w:t>预期提交水泥用灰岩矿总资源量（控制+推断）6325.88万m</w:t>
      </w:r>
      <w:r>
        <w:rPr>
          <w:vertAlign w:val="superscript"/>
        </w:rPr>
        <w:t>3</w:t>
      </w:r>
      <w:r>
        <w:t>（合1.708亿t），其中控制资源量4527.26万m</w:t>
      </w:r>
      <w:r>
        <w:rPr>
          <w:vertAlign w:val="superscript"/>
        </w:rPr>
        <w:t>3</w:t>
      </w:r>
      <w:r>
        <w:t>（合1.222亿t），占比71.57%；推断资源量1798.61万m</w:t>
      </w:r>
      <w:r>
        <w:rPr>
          <w:vertAlign w:val="superscript"/>
        </w:rPr>
        <w:t>3</w:t>
      </w:r>
      <w:r>
        <w:t>（合0.486亿t），占比28.43%。</w:t>
      </w:r>
    </w:p>
    <w:p w14:paraId="5F5676FE">
      <w:pPr>
        <w:ind w:firstLine="560"/>
      </w:pPr>
      <w:r>
        <w:t>本次勘查工作通过对矿区开展的1:2000地形测量、1:2000地质测量、1:50000区域水文地质调查、1:5000专项水工环地质测量、钻探工程、槽探工程以及相关分析测试，基本可以查明矿区地层、构造、岩浆岩特征；基本可以查明矿区内矿体的数量、赋存部位、岩性特征、分布范围；基本可以查明矿体规模、形态、内部结构、厚度及其变化特点，确定矿体的连续性；基本可以查明矿石的物质成份、结构构造、矿石类型；详细查明矿区水文地质、工程地质、环境地质等开采技术条件。根据中华人民共和国国土资源部发布的《矿产地质勘查规范 石灰岩、水泥配料类》（DZ/T 0213-2020），将矿区的灰岩矿体定为第Ⅰ勘查类型。控制的勘查工程间距确定为400×400m，推断的勘查工程确定为800×800m。本次详查工作采用勘探线形式布设勘查工程，勘探线基本垂直矿体长轴方向，探矿工程布置于勘探线上。利用钻探工程对矿体进行系统控制，达到详查阶段求取控制+推断资源量的要求。</w:t>
      </w:r>
    </w:p>
    <w:p w14:paraId="0508C26A">
      <w:pPr>
        <w:ind w:firstLine="560"/>
        <w:rPr>
          <w:szCs w:val="28"/>
        </w:rPr>
      </w:pPr>
      <w:r>
        <w:t>本次设计采用的勘查方法手段恰当有效，勘查类型及工程间距合适，工作部署基本合理，各项工作量符合有关的国家标准及行业标准、规范、规定要求，按照本次设计完成勘查工作后，能全面、客观地反映了矿区勘查工作成果，符合有关的国家标准、行业标准以及规范要求。</w:t>
      </w:r>
    </w:p>
    <w:p w14:paraId="19613320">
      <w:pPr>
        <w:pStyle w:val="50"/>
        <w:adjustRightInd w:val="0"/>
        <w:snapToGrid w:val="0"/>
        <w:spacing w:line="600" w:lineRule="exact"/>
        <w:ind w:left="0" w:firstLine="0" w:firstLineChars="0"/>
        <w:rPr>
          <w:rFonts w:ascii="Times New Roman"/>
          <w:b/>
          <w:bCs/>
          <w:szCs w:val="28"/>
        </w:rPr>
      </w:pPr>
    </w:p>
    <w:p w14:paraId="41857440">
      <w:pPr>
        <w:bidi w:val="0"/>
        <w:sectPr>
          <w:pgSz w:w="11906" w:h="16838"/>
          <w:pgMar w:top="1418" w:right="1418" w:bottom="1418" w:left="1418" w:header="720" w:footer="720" w:gutter="0"/>
          <w:cols w:space="720" w:num="1"/>
          <w:docGrid w:type="lines" w:linePitch="381" w:charSpace="0"/>
        </w:sectPr>
      </w:pPr>
    </w:p>
    <w:p w14:paraId="27B06CAC">
      <w:pPr>
        <w:pStyle w:val="3"/>
      </w:pPr>
      <w:bookmarkStart w:id="410" w:name="_Toc124107417"/>
      <w:bookmarkStart w:id="411" w:name="_Toc27754"/>
      <w:bookmarkStart w:id="412" w:name="_Toc7402"/>
      <w:bookmarkStart w:id="413" w:name="_Toc176901258"/>
      <w:bookmarkStart w:id="414" w:name="_Toc25313"/>
      <w:bookmarkStart w:id="415" w:name="_Toc28876"/>
      <w:bookmarkStart w:id="416" w:name="_Toc1553"/>
      <w:r>
        <w:t>7 组织管理及</w:t>
      </w:r>
      <w:bookmarkEnd w:id="410"/>
      <w:r>
        <w:t>保障措施</w:t>
      </w:r>
      <w:bookmarkEnd w:id="411"/>
      <w:bookmarkEnd w:id="412"/>
      <w:bookmarkEnd w:id="413"/>
      <w:bookmarkEnd w:id="414"/>
      <w:bookmarkEnd w:id="415"/>
      <w:bookmarkEnd w:id="416"/>
    </w:p>
    <w:p w14:paraId="22001A81">
      <w:pPr>
        <w:pStyle w:val="4"/>
      </w:pPr>
      <w:bookmarkStart w:id="417" w:name="_Toc15918"/>
      <w:r>
        <w:t>7.1 组织管理</w:t>
      </w:r>
      <w:bookmarkEnd w:id="404"/>
      <w:bookmarkEnd w:id="405"/>
      <w:bookmarkEnd w:id="406"/>
      <w:bookmarkEnd w:id="407"/>
      <w:bookmarkEnd w:id="408"/>
      <w:bookmarkEnd w:id="417"/>
    </w:p>
    <w:p w14:paraId="59F133D4">
      <w:pPr>
        <w:pStyle w:val="5"/>
      </w:pPr>
      <w:r>
        <w:t>7.1.1 管理体系</w:t>
      </w:r>
    </w:p>
    <w:p w14:paraId="361D7D1C">
      <w:pPr>
        <w:ind w:firstLine="560"/>
        <w:rPr>
          <w:kern w:val="0"/>
          <w:szCs w:val="28"/>
        </w:rPr>
      </w:pPr>
      <w:r>
        <w:rPr>
          <w:kern w:val="0"/>
          <w:szCs w:val="28"/>
        </w:rPr>
        <w:t>本项目实行项目负责人制，设立项目组。项目负责人由具有丰富的矿产勘查经验和较强组织管理能力的具有工程师技术职称及以上的地质勘查技术人员担任，对项目野外工作组织实施、报告编写和提交等负责。项目组下设地质组、测量组、水工环组，明确各组成员分工，实行各岗位人员责任制。根据项目工作进展情况，在项目负责人的统一协调下，各作业组做到互相协作、密切配合，以保证各项工作按期完成。岩矿测试、地形测绘由具相应资质单位完成。</w:t>
      </w:r>
    </w:p>
    <w:p w14:paraId="577E9C65">
      <w:pPr>
        <w:ind w:firstLine="560"/>
        <w:rPr>
          <w:kern w:val="0"/>
          <w:szCs w:val="28"/>
        </w:rPr>
      </w:pPr>
      <w:r>
        <w:rPr>
          <w:kern w:val="0"/>
          <w:szCs w:val="28"/>
        </w:rPr>
        <w:t>（1）单位将加强对项目技术、组织上的管理，根据工作进展和地质情况的变化，及时科学地调整工作部署，确保本项目工作顺利实施，并取得好的成果。</w:t>
      </w:r>
    </w:p>
    <w:p w14:paraId="31C0B2B9">
      <w:pPr>
        <w:ind w:firstLine="560"/>
        <w:rPr>
          <w:kern w:val="0"/>
          <w:szCs w:val="28"/>
        </w:rPr>
      </w:pPr>
      <w:r>
        <w:rPr>
          <w:kern w:val="0"/>
          <w:szCs w:val="28"/>
        </w:rPr>
        <w:t>（2）选择事业心强、技术过硬的人担当项目负责人，组成专业配套、相对稳定的项目组。依靠科技进步，推广应用地学领域新理论、新方法，应用数字填图技术，提高本项目工作的科技含量。</w:t>
      </w:r>
    </w:p>
    <w:p w14:paraId="1BD49F47">
      <w:pPr>
        <w:ind w:firstLine="560"/>
        <w:rPr>
          <w:kern w:val="0"/>
          <w:szCs w:val="28"/>
        </w:rPr>
      </w:pPr>
      <w:r>
        <w:rPr>
          <w:kern w:val="0"/>
          <w:szCs w:val="28"/>
        </w:rPr>
        <w:t>（3）</w:t>
      </w:r>
      <w:r>
        <w:rPr>
          <w:spacing w:val="-3"/>
        </w:rPr>
        <w:t>实行项目领导负责制和岗位责任制，逐级签定岗位责任合同，以提</w:t>
      </w:r>
      <w:r>
        <w:t xml:space="preserve"> </w:t>
      </w:r>
      <w:r>
        <w:rPr>
          <w:spacing w:val="2"/>
        </w:rPr>
        <w:t>高项目成员的工作责任心和质量意识，制定相关的奖惩制度，做到质量与</w:t>
      </w:r>
      <w:r>
        <w:t>经济效益（工资）挂钩，并进行年度考核。</w:t>
      </w:r>
    </w:p>
    <w:p w14:paraId="3C32202D">
      <w:pPr>
        <w:ind w:firstLine="560"/>
        <w:rPr>
          <w:kern w:val="0"/>
          <w:szCs w:val="28"/>
        </w:rPr>
      </w:pPr>
      <w:r>
        <w:rPr>
          <w:kern w:val="0"/>
          <w:szCs w:val="28"/>
        </w:rPr>
        <w:t>（4）制定安全和劳动保护措施，加强安全教育及岗前安全培训，使项目人员严格遵守各种操作规程和安全制度，掌握安全生产技能和具备安全常识，严防人身安全事故及数据安全的发生，做到安全工作和生产。</w:t>
      </w:r>
    </w:p>
    <w:p w14:paraId="0158B50C">
      <w:pPr>
        <w:pStyle w:val="5"/>
      </w:pPr>
      <w:r>
        <w:t>7.1.2 人员配置</w:t>
      </w:r>
    </w:p>
    <w:p w14:paraId="3B207F8C">
      <w:pPr>
        <w:ind w:firstLine="560"/>
        <w:rPr>
          <w:szCs w:val="28"/>
        </w:rPr>
      </w:pPr>
      <w:r>
        <w:rPr>
          <w:szCs w:val="28"/>
        </w:rPr>
        <w:t>组建项目组负责实施“</w:t>
      </w:r>
      <w:r>
        <w:t>华润水泥（上思）有限公司龙大山矿区水泥用灰岩</w:t>
      </w:r>
      <w:r>
        <w:rPr>
          <w:szCs w:val="28"/>
        </w:rPr>
        <w:t>矿整合区详查”项目的具体工作，项目组计划由10人组成，其中项目负责1人，技术负责1人，技术人员6人，司机2人。设置地质组、测量组、水工环组、综合组等，各组要求任务、责任明确，各司其职，各负其责，实行逐级负责制。</w:t>
      </w:r>
    </w:p>
    <w:p w14:paraId="085D7829">
      <w:pPr>
        <w:widowControl/>
        <w:spacing w:line="240" w:lineRule="auto"/>
        <w:ind w:firstLine="0" w:firstLineChars="0"/>
        <w:jc w:val="center"/>
        <w:rPr>
          <w:b/>
          <w:sz w:val="24"/>
          <w:szCs w:val="24"/>
        </w:rPr>
      </w:pPr>
      <w:r>
        <w:rPr>
          <w:b/>
          <w:sz w:val="24"/>
          <w:szCs w:val="24"/>
        </w:rPr>
        <w:t>表7-1  项目主要人员结构表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2"/>
        <w:gridCol w:w="1992"/>
        <w:gridCol w:w="1992"/>
        <w:gridCol w:w="1993"/>
      </w:tblGrid>
      <w:tr w14:paraId="1ED8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992" w:type="dxa"/>
            <w:shd w:val="clear" w:color="auto" w:fill="auto"/>
            <w:vAlign w:val="center"/>
          </w:tcPr>
          <w:p w14:paraId="56D8971D">
            <w:pPr>
              <w:spacing w:line="240" w:lineRule="auto"/>
              <w:ind w:firstLine="0" w:firstLineChars="0"/>
              <w:jc w:val="center"/>
              <w:rPr>
                <w:sz w:val="24"/>
                <w:szCs w:val="24"/>
              </w:rPr>
            </w:pPr>
            <w:r>
              <w:rPr>
                <w:sz w:val="24"/>
                <w:szCs w:val="24"/>
              </w:rPr>
              <w:t>组别</w:t>
            </w:r>
          </w:p>
        </w:tc>
        <w:tc>
          <w:tcPr>
            <w:tcW w:w="1992" w:type="dxa"/>
            <w:shd w:val="clear" w:color="auto" w:fill="auto"/>
            <w:vAlign w:val="center"/>
          </w:tcPr>
          <w:p w14:paraId="4EE9F0EA">
            <w:pPr>
              <w:spacing w:line="240" w:lineRule="auto"/>
              <w:ind w:firstLine="0" w:firstLineChars="0"/>
              <w:jc w:val="center"/>
              <w:rPr>
                <w:sz w:val="24"/>
                <w:szCs w:val="24"/>
              </w:rPr>
            </w:pPr>
            <w:r>
              <w:rPr>
                <w:sz w:val="24"/>
                <w:szCs w:val="24"/>
              </w:rPr>
              <w:t>姓名</w:t>
            </w:r>
          </w:p>
        </w:tc>
        <w:tc>
          <w:tcPr>
            <w:tcW w:w="1992" w:type="dxa"/>
            <w:shd w:val="clear" w:color="auto" w:fill="auto"/>
            <w:vAlign w:val="center"/>
          </w:tcPr>
          <w:p w14:paraId="140ED24C">
            <w:pPr>
              <w:spacing w:line="240" w:lineRule="auto"/>
              <w:ind w:firstLine="0" w:firstLineChars="0"/>
              <w:jc w:val="center"/>
              <w:rPr>
                <w:sz w:val="24"/>
                <w:szCs w:val="24"/>
              </w:rPr>
            </w:pPr>
            <w:r>
              <w:rPr>
                <w:sz w:val="24"/>
                <w:szCs w:val="24"/>
              </w:rPr>
              <w:t>专业</w:t>
            </w:r>
          </w:p>
        </w:tc>
        <w:tc>
          <w:tcPr>
            <w:tcW w:w="1993" w:type="dxa"/>
            <w:shd w:val="clear" w:color="auto" w:fill="auto"/>
            <w:vAlign w:val="center"/>
          </w:tcPr>
          <w:p w14:paraId="04E41FCB">
            <w:pPr>
              <w:spacing w:line="240" w:lineRule="auto"/>
              <w:ind w:firstLine="0" w:firstLineChars="0"/>
              <w:jc w:val="center"/>
              <w:rPr>
                <w:sz w:val="24"/>
                <w:szCs w:val="24"/>
              </w:rPr>
            </w:pPr>
            <w:r>
              <w:rPr>
                <w:sz w:val="24"/>
                <w:szCs w:val="24"/>
              </w:rPr>
              <w:t>职称</w:t>
            </w:r>
          </w:p>
        </w:tc>
      </w:tr>
      <w:tr w14:paraId="645A6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1992" w:type="dxa"/>
            <w:vMerge w:val="restart"/>
            <w:shd w:val="clear" w:color="auto" w:fill="auto"/>
            <w:vAlign w:val="center"/>
          </w:tcPr>
          <w:p w14:paraId="7AC7A2E7">
            <w:pPr>
              <w:spacing w:line="240" w:lineRule="auto"/>
              <w:ind w:firstLine="0" w:firstLineChars="0"/>
              <w:jc w:val="center"/>
              <w:rPr>
                <w:sz w:val="24"/>
                <w:szCs w:val="24"/>
              </w:rPr>
            </w:pPr>
            <w:r>
              <w:rPr>
                <w:sz w:val="24"/>
                <w:szCs w:val="24"/>
              </w:rPr>
              <w:t>地质组</w:t>
            </w:r>
          </w:p>
        </w:tc>
        <w:tc>
          <w:tcPr>
            <w:tcW w:w="1992" w:type="dxa"/>
            <w:shd w:val="clear" w:color="auto" w:fill="auto"/>
            <w:vAlign w:val="center"/>
          </w:tcPr>
          <w:p w14:paraId="29F08BBF">
            <w:pPr>
              <w:spacing w:line="240" w:lineRule="auto"/>
              <w:ind w:firstLine="0" w:firstLineChars="0"/>
              <w:jc w:val="center"/>
              <w:rPr>
                <w:sz w:val="24"/>
                <w:szCs w:val="24"/>
              </w:rPr>
            </w:pPr>
            <w:r>
              <w:rPr>
                <w:sz w:val="24"/>
                <w:szCs w:val="24"/>
              </w:rPr>
              <w:t>吴城明</w:t>
            </w:r>
          </w:p>
        </w:tc>
        <w:tc>
          <w:tcPr>
            <w:tcW w:w="1992" w:type="dxa"/>
            <w:shd w:val="clear" w:color="auto" w:fill="auto"/>
            <w:vAlign w:val="center"/>
          </w:tcPr>
          <w:p w14:paraId="38C03EBD">
            <w:pPr>
              <w:spacing w:line="240" w:lineRule="auto"/>
              <w:ind w:firstLine="0" w:firstLineChars="0"/>
              <w:jc w:val="center"/>
              <w:rPr>
                <w:sz w:val="24"/>
                <w:szCs w:val="24"/>
              </w:rPr>
            </w:pPr>
            <w:r>
              <w:rPr>
                <w:sz w:val="24"/>
                <w:szCs w:val="24"/>
              </w:rPr>
              <w:t>地质矿产</w:t>
            </w:r>
          </w:p>
        </w:tc>
        <w:tc>
          <w:tcPr>
            <w:tcW w:w="1993" w:type="dxa"/>
            <w:shd w:val="clear" w:color="auto" w:fill="auto"/>
            <w:vAlign w:val="center"/>
          </w:tcPr>
          <w:p w14:paraId="5564DDB7">
            <w:pPr>
              <w:spacing w:line="240" w:lineRule="auto"/>
              <w:ind w:firstLine="0" w:firstLineChars="0"/>
              <w:jc w:val="center"/>
              <w:rPr>
                <w:sz w:val="24"/>
                <w:szCs w:val="24"/>
              </w:rPr>
            </w:pPr>
            <w:r>
              <w:rPr>
                <w:sz w:val="24"/>
                <w:szCs w:val="24"/>
              </w:rPr>
              <w:t>高级工程师</w:t>
            </w:r>
          </w:p>
        </w:tc>
      </w:tr>
      <w:tr w14:paraId="4ADA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1992" w:type="dxa"/>
            <w:vMerge w:val="continue"/>
            <w:shd w:val="clear" w:color="auto" w:fill="auto"/>
            <w:vAlign w:val="center"/>
          </w:tcPr>
          <w:p w14:paraId="160CA146">
            <w:pPr>
              <w:spacing w:line="240" w:lineRule="auto"/>
              <w:ind w:firstLine="0" w:firstLineChars="0"/>
              <w:jc w:val="center"/>
              <w:rPr>
                <w:sz w:val="24"/>
                <w:szCs w:val="24"/>
              </w:rPr>
            </w:pPr>
          </w:p>
        </w:tc>
        <w:tc>
          <w:tcPr>
            <w:tcW w:w="1992" w:type="dxa"/>
            <w:shd w:val="clear" w:color="auto" w:fill="auto"/>
            <w:vAlign w:val="center"/>
          </w:tcPr>
          <w:p w14:paraId="609801E9">
            <w:pPr>
              <w:spacing w:line="240" w:lineRule="auto"/>
              <w:ind w:firstLine="0" w:firstLineChars="0"/>
              <w:jc w:val="center"/>
              <w:rPr>
                <w:sz w:val="24"/>
                <w:szCs w:val="24"/>
              </w:rPr>
            </w:pPr>
            <w:r>
              <w:rPr>
                <w:sz w:val="24"/>
                <w:szCs w:val="24"/>
              </w:rPr>
              <w:t>覃伟</w:t>
            </w:r>
          </w:p>
        </w:tc>
        <w:tc>
          <w:tcPr>
            <w:tcW w:w="1992" w:type="dxa"/>
            <w:shd w:val="clear" w:color="auto" w:fill="auto"/>
            <w:vAlign w:val="center"/>
          </w:tcPr>
          <w:p w14:paraId="7A3EDB06">
            <w:pPr>
              <w:spacing w:line="240" w:lineRule="auto"/>
              <w:ind w:firstLine="0" w:firstLineChars="0"/>
              <w:jc w:val="center"/>
              <w:rPr>
                <w:sz w:val="24"/>
                <w:szCs w:val="24"/>
              </w:rPr>
            </w:pPr>
            <w:r>
              <w:rPr>
                <w:sz w:val="24"/>
                <w:szCs w:val="24"/>
              </w:rPr>
              <w:t>地质矿产</w:t>
            </w:r>
          </w:p>
        </w:tc>
        <w:tc>
          <w:tcPr>
            <w:tcW w:w="1993" w:type="dxa"/>
            <w:shd w:val="clear" w:color="auto" w:fill="auto"/>
            <w:vAlign w:val="center"/>
          </w:tcPr>
          <w:p w14:paraId="21046A5C">
            <w:pPr>
              <w:spacing w:line="240" w:lineRule="auto"/>
              <w:ind w:firstLine="0" w:firstLineChars="0"/>
              <w:jc w:val="center"/>
              <w:rPr>
                <w:sz w:val="24"/>
                <w:szCs w:val="24"/>
              </w:rPr>
            </w:pPr>
            <w:r>
              <w:rPr>
                <w:sz w:val="24"/>
                <w:szCs w:val="24"/>
              </w:rPr>
              <w:t>高级工程师</w:t>
            </w:r>
          </w:p>
        </w:tc>
      </w:tr>
      <w:tr w14:paraId="425A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1992" w:type="dxa"/>
            <w:vMerge w:val="restart"/>
            <w:shd w:val="clear" w:color="auto" w:fill="auto"/>
            <w:vAlign w:val="center"/>
          </w:tcPr>
          <w:p w14:paraId="5CD2C31A">
            <w:pPr>
              <w:spacing w:line="240" w:lineRule="auto"/>
              <w:ind w:firstLine="0" w:firstLineChars="0"/>
              <w:jc w:val="center"/>
              <w:rPr>
                <w:sz w:val="24"/>
                <w:szCs w:val="24"/>
              </w:rPr>
            </w:pPr>
            <w:r>
              <w:rPr>
                <w:sz w:val="24"/>
                <w:szCs w:val="24"/>
              </w:rPr>
              <w:t>测量组</w:t>
            </w:r>
          </w:p>
        </w:tc>
        <w:tc>
          <w:tcPr>
            <w:tcW w:w="1992" w:type="dxa"/>
            <w:shd w:val="clear" w:color="auto" w:fill="auto"/>
            <w:vAlign w:val="center"/>
          </w:tcPr>
          <w:p w14:paraId="3C96CF70">
            <w:pPr>
              <w:spacing w:line="240" w:lineRule="auto"/>
              <w:ind w:firstLine="0" w:firstLineChars="0"/>
              <w:jc w:val="center"/>
              <w:rPr>
                <w:sz w:val="24"/>
                <w:szCs w:val="24"/>
              </w:rPr>
            </w:pPr>
            <w:r>
              <w:rPr>
                <w:sz w:val="24"/>
                <w:szCs w:val="24"/>
              </w:rPr>
              <w:t>黄秘伟</w:t>
            </w:r>
          </w:p>
        </w:tc>
        <w:tc>
          <w:tcPr>
            <w:tcW w:w="1992" w:type="dxa"/>
            <w:shd w:val="clear" w:color="auto" w:fill="auto"/>
            <w:vAlign w:val="center"/>
          </w:tcPr>
          <w:p w14:paraId="2817F95A">
            <w:pPr>
              <w:spacing w:line="240" w:lineRule="auto"/>
              <w:ind w:firstLine="0" w:firstLineChars="0"/>
              <w:jc w:val="center"/>
              <w:rPr>
                <w:sz w:val="24"/>
                <w:szCs w:val="24"/>
              </w:rPr>
            </w:pPr>
            <w:r>
              <w:rPr>
                <w:sz w:val="24"/>
                <w:szCs w:val="24"/>
              </w:rPr>
              <w:t>国土空间规划</w:t>
            </w:r>
          </w:p>
        </w:tc>
        <w:tc>
          <w:tcPr>
            <w:tcW w:w="1993" w:type="dxa"/>
            <w:shd w:val="clear" w:color="auto" w:fill="auto"/>
            <w:vAlign w:val="center"/>
          </w:tcPr>
          <w:p w14:paraId="4C99B48C">
            <w:pPr>
              <w:spacing w:line="240" w:lineRule="auto"/>
              <w:ind w:firstLine="0" w:firstLineChars="0"/>
              <w:jc w:val="center"/>
              <w:rPr>
                <w:sz w:val="24"/>
                <w:szCs w:val="24"/>
              </w:rPr>
            </w:pPr>
            <w:r>
              <w:rPr>
                <w:sz w:val="24"/>
                <w:szCs w:val="24"/>
              </w:rPr>
              <w:t>高级工程师</w:t>
            </w:r>
          </w:p>
        </w:tc>
      </w:tr>
      <w:tr w14:paraId="362D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1992" w:type="dxa"/>
            <w:vMerge w:val="continue"/>
            <w:shd w:val="clear" w:color="auto" w:fill="auto"/>
            <w:vAlign w:val="center"/>
          </w:tcPr>
          <w:p w14:paraId="58F074C7">
            <w:pPr>
              <w:spacing w:line="240" w:lineRule="auto"/>
              <w:ind w:firstLine="0" w:firstLineChars="0"/>
              <w:jc w:val="center"/>
              <w:rPr>
                <w:sz w:val="24"/>
                <w:szCs w:val="24"/>
              </w:rPr>
            </w:pPr>
          </w:p>
        </w:tc>
        <w:tc>
          <w:tcPr>
            <w:tcW w:w="1992" w:type="dxa"/>
            <w:shd w:val="clear" w:color="auto" w:fill="auto"/>
            <w:vAlign w:val="center"/>
          </w:tcPr>
          <w:p w14:paraId="0F78702B">
            <w:pPr>
              <w:spacing w:line="240" w:lineRule="auto"/>
              <w:ind w:firstLine="0" w:firstLineChars="0"/>
              <w:jc w:val="center"/>
              <w:rPr>
                <w:sz w:val="24"/>
                <w:szCs w:val="24"/>
              </w:rPr>
            </w:pPr>
            <w:r>
              <w:rPr>
                <w:sz w:val="24"/>
                <w:szCs w:val="24"/>
              </w:rPr>
              <w:t>陆春形</w:t>
            </w:r>
          </w:p>
        </w:tc>
        <w:tc>
          <w:tcPr>
            <w:tcW w:w="1992" w:type="dxa"/>
            <w:shd w:val="clear" w:color="auto" w:fill="auto"/>
            <w:vAlign w:val="center"/>
          </w:tcPr>
          <w:p w14:paraId="57B0B93C">
            <w:pPr>
              <w:spacing w:line="240" w:lineRule="auto"/>
              <w:ind w:firstLine="0" w:firstLineChars="0"/>
              <w:jc w:val="center"/>
              <w:rPr>
                <w:sz w:val="24"/>
                <w:szCs w:val="24"/>
              </w:rPr>
            </w:pPr>
            <w:r>
              <w:rPr>
                <w:sz w:val="24"/>
                <w:szCs w:val="24"/>
              </w:rPr>
              <w:t>地质资源与地质工程</w:t>
            </w:r>
          </w:p>
        </w:tc>
        <w:tc>
          <w:tcPr>
            <w:tcW w:w="1993" w:type="dxa"/>
            <w:shd w:val="clear" w:color="auto" w:fill="auto"/>
            <w:vAlign w:val="center"/>
          </w:tcPr>
          <w:p w14:paraId="529DECBB">
            <w:pPr>
              <w:spacing w:line="240" w:lineRule="auto"/>
              <w:ind w:firstLine="0" w:firstLineChars="0"/>
              <w:jc w:val="center"/>
              <w:rPr>
                <w:sz w:val="24"/>
                <w:szCs w:val="24"/>
              </w:rPr>
            </w:pPr>
            <w:r>
              <w:rPr>
                <w:sz w:val="24"/>
                <w:szCs w:val="24"/>
              </w:rPr>
              <w:t>工程师</w:t>
            </w:r>
          </w:p>
        </w:tc>
      </w:tr>
      <w:tr w14:paraId="56B0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1992" w:type="dxa"/>
            <w:vMerge w:val="restart"/>
            <w:shd w:val="clear" w:color="auto" w:fill="auto"/>
            <w:vAlign w:val="center"/>
          </w:tcPr>
          <w:p w14:paraId="4FBB266A">
            <w:pPr>
              <w:spacing w:line="240" w:lineRule="auto"/>
              <w:ind w:firstLine="0" w:firstLineChars="0"/>
              <w:jc w:val="center"/>
              <w:rPr>
                <w:sz w:val="24"/>
                <w:szCs w:val="24"/>
              </w:rPr>
            </w:pPr>
            <w:r>
              <w:rPr>
                <w:sz w:val="24"/>
                <w:szCs w:val="24"/>
              </w:rPr>
              <w:t>水工环组</w:t>
            </w:r>
          </w:p>
        </w:tc>
        <w:tc>
          <w:tcPr>
            <w:tcW w:w="1992" w:type="dxa"/>
            <w:shd w:val="clear" w:color="auto" w:fill="auto"/>
            <w:vAlign w:val="center"/>
          </w:tcPr>
          <w:p w14:paraId="02AFA148">
            <w:pPr>
              <w:spacing w:line="240" w:lineRule="auto"/>
              <w:ind w:firstLine="0" w:firstLineChars="0"/>
              <w:jc w:val="center"/>
              <w:rPr>
                <w:sz w:val="24"/>
                <w:szCs w:val="24"/>
              </w:rPr>
            </w:pPr>
            <w:r>
              <w:rPr>
                <w:sz w:val="24"/>
                <w:szCs w:val="24"/>
              </w:rPr>
              <w:t>黄敦杰</w:t>
            </w:r>
          </w:p>
        </w:tc>
        <w:tc>
          <w:tcPr>
            <w:tcW w:w="1992" w:type="dxa"/>
            <w:shd w:val="clear" w:color="auto" w:fill="auto"/>
            <w:vAlign w:val="center"/>
          </w:tcPr>
          <w:p w14:paraId="5355E214">
            <w:pPr>
              <w:spacing w:line="240" w:lineRule="auto"/>
              <w:ind w:firstLine="0" w:firstLineChars="0"/>
              <w:jc w:val="center"/>
              <w:rPr>
                <w:sz w:val="24"/>
                <w:szCs w:val="24"/>
              </w:rPr>
            </w:pPr>
            <w:r>
              <w:rPr>
                <w:sz w:val="24"/>
                <w:szCs w:val="24"/>
              </w:rPr>
              <w:t>矿业工程</w:t>
            </w:r>
          </w:p>
        </w:tc>
        <w:tc>
          <w:tcPr>
            <w:tcW w:w="1993" w:type="dxa"/>
            <w:shd w:val="clear" w:color="auto" w:fill="auto"/>
            <w:vAlign w:val="center"/>
          </w:tcPr>
          <w:p w14:paraId="5AF3BCA7">
            <w:pPr>
              <w:spacing w:line="240" w:lineRule="auto"/>
              <w:ind w:firstLine="0" w:firstLineChars="0"/>
              <w:jc w:val="center"/>
              <w:rPr>
                <w:sz w:val="24"/>
                <w:szCs w:val="24"/>
              </w:rPr>
            </w:pPr>
            <w:r>
              <w:rPr>
                <w:sz w:val="24"/>
                <w:szCs w:val="24"/>
              </w:rPr>
              <w:t>高级工程师</w:t>
            </w:r>
          </w:p>
        </w:tc>
      </w:tr>
      <w:tr w14:paraId="52FE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1992" w:type="dxa"/>
            <w:vMerge w:val="continue"/>
            <w:shd w:val="clear" w:color="auto" w:fill="auto"/>
            <w:vAlign w:val="center"/>
          </w:tcPr>
          <w:p w14:paraId="2374E0FC">
            <w:pPr>
              <w:spacing w:line="240" w:lineRule="auto"/>
              <w:ind w:firstLine="0" w:firstLineChars="0"/>
              <w:jc w:val="center"/>
              <w:rPr>
                <w:sz w:val="24"/>
                <w:szCs w:val="24"/>
              </w:rPr>
            </w:pPr>
          </w:p>
        </w:tc>
        <w:tc>
          <w:tcPr>
            <w:tcW w:w="1992" w:type="dxa"/>
            <w:shd w:val="clear" w:color="auto" w:fill="auto"/>
            <w:vAlign w:val="center"/>
          </w:tcPr>
          <w:p w14:paraId="74FF353F">
            <w:pPr>
              <w:spacing w:line="240" w:lineRule="auto"/>
              <w:ind w:firstLine="0" w:firstLineChars="0"/>
              <w:jc w:val="center"/>
              <w:rPr>
                <w:sz w:val="24"/>
                <w:szCs w:val="24"/>
              </w:rPr>
            </w:pPr>
            <w:r>
              <w:rPr>
                <w:sz w:val="24"/>
                <w:szCs w:val="24"/>
              </w:rPr>
              <w:t>韦帅熊</w:t>
            </w:r>
          </w:p>
        </w:tc>
        <w:tc>
          <w:tcPr>
            <w:tcW w:w="1992" w:type="dxa"/>
            <w:shd w:val="clear" w:color="auto" w:fill="auto"/>
            <w:vAlign w:val="center"/>
          </w:tcPr>
          <w:p w14:paraId="45969BBB">
            <w:pPr>
              <w:spacing w:line="240" w:lineRule="auto"/>
              <w:ind w:firstLine="0" w:firstLineChars="0"/>
              <w:jc w:val="center"/>
              <w:rPr>
                <w:sz w:val="24"/>
                <w:szCs w:val="24"/>
              </w:rPr>
            </w:pPr>
            <w:r>
              <w:rPr>
                <w:sz w:val="24"/>
                <w:szCs w:val="24"/>
              </w:rPr>
              <w:t>地质资源与地质工程</w:t>
            </w:r>
          </w:p>
        </w:tc>
        <w:tc>
          <w:tcPr>
            <w:tcW w:w="1993" w:type="dxa"/>
            <w:shd w:val="clear" w:color="auto" w:fill="auto"/>
            <w:vAlign w:val="center"/>
          </w:tcPr>
          <w:p w14:paraId="74ED4C4F">
            <w:pPr>
              <w:spacing w:line="240" w:lineRule="auto"/>
              <w:ind w:firstLine="0" w:firstLineChars="0"/>
              <w:jc w:val="center"/>
              <w:rPr>
                <w:sz w:val="24"/>
                <w:szCs w:val="24"/>
              </w:rPr>
            </w:pPr>
            <w:r>
              <w:rPr>
                <w:sz w:val="24"/>
                <w:szCs w:val="24"/>
              </w:rPr>
              <w:t>助理工程师</w:t>
            </w:r>
          </w:p>
        </w:tc>
      </w:tr>
      <w:tr w14:paraId="049B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1992" w:type="dxa"/>
            <w:vMerge w:val="restart"/>
            <w:shd w:val="clear" w:color="auto" w:fill="auto"/>
            <w:vAlign w:val="center"/>
          </w:tcPr>
          <w:p w14:paraId="3CDD317B">
            <w:pPr>
              <w:spacing w:line="240" w:lineRule="auto"/>
              <w:ind w:firstLine="0" w:firstLineChars="0"/>
              <w:jc w:val="center"/>
              <w:rPr>
                <w:sz w:val="24"/>
                <w:szCs w:val="24"/>
              </w:rPr>
            </w:pPr>
            <w:r>
              <w:rPr>
                <w:sz w:val="24"/>
                <w:szCs w:val="24"/>
              </w:rPr>
              <w:t>综合组</w:t>
            </w:r>
          </w:p>
        </w:tc>
        <w:tc>
          <w:tcPr>
            <w:tcW w:w="1992" w:type="dxa"/>
            <w:shd w:val="clear" w:color="auto" w:fill="auto"/>
            <w:vAlign w:val="center"/>
          </w:tcPr>
          <w:p w14:paraId="0AF6DF31">
            <w:pPr>
              <w:spacing w:line="240" w:lineRule="auto"/>
              <w:ind w:firstLine="0" w:firstLineChars="0"/>
              <w:jc w:val="center"/>
              <w:rPr>
                <w:sz w:val="24"/>
                <w:szCs w:val="24"/>
              </w:rPr>
            </w:pPr>
            <w:r>
              <w:rPr>
                <w:sz w:val="24"/>
                <w:szCs w:val="24"/>
              </w:rPr>
              <w:t>黄荣强</w:t>
            </w:r>
          </w:p>
        </w:tc>
        <w:tc>
          <w:tcPr>
            <w:tcW w:w="1992" w:type="dxa"/>
            <w:shd w:val="clear" w:color="auto" w:fill="auto"/>
            <w:vAlign w:val="center"/>
          </w:tcPr>
          <w:p w14:paraId="37118299">
            <w:pPr>
              <w:spacing w:line="240" w:lineRule="auto"/>
              <w:ind w:firstLine="0" w:firstLineChars="0"/>
              <w:jc w:val="center"/>
              <w:rPr>
                <w:sz w:val="24"/>
                <w:szCs w:val="24"/>
              </w:rPr>
            </w:pPr>
            <w:r>
              <w:rPr>
                <w:sz w:val="24"/>
                <w:szCs w:val="24"/>
              </w:rPr>
              <w:t>采矿工程</w:t>
            </w:r>
          </w:p>
        </w:tc>
        <w:tc>
          <w:tcPr>
            <w:tcW w:w="1993" w:type="dxa"/>
            <w:shd w:val="clear" w:color="auto" w:fill="auto"/>
            <w:vAlign w:val="center"/>
          </w:tcPr>
          <w:p w14:paraId="78B8A294">
            <w:pPr>
              <w:spacing w:line="240" w:lineRule="auto"/>
              <w:ind w:firstLine="0" w:firstLineChars="0"/>
              <w:jc w:val="center"/>
              <w:rPr>
                <w:sz w:val="24"/>
                <w:szCs w:val="24"/>
              </w:rPr>
            </w:pPr>
            <w:r>
              <w:rPr>
                <w:sz w:val="24"/>
                <w:szCs w:val="24"/>
              </w:rPr>
              <w:t>高级工程师</w:t>
            </w:r>
          </w:p>
        </w:tc>
      </w:tr>
      <w:tr w14:paraId="0A43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1992" w:type="dxa"/>
            <w:vMerge w:val="continue"/>
            <w:shd w:val="clear" w:color="auto" w:fill="auto"/>
            <w:vAlign w:val="center"/>
          </w:tcPr>
          <w:p w14:paraId="4A446689">
            <w:pPr>
              <w:spacing w:line="240" w:lineRule="auto"/>
              <w:ind w:firstLine="0" w:firstLineChars="0"/>
              <w:jc w:val="center"/>
              <w:rPr>
                <w:sz w:val="24"/>
                <w:szCs w:val="24"/>
              </w:rPr>
            </w:pPr>
          </w:p>
        </w:tc>
        <w:tc>
          <w:tcPr>
            <w:tcW w:w="1992" w:type="dxa"/>
            <w:shd w:val="clear" w:color="auto" w:fill="auto"/>
            <w:vAlign w:val="center"/>
          </w:tcPr>
          <w:p w14:paraId="475072E7">
            <w:pPr>
              <w:spacing w:line="240" w:lineRule="auto"/>
              <w:ind w:firstLine="0" w:firstLineChars="0"/>
              <w:jc w:val="center"/>
              <w:rPr>
                <w:sz w:val="24"/>
                <w:szCs w:val="24"/>
              </w:rPr>
            </w:pPr>
            <w:r>
              <w:rPr>
                <w:sz w:val="24"/>
                <w:szCs w:val="24"/>
              </w:rPr>
              <w:t>张晓晨</w:t>
            </w:r>
          </w:p>
        </w:tc>
        <w:tc>
          <w:tcPr>
            <w:tcW w:w="1992" w:type="dxa"/>
            <w:shd w:val="clear" w:color="auto" w:fill="auto"/>
            <w:vAlign w:val="center"/>
          </w:tcPr>
          <w:p w14:paraId="55CC4AA6">
            <w:pPr>
              <w:spacing w:line="240" w:lineRule="auto"/>
              <w:ind w:firstLine="0" w:firstLineChars="0"/>
              <w:jc w:val="center"/>
              <w:rPr>
                <w:sz w:val="24"/>
                <w:szCs w:val="24"/>
              </w:rPr>
            </w:pPr>
            <w:r>
              <w:rPr>
                <w:sz w:val="24"/>
                <w:szCs w:val="24"/>
              </w:rPr>
              <w:t>地质资源与地质工程</w:t>
            </w:r>
          </w:p>
        </w:tc>
        <w:tc>
          <w:tcPr>
            <w:tcW w:w="1993" w:type="dxa"/>
            <w:shd w:val="clear" w:color="auto" w:fill="auto"/>
            <w:vAlign w:val="center"/>
          </w:tcPr>
          <w:p w14:paraId="1C8E6C7E">
            <w:pPr>
              <w:spacing w:line="240" w:lineRule="auto"/>
              <w:ind w:firstLine="0" w:firstLineChars="0"/>
              <w:jc w:val="center"/>
              <w:rPr>
                <w:sz w:val="24"/>
                <w:szCs w:val="24"/>
              </w:rPr>
            </w:pPr>
            <w:r>
              <w:rPr>
                <w:sz w:val="24"/>
                <w:szCs w:val="24"/>
              </w:rPr>
              <w:t>工程师</w:t>
            </w:r>
          </w:p>
        </w:tc>
      </w:tr>
    </w:tbl>
    <w:p w14:paraId="066843EF">
      <w:pPr>
        <w:pStyle w:val="4"/>
        <w:spacing w:before="381" w:beforeLines="100"/>
      </w:pPr>
      <w:bookmarkStart w:id="418" w:name="_Toc124107419"/>
      <w:bookmarkStart w:id="419" w:name="_Toc17242"/>
      <w:bookmarkStart w:id="420" w:name="_Toc24629"/>
      <w:bookmarkStart w:id="421" w:name="_Toc176901260"/>
      <w:bookmarkStart w:id="422" w:name="_Toc5976"/>
      <w:bookmarkStart w:id="423" w:name="_Toc30794"/>
      <w:r>
        <w:t xml:space="preserve">7.2 </w:t>
      </w:r>
      <w:bookmarkEnd w:id="418"/>
      <w:r>
        <w:t>设备配备</w:t>
      </w:r>
      <w:bookmarkEnd w:id="419"/>
      <w:bookmarkEnd w:id="420"/>
      <w:bookmarkEnd w:id="421"/>
      <w:bookmarkEnd w:id="422"/>
      <w:bookmarkEnd w:id="423"/>
    </w:p>
    <w:p w14:paraId="2E103755">
      <w:pPr>
        <w:ind w:firstLine="560"/>
      </w:pPr>
      <w:r>
        <w:t>项目设备配置详见下表7-2。</w:t>
      </w:r>
    </w:p>
    <w:p w14:paraId="4912840C">
      <w:pPr>
        <w:spacing w:line="240" w:lineRule="auto"/>
        <w:ind w:firstLine="0" w:firstLineChars="0"/>
        <w:jc w:val="center"/>
        <w:rPr>
          <w:kern w:val="0"/>
          <w:szCs w:val="28"/>
        </w:rPr>
      </w:pPr>
      <w:r>
        <w:rPr>
          <w:b/>
          <w:sz w:val="24"/>
          <w:szCs w:val="24"/>
        </w:rPr>
        <w:t>表7-2  项目主要设备配置一览表</w:t>
      </w:r>
    </w:p>
    <w:tbl>
      <w:tblPr>
        <w:tblStyle w:val="32"/>
        <w:tblW w:w="7961" w:type="dxa"/>
        <w:jc w:val="center"/>
        <w:tblLayout w:type="autofit"/>
        <w:tblCellMar>
          <w:top w:w="0" w:type="dxa"/>
          <w:left w:w="108" w:type="dxa"/>
          <w:bottom w:w="0" w:type="dxa"/>
          <w:right w:w="108" w:type="dxa"/>
        </w:tblCellMar>
      </w:tblPr>
      <w:tblGrid>
        <w:gridCol w:w="1080"/>
        <w:gridCol w:w="3310"/>
        <w:gridCol w:w="1134"/>
        <w:gridCol w:w="1417"/>
        <w:gridCol w:w="1020"/>
      </w:tblGrid>
      <w:tr w14:paraId="2CF77D78">
        <w:tblPrEx>
          <w:tblCellMar>
            <w:top w:w="0" w:type="dxa"/>
            <w:left w:w="108" w:type="dxa"/>
            <w:bottom w:w="0" w:type="dxa"/>
            <w:right w:w="108" w:type="dxa"/>
          </w:tblCellMar>
        </w:tblPrEx>
        <w:trPr>
          <w:trHeight w:val="270"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6215663">
            <w:pPr>
              <w:widowControl/>
              <w:spacing w:line="280" w:lineRule="exact"/>
              <w:ind w:firstLine="0" w:firstLineChars="0"/>
              <w:jc w:val="center"/>
              <w:rPr>
                <w:kern w:val="0"/>
                <w:sz w:val="24"/>
                <w:szCs w:val="24"/>
              </w:rPr>
            </w:pPr>
            <w:r>
              <w:rPr>
                <w:kern w:val="0"/>
                <w:sz w:val="24"/>
                <w:szCs w:val="24"/>
              </w:rPr>
              <w:t>序号</w:t>
            </w:r>
          </w:p>
        </w:tc>
        <w:tc>
          <w:tcPr>
            <w:tcW w:w="3310" w:type="dxa"/>
            <w:tcBorders>
              <w:top w:val="single" w:color="auto" w:sz="4" w:space="0"/>
              <w:left w:val="nil"/>
              <w:bottom w:val="single" w:color="auto" w:sz="4" w:space="0"/>
              <w:right w:val="single" w:color="auto" w:sz="4" w:space="0"/>
            </w:tcBorders>
            <w:shd w:val="clear" w:color="auto" w:fill="auto"/>
            <w:vAlign w:val="center"/>
          </w:tcPr>
          <w:p w14:paraId="1D6012C3">
            <w:pPr>
              <w:widowControl/>
              <w:spacing w:line="280" w:lineRule="exact"/>
              <w:ind w:firstLine="0" w:firstLineChars="0"/>
              <w:jc w:val="center"/>
              <w:rPr>
                <w:kern w:val="0"/>
                <w:sz w:val="24"/>
                <w:szCs w:val="24"/>
              </w:rPr>
            </w:pPr>
            <w:r>
              <w:rPr>
                <w:kern w:val="0"/>
                <w:sz w:val="24"/>
                <w:szCs w:val="24"/>
              </w:rPr>
              <w:t>设备名称</w:t>
            </w:r>
          </w:p>
        </w:tc>
        <w:tc>
          <w:tcPr>
            <w:tcW w:w="1134" w:type="dxa"/>
            <w:tcBorders>
              <w:top w:val="single" w:color="auto" w:sz="4" w:space="0"/>
              <w:left w:val="nil"/>
              <w:bottom w:val="single" w:color="auto" w:sz="4" w:space="0"/>
              <w:right w:val="single" w:color="auto" w:sz="4" w:space="0"/>
            </w:tcBorders>
            <w:shd w:val="clear" w:color="auto" w:fill="auto"/>
            <w:vAlign w:val="center"/>
          </w:tcPr>
          <w:p w14:paraId="0F7B8B4E">
            <w:pPr>
              <w:widowControl/>
              <w:spacing w:line="280" w:lineRule="exact"/>
              <w:ind w:firstLine="0" w:firstLineChars="0"/>
              <w:jc w:val="center"/>
              <w:rPr>
                <w:kern w:val="0"/>
                <w:sz w:val="24"/>
                <w:szCs w:val="24"/>
              </w:rPr>
            </w:pPr>
            <w:r>
              <w:rPr>
                <w:kern w:val="0"/>
                <w:sz w:val="24"/>
                <w:szCs w:val="24"/>
              </w:rPr>
              <w:t>单位</w:t>
            </w:r>
          </w:p>
        </w:tc>
        <w:tc>
          <w:tcPr>
            <w:tcW w:w="1417" w:type="dxa"/>
            <w:tcBorders>
              <w:top w:val="single" w:color="auto" w:sz="4" w:space="0"/>
              <w:left w:val="nil"/>
              <w:bottom w:val="single" w:color="auto" w:sz="4" w:space="0"/>
              <w:right w:val="single" w:color="auto" w:sz="4" w:space="0"/>
            </w:tcBorders>
            <w:shd w:val="clear" w:color="auto" w:fill="auto"/>
            <w:vAlign w:val="center"/>
          </w:tcPr>
          <w:p w14:paraId="12A8267E">
            <w:pPr>
              <w:widowControl/>
              <w:spacing w:line="280" w:lineRule="exact"/>
              <w:ind w:firstLine="0" w:firstLineChars="0"/>
              <w:jc w:val="center"/>
              <w:rPr>
                <w:kern w:val="0"/>
                <w:sz w:val="24"/>
                <w:szCs w:val="24"/>
              </w:rPr>
            </w:pPr>
            <w:r>
              <w:rPr>
                <w:kern w:val="0"/>
                <w:sz w:val="24"/>
                <w:szCs w:val="24"/>
              </w:rPr>
              <w:t>设备数量</w:t>
            </w:r>
          </w:p>
        </w:tc>
        <w:tc>
          <w:tcPr>
            <w:tcW w:w="1020" w:type="dxa"/>
            <w:tcBorders>
              <w:top w:val="single" w:color="auto" w:sz="4" w:space="0"/>
              <w:left w:val="nil"/>
              <w:bottom w:val="single" w:color="auto" w:sz="4" w:space="0"/>
              <w:right w:val="single" w:color="auto" w:sz="4" w:space="0"/>
            </w:tcBorders>
            <w:shd w:val="clear" w:color="auto" w:fill="auto"/>
            <w:vAlign w:val="center"/>
          </w:tcPr>
          <w:p w14:paraId="68646517">
            <w:pPr>
              <w:widowControl/>
              <w:spacing w:line="280" w:lineRule="exact"/>
              <w:ind w:firstLine="0" w:firstLineChars="0"/>
              <w:jc w:val="center"/>
              <w:rPr>
                <w:kern w:val="0"/>
                <w:sz w:val="24"/>
                <w:szCs w:val="24"/>
              </w:rPr>
            </w:pPr>
            <w:r>
              <w:rPr>
                <w:kern w:val="0"/>
                <w:sz w:val="24"/>
                <w:szCs w:val="24"/>
              </w:rPr>
              <w:t>备注</w:t>
            </w:r>
          </w:p>
        </w:tc>
      </w:tr>
      <w:tr w14:paraId="12913E52">
        <w:tblPrEx>
          <w:tblCellMar>
            <w:top w:w="0" w:type="dxa"/>
            <w:left w:w="108" w:type="dxa"/>
            <w:bottom w:w="0" w:type="dxa"/>
            <w:right w:w="108" w:type="dxa"/>
          </w:tblCellMar>
        </w:tblPrEx>
        <w:trPr>
          <w:trHeight w:val="300" w:hRule="atLeast"/>
          <w:jc w:val="center"/>
        </w:trPr>
        <w:tc>
          <w:tcPr>
            <w:tcW w:w="1080" w:type="dxa"/>
            <w:tcBorders>
              <w:top w:val="nil"/>
              <w:left w:val="single" w:color="auto" w:sz="4" w:space="0"/>
              <w:bottom w:val="single" w:color="auto" w:sz="4" w:space="0"/>
              <w:right w:val="single" w:color="auto" w:sz="4" w:space="0"/>
            </w:tcBorders>
            <w:shd w:val="clear" w:color="auto" w:fill="auto"/>
            <w:vAlign w:val="center"/>
          </w:tcPr>
          <w:p w14:paraId="4551DE36">
            <w:pPr>
              <w:widowControl/>
              <w:spacing w:line="280" w:lineRule="exact"/>
              <w:ind w:firstLine="0" w:firstLineChars="0"/>
              <w:jc w:val="center"/>
              <w:rPr>
                <w:kern w:val="0"/>
                <w:sz w:val="24"/>
                <w:szCs w:val="24"/>
              </w:rPr>
            </w:pPr>
            <w:r>
              <w:rPr>
                <w:kern w:val="0"/>
                <w:sz w:val="24"/>
                <w:szCs w:val="24"/>
              </w:rPr>
              <w:t>1</w:t>
            </w:r>
          </w:p>
        </w:tc>
        <w:tc>
          <w:tcPr>
            <w:tcW w:w="3310" w:type="dxa"/>
            <w:tcBorders>
              <w:top w:val="nil"/>
              <w:left w:val="nil"/>
              <w:bottom w:val="single" w:color="auto" w:sz="4" w:space="0"/>
              <w:right w:val="single" w:color="auto" w:sz="4" w:space="0"/>
            </w:tcBorders>
            <w:shd w:val="clear" w:color="auto" w:fill="auto"/>
            <w:vAlign w:val="center"/>
          </w:tcPr>
          <w:p w14:paraId="4C6CAB5A">
            <w:pPr>
              <w:widowControl/>
              <w:spacing w:line="280" w:lineRule="exact"/>
              <w:ind w:firstLine="0" w:firstLineChars="0"/>
              <w:jc w:val="center"/>
              <w:rPr>
                <w:kern w:val="0"/>
                <w:sz w:val="24"/>
                <w:szCs w:val="24"/>
              </w:rPr>
            </w:pPr>
            <w:r>
              <w:rPr>
                <w:kern w:val="0"/>
                <w:sz w:val="24"/>
                <w:szCs w:val="24"/>
              </w:rPr>
              <w:t xml:space="preserve">笔记本电脑 </w:t>
            </w:r>
          </w:p>
        </w:tc>
        <w:tc>
          <w:tcPr>
            <w:tcW w:w="1134" w:type="dxa"/>
            <w:tcBorders>
              <w:top w:val="nil"/>
              <w:left w:val="nil"/>
              <w:bottom w:val="single" w:color="auto" w:sz="4" w:space="0"/>
              <w:right w:val="single" w:color="auto" w:sz="4" w:space="0"/>
            </w:tcBorders>
            <w:shd w:val="clear" w:color="auto" w:fill="auto"/>
            <w:vAlign w:val="center"/>
          </w:tcPr>
          <w:p w14:paraId="0B7ABF24">
            <w:pPr>
              <w:widowControl/>
              <w:spacing w:line="280" w:lineRule="exact"/>
              <w:ind w:firstLine="0" w:firstLineChars="0"/>
              <w:jc w:val="center"/>
              <w:rPr>
                <w:kern w:val="0"/>
                <w:sz w:val="24"/>
                <w:szCs w:val="24"/>
              </w:rPr>
            </w:pPr>
            <w:r>
              <w:rPr>
                <w:kern w:val="0"/>
                <w:sz w:val="24"/>
                <w:szCs w:val="24"/>
              </w:rPr>
              <w:t>台</w:t>
            </w:r>
          </w:p>
        </w:tc>
        <w:tc>
          <w:tcPr>
            <w:tcW w:w="1417" w:type="dxa"/>
            <w:tcBorders>
              <w:top w:val="nil"/>
              <w:left w:val="nil"/>
              <w:bottom w:val="single" w:color="auto" w:sz="4" w:space="0"/>
              <w:right w:val="single" w:color="auto" w:sz="4" w:space="0"/>
            </w:tcBorders>
            <w:shd w:val="clear" w:color="auto" w:fill="auto"/>
            <w:vAlign w:val="center"/>
          </w:tcPr>
          <w:p w14:paraId="0A09647F">
            <w:pPr>
              <w:widowControl/>
              <w:spacing w:line="280" w:lineRule="exact"/>
              <w:ind w:firstLine="0" w:firstLineChars="0"/>
              <w:jc w:val="center"/>
              <w:rPr>
                <w:kern w:val="0"/>
                <w:sz w:val="24"/>
                <w:szCs w:val="24"/>
              </w:rPr>
            </w:pPr>
            <w:r>
              <w:rPr>
                <w:kern w:val="0"/>
                <w:sz w:val="24"/>
                <w:szCs w:val="24"/>
              </w:rPr>
              <w:t>5</w:t>
            </w:r>
          </w:p>
        </w:tc>
        <w:tc>
          <w:tcPr>
            <w:tcW w:w="1020" w:type="dxa"/>
            <w:tcBorders>
              <w:top w:val="nil"/>
              <w:left w:val="nil"/>
              <w:bottom w:val="single" w:color="auto" w:sz="4" w:space="0"/>
              <w:right w:val="single" w:color="auto" w:sz="4" w:space="0"/>
            </w:tcBorders>
            <w:shd w:val="clear" w:color="auto" w:fill="auto"/>
            <w:vAlign w:val="center"/>
          </w:tcPr>
          <w:p w14:paraId="5414D5C4">
            <w:pPr>
              <w:widowControl/>
              <w:spacing w:line="280" w:lineRule="exact"/>
              <w:ind w:firstLine="0" w:firstLineChars="0"/>
              <w:jc w:val="center"/>
              <w:rPr>
                <w:kern w:val="0"/>
                <w:sz w:val="24"/>
                <w:szCs w:val="24"/>
              </w:rPr>
            </w:pPr>
          </w:p>
        </w:tc>
      </w:tr>
      <w:tr w14:paraId="571EB4F5">
        <w:tblPrEx>
          <w:tblCellMar>
            <w:top w:w="0" w:type="dxa"/>
            <w:left w:w="108" w:type="dxa"/>
            <w:bottom w:w="0" w:type="dxa"/>
            <w:right w:w="108" w:type="dxa"/>
          </w:tblCellMar>
        </w:tblPrEx>
        <w:trPr>
          <w:trHeight w:val="300" w:hRule="atLeast"/>
          <w:jc w:val="center"/>
        </w:trPr>
        <w:tc>
          <w:tcPr>
            <w:tcW w:w="1080" w:type="dxa"/>
            <w:tcBorders>
              <w:top w:val="nil"/>
              <w:left w:val="single" w:color="auto" w:sz="4" w:space="0"/>
              <w:bottom w:val="single" w:color="auto" w:sz="4" w:space="0"/>
              <w:right w:val="single" w:color="auto" w:sz="4" w:space="0"/>
            </w:tcBorders>
            <w:shd w:val="clear" w:color="auto" w:fill="auto"/>
            <w:vAlign w:val="center"/>
          </w:tcPr>
          <w:p w14:paraId="558AFB94">
            <w:pPr>
              <w:widowControl/>
              <w:spacing w:line="280" w:lineRule="exact"/>
              <w:ind w:firstLine="0" w:firstLineChars="0"/>
              <w:jc w:val="center"/>
              <w:rPr>
                <w:kern w:val="0"/>
                <w:sz w:val="24"/>
                <w:szCs w:val="24"/>
              </w:rPr>
            </w:pPr>
            <w:r>
              <w:rPr>
                <w:kern w:val="0"/>
                <w:sz w:val="24"/>
                <w:szCs w:val="24"/>
              </w:rPr>
              <w:t>2</w:t>
            </w:r>
          </w:p>
        </w:tc>
        <w:tc>
          <w:tcPr>
            <w:tcW w:w="3310" w:type="dxa"/>
            <w:tcBorders>
              <w:top w:val="nil"/>
              <w:left w:val="nil"/>
              <w:bottom w:val="single" w:color="auto" w:sz="4" w:space="0"/>
              <w:right w:val="single" w:color="auto" w:sz="4" w:space="0"/>
            </w:tcBorders>
            <w:shd w:val="clear" w:color="auto" w:fill="auto"/>
            <w:vAlign w:val="center"/>
          </w:tcPr>
          <w:p w14:paraId="6BE67FAE">
            <w:pPr>
              <w:widowControl/>
              <w:spacing w:line="280" w:lineRule="exact"/>
              <w:ind w:firstLine="0" w:firstLineChars="0"/>
              <w:jc w:val="center"/>
              <w:rPr>
                <w:kern w:val="0"/>
                <w:sz w:val="24"/>
                <w:szCs w:val="24"/>
              </w:rPr>
            </w:pPr>
            <w:r>
              <w:rPr>
                <w:kern w:val="0"/>
                <w:sz w:val="24"/>
                <w:szCs w:val="24"/>
              </w:rPr>
              <w:t xml:space="preserve">台式电脑 </w:t>
            </w:r>
          </w:p>
        </w:tc>
        <w:tc>
          <w:tcPr>
            <w:tcW w:w="1134" w:type="dxa"/>
            <w:tcBorders>
              <w:top w:val="nil"/>
              <w:left w:val="nil"/>
              <w:bottom w:val="single" w:color="auto" w:sz="4" w:space="0"/>
              <w:right w:val="single" w:color="auto" w:sz="4" w:space="0"/>
            </w:tcBorders>
            <w:shd w:val="clear" w:color="auto" w:fill="auto"/>
            <w:vAlign w:val="center"/>
          </w:tcPr>
          <w:p w14:paraId="1B1C87CA">
            <w:pPr>
              <w:widowControl/>
              <w:spacing w:line="280" w:lineRule="exact"/>
              <w:ind w:firstLine="0" w:firstLineChars="0"/>
              <w:jc w:val="center"/>
              <w:rPr>
                <w:kern w:val="0"/>
                <w:sz w:val="24"/>
                <w:szCs w:val="24"/>
              </w:rPr>
            </w:pPr>
            <w:r>
              <w:rPr>
                <w:kern w:val="0"/>
                <w:sz w:val="24"/>
                <w:szCs w:val="24"/>
              </w:rPr>
              <w:t>台</w:t>
            </w:r>
          </w:p>
        </w:tc>
        <w:tc>
          <w:tcPr>
            <w:tcW w:w="1417" w:type="dxa"/>
            <w:tcBorders>
              <w:top w:val="nil"/>
              <w:left w:val="nil"/>
              <w:bottom w:val="single" w:color="auto" w:sz="4" w:space="0"/>
              <w:right w:val="single" w:color="auto" w:sz="4" w:space="0"/>
            </w:tcBorders>
            <w:shd w:val="clear" w:color="auto" w:fill="auto"/>
            <w:vAlign w:val="center"/>
          </w:tcPr>
          <w:p w14:paraId="435F352D">
            <w:pPr>
              <w:widowControl/>
              <w:spacing w:line="280" w:lineRule="exact"/>
              <w:ind w:firstLine="0" w:firstLineChars="0"/>
              <w:jc w:val="center"/>
              <w:rPr>
                <w:kern w:val="0"/>
                <w:sz w:val="24"/>
                <w:szCs w:val="24"/>
              </w:rPr>
            </w:pPr>
            <w:r>
              <w:rPr>
                <w:kern w:val="0"/>
                <w:sz w:val="24"/>
                <w:szCs w:val="24"/>
              </w:rPr>
              <w:t>2</w:t>
            </w:r>
          </w:p>
        </w:tc>
        <w:tc>
          <w:tcPr>
            <w:tcW w:w="1020" w:type="dxa"/>
            <w:tcBorders>
              <w:top w:val="nil"/>
              <w:left w:val="nil"/>
              <w:bottom w:val="single" w:color="auto" w:sz="4" w:space="0"/>
              <w:right w:val="single" w:color="auto" w:sz="4" w:space="0"/>
            </w:tcBorders>
            <w:shd w:val="clear" w:color="auto" w:fill="auto"/>
            <w:vAlign w:val="center"/>
          </w:tcPr>
          <w:p w14:paraId="5CF22EE3">
            <w:pPr>
              <w:widowControl/>
              <w:spacing w:line="280" w:lineRule="exact"/>
              <w:ind w:firstLine="0" w:firstLineChars="0"/>
              <w:jc w:val="center"/>
              <w:rPr>
                <w:kern w:val="0"/>
                <w:sz w:val="24"/>
                <w:szCs w:val="24"/>
              </w:rPr>
            </w:pPr>
          </w:p>
        </w:tc>
      </w:tr>
      <w:tr w14:paraId="62C4937B">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single" w:color="auto" w:sz="4" w:space="0"/>
            </w:tcBorders>
            <w:shd w:val="clear" w:color="auto" w:fill="auto"/>
            <w:vAlign w:val="center"/>
          </w:tcPr>
          <w:p w14:paraId="072086E2">
            <w:pPr>
              <w:widowControl/>
              <w:spacing w:line="280" w:lineRule="exact"/>
              <w:ind w:firstLine="0" w:firstLineChars="0"/>
              <w:jc w:val="center"/>
              <w:rPr>
                <w:kern w:val="0"/>
                <w:sz w:val="24"/>
                <w:szCs w:val="24"/>
              </w:rPr>
            </w:pPr>
            <w:r>
              <w:rPr>
                <w:kern w:val="0"/>
                <w:sz w:val="24"/>
                <w:szCs w:val="24"/>
              </w:rPr>
              <w:t>3</w:t>
            </w:r>
          </w:p>
        </w:tc>
        <w:tc>
          <w:tcPr>
            <w:tcW w:w="3310" w:type="dxa"/>
            <w:tcBorders>
              <w:top w:val="nil"/>
              <w:left w:val="nil"/>
              <w:bottom w:val="single" w:color="auto" w:sz="4" w:space="0"/>
              <w:right w:val="single" w:color="auto" w:sz="4" w:space="0"/>
            </w:tcBorders>
            <w:shd w:val="clear" w:color="auto" w:fill="auto"/>
            <w:vAlign w:val="center"/>
          </w:tcPr>
          <w:p w14:paraId="1A5AF1E3">
            <w:pPr>
              <w:widowControl/>
              <w:spacing w:line="280" w:lineRule="exact"/>
              <w:ind w:firstLine="0" w:firstLineChars="0"/>
              <w:jc w:val="center"/>
              <w:rPr>
                <w:kern w:val="0"/>
                <w:sz w:val="24"/>
                <w:szCs w:val="24"/>
              </w:rPr>
            </w:pPr>
            <w:r>
              <w:rPr>
                <w:kern w:val="0"/>
                <w:sz w:val="24"/>
                <w:szCs w:val="24"/>
              </w:rPr>
              <w:t>地质三件套（地质锤、罗盘、放大镜）</w:t>
            </w:r>
          </w:p>
        </w:tc>
        <w:tc>
          <w:tcPr>
            <w:tcW w:w="1134" w:type="dxa"/>
            <w:tcBorders>
              <w:top w:val="nil"/>
              <w:left w:val="nil"/>
              <w:bottom w:val="single" w:color="auto" w:sz="4" w:space="0"/>
              <w:right w:val="single" w:color="auto" w:sz="4" w:space="0"/>
            </w:tcBorders>
            <w:shd w:val="clear" w:color="auto" w:fill="auto"/>
            <w:vAlign w:val="center"/>
          </w:tcPr>
          <w:p w14:paraId="1CB0444B">
            <w:pPr>
              <w:widowControl/>
              <w:spacing w:line="280" w:lineRule="exact"/>
              <w:ind w:firstLine="0" w:firstLineChars="0"/>
              <w:jc w:val="center"/>
              <w:rPr>
                <w:kern w:val="0"/>
                <w:sz w:val="24"/>
                <w:szCs w:val="24"/>
              </w:rPr>
            </w:pPr>
            <w:r>
              <w:rPr>
                <w:kern w:val="0"/>
                <w:sz w:val="24"/>
                <w:szCs w:val="24"/>
              </w:rPr>
              <w:t>套</w:t>
            </w:r>
          </w:p>
        </w:tc>
        <w:tc>
          <w:tcPr>
            <w:tcW w:w="1417" w:type="dxa"/>
            <w:tcBorders>
              <w:top w:val="nil"/>
              <w:left w:val="nil"/>
              <w:bottom w:val="single" w:color="auto" w:sz="4" w:space="0"/>
              <w:right w:val="single" w:color="auto" w:sz="4" w:space="0"/>
            </w:tcBorders>
            <w:shd w:val="clear" w:color="auto" w:fill="auto"/>
            <w:vAlign w:val="center"/>
          </w:tcPr>
          <w:p w14:paraId="5AA67CFB">
            <w:pPr>
              <w:widowControl/>
              <w:spacing w:line="280" w:lineRule="exact"/>
              <w:ind w:firstLine="0" w:firstLineChars="0"/>
              <w:jc w:val="center"/>
              <w:rPr>
                <w:kern w:val="0"/>
                <w:sz w:val="24"/>
                <w:szCs w:val="24"/>
              </w:rPr>
            </w:pPr>
            <w:r>
              <w:rPr>
                <w:kern w:val="0"/>
                <w:sz w:val="24"/>
                <w:szCs w:val="24"/>
              </w:rPr>
              <w:t>6</w:t>
            </w:r>
          </w:p>
        </w:tc>
        <w:tc>
          <w:tcPr>
            <w:tcW w:w="1020" w:type="dxa"/>
            <w:tcBorders>
              <w:top w:val="nil"/>
              <w:left w:val="nil"/>
              <w:bottom w:val="single" w:color="auto" w:sz="4" w:space="0"/>
              <w:right w:val="single" w:color="auto" w:sz="4" w:space="0"/>
            </w:tcBorders>
            <w:shd w:val="clear" w:color="auto" w:fill="auto"/>
            <w:vAlign w:val="center"/>
          </w:tcPr>
          <w:p w14:paraId="29B899B9">
            <w:pPr>
              <w:widowControl/>
              <w:spacing w:line="280" w:lineRule="exact"/>
              <w:ind w:firstLine="0" w:firstLineChars="0"/>
              <w:jc w:val="center"/>
              <w:rPr>
                <w:kern w:val="0"/>
                <w:sz w:val="24"/>
                <w:szCs w:val="24"/>
              </w:rPr>
            </w:pPr>
          </w:p>
        </w:tc>
      </w:tr>
      <w:tr w14:paraId="13322E6D">
        <w:tblPrEx>
          <w:tblCellMar>
            <w:top w:w="0" w:type="dxa"/>
            <w:left w:w="108" w:type="dxa"/>
            <w:bottom w:w="0" w:type="dxa"/>
            <w:right w:w="108" w:type="dxa"/>
          </w:tblCellMar>
        </w:tblPrEx>
        <w:trPr>
          <w:trHeight w:val="300" w:hRule="atLeast"/>
          <w:jc w:val="center"/>
        </w:trPr>
        <w:tc>
          <w:tcPr>
            <w:tcW w:w="1080" w:type="dxa"/>
            <w:tcBorders>
              <w:top w:val="nil"/>
              <w:left w:val="single" w:color="auto" w:sz="4" w:space="0"/>
              <w:bottom w:val="single" w:color="auto" w:sz="4" w:space="0"/>
              <w:right w:val="single" w:color="auto" w:sz="4" w:space="0"/>
            </w:tcBorders>
            <w:shd w:val="clear" w:color="auto" w:fill="auto"/>
            <w:vAlign w:val="center"/>
          </w:tcPr>
          <w:p w14:paraId="2918C872">
            <w:pPr>
              <w:widowControl/>
              <w:spacing w:line="280" w:lineRule="exact"/>
              <w:ind w:firstLine="0" w:firstLineChars="0"/>
              <w:jc w:val="center"/>
              <w:rPr>
                <w:kern w:val="0"/>
                <w:sz w:val="24"/>
                <w:szCs w:val="24"/>
              </w:rPr>
            </w:pPr>
            <w:r>
              <w:rPr>
                <w:kern w:val="0"/>
                <w:sz w:val="24"/>
                <w:szCs w:val="24"/>
              </w:rPr>
              <w:t>4</w:t>
            </w:r>
          </w:p>
        </w:tc>
        <w:tc>
          <w:tcPr>
            <w:tcW w:w="3310" w:type="dxa"/>
            <w:tcBorders>
              <w:top w:val="nil"/>
              <w:left w:val="nil"/>
              <w:bottom w:val="single" w:color="auto" w:sz="4" w:space="0"/>
              <w:right w:val="single" w:color="auto" w:sz="4" w:space="0"/>
            </w:tcBorders>
            <w:shd w:val="clear" w:color="auto" w:fill="auto"/>
            <w:vAlign w:val="center"/>
          </w:tcPr>
          <w:p w14:paraId="555951A5">
            <w:pPr>
              <w:widowControl/>
              <w:spacing w:line="280" w:lineRule="exact"/>
              <w:ind w:firstLine="0" w:firstLineChars="0"/>
              <w:jc w:val="center"/>
              <w:rPr>
                <w:kern w:val="0"/>
                <w:sz w:val="24"/>
                <w:szCs w:val="24"/>
              </w:rPr>
            </w:pPr>
            <w:r>
              <w:rPr>
                <w:kern w:val="0"/>
                <w:sz w:val="24"/>
                <w:szCs w:val="24"/>
              </w:rPr>
              <w:t>大疆4E无人机</w:t>
            </w:r>
          </w:p>
        </w:tc>
        <w:tc>
          <w:tcPr>
            <w:tcW w:w="1134" w:type="dxa"/>
            <w:tcBorders>
              <w:top w:val="nil"/>
              <w:left w:val="nil"/>
              <w:bottom w:val="single" w:color="auto" w:sz="4" w:space="0"/>
              <w:right w:val="single" w:color="auto" w:sz="4" w:space="0"/>
            </w:tcBorders>
            <w:shd w:val="clear" w:color="auto" w:fill="auto"/>
            <w:vAlign w:val="center"/>
          </w:tcPr>
          <w:p w14:paraId="4470E41C">
            <w:pPr>
              <w:widowControl/>
              <w:spacing w:line="280" w:lineRule="exact"/>
              <w:ind w:firstLine="0" w:firstLineChars="0"/>
              <w:jc w:val="center"/>
              <w:rPr>
                <w:kern w:val="0"/>
                <w:sz w:val="24"/>
                <w:szCs w:val="24"/>
              </w:rPr>
            </w:pPr>
            <w:r>
              <w:rPr>
                <w:kern w:val="0"/>
                <w:sz w:val="24"/>
                <w:szCs w:val="24"/>
              </w:rPr>
              <w:t>台</w:t>
            </w:r>
          </w:p>
        </w:tc>
        <w:tc>
          <w:tcPr>
            <w:tcW w:w="1417" w:type="dxa"/>
            <w:tcBorders>
              <w:top w:val="nil"/>
              <w:left w:val="nil"/>
              <w:bottom w:val="single" w:color="auto" w:sz="4" w:space="0"/>
              <w:right w:val="single" w:color="auto" w:sz="4" w:space="0"/>
            </w:tcBorders>
            <w:shd w:val="clear" w:color="auto" w:fill="auto"/>
            <w:vAlign w:val="center"/>
          </w:tcPr>
          <w:p w14:paraId="56631DDC">
            <w:pPr>
              <w:widowControl/>
              <w:spacing w:line="280" w:lineRule="exact"/>
              <w:ind w:firstLine="0" w:firstLineChars="0"/>
              <w:jc w:val="center"/>
              <w:rPr>
                <w:kern w:val="0"/>
                <w:sz w:val="24"/>
                <w:szCs w:val="24"/>
              </w:rPr>
            </w:pPr>
            <w:r>
              <w:rPr>
                <w:kern w:val="0"/>
                <w:sz w:val="24"/>
                <w:szCs w:val="24"/>
              </w:rPr>
              <w:t>1</w:t>
            </w:r>
          </w:p>
        </w:tc>
        <w:tc>
          <w:tcPr>
            <w:tcW w:w="1020" w:type="dxa"/>
            <w:tcBorders>
              <w:top w:val="nil"/>
              <w:left w:val="nil"/>
              <w:bottom w:val="single" w:color="auto" w:sz="4" w:space="0"/>
              <w:right w:val="single" w:color="auto" w:sz="4" w:space="0"/>
            </w:tcBorders>
            <w:shd w:val="clear" w:color="auto" w:fill="auto"/>
            <w:vAlign w:val="center"/>
          </w:tcPr>
          <w:p w14:paraId="1D0B524C">
            <w:pPr>
              <w:widowControl/>
              <w:spacing w:line="280" w:lineRule="exact"/>
              <w:ind w:firstLine="0" w:firstLineChars="0"/>
              <w:jc w:val="center"/>
              <w:rPr>
                <w:kern w:val="0"/>
                <w:sz w:val="24"/>
                <w:szCs w:val="24"/>
              </w:rPr>
            </w:pPr>
          </w:p>
        </w:tc>
      </w:tr>
      <w:tr w14:paraId="2B5D9318">
        <w:tblPrEx>
          <w:tblCellMar>
            <w:top w:w="0" w:type="dxa"/>
            <w:left w:w="108" w:type="dxa"/>
            <w:bottom w:w="0" w:type="dxa"/>
            <w:right w:w="108" w:type="dxa"/>
          </w:tblCellMar>
        </w:tblPrEx>
        <w:trPr>
          <w:trHeight w:val="300" w:hRule="atLeast"/>
          <w:jc w:val="center"/>
        </w:trPr>
        <w:tc>
          <w:tcPr>
            <w:tcW w:w="1080" w:type="dxa"/>
            <w:tcBorders>
              <w:top w:val="nil"/>
              <w:left w:val="single" w:color="auto" w:sz="4" w:space="0"/>
              <w:bottom w:val="single" w:color="auto" w:sz="4" w:space="0"/>
              <w:right w:val="single" w:color="auto" w:sz="4" w:space="0"/>
            </w:tcBorders>
            <w:shd w:val="clear" w:color="auto" w:fill="auto"/>
            <w:vAlign w:val="center"/>
          </w:tcPr>
          <w:p w14:paraId="36CE60D9">
            <w:pPr>
              <w:widowControl/>
              <w:spacing w:line="280" w:lineRule="exact"/>
              <w:ind w:firstLine="0" w:firstLineChars="0"/>
              <w:jc w:val="center"/>
              <w:rPr>
                <w:kern w:val="0"/>
                <w:sz w:val="24"/>
                <w:szCs w:val="24"/>
              </w:rPr>
            </w:pPr>
            <w:r>
              <w:rPr>
                <w:kern w:val="0"/>
                <w:sz w:val="24"/>
                <w:szCs w:val="24"/>
              </w:rPr>
              <w:t>5</w:t>
            </w:r>
          </w:p>
        </w:tc>
        <w:tc>
          <w:tcPr>
            <w:tcW w:w="3310" w:type="dxa"/>
            <w:tcBorders>
              <w:top w:val="nil"/>
              <w:left w:val="nil"/>
              <w:bottom w:val="single" w:color="auto" w:sz="4" w:space="0"/>
              <w:right w:val="single" w:color="auto" w:sz="4" w:space="0"/>
            </w:tcBorders>
            <w:shd w:val="clear" w:color="auto" w:fill="auto"/>
            <w:vAlign w:val="center"/>
          </w:tcPr>
          <w:p w14:paraId="7B8780DD">
            <w:pPr>
              <w:widowControl/>
              <w:spacing w:line="280" w:lineRule="exact"/>
              <w:ind w:firstLine="0" w:firstLineChars="0"/>
              <w:jc w:val="center"/>
              <w:rPr>
                <w:kern w:val="0"/>
                <w:sz w:val="24"/>
                <w:szCs w:val="24"/>
              </w:rPr>
            </w:pPr>
            <w:r>
              <w:rPr>
                <w:kern w:val="0"/>
                <w:sz w:val="24"/>
                <w:szCs w:val="24"/>
              </w:rPr>
              <w:t>南方银河6三星RTK</w:t>
            </w:r>
          </w:p>
        </w:tc>
        <w:tc>
          <w:tcPr>
            <w:tcW w:w="1134" w:type="dxa"/>
            <w:tcBorders>
              <w:top w:val="nil"/>
              <w:left w:val="nil"/>
              <w:bottom w:val="single" w:color="auto" w:sz="4" w:space="0"/>
              <w:right w:val="single" w:color="auto" w:sz="4" w:space="0"/>
            </w:tcBorders>
            <w:shd w:val="clear" w:color="auto" w:fill="auto"/>
            <w:vAlign w:val="center"/>
          </w:tcPr>
          <w:p w14:paraId="0D3F976A">
            <w:pPr>
              <w:widowControl/>
              <w:spacing w:line="280" w:lineRule="exact"/>
              <w:ind w:firstLine="0" w:firstLineChars="0"/>
              <w:jc w:val="center"/>
              <w:rPr>
                <w:kern w:val="0"/>
                <w:sz w:val="24"/>
                <w:szCs w:val="24"/>
              </w:rPr>
            </w:pPr>
            <w:r>
              <w:rPr>
                <w:kern w:val="0"/>
                <w:sz w:val="24"/>
                <w:szCs w:val="24"/>
              </w:rPr>
              <w:t>台套</w:t>
            </w:r>
          </w:p>
        </w:tc>
        <w:tc>
          <w:tcPr>
            <w:tcW w:w="1417" w:type="dxa"/>
            <w:tcBorders>
              <w:top w:val="nil"/>
              <w:left w:val="nil"/>
              <w:bottom w:val="single" w:color="auto" w:sz="4" w:space="0"/>
              <w:right w:val="single" w:color="auto" w:sz="4" w:space="0"/>
            </w:tcBorders>
            <w:shd w:val="clear" w:color="auto" w:fill="auto"/>
            <w:vAlign w:val="center"/>
          </w:tcPr>
          <w:p w14:paraId="403123D4">
            <w:pPr>
              <w:widowControl/>
              <w:spacing w:line="280" w:lineRule="exact"/>
              <w:ind w:firstLine="0" w:firstLineChars="0"/>
              <w:jc w:val="center"/>
              <w:rPr>
                <w:kern w:val="0"/>
                <w:sz w:val="24"/>
                <w:szCs w:val="24"/>
              </w:rPr>
            </w:pPr>
            <w:r>
              <w:rPr>
                <w:kern w:val="0"/>
                <w:sz w:val="24"/>
                <w:szCs w:val="24"/>
              </w:rPr>
              <w:t>2</w:t>
            </w:r>
          </w:p>
        </w:tc>
        <w:tc>
          <w:tcPr>
            <w:tcW w:w="1020" w:type="dxa"/>
            <w:tcBorders>
              <w:top w:val="nil"/>
              <w:left w:val="nil"/>
              <w:bottom w:val="single" w:color="auto" w:sz="4" w:space="0"/>
              <w:right w:val="single" w:color="auto" w:sz="4" w:space="0"/>
            </w:tcBorders>
            <w:shd w:val="clear" w:color="auto" w:fill="auto"/>
            <w:vAlign w:val="center"/>
          </w:tcPr>
          <w:p w14:paraId="35E5B25A">
            <w:pPr>
              <w:widowControl/>
              <w:spacing w:line="280" w:lineRule="exact"/>
              <w:ind w:firstLine="0" w:firstLineChars="0"/>
              <w:jc w:val="center"/>
              <w:rPr>
                <w:kern w:val="0"/>
                <w:sz w:val="24"/>
                <w:szCs w:val="24"/>
              </w:rPr>
            </w:pPr>
          </w:p>
        </w:tc>
      </w:tr>
      <w:tr w14:paraId="3E99146D">
        <w:tblPrEx>
          <w:tblCellMar>
            <w:top w:w="0" w:type="dxa"/>
            <w:left w:w="108" w:type="dxa"/>
            <w:bottom w:w="0" w:type="dxa"/>
            <w:right w:w="108" w:type="dxa"/>
          </w:tblCellMar>
        </w:tblPrEx>
        <w:trPr>
          <w:trHeight w:val="300" w:hRule="atLeast"/>
          <w:jc w:val="center"/>
        </w:trPr>
        <w:tc>
          <w:tcPr>
            <w:tcW w:w="1080" w:type="dxa"/>
            <w:tcBorders>
              <w:top w:val="nil"/>
              <w:left w:val="single" w:color="auto" w:sz="4" w:space="0"/>
              <w:bottom w:val="single" w:color="auto" w:sz="4" w:space="0"/>
              <w:right w:val="single" w:color="auto" w:sz="4" w:space="0"/>
            </w:tcBorders>
            <w:shd w:val="clear" w:color="auto" w:fill="auto"/>
            <w:vAlign w:val="center"/>
          </w:tcPr>
          <w:p w14:paraId="65AB25DD">
            <w:pPr>
              <w:widowControl/>
              <w:spacing w:line="280" w:lineRule="exact"/>
              <w:ind w:firstLine="0" w:firstLineChars="0"/>
              <w:jc w:val="center"/>
              <w:rPr>
                <w:kern w:val="0"/>
                <w:sz w:val="24"/>
                <w:szCs w:val="24"/>
              </w:rPr>
            </w:pPr>
            <w:r>
              <w:rPr>
                <w:kern w:val="0"/>
                <w:sz w:val="24"/>
                <w:szCs w:val="24"/>
              </w:rPr>
              <w:t>6</w:t>
            </w:r>
          </w:p>
        </w:tc>
        <w:tc>
          <w:tcPr>
            <w:tcW w:w="3310" w:type="dxa"/>
            <w:tcBorders>
              <w:top w:val="nil"/>
              <w:left w:val="nil"/>
              <w:bottom w:val="single" w:color="auto" w:sz="4" w:space="0"/>
              <w:right w:val="single" w:color="auto" w:sz="4" w:space="0"/>
            </w:tcBorders>
            <w:shd w:val="clear" w:color="auto" w:fill="auto"/>
            <w:vAlign w:val="center"/>
          </w:tcPr>
          <w:p w14:paraId="08B61793">
            <w:pPr>
              <w:widowControl/>
              <w:spacing w:line="280" w:lineRule="exact"/>
              <w:ind w:firstLine="0" w:firstLineChars="0"/>
              <w:jc w:val="center"/>
              <w:rPr>
                <w:kern w:val="0"/>
                <w:sz w:val="24"/>
                <w:szCs w:val="24"/>
              </w:rPr>
            </w:pPr>
            <w:r>
              <w:rPr>
                <w:kern w:val="0"/>
                <w:sz w:val="24"/>
                <w:szCs w:val="24"/>
              </w:rPr>
              <w:t>GNSS接收机（中海达V30）</w:t>
            </w:r>
          </w:p>
        </w:tc>
        <w:tc>
          <w:tcPr>
            <w:tcW w:w="1134" w:type="dxa"/>
            <w:tcBorders>
              <w:top w:val="nil"/>
              <w:left w:val="nil"/>
              <w:bottom w:val="single" w:color="auto" w:sz="4" w:space="0"/>
              <w:right w:val="single" w:color="auto" w:sz="4" w:space="0"/>
            </w:tcBorders>
            <w:shd w:val="clear" w:color="auto" w:fill="auto"/>
            <w:vAlign w:val="center"/>
          </w:tcPr>
          <w:p w14:paraId="68429A85">
            <w:pPr>
              <w:widowControl/>
              <w:spacing w:line="280" w:lineRule="exact"/>
              <w:ind w:firstLine="0" w:firstLineChars="0"/>
              <w:jc w:val="center"/>
              <w:rPr>
                <w:kern w:val="0"/>
                <w:sz w:val="24"/>
                <w:szCs w:val="24"/>
              </w:rPr>
            </w:pPr>
            <w:r>
              <w:rPr>
                <w:kern w:val="0"/>
                <w:sz w:val="24"/>
                <w:szCs w:val="24"/>
              </w:rPr>
              <w:t>台套</w:t>
            </w:r>
          </w:p>
        </w:tc>
        <w:tc>
          <w:tcPr>
            <w:tcW w:w="1417" w:type="dxa"/>
            <w:tcBorders>
              <w:top w:val="nil"/>
              <w:left w:val="nil"/>
              <w:bottom w:val="single" w:color="auto" w:sz="4" w:space="0"/>
              <w:right w:val="single" w:color="auto" w:sz="4" w:space="0"/>
            </w:tcBorders>
            <w:shd w:val="clear" w:color="auto" w:fill="auto"/>
            <w:vAlign w:val="center"/>
          </w:tcPr>
          <w:p w14:paraId="1B20660A">
            <w:pPr>
              <w:widowControl/>
              <w:spacing w:line="280" w:lineRule="exact"/>
              <w:ind w:firstLine="0" w:firstLineChars="0"/>
              <w:jc w:val="center"/>
              <w:rPr>
                <w:kern w:val="0"/>
                <w:sz w:val="24"/>
                <w:szCs w:val="24"/>
              </w:rPr>
            </w:pPr>
            <w:r>
              <w:rPr>
                <w:kern w:val="0"/>
                <w:sz w:val="24"/>
                <w:szCs w:val="24"/>
              </w:rPr>
              <w:t>1</w:t>
            </w:r>
          </w:p>
        </w:tc>
        <w:tc>
          <w:tcPr>
            <w:tcW w:w="1020" w:type="dxa"/>
            <w:tcBorders>
              <w:top w:val="nil"/>
              <w:left w:val="nil"/>
              <w:bottom w:val="single" w:color="auto" w:sz="4" w:space="0"/>
              <w:right w:val="single" w:color="auto" w:sz="4" w:space="0"/>
            </w:tcBorders>
            <w:shd w:val="clear" w:color="auto" w:fill="auto"/>
            <w:vAlign w:val="center"/>
          </w:tcPr>
          <w:p w14:paraId="6B138316">
            <w:pPr>
              <w:widowControl/>
              <w:spacing w:line="280" w:lineRule="exact"/>
              <w:ind w:firstLine="0" w:firstLineChars="0"/>
              <w:jc w:val="center"/>
              <w:rPr>
                <w:kern w:val="0"/>
                <w:sz w:val="24"/>
                <w:szCs w:val="24"/>
              </w:rPr>
            </w:pPr>
          </w:p>
        </w:tc>
      </w:tr>
      <w:tr w14:paraId="6CF3EEE9">
        <w:tblPrEx>
          <w:tblCellMar>
            <w:top w:w="0" w:type="dxa"/>
            <w:left w:w="108" w:type="dxa"/>
            <w:bottom w:w="0" w:type="dxa"/>
            <w:right w:w="108" w:type="dxa"/>
          </w:tblCellMar>
        </w:tblPrEx>
        <w:trPr>
          <w:trHeight w:val="300" w:hRule="atLeast"/>
          <w:jc w:val="center"/>
        </w:trPr>
        <w:tc>
          <w:tcPr>
            <w:tcW w:w="1080" w:type="dxa"/>
            <w:tcBorders>
              <w:top w:val="nil"/>
              <w:left w:val="single" w:color="auto" w:sz="4" w:space="0"/>
              <w:bottom w:val="single" w:color="auto" w:sz="4" w:space="0"/>
              <w:right w:val="single" w:color="auto" w:sz="4" w:space="0"/>
            </w:tcBorders>
            <w:shd w:val="clear" w:color="auto" w:fill="auto"/>
            <w:vAlign w:val="center"/>
          </w:tcPr>
          <w:p w14:paraId="00252FD5">
            <w:pPr>
              <w:widowControl/>
              <w:spacing w:line="280" w:lineRule="exact"/>
              <w:ind w:firstLine="0" w:firstLineChars="0"/>
              <w:jc w:val="center"/>
              <w:rPr>
                <w:kern w:val="0"/>
                <w:sz w:val="24"/>
                <w:szCs w:val="24"/>
              </w:rPr>
            </w:pPr>
            <w:r>
              <w:rPr>
                <w:kern w:val="0"/>
                <w:sz w:val="24"/>
                <w:szCs w:val="24"/>
              </w:rPr>
              <w:t>7</w:t>
            </w:r>
          </w:p>
        </w:tc>
        <w:tc>
          <w:tcPr>
            <w:tcW w:w="3310" w:type="dxa"/>
            <w:tcBorders>
              <w:top w:val="nil"/>
              <w:left w:val="nil"/>
              <w:bottom w:val="single" w:color="auto" w:sz="4" w:space="0"/>
              <w:right w:val="single" w:color="auto" w:sz="4" w:space="0"/>
            </w:tcBorders>
            <w:shd w:val="clear" w:color="auto" w:fill="auto"/>
            <w:vAlign w:val="center"/>
          </w:tcPr>
          <w:p w14:paraId="5C5F5090">
            <w:pPr>
              <w:widowControl/>
              <w:spacing w:line="280" w:lineRule="exact"/>
              <w:ind w:firstLine="0" w:firstLineChars="0"/>
              <w:jc w:val="center"/>
              <w:rPr>
                <w:kern w:val="0"/>
                <w:sz w:val="24"/>
                <w:szCs w:val="24"/>
              </w:rPr>
            </w:pPr>
            <w:r>
              <w:rPr>
                <w:kern w:val="0"/>
                <w:sz w:val="24"/>
                <w:szCs w:val="24"/>
              </w:rPr>
              <w:t>GPS</w:t>
            </w:r>
          </w:p>
        </w:tc>
        <w:tc>
          <w:tcPr>
            <w:tcW w:w="1134" w:type="dxa"/>
            <w:tcBorders>
              <w:top w:val="nil"/>
              <w:left w:val="nil"/>
              <w:bottom w:val="single" w:color="auto" w:sz="4" w:space="0"/>
              <w:right w:val="single" w:color="auto" w:sz="4" w:space="0"/>
            </w:tcBorders>
            <w:shd w:val="clear" w:color="auto" w:fill="auto"/>
            <w:vAlign w:val="center"/>
          </w:tcPr>
          <w:p w14:paraId="7B02D1B3">
            <w:pPr>
              <w:widowControl/>
              <w:spacing w:line="280" w:lineRule="exact"/>
              <w:ind w:firstLine="0" w:firstLineChars="0"/>
              <w:jc w:val="center"/>
              <w:rPr>
                <w:kern w:val="0"/>
                <w:sz w:val="24"/>
                <w:szCs w:val="24"/>
              </w:rPr>
            </w:pPr>
            <w:r>
              <w:rPr>
                <w:kern w:val="0"/>
                <w:sz w:val="24"/>
                <w:szCs w:val="24"/>
              </w:rPr>
              <w:t>台</w:t>
            </w:r>
          </w:p>
        </w:tc>
        <w:tc>
          <w:tcPr>
            <w:tcW w:w="1417" w:type="dxa"/>
            <w:tcBorders>
              <w:top w:val="nil"/>
              <w:left w:val="nil"/>
              <w:bottom w:val="single" w:color="auto" w:sz="4" w:space="0"/>
              <w:right w:val="single" w:color="auto" w:sz="4" w:space="0"/>
            </w:tcBorders>
            <w:shd w:val="clear" w:color="auto" w:fill="auto"/>
            <w:vAlign w:val="center"/>
          </w:tcPr>
          <w:p w14:paraId="180A8CD6">
            <w:pPr>
              <w:widowControl/>
              <w:spacing w:line="280" w:lineRule="exact"/>
              <w:ind w:firstLine="0" w:firstLineChars="0"/>
              <w:jc w:val="center"/>
              <w:rPr>
                <w:kern w:val="0"/>
                <w:sz w:val="24"/>
                <w:szCs w:val="24"/>
              </w:rPr>
            </w:pPr>
            <w:r>
              <w:rPr>
                <w:kern w:val="0"/>
                <w:sz w:val="24"/>
                <w:szCs w:val="24"/>
              </w:rPr>
              <w:t>6</w:t>
            </w:r>
          </w:p>
        </w:tc>
        <w:tc>
          <w:tcPr>
            <w:tcW w:w="1020" w:type="dxa"/>
            <w:tcBorders>
              <w:top w:val="nil"/>
              <w:left w:val="nil"/>
              <w:bottom w:val="single" w:color="auto" w:sz="4" w:space="0"/>
              <w:right w:val="single" w:color="auto" w:sz="4" w:space="0"/>
            </w:tcBorders>
            <w:shd w:val="clear" w:color="auto" w:fill="auto"/>
            <w:vAlign w:val="center"/>
          </w:tcPr>
          <w:p w14:paraId="61BCC332">
            <w:pPr>
              <w:widowControl/>
              <w:spacing w:line="280" w:lineRule="exact"/>
              <w:ind w:firstLine="0" w:firstLineChars="0"/>
              <w:jc w:val="center"/>
              <w:rPr>
                <w:kern w:val="0"/>
                <w:sz w:val="24"/>
                <w:szCs w:val="24"/>
              </w:rPr>
            </w:pPr>
          </w:p>
        </w:tc>
      </w:tr>
      <w:tr w14:paraId="0C4D50E9">
        <w:tblPrEx>
          <w:tblCellMar>
            <w:top w:w="0" w:type="dxa"/>
            <w:left w:w="108" w:type="dxa"/>
            <w:bottom w:w="0" w:type="dxa"/>
            <w:right w:w="108" w:type="dxa"/>
          </w:tblCellMar>
        </w:tblPrEx>
        <w:trPr>
          <w:trHeight w:val="300" w:hRule="atLeast"/>
          <w:jc w:val="center"/>
        </w:trPr>
        <w:tc>
          <w:tcPr>
            <w:tcW w:w="1080" w:type="dxa"/>
            <w:tcBorders>
              <w:top w:val="nil"/>
              <w:left w:val="single" w:color="auto" w:sz="4" w:space="0"/>
              <w:bottom w:val="single" w:color="auto" w:sz="4" w:space="0"/>
              <w:right w:val="single" w:color="auto" w:sz="4" w:space="0"/>
            </w:tcBorders>
            <w:shd w:val="clear" w:color="auto" w:fill="auto"/>
            <w:vAlign w:val="center"/>
          </w:tcPr>
          <w:p w14:paraId="575581A7">
            <w:pPr>
              <w:widowControl/>
              <w:spacing w:line="280" w:lineRule="exact"/>
              <w:ind w:firstLine="0" w:firstLineChars="0"/>
              <w:jc w:val="center"/>
              <w:rPr>
                <w:kern w:val="0"/>
                <w:sz w:val="24"/>
                <w:szCs w:val="24"/>
              </w:rPr>
            </w:pPr>
            <w:r>
              <w:rPr>
                <w:kern w:val="0"/>
                <w:sz w:val="24"/>
                <w:szCs w:val="24"/>
              </w:rPr>
              <w:t>8</w:t>
            </w:r>
          </w:p>
        </w:tc>
        <w:tc>
          <w:tcPr>
            <w:tcW w:w="3310" w:type="dxa"/>
            <w:tcBorders>
              <w:top w:val="nil"/>
              <w:left w:val="nil"/>
              <w:bottom w:val="single" w:color="auto" w:sz="4" w:space="0"/>
              <w:right w:val="single" w:color="auto" w:sz="4" w:space="0"/>
            </w:tcBorders>
            <w:shd w:val="clear" w:color="auto" w:fill="auto"/>
            <w:vAlign w:val="center"/>
          </w:tcPr>
          <w:p w14:paraId="1F2BF437">
            <w:pPr>
              <w:widowControl/>
              <w:spacing w:line="280" w:lineRule="exact"/>
              <w:ind w:firstLine="0" w:firstLineChars="0"/>
              <w:jc w:val="center"/>
              <w:rPr>
                <w:kern w:val="0"/>
                <w:sz w:val="24"/>
                <w:szCs w:val="24"/>
              </w:rPr>
            </w:pPr>
            <w:r>
              <w:rPr>
                <w:kern w:val="0"/>
                <w:sz w:val="24"/>
                <w:szCs w:val="24"/>
              </w:rPr>
              <w:t>照相机</w:t>
            </w:r>
          </w:p>
        </w:tc>
        <w:tc>
          <w:tcPr>
            <w:tcW w:w="1134" w:type="dxa"/>
            <w:tcBorders>
              <w:top w:val="nil"/>
              <w:left w:val="nil"/>
              <w:bottom w:val="single" w:color="auto" w:sz="4" w:space="0"/>
              <w:right w:val="single" w:color="auto" w:sz="4" w:space="0"/>
            </w:tcBorders>
            <w:shd w:val="clear" w:color="auto" w:fill="auto"/>
            <w:vAlign w:val="center"/>
          </w:tcPr>
          <w:p w14:paraId="3D6A8DCE">
            <w:pPr>
              <w:widowControl/>
              <w:spacing w:line="280" w:lineRule="exact"/>
              <w:ind w:firstLine="0" w:firstLineChars="0"/>
              <w:jc w:val="center"/>
              <w:rPr>
                <w:kern w:val="0"/>
                <w:sz w:val="24"/>
                <w:szCs w:val="24"/>
              </w:rPr>
            </w:pPr>
            <w:r>
              <w:rPr>
                <w:kern w:val="0"/>
                <w:sz w:val="24"/>
                <w:szCs w:val="24"/>
              </w:rPr>
              <w:t>台</w:t>
            </w:r>
          </w:p>
        </w:tc>
        <w:tc>
          <w:tcPr>
            <w:tcW w:w="1417" w:type="dxa"/>
            <w:tcBorders>
              <w:top w:val="nil"/>
              <w:left w:val="nil"/>
              <w:bottom w:val="single" w:color="auto" w:sz="4" w:space="0"/>
              <w:right w:val="single" w:color="auto" w:sz="4" w:space="0"/>
            </w:tcBorders>
            <w:shd w:val="clear" w:color="auto" w:fill="auto"/>
            <w:vAlign w:val="center"/>
          </w:tcPr>
          <w:p w14:paraId="525C21F4">
            <w:pPr>
              <w:widowControl/>
              <w:spacing w:line="280" w:lineRule="exact"/>
              <w:ind w:firstLine="0" w:firstLineChars="0"/>
              <w:jc w:val="center"/>
              <w:rPr>
                <w:kern w:val="0"/>
                <w:sz w:val="24"/>
                <w:szCs w:val="24"/>
              </w:rPr>
            </w:pPr>
            <w:r>
              <w:rPr>
                <w:kern w:val="0"/>
                <w:sz w:val="24"/>
                <w:szCs w:val="24"/>
              </w:rPr>
              <w:t>2</w:t>
            </w:r>
          </w:p>
        </w:tc>
        <w:tc>
          <w:tcPr>
            <w:tcW w:w="1020" w:type="dxa"/>
            <w:tcBorders>
              <w:top w:val="nil"/>
              <w:left w:val="nil"/>
              <w:bottom w:val="single" w:color="auto" w:sz="4" w:space="0"/>
              <w:right w:val="single" w:color="auto" w:sz="4" w:space="0"/>
            </w:tcBorders>
            <w:shd w:val="clear" w:color="auto" w:fill="auto"/>
            <w:vAlign w:val="center"/>
          </w:tcPr>
          <w:p w14:paraId="76A9DBDE">
            <w:pPr>
              <w:widowControl/>
              <w:spacing w:line="280" w:lineRule="exact"/>
              <w:ind w:firstLine="0" w:firstLineChars="0"/>
              <w:jc w:val="center"/>
              <w:rPr>
                <w:kern w:val="0"/>
                <w:sz w:val="24"/>
                <w:szCs w:val="24"/>
              </w:rPr>
            </w:pPr>
          </w:p>
        </w:tc>
      </w:tr>
      <w:tr w14:paraId="0B8A42F8">
        <w:tblPrEx>
          <w:tblCellMar>
            <w:top w:w="0" w:type="dxa"/>
            <w:left w:w="108" w:type="dxa"/>
            <w:bottom w:w="0" w:type="dxa"/>
            <w:right w:w="108" w:type="dxa"/>
          </w:tblCellMar>
        </w:tblPrEx>
        <w:trPr>
          <w:trHeight w:val="300" w:hRule="atLeast"/>
          <w:jc w:val="center"/>
        </w:trPr>
        <w:tc>
          <w:tcPr>
            <w:tcW w:w="1080" w:type="dxa"/>
            <w:tcBorders>
              <w:top w:val="nil"/>
              <w:left w:val="single" w:color="auto" w:sz="4" w:space="0"/>
              <w:bottom w:val="single" w:color="auto" w:sz="4" w:space="0"/>
              <w:right w:val="single" w:color="auto" w:sz="4" w:space="0"/>
            </w:tcBorders>
            <w:shd w:val="clear" w:color="auto" w:fill="auto"/>
            <w:vAlign w:val="center"/>
          </w:tcPr>
          <w:p w14:paraId="358FB60F">
            <w:pPr>
              <w:widowControl/>
              <w:spacing w:line="280" w:lineRule="exact"/>
              <w:ind w:firstLine="0" w:firstLineChars="0"/>
              <w:jc w:val="center"/>
              <w:rPr>
                <w:kern w:val="0"/>
                <w:sz w:val="24"/>
                <w:szCs w:val="24"/>
              </w:rPr>
            </w:pPr>
            <w:r>
              <w:rPr>
                <w:kern w:val="0"/>
                <w:sz w:val="24"/>
                <w:szCs w:val="24"/>
              </w:rPr>
              <w:t>9</w:t>
            </w:r>
          </w:p>
        </w:tc>
        <w:tc>
          <w:tcPr>
            <w:tcW w:w="3310" w:type="dxa"/>
            <w:tcBorders>
              <w:top w:val="nil"/>
              <w:left w:val="nil"/>
              <w:bottom w:val="single" w:color="auto" w:sz="4" w:space="0"/>
              <w:right w:val="single" w:color="auto" w:sz="4" w:space="0"/>
            </w:tcBorders>
            <w:shd w:val="clear" w:color="auto" w:fill="auto"/>
            <w:vAlign w:val="center"/>
          </w:tcPr>
          <w:p w14:paraId="710AB3E3">
            <w:pPr>
              <w:widowControl/>
              <w:spacing w:line="280" w:lineRule="exact"/>
              <w:ind w:firstLine="0" w:firstLineChars="0"/>
              <w:jc w:val="center"/>
              <w:rPr>
                <w:kern w:val="0"/>
                <w:sz w:val="24"/>
                <w:szCs w:val="24"/>
              </w:rPr>
            </w:pPr>
            <w:r>
              <w:rPr>
                <w:kern w:val="0"/>
                <w:sz w:val="24"/>
                <w:szCs w:val="24"/>
              </w:rPr>
              <w:t>扫描仪</w:t>
            </w:r>
          </w:p>
        </w:tc>
        <w:tc>
          <w:tcPr>
            <w:tcW w:w="1134" w:type="dxa"/>
            <w:tcBorders>
              <w:top w:val="nil"/>
              <w:left w:val="nil"/>
              <w:bottom w:val="single" w:color="auto" w:sz="4" w:space="0"/>
              <w:right w:val="single" w:color="auto" w:sz="4" w:space="0"/>
            </w:tcBorders>
            <w:shd w:val="clear" w:color="auto" w:fill="auto"/>
            <w:vAlign w:val="center"/>
          </w:tcPr>
          <w:p w14:paraId="72EA7CCF">
            <w:pPr>
              <w:widowControl/>
              <w:spacing w:line="280" w:lineRule="exact"/>
              <w:ind w:firstLine="0" w:firstLineChars="0"/>
              <w:jc w:val="center"/>
              <w:rPr>
                <w:kern w:val="0"/>
                <w:sz w:val="24"/>
                <w:szCs w:val="24"/>
              </w:rPr>
            </w:pPr>
            <w:r>
              <w:rPr>
                <w:kern w:val="0"/>
                <w:sz w:val="24"/>
                <w:szCs w:val="24"/>
              </w:rPr>
              <w:t>台</w:t>
            </w:r>
          </w:p>
        </w:tc>
        <w:tc>
          <w:tcPr>
            <w:tcW w:w="1417" w:type="dxa"/>
            <w:tcBorders>
              <w:top w:val="nil"/>
              <w:left w:val="nil"/>
              <w:bottom w:val="single" w:color="auto" w:sz="4" w:space="0"/>
              <w:right w:val="single" w:color="auto" w:sz="4" w:space="0"/>
            </w:tcBorders>
            <w:shd w:val="clear" w:color="auto" w:fill="auto"/>
            <w:vAlign w:val="center"/>
          </w:tcPr>
          <w:p w14:paraId="18A4BC93">
            <w:pPr>
              <w:widowControl/>
              <w:spacing w:line="280" w:lineRule="exact"/>
              <w:ind w:firstLine="0" w:firstLineChars="0"/>
              <w:jc w:val="center"/>
              <w:rPr>
                <w:kern w:val="0"/>
                <w:sz w:val="24"/>
                <w:szCs w:val="24"/>
              </w:rPr>
            </w:pPr>
            <w:r>
              <w:rPr>
                <w:kern w:val="0"/>
                <w:sz w:val="24"/>
                <w:szCs w:val="24"/>
              </w:rPr>
              <w:t>2</w:t>
            </w:r>
          </w:p>
        </w:tc>
        <w:tc>
          <w:tcPr>
            <w:tcW w:w="1020" w:type="dxa"/>
            <w:tcBorders>
              <w:top w:val="nil"/>
              <w:left w:val="nil"/>
              <w:bottom w:val="single" w:color="auto" w:sz="4" w:space="0"/>
              <w:right w:val="single" w:color="auto" w:sz="4" w:space="0"/>
            </w:tcBorders>
            <w:shd w:val="clear" w:color="auto" w:fill="auto"/>
            <w:vAlign w:val="center"/>
          </w:tcPr>
          <w:p w14:paraId="7B31514E">
            <w:pPr>
              <w:widowControl/>
              <w:spacing w:line="280" w:lineRule="exact"/>
              <w:ind w:firstLine="0" w:firstLineChars="0"/>
              <w:jc w:val="center"/>
              <w:rPr>
                <w:kern w:val="0"/>
                <w:sz w:val="24"/>
                <w:szCs w:val="24"/>
              </w:rPr>
            </w:pPr>
          </w:p>
        </w:tc>
      </w:tr>
      <w:tr w14:paraId="4D28EA5E">
        <w:tblPrEx>
          <w:tblCellMar>
            <w:top w:w="0" w:type="dxa"/>
            <w:left w:w="108" w:type="dxa"/>
            <w:bottom w:w="0" w:type="dxa"/>
            <w:right w:w="108" w:type="dxa"/>
          </w:tblCellMar>
        </w:tblPrEx>
        <w:trPr>
          <w:trHeight w:val="300" w:hRule="atLeast"/>
          <w:jc w:val="center"/>
        </w:trPr>
        <w:tc>
          <w:tcPr>
            <w:tcW w:w="1080" w:type="dxa"/>
            <w:tcBorders>
              <w:top w:val="nil"/>
              <w:left w:val="single" w:color="auto" w:sz="4" w:space="0"/>
              <w:bottom w:val="single" w:color="auto" w:sz="4" w:space="0"/>
              <w:right w:val="single" w:color="auto" w:sz="4" w:space="0"/>
            </w:tcBorders>
            <w:shd w:val="clear" w:color="auto" w:fill="auto"/>
            <w:vAlign w:val="center"/>
          </w:tcPr>
          <w:p w14:paraId="21E99A5E">
            <w:pPr>
              <w:widowControl/>
              <w:spacing w:line="280" w:lineRule="exact"/>
              <w:ind w:firstLine="0" w:firstLineChars="0"/>
              <w:jc w:val="center"/>
              <w:rPr>
                <w:kern w:val="0"/>
                <w:sz w:val="24"/>
                <w:szCs w:val="24"/>
              </w:rPr>
            </w:pPr>
            <w:r>
              <w:rPr>
                <w:kern w:val="0"/>
                <w:sz w:val="24"/>
                <w:szCs w:val="24"/>
              </w:rPr>
              <w:t>10</w:t>
            </w:r>
          </w:p>
        </w:tc>
        <w:tc>
          <w:tcPr>
            <w:tcW w:w="3310" w:type="dxa"/>
            <w:tcBorders>
              <w:top w:val="nil"/>
              <w:left w:val="nil"/>
              <w:bottom w:val="single" w:color="auto" w:sz="4" w:space="0"/>
              <w:right w:val="single" w:color="auto" w:sz="4" w:space="0"/>
            </w:tcBorders>
            <w:shd w:val="clear" w:color="auto" w:fill="auto"/>
            <w:vAlign w:val="center"/>
          </w:tcPr>
          <w:p w14:paraId="06EC247E">
            <w:pPr>
              <w:widowControl/>
              <w:spacing w:line="280" w:lineRule="exact"/>
              <w:ind w:firstLine="0" w:firstLineChars="0"/>
              <w:jc w:val="center"/>
              <w:rPr>
                <w:kern w:val="0"/>
                <w:sz w:val="24"/>
                <w:szCs w:val="24"/>
              </w:rPr>
            </w:pPr>
            <w:r>
              <w:rPr>
                <w:kern w:val="0"/>
                <w:sz w:val="24"/>
                <w:szCs w:val="24"/>
              </w:rPr>
              <w:t>打印机</w:t>
            </w:r>
          </w:p>
        </w:tc>
        <w:tc>
          <w:tcPr>
            <w:tcW w:w="1134" w:type="dxa"/>
            <w:tcBorders>
              <w:top w:val="nil"/>
              <w:left w:val="nil"/>
              <w:bottom w:val="single" w:color="auto" w:sz="4" w:space="0"/>
              <w:right w:val="single" w:color="auto" w:sz="4" w:space="0"/>
            </w:tcBorders>
            <w:shd w:val="clear" w:color="auto" w:fill="auto"/>
            <w:vAlign w:val="center"/>
          </w:tcPr>
          <w:p w14:paraId="4ED0FB75">
            <w:pPr>
              <w:widowControl/>
              <w:spacing w:line="280" w:lineRule="exact"/>
              <w:ind w:firstLine="0" w:firstLineChars="0"/>
              <w:jc w:val="center"/>
              <w:rPr>
                <w:kern w:val="0"/>
                <w:sz w:val="24"/>
                <w:szCs w:val="24"/>
              </w:rPr>
            </w:pPr>
            <w:r>
              <w:rPr>
                <w:kern w:val="0"/>
                <w:sz w:val="24"/>
                <w:szCs w:val="24"/>
              </w:rPr>
              <w:t>台</w:t>
            </w:r>
          </w:p>
        </w:tc>
        <w:tc>
          <w:tcPr>
            <w:tcW w:w="1417" w:type="dxa"/>
            <w:tcBorders>
              <w:top w:val="nil"/>
              <w:left w:val="nil"/>
              <w:bottom w:val="single" w:color="auto" w:sz="4" w:space="0"/>
              <w:right w:val="single" w:color="auto" w:sz="4" w:space="0"/>
            </w:tcBorders>
            <w:shd w:val="clear" w:color="auto" w:fill="auto"/>
            <w:vAlign w:val="center"/>
          </w:tcPr>
          <w:p w14:paraId="1B56817B">
            <w:pPr>
              <w:widowControl/>
              <w:spacing w:line="280" w:lineRule="exact"/>
              <w:ind w:firstLine="0" w:firstLineChars="0"/>
              <w:jc w:val="center"/>
              <w:rPr>
                <w:kern w:val="0"/>
                <w:sz w:val="24"/>
                <w:szCs w:val="24"/>
              </w:rPr>
            </w:pPr>
            <w:r>
              <w:rPr>
                <w:kern w:val="0"/>
                <w:sz w:val="24"/>
                <w:szCs w:val="24"/>
              </w:rPr>
              <w:t>1</w:t>
            </w:r>
          </w:p>
        </w:tc>
        <w:tc>
          <w:tcPr>
            <w:tcW w:w="1020" w:type="dxa"/>
            <w:tcBorders>
              <w:top w:val="nil"/>
              <w:left w:val="nil"/>
              <w:bottom w:val="single" w:color="auto" w:sz="4" w:space="0"/>
              <w:right w:val="single" w:color="auto" w:sz="4" w:space="0"/>
            </w:tcBorders>
            <w:shd w:val="clear" w:color="auto" w:fill="auto"/>
            <w:vAlign w:val="center"/>
          </w:tcPr>
          <w:p w14:paraId="70741908">
            <w:pPr>
              <w:widowControl/>
              <w:spacing w:line="280" w:lineRule="exact"/>
              <w:ind w:firstLine="0" w:firstLineChars="0"/>
              <w:jc w:val="center"/>
              <w:rPr>
                <w:kern w:val="0"/>
                <w:sz w:val="24"/>
                <w:szCs w:val="24"/>
              </w:rPr>
            </w:pPr>
          </w:p>
        </w:tc>
      </w:tr>
      <w:tr w14:paraId="3513604F">
        <w:tblPrEx>
          <w:tblCellMar>
            <w:top w:w="0" w:type="dxa"/>
            <w:left w:w="108" w:type="dxa"/>
            <w:bottom w:w="0" w:type="dxa"/>
            <w:right w:w="108" w:type="dxa"/>
          </w:tblCellMar>
        </w:tblPrEx>
        <w:trPr>
          <w:trHeight w:val="300" w:hRule="atLeast"/>
          <w:jc w:val="center"/>
        </w:trPr>
        <w:tc>
          <w:tcPr>
            <w:tcW w:w="1080" w:type="dxa"/>
            <w:tcBorders>
              <w:top w:val="nil"/>
              <w:left w:val="single" w:color="auto" w:sz="4" w:space="0"/>
              <w:bottom w:val="single" w:color="auto" w:sz="4" w:space="0"/>
              <w:right w:val="single" w:color="auto" w:sz="4" w:space="0"/>
            </w:tcBorders>
            <w:shd w:val="clear" w:color="auto" w:fill="auto"/>
            <w:vAlign w:val="center"/>
          </w:tcPr>
          <w:p w14:paraId="3FBA85A1">
            <w:pPr>
              <w:widowControl/>
              <w:spacing w:line="280" w:lineRule="exact"/>
              <w:ind w:firstLine="0" w:firstLineChars="0"/>
              <w:jc w:val="center"/>
              <w:rPr>
                <w:kern w:val="0"/>
                <w:sz w:val="24"/>
                <w:szCs w:val="24"/>
              </w:rPr>
            </w:pPr>
            <w:r>
              <w:rPr>
                <w:kern w:val="0"/>
                <w:sz w:val="24"/>
                <w:szCs w:val="24"/>
              </w:rPr>
              <w:t>11</w:t>
            </w:r>
          </w:p>
        </w:tc>
        <w:tc>
          <w:tcPr>
            <w:tcW w:w="3310" w:type="dxa"/>
            <w:tcBorders>
              <w:top w:val="nil"/>
              <w:left w:val="nil"/>
              <w:bottom w:val="single" w:color="auto" w:sz="4" w:space="0"/>
              <w:right w:val="single" w:color="auto" w:sz="4" w:space="0"/>
            </w:tcBorders>
            <w:shd w:val="clear" w:color="auto" w:fill="auto"/>
            <w:vAlign w:val="center"/>
          </w:tcPr>
          <w:p w14:paraId="2A1BC5AD">
            <w:pPr>
              <w:widowControl/>
              <w:spacing w:line="280" w:lineRule="exact"/>
              <w:ind w:firstLine="0" w:firstLineChars="0"/>
              <w:jc w:val="center"/>
              <w:rPr>
                <w:kern w:val="0"/>
                <w:sz w:val="24"/>
                <w:szCs w:val="24"/>
              </w:rPr>
            </w:pPr>
            <w:r>
              <w:rPr>
                <w:kern w:val="0"/>
                <w:sz w:val="24"/>
                <w:szCs w:val="24"/>
              </w:rPr>
              <w:t>汽车</w:t>
            </w:r>
          </w:p>
        </w:tc>
        <w:tc>
          <w:tcPr>
            <w:tcW w:w="1134" w:type="dxa"/>
            <w:tcBorders>
              <w:top w:val="nil"/>
              <w:left w:val="nil"/>
              <w:bottom w:val="single" w:color="auto" w:sz="4" w:space="0"/>
              <w:right w:val="single" w:color="auto" w:sz="4" w:space="0"/>
            </w:tcBorders>
            <w:shd w:val="clear" w:color="auto" w:fill="auto"/>
            <w:vAlign w:val="center"/>
          </w:tcPr>
          <w:p w14:paraId="0AD32D67">
            <w:pPr>
              <w:widowControl/>
              <w:spacing w:line="280" w:lineRule="exact"/>
              <w:ind w:firstLine="0" w:firstLineChars="0"/>
              <w:jc w:val="center"/>
              <w:rPr>
                <w:kern w:val="0"/>
                <w:sz w:val="24"/>
                <w:szCs w:val="24"/>
              </w:rPr>
            </w:pPr>
            <w:r>
              <w:rPr>
                <w:kern w:val="0"/>
                <w:sz w:val="24"/>
                <w:szCs w:val="24"/>
              </w:rPr>
              <w:t>辆</w:t>
            </w:r>
          </w:p>
        </w:tc>
        <w:tc>
          <w:tcPr>
            <w:tcW w:w="1417" w:type="dxa"/>
            <w:tcBorders>
              <w:top w:val="nil"/>
              <w:left w:val="nil"/>
              <w:bottom w:val="single" w:color="auto" w:sz="4" w:space="0"/>
              <w:right w:val="single" w:color="auto" w:sz="4" w:space="0"/>
            </w:tcBorders>
            <w:shd w:val="clear" w:color="auto" w:fill="auto"/>
            <w:vAlign w:val="center"/>
          </w:tcPr>
          <w:p w14:paraId="5E414C7A">
            <w:pPr>
              <w:widowControl/>
              <w:spacing w:line="280" w:lineRule="exact"/>
              <w:ind w:firstLine="0" w:firstLineChars="0"/>
              <w:jc w:val="center"/>
              <w:rPr>
                <w:kern w:val="0"/>
                <w:sz w:val="24"/>
                <w:szCs w:val="24"/>
              </w:rPr>
            </w:pPr>
            <w:r>
              <w:rPr>
                <w:kern w:val="0"/>
                <w:sz w:val="24"/>
                <w:szCs w:val="24"/>
              </w:rPr>
              <w:t>2</w:t>
            </w:r>
          </w:p>
        </w:tc>
        <w:tc>
          <w:tcPr>
            <w:tcW w:w="1020" w:type="dxa"/>
            <w:tcBorders>
              <w:top w:val="nil"/>
              <w:left w:val="nil"/>
              <w:bottom w:val="single" w:color="auto" w:sz="4" w:space="0"/>
              <w:right w:val="single" w:color="auto" w:sz="4" w:space="0"/>
            </w:tcBorders>
            <w:shd w:val="clear" w:color="auto" w:fill="auto"/>
            <w:vAlign w:val="center"/>
          </w:tcPr>
          <w:p w14:paraId="121C1A5A">
            <w:pPr>
              <w:widowControl/>
              <w:spacing w:line="280" w:lineRule="exact"/>
              <w:ind w:firstLine="0" w:firstLineChars="0"/>
              <w:jc w:val="center"/>
              <w:rPr>
                <w:kern w:val="0"/>
                <w:sz w:val="24"/>
                <w:szCs w:val="24"/>
              </w:rPr>
            </w:pPr>
          </w:p>
        </w:tc>
      </w:tr>
    </w:tbl>
    <w:p w14:paraId="18937EE1">
      <w:pPr>
        <w:ind w:firstLine="560"/>
        <w:rPr>
          <w:kern w:val="0"/>
          <w:szCs w:val="28"/>
        </w:rPr>
      </w:pPr>
    </w:p>
    <w:p w14:paraId="582C9709">
      <w:pPr>
        <w:pStyle w:val="4"/>
      </w:pPr>
      <w:bookmarkStart w:id="424" w:name="_Toc176901261"/>
      <w:bookmarkStart w:id="425" w:name="_Toc6012"/>
      <w:bookmarkStart w:id="426" w:name="_Toc13030"/>
      <w:bookmarkStart w:id="427" w:name="_Toc4497"/>
      <w:bookmarkStart w:id="428" w:name="_Toc176773730"/>
      <w:bookmarkStart w:id="429" w:name="_Toc14605"/>
      <w:r>
        <w:t>7.3 质量控制措施</w:t>
      </w:r>
      <w:bookmarkEnd w:id="424"/>
      <w:bookmarkEnd w:id="425"/>
      <w:bookmarkEnd w:id="426"/>
      <w:bookmarkEnd w:id="427"/>
      <w:bookmarkEnd w:id="428"/>
      <w:bookmarkEnd w:id="429"/>
    </w:p>
    <w:p w14:paraId="2C0B58C2">
      <w:pPr>
        <w:pStyle w:val="5"/>
      </w:pPr>
      <w:r>
        <w:t>7.3.1 质量管理体系</w:t>
      </w:r>
    </w:p>
    <w:p w14:paraId="6816914F">
      <w:pPr>
        <w:ind w:firstLine="560"/>
        <w:rPr>
          <w:kern w:val="0"/>
          <w:szCs w:val="28"/>
        </w:rPr>
      </w:pPr>
      <w:r>
        <w:rPr>
          <w:kern w:val="0"/>
          <w:szCs w:val="28"/>
        </w:rPr>
        <w:t>项目实施过程中，按照《地质勘查单位质量管理规范（DZ/T0251-2012）》建立的质量管理体系要求，结合《</w:t>
      </w:r>
      <w:r>
        <w:t>华润水泥（上思）有限公司龙大山矿区水泥用灰岩</w:t>
      </w:r>
      <w:r>
        <w:rPr>
          <w:szCs w:val="28"/>
        </w:rPr>
        <w:t>矿整合区</w:t>
      </w:r>
      <w:r>
        <w:rPr>
          <w:kern w:val="0"/>
          <w:szCs w:val="28"/>
        </w:rPr>
        <w:t>详查实施方案》中具体工作内容进行质量管理与监控，实施全面质量管理。</w:t>
      </w:r>
    </w:p>
    <w:p w14:paraId="7B26210E">
      <w:pPr>
        <w:pStyle w:val="5"/>
      </w:pPr>
      <w:r>
        <w:t>7.3.2 质量管理措施</w:t>
      </w:r>
    </w:p>
    <w:p w14:paraId="4C6BBBB4">
      <w:pPr>
        <w:ind w:firstLine="560"/>
      </w:pPr>
      <w:r>
        <w:t>按照质量、环境、职业安全体系要求，实行三级（公司级、部门、项目组）质量管理制度，明确各级职能，实行各级技术负责制、岗位责任制。总工办对项目质量负领导、监督、检查、初审的责任；部门技术负责及项目负责人对项目设计、施工及各项成果资料的质量负直接责任；项目野外作业组组长对原始资料质量和综合资料的质量负直接责任。实施过程中严格执行国家、行业的有关技术标准、技术要求：</w:t>
      </w:r>
    </w:p>
    <w:p w14:paraId="3F79EDFC">
      <w:pPr>
        <w:ind w:firstLine="560"/>
        <w:rPr>
          <w:kern w:val="0"/>
          <w:szCs w:val="28"/>
        </w:rPr>
      </w:pPr>
      <w:r>
        <w:rPr>
          <w:kern w:val="0"/>
          <w:szCs w:val="28"/>
        </w:rPr>
        <w:t>（1）严格执行《中国地质调查局地质调查项目管理办法(试行)》（中地调发〔2011〕18号）及地质调查项目相关管理规定，确保项目实施各环节符合质量要求。</w:t>
      </w:r>
    </w:p>
    <w:p w14:paraId="090DA7FC">
      <w:pPr>
        <w:ind w:firstLine="560"/>
        <w:rPr>
          <w:kern w:val="0"/>
          <w:szCs w:val="28"/>
        </w:rPr>
      </w:pPr>
      <w:r>
        <w:rPr>
          <w:kern w:val="0"/>
          <w:szCs w:val="28"/>
        </w:rPr>
        <w:t>（2）切实贯彻执行实施项目的技术质量管理要求，认真进行项目自检，并组织有关专家解决实施过程中的技术难点，选拔优秀的专业技术人才组成强有力的研究队伍，保证成果质量。</w:t>
      </w:r>
    </w:p>
    <w:p w14:paraId="1B5C4DF0">
      <w:pPr>
        <w:ind w:firstLine="560"/>
        <w:rPr>
          <w:kern w:val="0"/>
          <w:szCs w:val="28"/>
        </w:rPr>
      </w:pPr>
      <w:r>
        <w:rPr>
          <w:kern w:val="0"/>
          <w:szCs w:val="28"/>
        </w:rPr>
        <w:t>（3）项目开展过程中遇到的重大事项及时与委托方沟通和联系。</w:t>
      </w:r>
    </w:p>
    <w:p w14:paraId="6309EDB4">
      <w:pPr>
        <w:ind w:firstLine="560"/>
        <w:rPr>
          <w:kern w:val="0"/>
          <w:szCs w:val="28"/>
        </w:rPr>
      </w:pPr>
      <w:r>
        <w:rPr>
          <w:kern w:val="0"/>
          <w:szCs w:val="28"/>
        </w:rPr>
        <w:t>（4）严格按照项目设计书实施，若因地质条件或其它特殊因素需改变工作部署或施工手段、方法的，需经相关部门论证、同意后方可实施。</w:t>
      </w:r>
    </w:p>
    <w:p w14:paraId="17818F80">
      <w:pPr>
        <w:ind w:firstLine="560"/>
        <w:rPr>
          <w:kern w:val="0"/>
          <w:szCs w:val="28"/>
        </w:rPr>
      </w:pPr>
      <w:r>
        <w:rPr>
          <w:kern w:val="0"/>
          <w:szCs w:val="28"/>
        </w:rPr>
        <w:t>（5）任务目标分解到人，并制订具体完成日期。根据经费到位情况，在保证项目任务目标全面实现的前提下，进行工作时间与任务的优化调节。</w:t>
      </w:r>
    </w:p>
    <w:p w14:paraId="4771931F">
      <w:pPr>
        <w:ind w:firstLine="560"/>
        <w:rPr>
          <w:kern w:val="0"/>
          <w:szCs w:val="28"/>
        </w:rPr>
      </w:pPr>
      <w:r>
        <w:rPr>
          <w:kern w:val="0"/>
          <w:szCs w:val="28"/>
        </w:rPr>
        <w:t>（6）进行质量监控，并建立定期质量检查制度。</w:t>
      </w:r>
    </w:p>
    <w:p w14:paraId="7CFF65FB">
      <w:pPr>
        <w:pStyle w:val="5"/>
      </w:pPr>
      <w:r>
        <w:t>7.3.3 质量保障措施</w:t>
      </w:r>
    </w:p>
    <w:p w14:paraId="471568E5">
      <w:pPr>
        <w:ind w:firstLine="560"/>
      </w:pPr>
      <w:r>
        <w:t>以工作小组为基本单位，建立健全严格的质量管理责任制和检查制度。检查分为经常性检查、阶段性检查，并将经常性检查落实到项目的整个实施过程。</w:t>
      </w:r>
    </w:p>
    <w:p w14:paraId="2CDCF88B">
      <w:pPr>
        <w:ind w:firstLine="560"/>
        <w:rPr>
          <w:kern w:val="0"/>
          <w:szCs w:val="28"/>
        </w:rPr>
      </w:pPr>
      <w:r>
        <w:rPr>
          <w:kern w:val="0"/>
          <w:szCs w:val="28"/>
        </w:rPr>
        <w:t>（1）经常性检查</w:t>
      </w:r>
    </w:p>
    <w:p w14:paraId="0DBD6325">
      <w:pPr>
        <w:ind w:firstLine="560"/>
        <w:rPr>
          <w:kern w:val="0"/>
          <w:szCs w:val="28"/>
        </w:rPr>
      </w:pPr>
      <w:r>
        <w:rPr>
          <w:kern w:val="0"/>
          <w:szCs w:val="28"/>
        </w:rPr>
        <w:t>主要对野外原始资料，过渡型图件进行自检、互检，填写质量检查卡片。组内自检、组间互检要求达到100%。互检在项目负责人或技术负责人领导下进行。</w:t>
      </w:r>
    </w:p>
    <w:p w14:paraId="36252A9F">
      <w:pPr>
        <w:ind w:firstLine="560"/>
        <w:rPr>
          <w:kern w:val="0"/>
          <w:szCs w:val="28"/>
        </w:rPr>
      </w:pPr>
      <w:r>
        <w:rPr>
          <w:kern w:val="0"/>
          <w:szCs w:val="28"/>
        </w:rPr>
        <w:t>（2）阶段性检查</w:t>
      </w:r>
    </w:p>
    <w:p w14:paraId="73EB2671">
      <w:pPr>
        <w:ind w:firstLine="560"/>
        <w:rPr>
          <w:kern w:val="0"/>
          <w:szCs w:val="28"/>
        </w:rPr>
      </w:pPr>
      <w:r>
        <w:rPr>
          <w:kern w:val="0"/>
          <w:szCs w:val="28"/>
        </w:rPr>
        <w:t>在项目负责人组织下进行，对阶段性图件、卡片整理等工作进行抽检，为上级质量检查做好基础性准备工作，部门级实地抽检率不低于10%，室内抽检率不低于30%。</w:t>
      </w:r>
    </w:p>
    <w:p w14:paraId="120CEE0D">
      <w:pPr>
        <w:ind w:firstLine="560"/>
        <w:rPr>
          <w:kern w:val="0"/>
          <w:szCs w:val="28"/>
        </w:rPr>
      </w:pPr>
      <w:r>
        <w:rPr>
          <w:kern w:val="0"/>
          <w:szCs w:val="28"/>
        </w:rPr>
        <w:t>（3）成果验收前的检查</w:t>
      </w:r>
    </w:p>
    <w:p w14:paraId="5A83F2E6">
      <w:pPr>
        <w:ind w:firstLine="560"/>
        <w:rPr>
          <w:kern w:val="0"/>
          <w:szCs w:val="28"/>
        </w:rPr>
      </w:pPr>
      <w:r>
        <w:rPr>
          <w:kern w:val="0"/>
          <w:szCs w:val="28"/>
        </w:rPr>
        <w:t>由项目部组织，全面检查各项原始资料与综合资料的吻合程度，编稿原图内容、精度、编稿质量、研究水平等。总工办级室内资料检查率不少于10%；野外地质路线和地质剖面抽查率不少于5%。通过检查及时发现问题，并提出解决问题的合理建议，给予项目组技术指导，并责令项目组对存在的问题进行补救、修正。</w:t>
      </w:r>
    </w:p>
    <w:p w14:paraId="208C4504">
      <w:pPr>
        <w:ind w:firstLine="560"/>
        <w:rPr>
          <w:kern w:val="0"/>
          <w:szCs w:val="28"/>
        </w:rPr>
      </w:pPr>
      <w:r>
        <w:rPr>
          <w:kern w:val="0"/>
          <w:szCs w:val="28"/>
        </w:rPr>
        <w:t>上述每次质量检查均应形成相关文字材料，填写质量检查卡片，作为原始资料予以验收归档。</w:t>
      </w:r>
    </w:p>
    <w:p w14:paraId="14E3E42D">
      <w:pPr>
        <w:pStyle w:val="5"/>
      </w:pPr>
      <w:r>
        <w:t>7.3.4 委托工作质量管理</w:t>
      </w:r>
    </w:p>
    <w:p w14:paraId="3F0EEBF7">
      <w:pPr>
        <w:ind w:firstLine="560"/>
      </w:pPr>
      <w:r>
        <w:t>样品测试由具有国家级或者省级资质认证的测试机构承担。与测试机构签订样品分析测试合同，明确分工、协作关系，保证样品分析及时衔接。主要样品测试的方法、配套方案、质量要求与监控程度严格按分析合同执行。项目主要样品的分析测试工作结束后，由检查组对全部分析工作质量最终验收，与野外工作质量最终验收结果一道纳入对项目总体工作质量的考评。</w:t>
      </w:r>
    </w:p>
    <w:p w14:paraId="780B94A4">
      <w:pPr>
        <w:pStyle w:val="4"/>
      </w:pPr>
      <w:bookmarkStart w:id="430" w:name="_Toc14084"/>
      <w:bookmarkStart w:id="431" w:name="_Toc176901262"/>
      <w:bookmarkStart w:id="432" w:name="_Toc29900"/>
      <w:bookmarkStart w:id="433" w:name="_Toc176773731"/>
      <w:bookmarkStart w:id="434" w:name="_Toc29108"/>
      <w:bookmarkStart w:id="435" w:name="_Toc9774"/>
      <w:bookmarkStart w:id="436" w:name="_Toc124107420"/>
      <w:r>
        <w:t>7.4 安全措施</w:t>
      </w:r>
      <w:bookmarkEnd w:id="430"/>
      <w:bookmarkEnd w:id="431"/>
      <w:bookmarkEnd w:id="432"/>
      <w:bookmarkEnd w:id="433"/>
      <w:bookmarkEnd w:id="434"/>
      <w:bookmarkEnd w:id="435"/>
    </w:p>
    <w:p w14:paraId="22F4016A">
      <w:pPr>
        <w:ind w:firstLine="560"/>
      </w:pPr>
      <w:r>
        <w:t>野外地质工作的人身安全、资料安全和设备的安全是完成项目任务的前提条件，项目组成员在项目实施过程中始终树立“安全第一、预防为主”的观念，做好安全教育工作、建立建全安全生产责任制度，严格落实广西地质调查院安全生产管理台帐制度。</w:t>
      </w:r>
    </w:p>
    <w:p w14:paraId="5CBB4AAC">
      <w:pPr>
        <w:ind w:firstLine="562"/>
        <w:rPr>
          <w:b/>
          <w:bCs/>
          <w:kern w:val="0"/>
          <w:szCs w:val="28"/>
        </w:rPr>
      </w:pPr>
      <w:r>
        <w:rPr>
          <w:b/>
          <w:bCs/>
          <w:kern w:val="0"/>
          <w:szCs w:val="28"/>
        </w:rPr>
        <w:t>（1）严格落实三级（公司领导、部门、项目组）安全生产管理制度</w:t>
      </w:r>
    </w:p>
    <w:p w14:paraId="5BC498A6">
      <w:pPr>
        <w:ind w:firstLine="560"/>
        <w:rPr>
          <w:kern w:val="0"/>
          <w:szCs w:val="28"/>
        </w:rPr>
      </w:pPr>
      <w:r>
        <w:rPr>
          <w:kern w:val="0"/>
          <w:szCs w:val="28"/>
        </w:rPr>
        <w:t>项目组向部门签定安全生产责任书，部门向公司领导签定安全生产责任书，明确安全生产责任主体、安全生产责任目标和安全生产职责，坚守安全生产的红线，一级抓一级，层层落实安全生产责任制。通过层层签订安全生产责任书，分解全年安全生产目标到项目组、个人，做到层层有压力、人人有指标，实现安全生产责任落实横到边，纵到底，形成了三级安全生产目标互保机制，为全年安全目标的实现提供保障。</w:t>
      </w:r>
    </w:p>
    <w:p w14:paraId="1860B27F">
      <w:pPr>
        <w:ind w:firstLine="562"/>
        <w:rPr>
          <w:b/>
          <w:bCs/>
          <w:kern w:val="0"/>
          <w:szCs w:val="28"/>
        </w:rPr>
      </w:pPr>
      <w:r>
        <w:rPr>
          <w:b/>
          <w:bCs/>
          <w:kern w:val="0"/>
          <w:szCs w:val="28"/>
        </w:rPr>
        <w:t>（2）项目施工前应编写安全生产设计</w:t>
      </w:r>
    </w:p>
    <w:p w14:paraId="2A01D4C4">
      <w:pPr>
        <w:ind w:firstLine="560"/>
        <w:rPr>
          <w:kern w:val="0"/>
          <w:szCs w:val="28"/>
        </w:rPr>
      </w:pPr>
      <w:r>
        <w:rPr>
          <w:kern w:val="0"/>
          <w:szCs w:val="28"/>
        </w:rPr>
        <w:t>根据项目自然地理环境概况和工作手段，查阅相关资料，初步判断</w:t>
      </w:r>
      <w:r>
        <w:t>矿区</w:t>
      </w:r>
      <w:r>
        <w:rPr>
          <w:kern w:val="0"/>
          <w:szCs w:val="28"/>
        </w:rPr>
        <w:t>内影响安全生产的因素，制定安全生产管理措施，确定安全生产管理机构，落实项目专（兼）职安全员，明确各岗位安全生产职责，制定并完善安全规章制度和各工种安全生产操作规程，同时编制安全生产应急预案。</w:t>
      </w:r>
    </w:p>
    <w:p w14:paraId="312950B7">
      <w:pPr>
        <w:ind w:firstLine="562"/>
        <w:rPr>
          <w:b/>
          <w:bCs/>
          <w:kern w:val="0"/>
          <w:szCs w:val="28"/>
        </w:rPr>
      </w:pPr>
      <w:r>
        <w:rPr>
          <w:b/>
          <w:bCs/>
          <w:kern w:val="0"/>
          <w:szCs w:val="28"/>
        </w:rPr>
        <w:t>（3）项目组开展野外作业前应进行安全技术交底</w:t>
      </w:r>
    </w:p>
    <w:p w14:paraId="3C8E2C6B">
      <w:pPr>
        <w:ind w:firstLine="560"/>
        <w:rPr>
          <w:kern w:val="0"/>
          <w:szCs w:val="28"/>
        </w:rPr>
      </w:pPr>
      <w:r>
        <w:rPr>
          <w:kern w:val="0"/>
          <w:szCs w:val="28"/>
        </w:rPr>
        <w:t>先由公司分管安全领导对项目负责进行安全技术交底，然后由项目负责根据不同工作手段对各作业组进行安全技术交底。野外项目施工中由本单位具体组织的或外包施工任务的，均要求项目负责人组织安全技术交底，加强外包施工作业安全监控。</w:t>
      </w:r>
    </w:p>
    <w:p w14:paraId="25E6BFF2">
      <w:pPr>
        <w:ind w:firstLine="562"/>
        <w:rPr>
          <w:b/>
          <w:bCs/>
          <w:kern w:val="0"/>
          <w:szCs w:val="28"/>
        </w:rPr>
      </w:pPr>
      <w:r>
        <w:rPr>
          <w:b/>
          <w:bCs/>
          <w:kern w:val="0"/>
          <w:szCs w:val="28"/>
        </w:rPr>
        <w:t>（4）加强职工安全生产教育，落实安全生产检查制度</w:t>
      </w:r>
    </w:p>
    <w:p w14:paraId="0DF3863D">
      <w:pPr>
        <w:ind w:firstLine="560"/>
        <w:rPr>
          <w:kern w:val="0"/>
          <w:szCs w:val="28"/>
        </w:rPr>
      </w:pPr>
      <w:r>
        <w:rPr>
          <w:kern w:val="0"/>
          <w:szCs w:val="28"/>
        </w:rPr>
        <w:t>安全教育贯穿于项目实施的整个过程中，项目实施前针对不同工作手段，加强不同工作手段的安全生产操作规程、安全生产注意事项等安全教育；项目实施过程中要定期开展安全生产教育和保密例会，传达上级安全生产精神，提高项目组成员安全生产防范意识。</w:t>
      </w:r>
    </w:p>
    <w:p w14:paraId="5CB89980">
      <w:pPr>
        <w:ind w:firstLine="562"/>
        <w:rPr>
          <w:b/>
          <w:bCs/>
          <w:kern w:val="0"/>
          <w:szCs w:val="28"/>
        </w:rPr>
      </w:pPr>
      <w:r>
        <w:rPr>
          <w:b/>
          <w:bCs/>
          <w:kern w:val="0"/>
          <w:szCs w:val="28"/>
        </w:rPr>
        <w:t>（5）项目实施过程中，坚持安全生产检查制度</w:t>
      </w:r>
    </w:p>
    <w:p w14:paraId="38501CA6">
      <w:pPr>
        <w:ind w:firstLine="560"/>
        <w:rPr>
          <w:kern w:val="0"/>
          <w:szCs w:val="28"/>
        </w:rPr>
      </w:pPr>
      <w:r>
        <w:rPr>
          <w:kern w:val="0"/>
          <w:szCs w:val="28"/>
        </w:rPr>
        <w:t>严格执行安全生产日常检查，经常性开展项目组安全生产周检、月检、季检，并定期召开周例会及时反馈安全检查过程中发现的安全隐患及问题。</w:t>
      </w:r>
    </w:p>
    <w:p w14:paraId="3C45F7B4">
      <w:pPr>
        <w:ind w:firstLine="562"/>
        <w:rPr>
          <w:b/>
          <w:bCs/>
          <w:kern w:val="0"/>
          <w:szCs w:val="28"/>
        </w:rPr>
      </w:pPr>
      <w:r>
        <w:rPr>
          <w:b/>
          <w:bCs/>
          <w:kern w:val="0"/>
          <w:szCs w:val="28"/>
        </w:rPr>
        <w:t>（6）加强司机和随车人员安全行车教育</w:t>
      </w:r>
    </w:p>
    <w:p w14:paraId="25AE3763">
      <w:pPr>
        <w:ind w:firstLine="560"/>
        <w:rPr>
          <w:kern w:val="0"/>
          <w:szCs w:val="28"/>
        </w:rPr>
      </w:pPr>
      <w:r>
        <w:rPr>
          <w:kern w:val="0"/>
          <w:szCs w:val="28"/>
        </w:rPr>
        <w:t>要求并督促司机及时开展并严格落实“一日三检”制度，遵守交通安全法，确保车况良好、车辆性能安全和日常行车安全。教育随车人员行车过程应系紧安全带，同时监督并提醒司机的不安全的行车行为，确保乘车过程中的行车安全。</w:t>
      </w:r>
    </w:p>
    <w:p w14:paraId="51E63E46">
      <w:pPr>
        <w:ind w:firstLine="562"/>
        <w:rPr>
          <w:b/>
          <w:bCs/>
          <w:kern w:val="0"/>
          <w:szCs w:val="28"/>
        </w:rPr>
      </w:pPr>
      <w:r>
        <w:rPr>
          <w:b/>
          <w:bCs/>
          <w:kern w:val="0"/>
          <w:szCs w:val="28"/>
        </w:rPr>
        <w:t>（7）施工前要加强岗前安全生产教育培训，确保安全施工</w:t>
      </w:r>
    </w:p>
    <w:p w14:paraId="2E4C4EBD">
      <w:pPr>
        <w:ind w:firstLine="560"/>
        <w:rPr>
          <w:kern w:val="0"/>
          <w:szCs w:val="28"/>
        </w:rPr>
      </w:pPr>
      <w:r>
        <w:rPr>
          <w:kern w:val="0"/>
          <w:szCs w:val="28"/>
        </w:rPr>
        <w:t>对临时聘请的民工、司机等，要严格审查把关，确保所聘请民工无不良行为或嗜好影响安全施工，聘请司机“三证”（身份证、驾驶证、行驶证）齐全，所租用车辆安全性能合格，可用。同时临时聘请人员必须经过岗前安全生产教育培训并考核通过后方可聘用上岗。特殊工种必须持证上岗。</w:t>
      </w:r>
    </w:p>
    <w:p w14:paraId="3EB2E112">
      <w:pPr>
        <w:ind w:firstLine="562"/>
        <w:rPr>
          <w:b/>
          <w:bCs/>
          <w:kern w:val="0"/>
          <w:szCs w:val="28"/>
        </w:rPr>
      </w:pPr>
      <w:r>
        <w:rPr>
          <w:b/>
          <w:bCs/>
          <w:kern w:val="0"/>
          <w:szCs w:val="28"/>
        </w:rPr>
        <w:t>（8）保密安全是安全生产工作中重要的一环</w:t>
      </w:r>
    </w:p>
    <w:p w14:paraId="0839DC31">
      <w:pPr>
        <w:ind w:firstLine="560"/>
        <w:rPr>
          <w:kern w:val="0"/>
          <w:szCs w:val="28"/>
        </w:rPr>
      </w:pPr>
      <w:r>
        <w:rPr>
          <w:kern w:val="0"/>
          <w:szCs w:val="28"/>
        </w:rPr>
        <w:t>在开展安全生产教育和安全生产检查的同时，也对保密工作开展安全教育和检查。</w:t>
      </w:r>
    </w:p>
    <w:p w14:paraId="7B394204">
      <w:pPr>
        <w:ind w:firstLine="562"/>
        <w:rPr>
          <w:b/>
          <w:bCs/>
          <w:kern w:val="0"/>
          <w:szCs w:val="28"/>
        </w:rPr>
      </w:pPr>
      <w:r>
        <w:rPr>
          <w:b/>
          <w:bCs/>
          <w:kern w:val="0"/>
          <w:szCs w:val="28"/>
        </w:rPr>
        <w:t>（9）严格遵守国家安全法、国家保密法；遵守各项安全法律法规</w:t>
      </w:r>
    </w:p>
    <w:p w14:paraId="573011D7">
      <w:pPr>
        <w:ind w:firstLine="560"/>
        <w:rPr>
          <w:kern w:val="0"/>
          <w:szCs w:val="28"/>
        </w:rPr>
      </w:pPr>
      <w:r>
        <w:rPr>
          <w:kern w:val="0"/>
          <w:szCs w:val="28"/>
        </w:rPr>
        <w:t>加强法制教育，使员工懂得劳动保护法规具有法律约束力，从而自觉地遵纪守法，搞好安全生产。</w:t>
      </w:r>
    </w:p>
    <w:p w14:paraId="74A2C9B8">
      <w:pPr>
        <w:pStyle w:val="4"/>
        <w:rPr>
          <w:color w:val="auto"/>
        </w:rPr>
      </w:pPr>
      <w:bookmarkStart w:id="437" w:name="_Toc31379"/>
      <w:bookmarkStart w:id="438" w:name="_Toc8849"/>
      <w:bookmarkStart w:id="439" w:name="_Toc176773732"/>
      <w:bookmarkStart w:id="440" w:name="_Toc8980"/>
      <w:bookmarkStart w:id="441" w:name="_Toc176901263"/>
      <w:bookmarkStart w:id="442" w:name="_Toc6782"/>
      <w:r>
        <w:rPr>
          <w:color w:val="auto"/>
        </w:rPr>
        <w:t>7.5 绿色勘查措施</w:t>
      </w:r>
      <w:bookmarkEnd w:id="437"/>
      <w:bookmarkEnd w:id="438"/>
      <w:bookmarkEnd w:id="439"/>
      <w:bookmarkEnd w:id="440"/>
      <w:bookmarkEnd w:id="441"/>
      <w:bookmarkEnd w:id="442"/>
    </w:p>
    <w:p w14:paraId="21EDC4C1">
      <w:pPr>
        <w:ind w:firstLine="560"/>
        <w:rPr>
          <w:color w:val="auto"/>
        </w:rPr>
      </w:pPr>
      <w:r>
        <w:rPr>
          <w:color w:val="auto"/>
        </w:rPr>
        <w:t>在固体矿产勘查工作中，按照《绿色地质勘查规范》（DZ/T 0374-2021）要求构建和谐勘查氛围，规范绿色勘查行为。</w:t>
      </w:r>
    </w:p>
    <w:p w14:paraId="6807A92F">
      <w:pPr>
        <w:ind w:firstLine="560"/>
        <w:rPr>
          <w:color w:val="auto"/>
        </w:rPr>
      </w:pPr>
      <w:r>
        <w:rPr>
          <w:color w:val="auto"/>
        </w:rPr>
        <w:t>（1）绿色勘查原则</w:t>
      </w:r>
    </w:p>
    <w:p w14:paraId="1B3970CC">
      <w:pPr>
        <w:ind w:firstLine="560"/>
        <w:rPr>
          <w:color w:val="auto"/>
        </w:rPr>
      </w:pPr>
      <w:r>
        <w:rPr>
          <w:rFonts w:hint="eastAsia" w:ascii="宋体" w:hAnsi="宋体" w:eastAsia="宋体" w:cs="宋体"/>
          <w:color w:val="auto"/>
        </w:rPr>
        <w:t>①</w:t>
      </w:r>
      <w:r>
        <w:rPr>
          <w:color w:val="auto"/>
        </w:rPr>
        <w:t>地质勘查全过程中坚持生态环境保护理念，推动绿色发展，促进人与自然和谐共生；</w:t>
      </w:r>
    </w:p>
    <w:p w14:paraId="04B54ADF">
      <w:pPr>
        <w:ind w:firstLine="560"/>
        <w:rPr>
          <w:color w:val="auto"/>
        </w:rPr>
      </w:pPr>
      <w:r>
        <w:rPr>
          <w:rFonts w:hint="eastAsia" w:ascii="宋体" w:hAnsi="宋体" w:eastAsia="宋体" w:cs="宋体"/>
          <w:color w:val="auto"/>
        </w:rPr>
        <w:t>②</w:t>
      </w:r>
      <w:r>
        <w:rPr>
          <w:color w:val="auto"/>
        </w:rPr>
        <w:t>采用先进适用的技术工艺、设备、方法开展地质勘查工作，有效减少对生态环境影响的程度、范围及持续时间；</w:t>
      </w:r>
    </w:p>
    <w:p w14:paraId="4D221814">
      <w:pPr>
        <w:ind w:firstLine="560"/>
        <w:rPr>
          <w:color w:val="auto"/>
        </w:rPr>
      </w:pPr>
      <w:r>
        <w:rPr>
          <w:rFonts w:hint="eastAsia" w:ascii="宋体" w:hAnsi="宋体" w:eastAsia="宋体" w:cs="宋体"/>
          <w:color w:val="auto"/>
        </w:rPr>
        <w:t>③</w:t>
      </w:r>
      <w:r>
        <w:rPr>
          <w:color w:val="auto"/>
        </w:rPr>
        <w:t>针对勘查区植被覆盖情况、自然修复能力等自然地理环境差异情况，采用适宜的勘查手段、环境保护和生态修复措施，严格控制施工周期，分类实施绿色勘查工作。</w:t>
      </w:r>
    </w:p>
    <w:p w14:paraId="57066682">
      <w:pPr>
        <w:ind w:firstLine="560"/>
        <w:rPr>
          <w:color w:val="auto"/>
        </w:rPr>
      </w:pPr>
      <w:r>
        <w:rPr>
          <w:color w:val="auto"/>
        </w:rPr>
        <w:t>（2）地质测量</w:t>
      </w:r>
    </w:p>
    <w:p w14:paraId="5B36618A">
      <w:pPr>
        <w:ind w:firstLine="560"/>
        <w:rPr>
          <w:color w:val="auto"/>
        </w:rPr>
      </w:pPr>
      <w:r>
        <w:rPr>
          <w:rFonts w:hint="eastAsia" w:ascii="宋体" w:hAnsi="宋体" w:eastAsia="宋体" w:cs="宋体"/>
          <w:color w:val="auto"/>
        </w:rPr>
        <w:t>①</w:t>
      </w:r>
      <w:r>
        <w:rPr>
          <w:color w:val="auto"/>
        </w:rPr>
        <w:t>在满足地质工作目的和质量的情况下，作业点和作业路线因避开珍稀、濒危野生动植物自然分布区域。必须穿行此区域时，开车时不应鸣笛，行走时不应恐吓、伤害野生动物；不应采摘、踩踏珍稀野生植物。</w:t>
      </w:r>
    </w:p>
    <w:p w14:paraId="7A67D362">
      <w:pPr>
        <w:ind w:firstLine="560"/>
        <w:rPr>
          <w:color w:val="auto"/>
        </w:rPr>
      </w:pPr>
      <w:r>
        <w:rPr>
          <w:rFonts w:hint="eastAsia" w:ascii="宋体" w:hAnsi="宋体" w:eastAsia="宋体" w:cs="宋体"/>
          <w:color w:val="auto"/>
        </w:rPr>
        <w:t>②</w:t>
      </w:r>
      <w:r>
        <w:rPr>
          <w:color w:val="auto"/>
        </w:rPr>
        <w:t>作业时要标记点位的，应使用环保材料标记。作业中和作业后产生的废纸、金属、玻璃、塑料袋（瓶）、包装袋等垃圾和废电池、化学试剂等有害废弃物应带回驻地，分类后按规定处置，避免污染水、土壤和大气环境。</w:t>
      </w:r>
    </w:p>
    <w:p w14:paraId="2BD36072">
      <w:pPr>
        <w:ind w:firstLine="560"/>
        <w:rPr>
          <w:color w:val="auto"/>
        </w:rPr>
      </w:pPr>
      <w:r>
        <w:rPr>
          <w:rFonts w:hint="eastAsia" w:ascii="宋体" w:hAnsi="宋体" w:eastAsia="宋体" w:cs="宋体"/>
          <w:color w:val="auto"/>
        </w:rPr>
        <w:t>③</w:t>
      </w:r>
      <w:r>
        <w:rPr>
          <w:color w:val="auto"/>
        </w:rPr>
        <w:t>穿行工作区域无道路时，车辆应尽量避开植被行驶；人员穿行茂密山林时，尽量避免砍伐树木，同行人应走同一条道路；穿越农作物种植区或果园时，不应随意踩踏和采摘。确实无法开展工作时，可修剪少量枝叶。</w:t>
      </w:r>
    </w:p>
    <w:p w14:paraId="62BA0D43">
      <w:pPr>
        <w:ind w:firstLine="560"/>
        <w:rPr>
          <w:color w:val="auto"/>
        </w:rPr>
      </w:pPr>
      <w:r>
        <w:rPr>
          <w:color w:val="auto"/>
        </w:rPr>
        <w:t>（3）钻探施工</w:t>
      </w:r>
    </w:p>
    <w:p w14:paraId="1F02BCFC">
      <w:pPr>
        <w:ind w:firstLine="560"/>
        <w:rPr>
          <w:color w:val="auto"/>
        </w:rPr>
      </w:pPr>
      <w:r>
        <w:rPr>
          <w:rFonts w:hint="eastAsia" w:ascii="宋体" w:hAnsi="宋体" w:eastAsia="宋体" w:cs="宋体"/>
          <w:color w:val="auto"/>
        </w:rPr>
        <w:t>①</w:t>
      </w:r>
      <w:r>
        <w:rPr>
          <w:color w:val="auto"/>
        </w:rPr>
        <w:t>设备选型优先选用占地小、易拆装搬运机型，优先利用现有道路；交通不便区域采用模块化便携/履带自走设备，减少新修道路。</w:t>
      </w:r>
    </w:p>
    <w:p w14:paraId="48428FDB">
      <w:pPr>
        <w:ind w:firstLine="560"/>
        <w:rPr>
          <w:color w:val="auto"/>
        </w:rPr>
      </w:pPr>
      <w:r>
        <w:rPr>
          <w:rFonts w:hint="eastAsia" w:ascii="宋体" w:hAnsi="宋体" w:eastAsia="宋体" w:cs="宋体"/>
          <w:color w:val="auto"/>
        </w:rPr>
        <w:t>②</w:t>
      </w:r>
      <w:r>
        <w:rPr>
          <w:color w:val="auto"/>
        </w:rPr>
        <w:t>场地外围设置截排水沟，避免积水、洪水冲刷；机坪边坡稳固，松散土石清理，不稳定边坡做支护，防范滑坡、泥石流等地质灾害。</w:t>
      </w:r>
    </w:p>
    <w:p w14:paraId="5703950E">
      <w:pPr>
        <w:ind w:firstLine="560"/>
        <w:rPr>
          <w:color w:val="auto"/>
        </w:rPr>
      </w:pPr>
      <w:r>
        <w:rPr>
          <w:rFonts w:hint="eastAsia" w:ascii="宋体" w:hAnsi="宋体" w:eastAsia="宋体" w:cs="宋体"/>
          <w:color w:val="auto"/>
        </w:rPr>
        <w:t>③</w:t>
      </w:r>
      <w:r>
        <w:rPr>
          <w:color w:val="auto"/>
        </w:rPr>
        <w:t>植被覆盖区（草地、林地、耕地）施工，通道、作业区、油料存放区铺设木板、铁丝网/钢网防滑防压；油料避开低洼处，防止雨水冲刷污染地表。</w:t>
      </w:r>
    </w:p>
    <w:p w14:paraId="24C6A22A">
      <w:pPr>
        <w:ind w:firstLine="560"/>
        <w:rPr>
          <w:color w:val="auto"/>
        </w:rPr>
      </w:pPr>
      <w:r>
        <w:rPr>
          <w:rFonts w:hint="eastAsia" w:ascii="宋体" w:hAnsi="宋体" w:eastAsia="宋体" w:cs="宋体"/>
          <w:color w:val="auto"/>
        </w:rPr>
        <w:t>④</w:t>
      </w:r>
      <w:r>
        <w:rPr>
          <w:color w:val="auto"/>
        </w:rPr>
        <w:t>操作、物资堆放场地铺≥3mm土工布防渗；油料区、循环沟、浆液池、垃圾池等渗漏风险区域，采用≥5mm防渗土工布或HDPE土工膜铺垫；机台、设备检修区铺设吸油毡。</w:t>
      </w:r>
    </w:p>
    <w:p w14:paraId="6A1567FA">
      <w:pPr>
        <w:ind w:firstLine="560"/>
        <w:rPr>
          <w:color w:val="auto"/>
        </w:rPr>
      </w:pPr>
      <w:r>
        <w:rPr>
          <w:rFonts w:hint="eastAsia" w:ascii="宋体" w:hAnsi="宋体" w:eastAsia="宋体" w:cs="宋体"/>
          <w:color w:val="auto"/>
        </w:rPr>
        <w:t>⑤</w:t>
      </w:r>
      <w:r>
        <w:rPr>
          <w:color w:val="auto"/>
        </w:rPr>
        <w:t>冲洗液选用优质环保泥浆，材料、处理剂满足GB/T 5005标准；施工遇漏失、泉水水质异变，用环保材料堵漏/下套管封隔；涌水钻孔管控承压水，避免含水层交叉污染。</w:t>
      </w:r>
    </w:p>
    <w:p w14:paraId="32A24C0C">
      <w:pPr>
        <w:ind w:firstLine="560"/>
        <w:rPr>
          <w:color w:val="auto"/>
        </w:rPr>
      </w:pPr>
      <w:r>
        <w:rPr>
          <w:rFonts w:hint="eastAsia" w:ascii="宋体" w:hAnsi="宋体" w:eastAsia="宋体" w:cs="宋体"/>
          <w:color w:val="auto"/>
        </w:rPr>
        <w:t>⑥</w:t>
      </w:r>
      <w:r>
        <w:rPr>
          <w:color w:val="auto"/>
        </w:rPr>
        <w:t>无法循环的施工废水处理至GB 8978标准后才可排放；沉渣、废浆存入专用池，沉淀固化达到GB 18599要求方可外排，未达标严禁排放。</w:t>
      </w:r>
    </w:p>
    <w:p w14:paraId="19A60CD2">
      <w:pPr>
        <w:ind w:firstLine="560"/>
        <w:rPr>
          <w:color w:val="auto"/>
        </w:rPr>
      </w:pPr>
      <w:r>
        <w:rPr>
          <w:rFonts w:hint="eastAsia" w:ascii="宋体" w:hAnsi="宋体" w:eastAsia="宋体" w:cs="宋体"/>
          <w:color w:val="auto"/>
        </w:rPr>
        <w:t>⑦</w:t>
      </w:r>
      <w:r>
        <w:rPr>
          <w:color w:val="auto"/>
        </w:rPr>
        <w:t>施工废料、生活垃圾、钻孔渣土等固体废弃物及时清理、分类存放，优先回收利用，按规范现场处置或外运。</w:t>
      </w:r>
    </w:p>
    <w:p w14:paraId="43B4BC79">
      <w:pPr>
        <w:ind w:firstLine="560"/>
        <w:rPr>
          <w:color w:val="auto"/>
        </w:rPr>
      </w:pPr>
      <w:r>
        <w:rPr>
          <w:color w:val="auto"/>
        </w:rPr>
        <w:fldChar w:fldCharType="begin"/>
      </w:r>
      <w:r>
        <w:rPr>
          <w:color w:val="auto"/>
        </w:rPr>
        <w:instrText xml:space="preserve"> = 8 \* GB3 \* MERGEFORMAT </w:instrText>
      </w:r>
      <w:r>
        <w:rPr>
          <w:color w:val="auto"/>
        </w:rPr>
        <w:fldChar w:fldCharType="separate"/>
      </w:r>
      <w:r>
        <w:rPr>
          <w:rFonts w:hint="eastAsia" w:ascii="宋体" w:hAnsi="宋体" w:eastAsia="宋体" w:cs="宋体"/>
          <w:color w:val="auto"/>
        </w:rPr>
        <w:t>⑧</w:t>
      </w:r>
      <w:r>
        <w:rPr>
          <w:color w:val="auto"/>
        </w:rPr>
        <w:fldChar w:fldCharType="end"/>
      </w:r>
      <w:r>
        <w:rPr>
          <w:color w:val="auto"/>
        </w:rPr>
        <w:t>柴油、汽油动力设备按需加装尾气净化装置，废气达标GB 3095；现场严禁燃烧油污、化学品等产生烟尘、有毒废气的物料。</w:t>
      </w:r>
    </w:p>
    <w:p w14:paraId="30EE460D">
      <w:pPr>
        <w:ind w:firstLine="560"/>
        <w:rPr>
          <w:color w:val="auto"/>
        </w:rPr>
      </w:pPr>
      <w:r>
        <w:rPr>
          <w:color w:val="auto"/>
        </w:rPr>
        <w:fldChar w:fldCharType="begin"/>
      </w:r>
      <w:r>
        <w:rPr>
          <w:color w:val="auto"/>
        </w:rPr>
        <w:instrText xml:space="preserve"> = 9 \* GB3 \* MERGEFORMAT </w:instrText>
      </w:r>
      <w:r>
        <w:rPr>
          <w:color w:val="auto"/>
        </w:rPr>
        <w:fldChar w:fldCharType="separate"/>
      </w:r>
      <w:r>
        <w:rPr>
          <w:rFonts w:hint="eastAsia" w:ascii="宋体" w:hAnsi="宋体" w:eastAsia="宋体" w:cs="宋体"/>
          <w:color w:val="auto"/>
        </w:rPr>
        <w:t>⑨</w:t>
      </w:r>
      <w:r>
        <w:rPr>
          <w:color w:val="auto"/>
        </w:rPr>
        <w:fldChar w:fldCharType="end"/>
      </w:r>
      <w:r>
        <w:rPr>
          <w:color w:val="auto"/>
        </w:rPr>
        <w:t>居民区、养殖区、野生动物栖息地周边施工，噪声需符合GB 3096限值要求。</w:t>
      </w:r>
    </w:p>
    <w:p w14:paraId="399F7731">
      <w:pPr>
        <w:ind w:firstLine="560"/>
        <w:rPr>
          <w:color w:val="auto"/>
        </w:rPr>
      </w:pPr>
      <w:r>
        <w:rPr>
          <w:color w:val="auto"/>
        </w:rPr>
        <w:fldChar w:fldCharType="begin"/>
      </w:r>
      <w:r>
        <w:rPr>
          <w:color w:val="auto"/>
        </w:rPr>
        <w:instrText xml:space="preserve"> = 10 \* GB3 \* MERGEFORMAT </w:instrText>
      </w:r>
      <w:r>
        <w:rPr>
          <w:color w:val="auto"/>
        </w:rPr>
        <w:fldChar w:fldCharType="separate"/>
      </w:r>
      <w:r>
        <w:rPr>
          <w:rFonts w:hint="eastAsia" w:ascii="宋体" w:hAnsi="宋体" w:eastAsia="宋体" w:cs="宋体"/>
          <w:color w:val="auto"/>
        </w:rPr>
        <w:t>⑩</w:t>
      </w:r>
      <w:r>
        <w:rPr>
          <w:color w:val="auto"/>
        </w:rPr>
        <w:fldChar w:fldCharType="end"/>
      </w:r>
      <w:r>
        <w:rPr>
          <w:color w:val="auto"/>
        </w:rPr>
        <w:t>钻孔终孔后全孔封闭封孔，设置永久标识，保障封孔质量，降低钻探对地下水环境的扰动。</w:t>
      </w:r>
    </w:p>
    <w:p w14:paraId="32E6AF4F">
      <w:pPr>
        <w:ind w:firstLine="560"/>
        <w:rPr>
          <w:color w:val="auto"/>
        </w:rPr>
      </w:pPr>
      <w:r>
        <w:rPr>
          <w:color w:val="auto"/>
        </w:rPr>
        <w:t>（3）槽探施工</w:t>
      </w:r>
    </w:p>
    <w:p w14:paraId="022E54DC">
      <w:pPr>
        <w:ind w:firstLine="560"/>
        <w:rPr>
          <w:color w:val="auto"/>
        </w:rPr>
      </w:pPr>
      <w:r>
        <w:rPr>
          <w:rFonts w:hint="eastAsia" w:ascii="宋体" w:hAnsi="宋体" w:eastAsia="宋体" w:cs="宋体"/>
          <w:color w:val="auto"/>
        </w:rPr>
        <w:t>①</w:t>
      </w:r>
      <w:r>
        <w:rPr>
          <w:color w:val="auto"/>
        </w:rPr>
        <w:t>槽探施工可采用机械施工和人工开挖两种方式。交通方便，不需新修施工运输道路的地段，可采用机械施工；交通不便、植被茂密的地段，宜采用人工开挖，以避免修路及机械施工造成土地、植被景观的破坏。</w:t>
      </w:r>
    </w:p>
    <w:p w14:paraId="4EBB73CA">
      <w:pPr>
        <w:ind w:firstLine="560"/>
        <w:rPr>
          <w:color w:val="auto"/>
        </w:rPr>
      </w:pPr>
      <w:r>
        <w:rPr>
          <w:rFonts w:hint="eastAsia" w:ascii="宋体" w:hAnsi="宋体" w:eastAsia="宋体" w:cs="宋体"/>
          <w:color w:val="auto"/>
        </w:rPr>
        <w:t>②</w:t>
      </w:r>
      <w:r>
        <w:rPr>
          <w:color w:val="auto"/>
        </w:rPr>
        <w:t>在陡斜地段开挖探槽产生的岩土，应采用可降解材料编织袋装袋，依次堆码于探槽两侧2m～5m范围内较平缓稳定区域，堆放高度不宜超过2m，确保堆填边坡稳定。探槽上方禁止堆放土石，预防形成滑塌或坡面泥石流等次生灾害。</w:t>
      </w:r>
    </w:p>
    <w:p w14:paraId="63CDC2B6">
      <w:pPr>
        <w:ind w:firstLine="560"/>
        <w:rPr>
          <w:color w:val="auto"/>
        </w:rPr>
      </w:pPr>
      <w:r>
        <w:rPr>
          <w:rFonts w:hint="eastAsia" w:ascii="宋体" w:hAnsi="宋体" w:eastAsia="宋体" w:cs="宋体"/>
          <w:color w:val="auto"/>
        </w:rPr>
        <w:t>③</w:t>
      </w:r>
      <w:r>
        <w:rPr>
          <w:color w:val="auto"/>
        </w:rPr>
        <w:t>槽探施工应自上而下顺序开挖，并做好沟槽边坡安全管控，按规定放坡，及时清除坡体上的松散土石，不稳定边坡应进行临时支护，预防滑塌安全事故。</w:t>
      </w:r>
    </w:p>
    <w:p w14:paraId="43E9BA69">
      <w:pPr>
        <w:ind w:firstLine="560"/>
        <w:rPr>
          <w:color w:val="auto"/>
        </w:rPr>
      </w:pPr>
      <w:r>
        <w:rPr>
          <w:rFonts w:hint="eastAsia" w:ascii="宋体" w:hAnsi="宋体" w:eastAsia="宋体" w:cs="宋体"/>
          <w:color w:val="auto"/>
        </w:rPr>
        <w:t>④</w:t>
      </w:r>
      <w:r>
        <w:rPr>
          <w:color w:val="auto"/>
        </w:rPr>
        <w:t>处于斜坡汇水面大或易受洪水冲刷的槽探工程，在槽头上部修筑截水沟，预防沟槽及其开挖土石遭受洪流冲蚀，形成泥石流灾害。</w:t>
      </w:r>
    </w:p>
    <w:p w14:paraId="01AEC037">
      <w:pPr>
        <w:ind w:firstLine="560"/>
        <w:rPr>
          <w:color w:val="auto"/>
        </w:rPr>
      </w:pPr>
      <w:r>
        <w:rPr>
          <w:rFonts w:hint="eastAsia" w:ascii="宋体" w:hAnsi="宋体" w:eastAsia="宋体" w:cs="宋体"/>
          <w:color w:val="auto"/>
        </w:rPr>
        <w:t>⑤</w:t>
      </w:r>
      <w:r>
        <w:rPr>
          <w:color w:val="auto"/>
        </w:rPr>
        <w:t>探槽经地质观测、编录、采样及验收等工作结束后，不需保留的探槽应及时逆序回填压实，应保留回填前后的探槽照片；确需保留的探槽应设立明显标识，对深度较大又确需保留的探槽，应做好围挡设施防止人畜误入造成伤害。</w:t>
      </w:r>
    </w:p>
    <w:p w14:paraId="2A169AED">
      <w:pPr>
        <w:ind w:firstLine="560"/>
        <w:rPr>
          <w:color w:val="auto"/>
        </w:rPr>
      </w:pPr>
      <w:r>
        <w:rPr>
          <w:color w:val="auto"/>
        </w:rPr>
        <w:t>（4）场地修复</w:t>
      </w:r>
    </w:p>
    <w:p w14:paraId="1D05E041">
      <w:pPr>
        <w:ind w:firstLine="560"/>
        <w:rPr>
          <w:color w:val="auto"/>
        </w:rPr>
      </w:pPr>
      <w:bookmarkStart w:id="443" w:name="_Toc176901264"/>
      <w:bookmarkStart w:id="444" w:name="_Toc20038"/>
      <w:bookmarkStart w:id="445" w:name="_Toc11074"/>
      <w:bookmarkStart w:id="446" w:name="_Toc176773733"/>
      <w:bookmarkStart w:id="447" w:name="_Toc26544"/>
      <w:r>
        <w:rPr>
          <w:rFonts w:hint="eastAsia" w:ascii="宋体" w:hAnsi="宋体" w:eastAsia="宋体" w:cs="宋体"/>
          <w:color w:val="auto"/>
        </w:rPr>
        <w:t>①</w:t>
      </w:r>
      <w:r>
        <w:rPr>
          <w:color w:val="auto"/>
        </w:rPr>
        <w:t>地质勘查工作结束后，应及时撤除施工场地和项目驻地的设备、不再使用的临建房屋及水电管线等各项设施，回收各种宣传牌、标示牌、警示牌、防滑防压网、土工布，清理干净场地内固体废弃物及生活垃圾。</w:t>
      </w:r>
    </w:p>
    <w:p w14:paraId="1D1F47DA">
      <w:pPr>
        <w:ind w:firstLine="560"/>
        <w:rPr>
          <w:color w:val="auto"/>
        </w:rPr>
      </w:pPr>
      <w:r>
        <w:rPr>
          <w:rFonts w:hint="eastAsia" w:ascii="宋体" w:hAnsi="宋体" w:eastAsia="宋体" w:cs="宋体"/>
          <w:color w:val="auto"/>
        </w:rPr>
        <w:t>②</w:t>
      </w:r>
      <w:r>
        <w:rPr>
          <w:color w:val="auto"/>
        </w:rPr>
        <w:t>施工现场清理出的固体废弃物，应按照GB 18599规定处置；项目驻地及现场清理出的生活垃圾，应按照GB 50869规定处置；放射性废物应按照GB 15848规定处置。对现场不能处置的有毒有害废物应运至特定处置场所进行处理。</w:t>
      </w:r>
    </w:p>
    <w:p w14:paraId="5F4E6C57">
      <w:pPr>
        <w:ind w:firstLine="560"/>
        <w:rPr>
          <w:color w:val="auto"/>
        </w:rPr>
      </w:pPr>
      <w:r>
        <w:rPr>
          <w:rFonts w:hint="eastAsia" w:ascii="宋体" w:hAnsi="宋体" w:eastAsia="宋体" w:cs="宋体"/>
          <w:color w:val="auto"/>
        </w:rPr>
        <w:t>③</w:t>
      </w:r>
      <w:r>
        <w:rPr>
          <w:color w:val="auto"/>
        </w:rPr>
        <w:t>新建道路一般应根据勘查设计要求尽量恢复至原地形地貌，尽可能与周边自然环境相协调。能复绿的地段，应满足复垦复绿的要求，场地平整不应产生新的挖损和压占破坏，新建道路经有关方面批准可保留的可不复原。</w:t>
      </w:r>
    </w:p>
    <w:p w14:paraId="13A797F7">
      <w:pPr>
        <w:ind w:firstLine="560"/>
        <w:rPr>
          <w:color w:val="auto"/>
        </w:rPr>
      </w:pPr>
      <w:r>
        <w:rPr>
          <w:rFonts w:hint="eastAsia" w:ascii="宋体" w:hAnsi="宋体" w:eastAsia="宋体" w:cs="宋体"/>
          <w:color w:val="auto"/>
        </w:rPr>
        <w:t>④</w:t>
      </w:r>
      <w:r>
        <w:rPr>
          <w:color w:val="auto"/>
        </w:rPr>
        <w:t>项目驻地和探槽、钻孔（钻井）施工产生的坑、井、池、沟等，用开挖堆放的土石进行分层回填，按后挖的土石先填、先挖的土石后填的顺序进行回填并夯实底部基岩碎石，再回填平整底土，达到勘查设计中环境修复措施要求。斜坡沟槽回填时，应分段进行，自下而上用袋装土石依次堆码回填，避免产生滑动及洪水冲蚀，必要时做好围挡措施。</w:t>
      </w:r>
    </w:p>
    <w:p w14:paraId="3C3042DE">
      <w:pPr>
        <w:pStyle w:val="4"/>
      </w:pPr>
      <w:bookmarkStart w:id="448" w:name="_Toc27813"/>
      <w:r>
        <w:t>7.6 设计变更</w:t>
      </w:r>
      <w:bookmarkEnd w:id="443"/>
      <w:bookmarkEnd w:id="444"/>
      <w:bookmarkEnd w:id="445"/>
      <w:bookmarkEnd w:id="446"/>
      <w:bookmarkEnd w:id="447"/>
      <w:bookmarkEnd w:id="448"/>
    </w:p>
    <w:p w14:paraId="43FF4C7A">
      <w:pPr>
        <w:ind w:firstLine="512"/>
        <w:rPr>
          <w:kern w:val="0"/>
          <w:szCs w:val="28"/>
        </w:rPr>
      </w:pPr>
      <w:r>
        <w:rPr>
          <w:snapToGrid w:val="0"/>
          <w:spacing w:val="-12"/>
          <w:kern w:val="0"/>
          <w:szCs w:val="28"/>
        </w:rPr>
        <w:t>由于矿区及周边未从事过相关矿产勘查工作及采矿活动，以往地质工作较少，本次实施方案编制时仅是对矿区进行了</w:t>
      </w:r>
      <w:r>
        <w:rPr>
          <w:spacing w:val="2"/>
          <w:szCs w:val="28"/>
        </w:rPr>
        <w:t>野外踏勘工作，对本矿区的地质特征、矿体特征仅是大致了解，因此在项目</w:t>
      </w:r>
      <w:r>
        <w:rPr>
          <w:snapToGrid w:val="0"/>
          <w:spacing w:val="-12"/>
          <w:kern w:val="0"/>
          <w:szCs w:val="28"/>
        </w:rPr>
        <w:t>实施过程中若地质条件有重大变化（比如出现较多夹层或有断裂）时，则本次设计的工作手段及工作量应作相应调整、变更</w:t>
      </w:r>
      <w:r>
        <w:rPr>
          <w:snapToGrid w:val="0"/>
          <w:spacing w:val="-12"/>
          <w:szCs w:val="28"/>
        </w:rPr>
        <w:t>。</w:t>
      </w:r>
    </w:p>
    <w:p w14:paraId="21AB540D">
      <w:pPr>
        <w:ind w:firstLine="568"/>
        <w:jc w:val="left"/>
        <w:rPr>
          <w:spacing w:val="2"/>
          <w:szCs w:val="28"/>
        </w:rPr>
      </w:pPr>
      <w:r>
        <w:rPr>
          <w:spacing w:val="2"/>
          <w:szCs w:val="28"/>
        </w:rPr>
        <w:t>当出现工作手段及工作量变更时，须报自然资源主管部门审批同意，出现重大变更时应当重新编制实施方案并经相关技术单位评审通过后方可实施。</w:t>
      </w:r>
      <w:bookmarkEnd w:id="436"/>
      <w:bookmarkStart w:id="449" w:name="_Toc8666"/>
      <w:bookmarkStart w:id="450" w:name="_Toc3701"/>
      <w:bookmarkStart w:id="451" w:name="_Toc176901265"/>
      <w:bookmarkStart w:id="452" w:name="_Toc13487"/>
      <w:bookmarkStart w:id="453" w:name="_Toc19563"/>
    </w:p>
    <w:p w14:paraId="0FE53E79">
      <w:pPr>
        <w:pStyle w:val="3"/>
      </w:pPr>
      <w:bookmarkStart w:id="454" w:name="_Toc602"/>
      <w:r>
        <w:t>8 经费预算</w:t>
      </w:r>
      <w:bookmarkEnd w:id="409"/>
      <w:bookmarkEnd w:id="449"/>
      <w:bookmarkEnd w:id="450"/>
      <w:bookmarkEnd w:id="451"/>
      <w:bookmarkEnd w:id="452"/>
      <w:bookmarkEnd w:id="453"/>
      <w:bookmarkEnd w:id="454"/>
    </w:p>
    <w:p w14:paraId="2F03A866">
      <w:pPr>
        <w:pStyle w:val="4"/>
        <w:rPr>
          <w:lang w:val="en-US"/>
        </w:rPr>
      </w:pPr>
      <w:bookmarkStart w:id="455" w:name="_Toc20334"/>
      <w:bookmarkStart w:id="456" w:name="_Toc30743"/>
      <w:bookmarkStart w:id="457" w:name="_Toc6057"/>
      <w:bookmarkStart w:id="458" w:name="_Toc4208"/>
      <w:bookmarkStart w:id="459" w:name="_Toc21310"/>
      <w:r>
        <w:rPr>
          <w:lang w:val="en-US"/>
        </w:rPr>
        <w:t>8.1 项目概况</w:t>
      </w:r>
      <w:bookmarkEnd w:id="455"/>
      <w:bookmarkEnd w:id="456"/>
      <w:bookmarkEnd w:id="457"/>
      <w:bookmarkEnd w:id="458"/>
    </w:p>
    <w:p w14:paraId="1CA16FEE">
      <w:pPr>
        <w:ind w:firstLine="560"/>
      </w:pPr>
      <w:r>
        <w:t>项目名称：</w:t>
      </w:r>
      <w:r>
        <w:rPr>
          <w:color w:val="auto"/>
        </w:rPr>
        <w:t>广西上思县龙大山-讲鱼山矿区水泥用灰岩矿核实报告</w:t>
      </w:r>
      <w:r>
        <w:t>。</w:t>
      </w:r>
    </w:p>
    <w:p w14:paraId="7382372E">
      <w:pPr>
        <w:ind w:firstLine="560"/>
      </w:pPr>
      <w:r>
        <w:t>项目实施时间：2026年</w:t>
      </w:r>
      <w:r>
        <w:rPr>
          <w:rFonts w:hint="eastAsia"/>
        </w:rPr>
        <w:t>8</w:t>
      </w:r>
      <w:r>
        <w:t>月至202</w:t>
      </w:r>
      <w:r>
        <w:rPr>
          <w:rFonts w:hint="eastAsia"/>
        </w:rPr>
        <w:t>7</w:t>
      </w:r>
      <w:r>
        <w:t>年</w:t>
      </w:r>
      <w:r>
        <w:rPr>
          <w:rFonts w:hint="eastAsia"/>
        </w:rPr>
        <w:t>1</w:t>
      </w:r>
      <w:r>
        <w:t>月。</w:t>
      </w:r>
    </w:p>
    <w:p w14:paraId="30F3B313">
      <w:pPr>
        <w:ind w:firstLine="560"/>
      </w:pPr>
      <w:r>
        <w:t>矿区自然地理概况：矿区以中低山地貌、岩溶地貌为主，岩溶地貌主要表现为岩溶裂隙、漏斗和溶洞。地势总体北高南低，海拔+278.20～+828.90m，高差一般100m～200m，冲沟发育，地形切割较强，山坡较陡，自然坡度25°～50°。</w:t>
      </w:r>
    </w:p>
    <w:p w14:paraId="3018899E">
      <w:pPr>
        <w:ind w:firstLine="560"/>
      </w:pPr>
      <w:r>
        <w:t>矿区所在地气候属亚热带季风气候，气温较高，温差小，太阳辐射强，雨量充沛，但分布不均。夏季多暴雨，易患洪涝，春秋有干旱，冬季有霜冻。月平均温度一月13℃，七月28℃，年平均温度21.4℃，极端高气温39.1℃，极端低气温-2℃。年平均降水量1246.1mm，多集中在4～9月，年蒸发量1573mm。区内湿度较大，年平均相对湿度为81%。具明显的季风特点，夏季偏南风频率高，冬季东北风频率高，年平均风速1.9m/s，强风最大风速26m/s，台风每年1～3次，多出现在6～9月，一般为8～9级，阵风为11～12级。</w:t>
      </w:r>
    </w:p>
    <w:p w14:paraId="0948CD48">
      <w:pPr>
        <w:ind w:firstLine="560"/>
        <w:rPr>
          <w:color w:val="auto"/>
          <w:kern w:val="0"/>
          <w:szCs w:val="28"/>
        </w:rPr>
      </w:pPr>
      <w:r>
        <w:rPr>
          <w:kern w:val="0"/>
          <w:szCs w:val="28"/>
        </w:rPr>
        <w:t>项目设计的主要实物工作量：</w:t>
      </w:r>
      <w:r>
        <w:t>1:2000地形测量3.0km</w:t>
      </w:r>
      <w:r>
        <w:rPr>
          <w:vertAlign w:val="superscript"/>
        </w:rPr>
        <w:t>2</w:t>
      </w:r>
      <w:r>
        <w:t>，1:1000</w:t>
      </w:r>
      <w:r>
        <w:rPr>
          <w:rFonts w:hint="eastAsia"/>
          <w:lang w:val="en-US" w:eastAsia="zh-CN"/>
        </w:rPr>
        <w:t>水文地质、工程地质</w:t>
      </w:r>
      <w:r>
        <w:t>地质剖面测量</w:t>
      </w:r>
      <w:r>
        <w:rPr>
          <w:rFonts w:hint="eastAsia"/>
          <w:lang w:val="en-US" w:eastAsia="zh-CN"/>
        </w:rPr>
        <w:t>2.78</w:t>
      </w:r>
      <w:r>
        <w:t>km，1:2000地质测量1.36km</w:t>
      </w:r>
      <w:r>
        <w:rPr>
          <w:vertAlign w:val="superscript"/>
        </w:rPr>
        <w:t>2</w:t>
      </w:r>
      <w:r>
        <w:t>，</w:t>
      </w:r>
      <w:r>
        <w:rPr>
          <w:color w:val="auto"/>
        </w:rPr>
        <w:t>1:5000矿区水、工、环地质测量8.0km</w:t>
      </w:r>
      <w:r>
        <w:rPr>
          <w:color w:val="auto"/>
          <w:vertAlign w:val="superscript"/>
        </w:rPr>
        <w:t>2</w:t>
      </w:r>
      <w:r>
        <w:rPr>
          <w:color w:val="auto"/>
        </w:rPr>
        <w:t>，</w:t>
      </w:r>
      <w:r>
        <w:t>1:50000区域水文地质测量</w:t>
      </w:r>
      <w:r>
        <w:rPr>
          <w:rFonts w:hint="eastAsia"/>
          <w:lang w:val="en-US" w:eastAsia="zh-CN"/>
        </w:rPr>
        <w:t>8</w:t>
      </w:r>
      <w:r>
        <w:t>0km</w:t>
      </w:r>
      <w:r>
        <w:rPr>
          <w:vertAlign w:val="superscript"/>
        </w:rPr>
        <w:t>2</w:t>
      </w:r>
      <w:r>
        <w:t>，钻探1</w:t>
      </w:r>
      <w:r>
        <w:rPr>
          <w:rFonts w:hint="eastAsia"/>
          <w:lang w:val="en-US" w:eastAsia="zh-CN"/>
        </w:rPr>
        <w:t>3</w:t>
      </w:r>
      <w:r>
        <w:t>22m，剥土2000m</w:t>
      </w:r>
      <w:r>
        <w:rPr>
          <w:vertAlign w:val="superscript"/>
        </w:rPr>
        <w:t>3</w:t>
      </w:r>
      <w:r>
        <w:t>。基本分析样13</w:t>
      </w:r>
      <w:r>
        <w:rPr>
          <w:rFonts w:hint="eastAsia"/>
          <w:lang w:val="en-US" w:eastAsia="zh-CN"/>
        </w:rPr>
        <w:t>90</w:t>
      </w:r>
      <w:r>
        <w:t>个，组合分析样50个，一般水样（全分析）</w:t>
      </w:r>
      <w:r>
        <w:rPr>
          <w:rFonts w:hint="eastAsia"/>
          <w:lang w:val="en-US" w:eastAsia="zh-CN"/>
        </w:rPr>
        <w:t>8</w:t>
      </w:r>
      <w:r>
        <w:t>个，化学全分析10个，试坑渗水试验4个，线岩溶裂隙统计1000m，面岩溶裂隙统计500m</w:t>
      </w:r>
      <w:r>
        <w:rPr>
          <w:vertAlign w:val="superscript"/>
        </w:rPr>
        <w:t>2</w:t>
      </w:r>
      <w:r>
        <w:t>，岩矿鉴定10个，小体重50个，</w:t>
      </w:r>
      <w:r>
        <w:rPr>
          <w:rFonts w:hint="eastAsia"/>
          <w:lang w:val="en-US" w:eastAsia="zh-CN"/>
        </w:rPr>
        <w:t>岩石力学性能试验126块/7组</w:t>
      </w:r>
      <w:r>
        <w:t>，覆盖物、岩溶充填物分析样品10个，水文动态观测</w:t>
      </w:r>
      <w:r>
        <w:rPr>
          <w:rFonts w:hint="eastAsia"/>
          <w:lang w:val="en-US" w:eastAsia="zh-CN"/>
        </w:rPr>
        <w:t>7</w:t>
      </w:r>
      <w:r>
        <w:t>点，重金属特征污染物10个，硫化物和硫酸盐含量样、碱集料反应样各10件，</w:t>
      </w:r>
      <w:r>
        <w:rPr>
          <w:color w:val="auto"/>
        </w:rPr>
        <w:t>放射性测试5件等。</w:t>
      </w:r>
    </w:p>
    <w:p w14:paraId="2D01EEA5">
      <w:pPr>
        <w:ind w:firstLine="560"/>
        <w:rPr>
          <w:color w:val="auto"/>
        </w:rPr>
      </w:pPr>
      <w:r>
        <w:rPr>
          <w:color w:val="auto"/>
        </w:rPr>
        <w:t>预期提交成果为</w:t>
      </w:r>
      <w:r>
        <w:rPr>
          <w:color w:val="auto"/>
          <w:kern w:val="0"/>
          <w:szCs w:val="28"/>
        </w:rPr>
        <w:t>《</w:t>
      </w:r>
      <w:r>
        <w:rPr>
          <w:color w:val="auto"/>
        </w:rPr>
        <w:t>广西上思县龙大山-讲鱼山矿区水泥用灰岩矿核实报告</w:t>
      </w:r>
      <w:r>
        <w:rPr>
          <w:color w:val="auto"/>
          <w:kern w:val="0"/>
          <w:szCs w:val="28"/>
        </w:rPr>
        <w:t>》</w:t>
      </w:r>
      <w:r>
        <w:rPr>
          <w:color w:val="auto"/>
        </w:rPr>
        <w:t>及相关附图、附表、附件。</w:t>
      </w:r>
    </w:p>
    <w:p w14:paraId="3432DC27">
      <w:pPr>
        <w:pStyle w:val="4"/>
      </w:pPr>
      <w:bookmarkStart w:id="460" w:name="_Toc391"/>
      <w:bookmarkStart w:id="461" w:name="_Toc26006"/>
      <w:bookmarkStart w:id="462" w:name="_Toc2948"/>
      <w:bookmarkStart w:id="463" w:name="_Toc23937"/>
      <w:r>
        <w:rPr>
          <w:lang w:val="en-US"/>
        </w:rPr>
        <w:t xml:space="preserve">8.2 </w:t>
      </w:r>
      <w:r>
        <w:t>预算编制依据</w:t>
      </w:r>
      <w:bookmarkEnd w:id="459"/>
      <w:bookmarkEnd w:id="460"/>
      <w:bookmarkEnd w:id="461"/>
      <w:bookmarkEnd w:id="462"/>
      <w:bookmarkEnd w:id="463"/>
    </w:p>
    <w:p w14:paraId="635D8B72">
      <w:pPr>
        <w:ind w:firstLine="560"/>
        <w:rPr>
          <w:kern w:val="0"/>
          <w:szCs w:val="28"/>
        </w:rPr>
      </w:pPr>
      <w:r>
        <w:rPr>
          <w:bCs/>
          <w:szCs w:val="28"/>
        </w:rPr>
        <w:t>（1）华润水泥（上思）有限公司龙大山矿区水泥用</w:t>
      </w:r>
      <w:r>
        <w:rPr>
          <w:kern w:val="0"/>
          <w:szCs w:val="28"/>
        </w:rPr>
        <w:t>灰岩矿整合区勘查设计委托书。</w:t>
      </w:r>
    </w:p>
    <w:p w14:paraId="4F5C2475">
      <w:pPr>
        <w:ind w:firstLine="560"/>
      </w:pPr>
      <w:r>
        <w:t>（2）</w:t>
      </w:r>
      <w:r>
        <w:rPr>
          <w:bCs/>
          <w:szCs w:val="28"/>
        </w:rPr>
        <w:t>华润水泥（上思）有限公司龙大山矿区水泥用</w:t>
      </w:r>
      <w:r>
        <w:rPr>
          <w:kern w:val="0"/>
          <w:szCs w:val="28"/>
        </w:rPr>
        <w:t>灰岩矿整合区详查实施方案设计工作量</w:t>
      </w:r>
      <w:r>
        <w:t>。</w:t>
      </w:r>
    </w:p>
    <w:p w14:paraId="1B96CDE7">
      <w:pPr>
        <w:ind w:firstLine="560"/>
      </w:pPr>
      <w:r>
        <w:t>（3）中国地质调查局关于地质调查评价项目预算编制和审查要求(试行)的通知（中地调查函〔2010〕88号）和地调局关于地质矿产调查评价项目预算编制与审查补充要求的通知（中地调函〔2010〕255号）。</w:t>
      </w:r>
    </w:p>
    <w:p w14:paraId="6722B547">
      <w:pPr>
        <w:ind w:firstLine="560"/>
      </w:pPr>
      <w:r>
        <w:t>（4）财政部、国土资源部关于印发《地质矿产调查评价专项资金管理办法》的通知（财建〔2010〕174号）。</w:t>
      </w:r>
    </w:p>
    <w:p w14:paraId="65D39B9F">
      <w:pPr>
        <w:ind w:firstLine="560"/>
      </w:pPr>
      <w:r>
        <w:t>（5）广西区财政厅《关于地质调查项目预算标准有关问题的通知》（桂 财建〔2012〕239号）广西国土资源厅印发的《广西壮族自治区国土资源 厅财政项目预算编制暂行办法》（桂国土资办〔2014〕329号）。</w:t>
      </w:r>
    </w:p>
    <w:p w14:paraId="742D3330">
      <w:pPr>
        <w:ind w:firstLine="560"/>
      </w:pPr>
      <w:r>
        <w:t>（6）广西区财政厅印发的《广西壮族自治区本级党政机关差旅费管理办 法》（桂财行〔2014〕30号）和《关于调整自治区本级党政机关差旅住宿 费标准等有关事项的通知》（财行〔2015〕123号）。</w:t>
      </w:r>
    </w:p>
    <w:p w14:paraId="20C5A3E7">
      <w:pPr>
        <w:ind w:firstLine="560"/>
      </w:pPr>
      <w:r>
        <w:t>（7）广西区国土资源厅《关于规范评审劳务费管理工作有关问题的通知》（桂国土资发〔2017〕52号）。</w:t>
      </w:r>
    </w:p>
    <w:p w14:paraId="06973C41">
      <w:pPr>
        <w:ind w:firstLine="560"/>
      </w:pPr>
      <w:r>
        <w:t>（8）《广西建设工程质量检测和建筑材料试验收费项目及标准指导性意见》(2017版)。</w:t>
      </w:r>
    </w:p>
    <w:p w14:paraId="7A614B05">
      <w:pPr>
        <w:ind w:firstLine="560"/>
      </w:pPr>
      <w:r>
        <w:t>（9）《广西区自然资源厅2019年项目支出预算定额表及其他有关规定》。</w:t>
      </w:r>
    </w:p>
    <w:p w14:paraId="66CB4941">
      <w:pPr>
        <w:ind w:firstLine="560"/>
      </w:pPr>
      <w:r>
        <w:t>（10）《广西壮族自治区地质勘查项目预算标准》（桂财资环〔2021〕18号附件2）。</w:t>
      </w:r>
    </w:p>
    <w:p w14:paraId="03EFC6DF">
      <w:pPr>
        <w:ind w:firstLine="560"/>
      </w:pPr>
      <w:r>
        <w:t>（11）广西壮族自治区现行工资标准及市场材料价格等。</w:t>
      </w:r>
    </w:p>
    <w:p w14:paraId="1C4E334D">
      <w:pPr>
        <w:ind w:firstLine="560"/>
      </w:pPr>
      <w:r>
        <w:t>（12）部分测试项目如碎石压碎指标及坚固性、放射性、碱集料反应等，由于需委托有资质的测试单位，采用一般市场价格。</w:t>
      </w:r>
    </w:p>
    <w:p w14:paraId="666DEDC4">
      <w:pPr>
        <w:pStyle w:val="4"/>
        <w:rPr>
          <w:lang w:val="en-US"/>
        </w:rPr>
      </w:pPr>
      <w:bookmarkStart w:id="464" w:name="_Toc27924"/>
      <w:bookmarkStart w:id="465" w:name="_Toc26291"/>
      <w:bookmarkStart w:id="466" w:name="_Toc571"/>
      <w:bookmarkStart w:id="467" w:name="_Toc19257"/>
      <w:bookmarkStart w:id="468" w:name="_Toc8581"/>
      <w:r>
        <w:rPr>
          <w:lang w:val="en-US"/>
        </w:rPr>
        <w:t>8.3采用的预算标准和计算方法</w:t>
      </w:r>
      <w:bookmarkEnd w:id="464"/>
      <w:bookmarkEnd w:id="465"/>
      <w:bookmarkEnd w:id="466"/>
      <w:bookmarkEnd w:id="467"/>
      <w:bookmarkEnd w:id="468"/>
    </w:p>
    <w:p w14:paraId="347AEEA9">
      <w:pPr>
        <w:ind w:firstLine="560"/>
      </w:pPr>
      <w:r>
        <w:t>（1）地区调整系数：根据《广西壮族自治区地质勘查项目预算标准》（桂财资环〔2021〕18号附件2）的地区调整系数图册，矿区为广西其他地区，确定矿区的地区调整系数为1.0。</w:t>
      </w:r>
    </w:p>
    <w:p w14:paraId="06EFFFD5">
      <w:pPr>
        <w:ind w:firstLine="560"/>
      </w:pPr>
      <w:r>
        <w:t>（2）地形困难类别：根据《广西壮族自治区地质勘查项目预算标准》（桂财资环〔2021〕18号附件2），确定矿区地形测量困难类别为Ⅱ。</w:t>
      </w:r>
    </w:p>
    <w:p w14:paraId="37CBB18C">
      <w:pPr>
        <w:ind w:firstLine="560"/>
      </w:pPr>
      <w:r>
        <w:t>（3）地质复杂程度：根据《广西壮族自治区地质勘查项目预算标准》（桂财资环〔2021〕18号附件2），矿区属沉积岩地区，岩层产状较为平缓，褶皱、断裂一般发育，确定矿区地质复杂程度为简单区Ⅱ类。</w:t>
      </w:r>
    </w:p>
    <w:p w14:paraId="41D58978">
      <w:pPr>
        <w:ind w:firstLine="560"/>
        <w:rPr>
          <w:bCs/>
          <w:szCs w:val="28"/>
        </w:rPr>
      </w:pPr>
      <w:r>
        <w:rPr>
          <w:bCs/>
          <w:kern w:val="0"/>
          <w:szCs w:val="28"/>
        </w:rPr>
        <w:t>（4）岩石级别：根据</w:t>
      </w:r>
      <w:r>
        <w:t>《广西壮族自治区地质勘查项目预算标准》（桂财资环〔2021〕18号附件2）</w:t>
      </w:r>
      <w:r>
        <w:rPr>
          <w:bCs/>
          <w:szCs w:val="28"/>
        </w:rPr>
        <w:t>，矿区岩石岩性为</w:t>
      </w:r>
      <w:r>
        <w:rPr>
          <w:szCs w:val="21"/>
        </w:rPr>
        <w:t>浅灰、灰白、灰色厚层～块状灰岩</w:t>
      </w:r>
      <w:r>
        <w:rPr>
          <w:bCs/>
          <w:szCs w:val="28"/>
        </w:rPr>
        <w:t>，岩石级别为Ⅴ。</w:t>
      </w:r>
    </w:p>
    <w:p w14:paraId="795127AB">
      <w:pPr>
        <w:ind w:firstLine="560"/>
        <w:rPr>
          <w:rFonts w:eastAsia="宋体"/>
          <w:bCs/>
          <w:szCs w:val="28"/>
        </w:rPr>
      </w:pPr>
      <w:r>
        <w:rPr>
          <w:bCs/>
          <w:szCs w:val="28"/>
        </w:rPr>
        <w:t>（5）</w:t>
      </w:r>
      <w:r>
        <w:rPr>
          <w:kern w:val="0"/>
          <w:szCs w:val="28"/>
        </w:rPr>
        <w:t>预算标准：采用的费用标准为《广西壮族自治区地质勘查项目预算标准》（桂财资环〔2021〕18号附件2），以下简称“预算标准”，标准中未包括的个别费用标准，采用其他相关标准或工作区当地实际市场价计算的费率标准。</w:t>
      </w:r>
    </w:p>
    <w:p w14:paraId="0004EF2E">
      <w:pPr>
        <w:ind w:firstLine="560"/>
      </w:pPr>
      <w:r>
        <w:t>（6）计算方法：根据设计书中安排的工作量，按照相应的技术条件，选取对应的预算标准进行计算，其计算公式为：预算费用=工作量×单位预算标准×调整系数。</w:t>
      </w:r>
    </w:p>
    <w:p w14:paraId="35D1FA68">
      <w:pPr>
        <w:pStyle w:val="4"/>
        <w:rPr>
          <w:rFonts w:eastAsia="宋体"/>
          <w:lang w:val="en-US"/>
        </w:rPr>
      </w:pPr>
      <w:bookmarkStart w:id="469" w:name="_Toc28877"/>
      <w:bookmarkStart w:id="470" w:name="_Toc22834"/>
      <w:bookmarkStart w:id="471" w:name="_Toc14635"/>
      <w:bookmarkStart w:id="472" w:name="_Toc24639"/>
      <w:bookmarkStart w:id="473" w:name="_Toc9657"/>
      <w:r>
        <w:rPr>
          <w:lang w:val="en-US"/>
        </w:rPr>
        <w:t xml:space="preserve">8.4 </w:t>
      </w:r>
      <w:r>
        <w:t>预算编制</w:t>
      </w:r>
      <w:r>
        <w:rPr>
          <w:lang w:val="en-US"/>
        </w:rPr>
        <w:t>费用标准及编制方法</w:t>
      </w:r>
      <w:bookmarkEnd w:id="469"/>
      <w:bookmarkEnd w:id="470"/>
      <w:bookmarkEnd w:id="471"/>
      <w:bookmarkEnd w:id="472"/>
    </w:p>
    <w:p w14:paraId="1540B9F3">
      <w:pPr>
        <w:ind w:firstLine="560"/>
      </w:pPr>
      <w:r>
        <w:t>以“地质矿产调查评价工作项目按工作手段预算表”表式进行明细预算。明细概算以项目设计工作量为基础，以预算标准和市场价格为依据，按相应的技术条件分别选择各工作项目的单位预算标准乘以地区调整系数及其他调整系数，并填列到相对应的单位预算标准栏中，按表中设计的计算公式分别计算各工作手段的预算费用，计算公式为：</w:t>
      </w:r>
    </w:p>
    <w:p w14:paraId="4FDD1C5B">
      <w:pPr>
        <w:ind w:firstLine="560"/>
      </w:pPr>
      <w:r>
        <w:t>工作手段预算费用＝工作量×单位预算标准×地区调整系数及其他调整系数。</w:t>
      </w:r>
    </w:p>
    <w:p w14:paraId="39E97680">
      <w:pPr>
        <w:ind w:firstLine="560"/>
      </w:pPr>
      <w:r>
        <w:t>矿区所在地的地区调整系数为1.0，设计预算编制的关键是合理选定单位预算标准，本预算选定单位预算标准的具体方法是：</w:t>
      </w:r>
    </w:p>
    <w:p w14:paraId="66CEDB19">
      <w:pPr>
        <w:ind w:firstLine="560"/>
      </w:pPr>
      <w:r>
        <w:t>（1）地形测绘：主要有地形测量及制图。</w:t>
      </w:r>
    </w:p>
    <w:p w14:paraId="1F4CC39E">
      <w:pPr>
        <w:ind w:firstLine="560"/>
      </w:pPr>
      <w:r>
        <w:t>控制测量：GPS（E级网）控制测量，困难类别为</w:t>
      </w:r>
      <w:r>
        <w:rPr>
          <w:rFonts w:eastAsia="宋体"/>
        </w:rPr>
        <w:t>Ⅱ</w:t>
      </w:r>
      <w:r>
        <w:t>，地区调整系数为1.0，预算标准为3976元/点，设计工作量为6个点，费用为2.39万元。</w:t>
      </w:r>
    </w:p>
    <w:p w14:paraId="69F51239">
      <w:pPr>
        <w:ind w:firstLine="560"/>
      </w:pPr>
      <w:r>
        <w:t>地形测量：困难类别为</w:t>
      </w:r>
      <w:r>
        <w:rPr>
          <w:rFonts w:eastAsia="宋体"/>
        </w:rPr>
        <w:t>Ⅱ</w:t>
      </w:r>
      <w:r>
        <w:t>，地区调整系数为1.0。1:2000地形测量预算标准为25750.4元/km</w:t>
      </w:r>
      <w:r>
        <w:rPr>
          <w:vertAlign w:val="superscript"/>
        </w:rPr>
        <w:t>2</w:t>
      </w:r>
      <w:r>
        <w:t>，设计工作量3km</w:t>
      </w:r>
      <w:r>
        <w:rPr>
          <w:vertAlign w:val="superscript"/>
        </w:rPr>
        <w:t>2</w:t>
      </w:r>
      <w:r>
        <w:t>，数字化测图提高30%，预算费用为：25750.4元/km</w:t>
      </w:r>
      <w:r>
        <w:rPr>
          <w:vertAlign w:val="superscript"/>
        </w:rPr>
        <w:t>2</w:t>
      </w:r>
      <w:r>
        <w:t>×1.0×1.3×3km</w:t>
      </w:r>
      <w:r>
        <w:rPr>
          <w:vertAlign w:val="superscript"/>
        </w:rPr>
        <w:t>2</w:t>
      </w:r>
      <w:r>
        <w:t>=10.04万元。</w:t>
      </w:r>
    </w:p>
    <w:p w14:paraId="5FE4C30B">
      <w:pPr>
        <w:ind w:firstLine="560"/>
      </w:pPr>
      <w:r>
        <w:t>制图：1:2000地形图数字化预算标准为3394元/幅，设计工作量1幅，预算费用为0.34万元；平面地质图（全开）预算标准为4781元/幅，设计工作量1幅，预算费用为0.48万元；其他包括区域地质图、矿区地质图、剖面图、钻孔柱状图等，合计1.76万元，制图费用为4.41万元。</w:t>
      </w:r>
    </w:p>
    <w:p w14:paraId="6A7CD344">
      <w:pPr>
        <w:ind w:firstLine="560"/>
      </w:pPr>
      <w:r>
        <w:t>地形测绘预算费用共计16.8</w:t>
      </w:r>
      <w:r>
        <w:rPr>
          <w:rFonts w:hint="eastAsia"/>
          <w:lang w:val="en-US" w:eastAsia="zh-CN"/>
        </w:rPr>
        <w:t>0</w:t>
      </w:r>
      <w:r>
        <w:t>万元。</w:t>
      </w:r>
    </w:p>
    <w:p w14:paraId="7D210BFB">
      <w:pPr>
        <w:ind w:firstLine="560"/>
      </w:pPr>
      <w:r>
        <w:t>（2）地质测量：包括1:2000地质测量，1:50000区域水文地质测量，1:5000水、工、环地质测量。</w:t>
      </w:r>
    </w:p>
    <w:p w14:paraId="2BC25521">
      <w:pPr>
        <w:ind w:firstLine="560"/>
      </w:pPr>
      <w:r>
        <w:t>1:2000地质测量：地质复杂程度为</w:t>
      </w:r>
      <w:r>
        <w:rPr>
          <w:rFonts w:eastAsia="宋体"/>
        </w:rPr>
        <w:t>Ⅰ</w:t>
      </w:r>
      <w:r>
        <w:t>级，地区调整系数为1.0，正测预算标准为35009元/km</w:t>
      </w:r>
      <w:r>
        <w:rPr>
          <w:vertAlign w:val="superscript"/>
        </w:rPr>
        <w:t>2</w:t>
      </w:r>
      <w:r>
        <w:t>，设计工作量1.36km</w:t>
      </w:r>
      <w:r>
        <w:rPr>
          <w:vertAlign w:val="superscript"/>
        </w:rPr>
        <w:t>2</w:t>
      </w:r>
      <w:r>
        <w:t>，预算费用为4.76万元。</w:t>
      </w:r>
    </w:p>
    <w:p w14:paraId="604A78A7">
      <w:pPr>
        <w:ind w:firstLine="560"/>
        <w:rPr>
          <w:rFonts w:eastAsia="宋体"/>
        </w:rPr>
      </w:pPr>
      <w:r>
        <w:t>1:1000</w:t>
      </w:r>
      <w:r>
        <w:rPr>
          <w:rFonts w:hint="eastAsia"/>
          <w:lang w:val="en-US" w:eastAsia="zh-CN"/>
        </w:rPr>
        <w:t>水文地质、工程地质</w:t>
      </w:r>
      <w:r>
        <w:t>地质剖面测量：地质复杂程度为</w:t>
      </w:r>
      <w:r>
        <w:rPr>
          <w:rFonts w:eastAsia="宋体"/>
        </w:rPr>
        <w:t>Ⅰ</w:t>
      </w:r>
      <w:r>
        <w:t>级，地区调整系数为1.0，预算标准为6357元/km，设计工作量</w:t>
      </w:r>
      <w:r>
        <w:rPr>
          <w:rFonts w:hint="eastAsia"/>
          <w:lang w:val="en-US" w:eastAsia="zh-CN"/>
        </w:rPr>
        <w:t>2.78</w:t>
      </w:r>
      <w:r>
        <w:t>km，预算费用为</w:t>
      </w:r>
      <w:r>
        <w:rPr>
          <w:rFonts w:hint="eastAsia"/>
          <w:lang w:val="en-US" w:eastAsia="zh-CN"/>
        </w:rPr>
        <w:t>1.77</w:t>
      </w:r>
      <w:r>
        <w:t>万元。</w:t>
      </w:r>
    </w:p>
    <w:p w14:paraId="181FB1B0">
      <w:pPr>
        <w:ind w:firstLine="560"/>
      </w:pPr>
      <w:r>
        <w:t>1:50000区域水文地质调查：地质复杂程度为Ⅱ级，地区调整系数为1.0，预算单价为615元/km</w:t>
      </w:r>
      <w:r>
        <w:rPr>
          <w:vertAlign w:val="superscript"/>
        </w:rPr>
        <w:t>2</w:t>
      </w:r>
      <w:r>
        <w:t>，</w:t>
      </w:r>
      <w:r>
        <w:rPr>
          <w:color w:val="0000FF"/>
        </w:rPr>
        <w:t>设计工作量</w:t>
      </w:r>
      <w:r>
        <w:rPr>
          <w:rFonts w:hint="eastAsia"/>
          <w:color w:val="0000FF"/>
          <w:lang w:val="en-US" w:eastAsia="zh-CN"/>
        </w:rPr>
        <w:t>80</w:t>
      </w:r>
      <w:r>
        <w:rPr>
          <w:color w:val="0000FF"/>
        </w:rPr>
        <w:t>km</w:t>
      </w:r>
      <w:r>
        <w:rPr>
          <w:color w:val="0000FF"/>
          <w:vertAlign w:val="superscript"/>
        </w:rPr>
        <w:t>2</w:t>
      </w:r>
      <w:r>
        <w:t>，预算费用为3.08万元。</w:t>
      </w:r>
    </w:p>
    <w:p w14:paraId="4A24674A">
      <w:pPr>
        <w:ind w:firstLine="560"/>
      </w:pPr>
      <w:r>
        <w:t>1:5000水、工、环地质测量：地质复杂程度Ⅱ，设计工作量：</w:t>
      </w:r>
      <w:r>
        <w:rPr>
          <w:color w:val="auto"/>
        </w:rPr>
        <w:t>水文地质、工程地质、环境地质测量各8.0km</w:t>
      </w:r>
      <w:r>
        <w:rPr>
          <w:color w:val="auto"/>
          <w:vertAlign w:val="superscript"/>
        </w:rPr>
        <w:t>2</w:t>
      </w:r>
      <w:r>
        <w:rPr>
          <w:color w:val="auto"/>
        </w:rPr>
        <w:t>，</w:t>
      </w:r>
      <w:r>
        <w:t>地区调整系数为1.0，预算费用为13.76万元。</w:t>
      </w:r>
    </w:p>
    <w:p w14:paraId="12A0EC8B">
      <w:pPr>
        <w:ind w:firstLine="560"/>
      </w:pPr>
      <w:r>
        <w:t>地质测量预算费用共计</w:t>
      </w:r>
      <w:r>
        <w:rPr>
          <w:rFonts w:hint="eastAsia"/>
          <w:lang w:val="en-US" w:eastAsia="zh-CN"/>
        </w:rPr>
        <w:t>28.01</w:t>
      </w:r>
      <w:r>
        <w:t>万元。</w:t>
      </w:r>
    </w:p>
    <w:p w14:paraId="5A82FD17">
      <w:pPr>
        <w:ind w:firstLine="560"/>
      </w:pPr>
      <w:r>
        <w:t>（3）钻探工程</w:t>
      </w:r>
    </w:p>
    <w:p w14:paraId="0917328A">
      <w:pPr>
        <w:ind w:firstLine="560"/>
        <w:rPr>
          <w:rFonts w:eastAsia="宋体"/>
        </w:rPr>
      </w:pPr>
      <w:r>
        <w:t>地区调整系数为1.0，机械岩芯钻探，直孔，岩石级别Ⅴ级，预算标准单价为：0-100m孔深单价为745元/m，0-200m孔深单价为781元/m，0-300m孔深单价为818元/m，0-400m孔深单价为857元/m，设计工作量1</w:t>
      </w:r>
      <w:r>
        <w:rPr>
          <w:rFonts w:hint="eastAsia"/>
          <w:lang w:val="en-US" w:eastAsia="zh-CN"/>
        </w:rPr>
        <w:t>3</w:t>
      </w:r>
      <w:r>
        <w:t>22m，预算费用为</w:t>
      </w:r>
      <w:r>
        <w:rPr>
          <w:rFonts w:hint="eastAsia"/>
          <w:lang w:val="en-US" w:eastAsia="zh-CN"/>
        </w:rPr>
        <w:t>106.66</w:t>
      </w:r>
      <w:r>
        <w:t>万元。</w:t>
      </w:r>
    </w:p>
    <w:p w14:paraId="1824EAB7">
      <w:pPr>
        <w:ind w:firstLine="560"/>
      </w:pPr>
      <w:r>
        <w:t>水文地质钻探口径小于201mm，预算标准单价为639元/m，设计工作量</w:t>
      </w:r>
      <w:r>
        <w:rPr>
          <w:rFonts w:hint="eastAsia"/>
          <w:lang w:val="en-US" w:eastAsia="zh-CN"/>
        </w:rPr>
        <w:t>206</w:t>
      </w:r>
      <w:r>
        <w:t>m，预算费用为</w:t>
      </w:r>
      <w:r>
        <w:rPr>
          <w:rFonts w:hint="eastAsia"/>
          <w:lang w:val="en-US" w:eastAsia="zh-CN"/>
        </w:rPr>
        <w:t>13.16</w:t>
      </w:r>
      <w:r>
        <w:t>万元。</w:t>
      </w:r>
    </w:p>
    <w:p w14:paraId="7EC43826">
      <w:pPr>
        <w:ind w:firstLine="560"/>
      </w:pPr>
      <w:r>
        <w:t>钻探工程进退场，单程距离为(0～100km)，路况类别Ⅰ，预算标准单价为23600元/台，设计工作量2台，预算费用为4.72万元。</w:t>
      </w:r>
    </w:p>
    <w:p w14:paraId="05F01E9D">
      <w:pPr>
        <w:ind w:firstLine="560"/>
      </w:pPr>
      <w:r>
        <w:t>钻探工程预算费用共计</w:t>
      </w:r>
      <w:r>
        <w:rPr>
          <w:rFonts w:hint="eastAsia"/>
          <w:lang w:val="en-US" w:eastAsia="zh-CN"/>
        </w:rPr>
        <w:t>124.54</w:t>
      </w:r>
      <w:r>
        <w:t>万元。</w:t>
      </w:r>
    </w:p>
    <w:p w14:paraId="62D9FABC">
      <w:pPr>
        <w:ind w:firstLine="560"/>
      </w:pPr>
      <w:r>
        <w:t>（4）槽探工程</w:t>
      </w:r>
    </w:p>
    <w:p w14:paraId="2B57D9CA">
      <w:pPr>
        <w:ind w:firstLine="560"/>
        <w:rPr>
          <w:rFonts w:eastAsia="宋体"/>
        </w:rPr>
      </w:pPr>
      <w:r>
        <w:t>地区调整系数为1.0，岩石级别Ⅴ级，土石方，预算标准单价为91元/m</w:t>
      </w:r>
      <w:r>
        <w:rPr>
          <w:vertAlign w:val="superscript"/>
        </w:rPr>
        <w:t>3</w:t>
      </w:r>
      <w:r>
        <w:t>，设计工作量2000m</w:t>
      </w:r>
      <w:r>
        <w:rPr>
          <w:vertAlign w:val="superscript"/>
        </w:rPr>
        <w:t>3</w:t>
      </w:r>
      <w:r>
        <w:t>，预算费用为18.20万元。</w:t>
      </w:r>
    </w:p>
    <w:p w14:paraId="36A08645">
      <w:pPr>
        <w:ind w:firstLine="560"/>
      </w:pPr>
      <w:r>
        <w:t>（5）岩矿测试：按预算标准和当前市场价，总预算费用为</w:t>
      </w:r>
      <w:r>
        <w:rPr>
          <w:rFonts w:hint="eastAsia"/>
          <w:lang w:val="en-US" w:eastAsia="zh-CN"/>
        </w:rPr>
        <w:t>81.03</w:t>
      </w:r>
      <w:r>
        <w:t>万元。</w:t>
      </w:r>
    </w:p>
    <w:p w14:paraId="3CAC1914">
      <w:pPr>
        <w:ind w:firstLine="560"/>
      </w:pPr>
      <w:r>
        <w:t>（6）其他地质工作：工程点测量、地质编录、采样、水文动态观测、注渗水试验、设计论证编写、综合研究及编写报告、报告印刷等工作。总预算费用为1</w:t>
      </w:r>
      <w:r>
        <w:rPr>
          <w:rFonts w:hint="eastAsia"/>
          <w:lang w:val="en-US" w:eastAsia="zh-CN"/>
        </w:rPr>
        <w:t>21.69</w:t>
      </w:r>
      <w:r>
        <w:t>万元。</w:t>
      </w:r>
    </w:p>
    <w:p w14:paraId="26E0283D">
      <w:pPr>
        <w:ind w:firstLine="560"/>
      </w:pPr>
      <w:r>
        <w:t>（7）工地建筑：按照预算标准，资源评价类项目取野外工作（包括地形测量、地质测量、钻探工程、工程点测量、地质编录、采样等）费用的8%计算，预算费用为1</w:t>
      </w:r>
      <w:r>
        <w:rPr>
          <w:rFonts w:hint="eastAsia"/>
          <w:lang w:val="en-US" w:eastAsia="zh-CN"/>
        </w:rPr>
        <w:t>9.67</w:t>
      </w:r>
      <w:r>
        <w:t>万元。</w:t>
      </w:r>
    </w:p>
    <w:p w14:paraId="37464FE2">
      <w:pPr>
        <w:ind w:firstLine="560"/>
      </w:pPr>
      <w:r>
        <w:t>（8）税金：税金按上述预算费用总和的6%计算，则预算费用为</w:t>
      </w:r>
      <w:r>
        <w:rPr>
          <w:rFonts w:hint="eastAsia"/>
          <w:lang w:val="en-US" w:eastAsia="zh-CN"/>
        </w:rPr>
        <w:t>24.69</w:t>
      </w:r>
      <w:r>
        <w:t>万元。</w:t>
      </w:r>
    </w:p>
    <w:p w14:paraId="5C03C5C7">
      <w:pPr>
        <w:pStyle w:val="4"/>
      </w:pPr>
      <w:bookmarkStart w:id="474" w:name="_Toc11238"/>
      <w:bookmarkStart w:id="475" w:name="_Toc11086"/>
      <w:bookmarkStart w:id="476" w:name="_Toc15330"/>
      <w:bookmarkStart w:id="477" w:name="_Toc7788"/>
      <w:r>
        <w:rPr>
          <w:lang w:val="en-US"/>
        </w:rPr>
        <w:t xml:space="preserve">8.5 </w:t>
      </w:r>
      <w:r>
        <w:t>预算编制补充说明</w:t>
      </w:r>
      <w:bookmarkEnd w:id="473"/>
      <w:bookmarkEnd w:id="474"/>
      <w:bookmarkEnd w:id="475"/>
      <w:bookmarkEnd w:id="476"/>
      <w:bookmarkEnd w:id="477"/>
    </w:p>
    <w:p w14:paraId="2D45CECC">
      <w:pPr>
        <w:ind w:firstLine="560"/>
      </w:pPr>
      <w:r>
        <w:t>（1）本预算不含赔偿费、协调费、误工费等。</w:t>
      </w:r>
    </w:p>
    <w:p w14:paraId="0B622010">
      <w:pPr>
        <w:ind w:firstLine="560"/>
      </w:pPr>
      <w:r>
        <w:t>（2）部分项目单价按以下市场价确定：</w:t>
      </w:r>
    </w:p>
    <w:p w14:paraId="22FAA2D4">
      <w:pPr>
        <w:ind w:firstLine="560"/>
      </w:pPr>
      <w:r>
        <w:t>1）水质全分析：2500元/样；</w:t>
      </w:r>
    </w:p>
    <w:p w14:paraId="742CF02F">
      <w:pPr>
        <w:ind w:firstLine="560"/>
      </w:pPr>
      <w:r>
        <w:t>2）坚固性测试：1200元/样；</w:t>
      </w:r>
    </w:p>
    <w:p w14:paraId="7170421E">
      <w:pPr>
        <w:ind w:firstLine="560"/>
      </w:pPr>
      <w:r>
        <w:t>3）碱集料反应测试：1000元/样；</w:t>
      </w:r>
    </w:p>
    <w:p w14:paraId="1BEE6873">
      <w:pPr>
        <w:ind w:firstLine="560"/>
      </w:pPr>
      <w:r>
        <w:t>4）土工试验：1813元/样；</w:t>
      </w:r>
    </w:p>
    <w:p w14:paraId="1F852C51">
      <w:pPr>
        <w:ind w:firstLine="560"/>
      </w:pPr>
      <w:r>
        <w:t>5）土壤重金属特征污染物取样：1500元/样；</w:t>
      </w:r>
    </w:p>
    <w:p w14:paraId="32B3010D">
      <w:pPr>
        <w:ind w:firstLine="560"/>
      </w:pPr>
      <w:r>
        <w:t>6）岩石重金属特征污染物取样：1500元/样；</w:t>
      </w:r>
    </w:p>
    <w:p w14:paraId="4856B628">
      <w:pPr>
        <w:ind w:firstLine="560"/>
      </w:pPr>
      <w:r>
        <w:t>7）水文动态观测：4000元/样；</w:t>
      </w:r>
    </w:p>
    <w:p w14:paraId="77423B0D">
      <w:pPr>
        <w:ind w:firstLine="560"/>
      </w:pPr>
      <w:r>
        <w:t>8）钻孔注水试验：2500元/台班；</w:t>
      </w:r>
    </w:p>
    <w:p w14:paraId="0144FBBF">
      <w:pPr>
        <w:ind w:firstLine="560"/>
      </w:pPr>
      <w:r>
        <w:t>9）试坑渗水试验：2500元/台班。</w:t>
      </w:r>
    </w:p>
    <w:p w14:paraId="375CFDA8">
      <w:pPr>
        <w:pStyle w:val="4"/>
      </w:pPr>
      <w:bookmarkStart w:id="478" w:name="_Toc13926"/>
      <w:bookmarkStart w:id="479" w:name="_Toc10612"/>
      <w:bookmarkStart w:id="480" w:name="_Toc4771"/>
      <w:bookmarkStart w:id="481" w:name="_Toc18773"/>
      <w:bookmarkStart w:id="482" w:name="_Toc25795"/>
      <w:r>
        <w:rPr>
          <w:lang w:val="en-US"/>
        </w:rPr>
        <w:t xml:space="preserve">8.6 </w:t>
      </w:r>
      <w:r>
        <w:t>经费</w:t>
      </w:r>
      <w:r>
        <w:rPr>
          <w:lang w:val="en-US"/>
        </w:rPr>
        <w:t>预算结果</w:t>
      </w:r>
      <w:bookmarkEnd w:id="478"/>
      <w:bookmarkEnd w:id="479"/>
      <w:bookmarkEnd w:id="480"/>
      <w:bookmarkEnd w:id="481"/>
      <w:bookmarkEnd w:id="482"/>
    </w:p>
    <w:p w14:paraId="49245EF3">
      <w:pPr>
        <w:ind w:firstLine="560"/>
      </w:pPr>
      <w:r>
        <w:t>项目预算总费用为</w:t>
      </w:r>
      <w:r>
        <w:rPr>
          <w:rFonts w:hint="eastAsia"/>
          <w:lang w:val="en-US" w:eastAsia="zh-CN"/>
        </w:rPr>
        <w:t>436.13</w:t>
      </w:r>
      <w:r>
        <w:t>万元，经费预算详见表8-1。</w:t>
      </w:r>
    </w:p>
    <w:p w14:paraId="148B31E9">
      <w:pPr>
        <w:spacing w:line="240" w:lineRule="auto"/>
        <w:ind w:firstLine="0" w:firstLineChars="0"/>
        <w:jc w:val="center"/>
        <w:rPr>
          <w:b/>
          <w:bCs/>
          <w:sz w:val="24"/>
          <w:szCs w:val="24"/>
        </w:rPr>
      </w:pPr>
      <w:r>
        <w:rPr>
          <w:b/>
          <w:bCs/>
          <w:sz w:val="24"/>
          <w:szCs w:val="24"/>
        </w:rPr>
        <w:t>表8-1  项目预算费用</w:t>
      </w:r>
      <w:r>
        <w:rPr>
          <w:rFonts w:hint="eastAsia"/>
          <w:b/>
          <w:bCs/>
          <w:sz w:val="24"/>
          <w:szCs w:val="24"/>
          <w:lang w:val="en-US" w:eastAsia="zh-CN"/>
        </w:rPr>
        <w:t>一</w:t>
      </w:r>
      <w:r>
        <w:rPr>
          <w:b/>
          <w:bCs/>
          <w:sz w:val="24"/>
          <w:szCs w:val="24"/>
        </w:rPr>
        <w:t>览表</w:t>
      </w:r>
    </w:p>
    <w:tbl>
      <w:tblPr>
        <w:tblW w:w="9814"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381"/>
        <w:gridCol w:w="2098"/>
        <w:gridCol w:w="737"/>
        <w:gridCol w:w="907"/>
        <w:gridCol w:w="1140"/>
        <w:gridCol w:w="964"/>
        <w:gridCol w:w="1587"/>
      </w:tblGrid>
      <w:tr w14:paraId="4D305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85" w:hRule="atLeast"/>
        </w:trPr>
        <w:tc>
          <w:tcPr>
            <w:tcW w:w="2381" w:type="dxa"/>
            <w:vMerge w:val="restart"/>
            <w:tcBorders>
              <w:top w:val="single" w:color="000000" w:sz="4" w:space="0"/>
              <w:left w:val="single" w:color="000000" w:sz="4" w:space="0"/>
              <w:bottom w:val="single" w:color="000000" w:sz="4" w:space="0"/>
              <w:right w:val="single" w:color="000000" w:sz="4" w:space="0"/>
            </w:tcBorders>
            <w:shd w:val="clear"/>
            <w:vAlign w:val="center"/>
          </w:tcPr>
          <w:p w14:paraId="33C3236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工作手段</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2318A93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工作量</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579A51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131F42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pPr>
          </w:p>
        </w:tc>
        <w:tc>
          <w:tcPr>
            <w:tcW w:w="11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50177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单位预</w:t>
            </w: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br w:type="textWrapping"/>
            </w: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算标准</w:t>
            </w: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br w:type="textWrapping"/>
            </w: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（元）</w:t>
            </w:r>
          </w:p>
        </w:tc>
        <w:tc>
          <w:tcPr>
            <w:tcW w:w="964" w:type="dxa"/>
            <w:vMerge w:val="restart"/>
            <w:tcBorders>
              <w:top w:val="single" w:color="000000" w:sz="4" w:space="0"/>
              <w:left w:val="single" w:color="000000" w:sz="4" w:space="0"/>
              <w:bottom w:val="single" w:color="000000" w:sz="4" w:space="0"/>
              <w:right w:val="single" w:color="000000" w:sz="4" w:space="0"/>
            </w:tcBorders>
            <w:shd w:val="clear"/>
            <w:vAlign w:val="center"/>
          </w:tcPr>
          <w:p w14:paraId="3E9A246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预算金额(万元)</w:t>
            </w:r>
          </w:p>
        </w:tc>
        <w:tc>
          <w:tcPr>
            <w:tcW w:w="1587" w:type="dxa"/>
            <w:vMerge w:val="restart"/>
            <w:tcBorders>
              <w:top w:val="single" w:color="000000" w:sz="4" w:space="0"/>
              <w:left w:val="single" w:color="000000" w:sz="4" w:space="0"/>
              <w:bottom w:val="single" w:color="000000" w:sz="4" w:space="0"/>
              <w:right w:val="single" w:color="000000" w:sz="4" w:space="0"/>
            </w:tcBorders>
            <w:shd w:val="clear"/>
            <w:vAlign w:val="center"/>
          </w:tcPr>
          <w:p w14:paraId="48837A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备注</w:t>
            </w:r>
          </w:p>
        </w:tc>
      </w:tr>
      <w:tr w14:paraId="1EF23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trPr>
        <w:tc>
          <w:tcPr>
            <w:tcW w:w="2381"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A38B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5C73B4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技术条件</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26579B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计量单位</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537D559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设计工作量</w:t>
            </w:r>
          </w:p>
        </w:tc>
        <w:tc>
          <w:tcPr>
            <w:tcW w:w="11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EB7E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6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FC38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158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D029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r>
      <w:tr w14:paraId="52072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C36F30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甲</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328D21C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乙</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7D0D4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丙</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45CE8E7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1E8BCE6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2.00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7FECB09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3=1*2</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393C98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4</w:t>
            </w:r>
          </w:p>
        </w:tc>
      </w:tr>
      <w:tr w14:paraId="77B4F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69B9FE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一、地形测绘</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0C3B8A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65DBBC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175675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53272B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59A9CF8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16.80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4E9C54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r>
      <w:tr w14:paraId="768E0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4244CE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(一)地形测量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368520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0AABC6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720C8D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2E17BC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7FD6058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12.43</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0215BE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r>
      <w:tr w14:paraId="5C938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310847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1.控制测量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06C920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585B1A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21F1B5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2A945D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62374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2.39</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745C03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r>
      <w:tr w14:paraId="1CA1F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C057F4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E级网</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11CD2E0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困难类别Ⅱ</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423264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点</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3EA1878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2B0C3C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3976.00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79DC751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2.39</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1284CC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地区调整系数1.0</w:t>
            </w:r>
          </w:p>
        </w:tc>
      </w:tr>
      <w:tr w14:paraId="41853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C7B53B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2.地形测量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3A7133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14:paraId="265AD2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noWrap/>
            <w:vAlign w:val="center"/>
          </w:tcPr>
          <w:p w14:paraId="6DDAE8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F639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1A14919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10.04</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EB1F1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4DB51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7CF4437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1:2000地形测量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4963666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困难类别Ⅱ</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418CE5D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km</w:t>
            </w:r>
            <w:r>
              <w:rPr>
                <w:rFonts w:hint="default" w:ascii="Times New Roman" w:hAnsi="Times New Roman" w:eastAsia="仿宋" w:cs="Times New Roman"/>
                <w:i w:val="0"/>
                <w:iCs w:val="0"/>
                <w:color w:val="auto"/>
                <w:kern w:val="0"/>
                <w:sz w:val="21"/>
                <w:szCs w:val="21"/>
                <w:u w:val="none"/>
                <w:bdr w:val="none" w:color="auto" w:sz="0" w:space="0"/>
                <w:vertAlign w:val="superscript"/>
                <w:lang w:val="en-US" w:eastAsia="zh-CN" w:bidi="ar"/>
              </w:rPr>
              <w:t>2</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1665B17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3C59A3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25750.40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32C24B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10.04</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956F35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矿区范围外扩300m，地区调整系数1.0，数字化测图提高30%</w:t>
            </w:r>
          </w:p>
        </w:tc>
      </w:tr>
      <w:tr w14:paraId="43F8C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300E62E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(二)制图</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01E377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6E72B0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1D428B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4CAB89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561B46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4.37</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493147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24BC8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175E5E9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1:2000地形图数字化</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655980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困难类别Ⅳ</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8ED56A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幅</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AAA2CC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1258B1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3394.00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7E598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0.34</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1B631B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17585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19E41B9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平面地质图（全开）</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3C28A94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困难类别Ⅲ</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68F25F3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幅</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08D6474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32617D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4781.00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2E0672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0.48</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483C42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728C1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3E9301C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区域地质图</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2A15FA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困难类别Ⅲ</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0BFDA60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幅</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24D571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4ACF99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12349.00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5426CB3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1.23</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32F77E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431E9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75B85CC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剖面图</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01BD4FC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困难类别Ⅲ</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41BA022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cm</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05B3CE4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600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6A71B6F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596BCE7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0.60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100A0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170C0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3F3B709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钻探素描图</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725250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困难类别Ⅲ</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06C68ED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cm</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1CE8622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1322</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586E9E6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13.00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0C834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1.72</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2DDE44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483A5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3B02BE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二、地质测量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632CB7B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50D25C1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38A2C8E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1F6B859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244A4B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28.01</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460116D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p>
        </w:tc>
      </w:tr>
      <w:tr w14:paraId="3779E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4132D9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(一)专项地质测量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6BC31C7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BB232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041031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3CF6640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AEF40E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6.53</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1F98318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p>
        </w:tc>
      </w:tr>
      <w:tr w14:paraId="2C37E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5144247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1.专项地质测量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4311EF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15632D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7491E4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A29F7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BE6816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4.76</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8716D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19158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27123F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1:2000地质测量（正测）</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1962B28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地质复杂程度：Ⅰ</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6B9AB64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km</w:t>
            </w:r>
            <w:r>
              <w:rPr>
                <w:rFonts w:hint="default" w:ascii="Times New Roman" w:hAnsi="Times New Roman" w:eastAsia="仿宋" w:cs="Times New Roman"/>
                <w:i w:val="0"/>
                <w:iCs w:val="0"/>
                <w:color w:val="auto"/>
                <w:kern w:val="0"/>
                <w:sz w:val="21"/>
                <w:szCs w:val="21"/>
                <w:u w:val="none"/>
                <w:bdr w:val="none" w:color="auto" w:sz="0" w:space="0"/>
                <w:vertAlign w:val="superscript"/>
                <w:lang w:val="en-US" w:eastAsia="zh-CN" w:bidi="ar"/>
              </w:rPr>
              <w:t>2</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3038E7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1.36</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81868C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35009.00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13D7C08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4.76</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B88798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地区调整系数1.0</w:t>
            </w:r>
          </w:p>
        </w:tc>
      </w:tr>
      <w:tr w14:paraId="6821B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756128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2.地质剖面测量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3F5569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0EA5B0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0012CD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5A868F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F2E2C7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1.77</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38C3A6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192CF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79017EE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1:1000水文工程地质剖面测量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77943E0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地质复杂程度：Ⅰ</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5650A5D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km</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525ED41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2.78</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18B33D2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6357</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53B3C0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1.77</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F32EF8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地区调整系数1.0</w:t>
            </w:r>
          </w:p>
        </w:tc>
      </w:tr>
      <w:tr w14:paraId="7AB55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1E43ACC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(二)区域水文地质</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2B51D0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223186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082FBA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12A91E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25801AE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4.92</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014E5A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40584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46225F4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1:50000区域水文地质调查</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33C3A18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地质复杂程度：Ⅱ</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4D8B2C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km</w:t>
            </w:r>
            <w:r>
              <w:rPr>
                <w:rFonts w:hint="default" w:ascii="Times New Roman" w:hAnsi="Times New Roman" w:eastAsia="仿宋" w:cs="Times New Roman"/>
                <w:i w:val="0"/>
                <w:iCs w:val="0"/>
                <w:color w:val="auto"/>
                <w:kern w:val="0"/>
                <w:sz w:val="21"/>
                <w:szCs w:val="21"/>
                <w:u w:val="none"/>
                <w:bdr w:val="none" w:color="auto" w:sz="0" w:space="0"/>
                <w:vertAlign w:val="superscript"/>
                <w:lang w:val="en-US" w:eastAsia="zh-CN" w:bidi="ar"/>
              </w:rPr>
              <w:t>2</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033F19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80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5A44BD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615.00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030E20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4.92</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4078E7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地区调整系数1.0</w:t>
            </w:r>
          </w:p>
        </w:tc>
      </w:tr>
      <w:tr w14:paraId="611E9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6DB62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(三)专项水文地质测量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67C0D1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5D56E3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4020DD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37DE0B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77E4DC5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5.36</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F2D0E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4646B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7170D1D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1:5000水文地质测量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72EF2D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地质复杂程度：Ⅱ</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1479A68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km</w:t>
            </w:r>
            <w:r>
              <w:rPr>
                <w:rFonts w:hint="default" w:ascii="Times New Roman" w:hAnsi="Times New Roman" w:eastAsia="仿宋" w:cs="Times New Roman"/>
                <w:i w:val="0"/>
                <w:iCs w:val="0"/>
                <w:color w:val="auto"/>
                <w:kern w:val="0"/>
                <w:sz w:val="21"/>
                <w:szCs w:val="21"/>
                <w:u w:val="none"/>
                <w:bdr w:val="none" w:color="auto" w:sz="0" w:space="0"/>
                <w:vertAlign w:val="superscript"/>
                <w:lang w:val="en-US" w:eastAsia="zh-CN" w:bidi="ar"/>
              </w:rPr>
              <w:t>2</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076D3C9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8</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2833BE7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6702.00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97C82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5.36</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086898B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地区调整系数1.0</w:t>
            </w:r>
          </w:p>
        </w:tc>
      </w:tr>
      <w:tr w14:paraId="14CF3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7657AD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(四)专项工程、环境地质测量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153FEB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19970A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0BE7A9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2E55E6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18DB8B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11.20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2E669A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07893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379DDAD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1:5000专项工程地质测量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486AFD7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地质复杂程度：Ⅱ</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8B182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D0964B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8</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7C021E9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7306.00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5313BCA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5.84</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01105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地区调整系数1.0</w:t>
            </w:r>
          </w:p>
        </w:tc>
      </w:tr>
      <w:tr w14:paraId="5E1DD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C9B7A7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1:5000专项环境地质测量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3C00FEC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地质复杂程度：Ⅱ</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31C81B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2270486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8</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4E128C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6706.00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9E5CD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5.36</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451FAD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地区调整系数1.0</w:t>
            </w:r>
          </w:p>
        </w:tc>
      </w:tr>
      <w:tr w14:paraId="76FB2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1E6D0A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三、钻探</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5C97F5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36AC14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1EC4D0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2AA9D4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C9E464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124.54</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767CE9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r>
      <w:tr w14:paraId="4003B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6F42D38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(一)矿产地质钻探</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5B317E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4E9AB8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0D4FB1B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1322</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313162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34610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106.66</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06A717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r>
      <w:tr w14:paraId="74D5A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3EE3D9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机械岩芯钻探(0-100m)直孔</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43EC830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岩石级别Ⅴ</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347125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A72A98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105</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3EDA9A8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745.00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5760B4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7.82</w:t>
            </w:r>
          </w:p>
        </w:tc>
        <w:tc>
          <w:tcPr>
            <w:tcW w:w="1587" w:type="dxa"/>
            <w:vMerge w:val="restart"/>
            <w:tcBorders>
              <w:top w:val="single" w:color="000000" w:sz="4" w:space="0"/>
              <w:left w:val="single" w:color="000000" w:sz="4" w:space="0"/>
              <w:bottom w:val="single" w:color="000000" w:sz="4" w:space="0"/>
              <w:right w:val="single" w:color="000000" w:sz="4" w:space="0"/>
            </w:tcBorders>
            <w:shd w:val="clear"/>
            <w:vAlign w:val="center"/>
          </w:tcPr>
          <w:p w14:paraId="2548067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地区调整系数1.0</w:t>
            </w:r>
          </w:p>
        </w:tc>
      </w:tr>
      <w:tr w14:paraId="0E98A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68CB3F0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机械岩芯钻探(0-200m)直孔</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2F0868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岩石级别Ⅴ</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21BC9A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1ACE956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609</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0E9090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781.00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1D6622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47.56</w:t>
            </w:r>
          </w:p>
        </w:tc>
        <w:tc>
          <w:tcPr>
            <w:tcW w:w="158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92EE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58E14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4B7F4DB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机械岩芯钻探(0-300m)直孔</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735D8A4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岩石级别Ⅴ</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587A37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29107E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214</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5917AD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818.00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2F1EB5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17.51</w:t>
            </w:r>
          </w:p>
        </w:tc>
        <w:tc>
          <w:tcPr>
            <w:tcW w:w="158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2CE0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73031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1203D1C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机械岩芯钻探(0-400m)直孔</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4F8D1EA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岩石级别Ⅴ</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2FAB45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27A65A6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394</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17FC6E2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857.00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12BD691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33.77</w:t>
            </w:r>
          </w:p>
        </w:tc>
        <w:tc>
          <w:tcPr>
            <w:tcW w:w="158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6033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3282D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21F7AC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机械岩芯钻探(0-500m)直孔</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3100CAF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岩石级别Ⅴ</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2858FC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2F466C7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7E5A50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900.00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B87FC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0.00</w:t>
            </w:r>
          </w:p>
        </w:tc>
        <w:tc>
          <w:tcPr>
            <w:tcW w:w="158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7A23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235CD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55E1F4D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(二)水文地质钻探</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743BE7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0C4FA9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29263F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5A0F16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E282C6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13.16</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B1C95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08B8D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2EA7D76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口径小于201mm</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02B801E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岩石级别Ⅴ</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10ACE4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41E179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206</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21039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639.00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E27D5A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13.16</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E9374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672A8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31F68C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(三)钻探工程进退场</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4CB1BA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23ABA9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7C898B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3C9F3C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3A5A4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4.72</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2865D0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1059B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7C0452B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单程距离(0～100km)</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65A8BF6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路况类别Ⅰ</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11660B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元/台</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387789F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52761F2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23600.00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F49588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4.72</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439C255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地区调整系数1.0</w:t>
            </w:r>
          </w:p>
        </w:tc>
      </w:tr>
      <w:tr w14:paraId="088A2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58C4EB4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四、槽探</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725EB1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45E547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25F16C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554AEC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927000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18.20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346DC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6B969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4ACAFBD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槽探(0～1.5m)</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729EFE6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岩石级别Ⅴ；土石方</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52722BC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m</w:t>
            </w:r>
            <w:r>
              <w:rPr>
                <w:rFonts w:hint="default" w:ascii="Times New Roman" w:hAnsi="Times New Roman" w:eastAsia="仿宋" w:cs="Times New Roman"/>
                <w:i w:val="0"/>
                <w:iCs w:val="0"/>
                <w:color w:val="auto"/>
                <w:kern w:val="0"/>
                <w:sz w:val="21"/>
                <w:szCs w:val="21"/>
                <w:u w:val="none"/>
                <w:bdr w:val="none" w:color="auto" w:sz="0" w:space="0"/>
                <w:vertAlign w:val="superscript"/>
                <w:lang w:val="en-US" w:eastAsia="zh-CN" w:bidi="ar"/>
              </w:rPr>
              <w:t>3</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CFB9C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2000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52440A8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91</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AFC7A2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18.20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77AA73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地区调整系数1.0</w:t>
            </w:r>
          </w:p>
        </w:tc>
      </w:tr>
      <w:tr w14:paraId="253DB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7D00E19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五、岩矿测试</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79EF69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8131D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531074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5909B7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EF0CC8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82.53</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387CD0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215A3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4D01120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(一)岩矿分析</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472199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27DD7A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2FABA1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06ACC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F877F3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67.22</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CD7B3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11E11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55832E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1.一般岩矿分析</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01B1D5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100301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2E6A79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3FEC69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8998FC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58.17</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1C7DCA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1218C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408664B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化学全分析</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3335DC7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CaO、MgO、SiO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、Al</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、Fe</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、K</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O、Na</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O、SO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、TiO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、P</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5</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、Mn</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4</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、Cl</w:t>
            </w:r>
            <w:r>
              <w:rPr>
                <w:rFonts w:hint="default" w:ascii="Times New Roman" w:hAnsi="Times New Roman" w:eastAsia="仿宋" w:cs="Times New Roman"/>
                <w:i w:val="0"/>
                <w:iCs w:val="0"/>
                <w:color w:val="auto"/>
                <w:kern w:val="0"/>
                <w:sz w:val="21"/>
                <w:szCs w:val="21"/>
                <w:u w:val="none"/>
                <w:bdr w:val="none" w:color="auto" w:sz="0" w:space="0"/>
                <w:vertAlign w:val="superscript"/>
                <w:lang w:val="en-US" w:eastAsia="zh-CN" w:bidi="ar"/>
              </w:rPr>
              <w:t>－</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、灼失量</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5BFE387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CE692D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EB3B97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728</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345150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0.73</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3B362FD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费用标准为各项分析单价之合</w:t>
            </w:r>
          </w:p>
        </w:tc>
      </w:tr>
      <w:tr w14:paraId="5883E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5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2D9A7FD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组合分析</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4F37B9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SiO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、Al</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、Fe</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、K</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O、Na</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O、SO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、Cl</w:t>
            </w:r>
            <w:r>
              <w:rPr>
                <w:rFonts w:hint="default" w:ascii="Times New Roman" w:hAnsi="Times New Roman" w:eastAsia="仿宋" w:cs="Times New Roman"/>
                <w:i w:val="0"/>
                <w:iCs w:val="0"/>
                <w:color w:val="auto"/>
                <w:kern w:val="0"/>
                <w:sz w:val="21"/>
                <w:szCs w:val="21"/>
                <w:u w:val="none"/>
                <w:bdr w:val="none" w:color="auto" w:sz="0" w:space="0"/>
                <w:vertAlign w:val="superscript"/>
                <w:lang w:val="en-US" w:eastAsia="zh-CN" w:bidi="ar"/>
              </w:rPr>
              <w:t>－</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、灼失量、</w:t>
            </w:r>
            <w:r>
              <w:rPr>
                <w:rFonts w:hint="default" w:ascii="Times New Roman" w:hAnsi="Times New Roman" w:eastAsia="仿宋" w:cs="Times New Roman"/>
                <w:i/>
                <w:iCs/>
                <w:color w:val="auto"/>
                <w:kern w:val="0"/>
                <w:sz w:val="21"/>
                <w:szCs w:val="21"/>
                <w:u w:val="none"/>
                <w:bdr w:val="none" w:color="auto" w:sz="0" w:space="0"/>
                <w:lang w:val="en-US" w:eastAsia="zh-CN" w:bidi="ar"/>
              </w:rPr>
              <w:t>f</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SiO2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B9C336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C3F568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5D9457B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563</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62F47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2.82</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89FEC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费用标准为9项分析单价之合</w:t>
            </w:r>
          </w:p>
        </w:tc>
      </w:tr>
      <w:tr w14:paraId="5318B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C92422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基本分析</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0C3C4C9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CaO、MgO、K</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O、Na</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w:t>
            </w:r>
            <w:r>
              <w:rPr>
                <w:rFonts w:hint="default" w:ascii="Times New Roman" w:hAnsi="Times New Roman" w:eastAsia="仿宋" w:cs="Times New Roman"/>
                <w:i/>
                <w:iCs/>
                <w:color w:val="auto"/>
                <w:kern w:val="0"/>
                <w:sz w:val="21"/>
                <w:szCs w:val="21"/>
                <w:u w:val="none"/>
                <w:bdr w:val="none" w:color="auto" w:sz="0" w:space="0"/>
                <w:lang w:val="en-US" w:eastAsia="zh-CN" w:bidi="ar"/>
              </w:rPr>
              <w:t>f</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SiO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5BCBAE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4858324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1370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47090C8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311</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2069E54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42.61</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0332C1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268CD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5727EC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内检</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399F830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CaO、MgO、K</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O、Na</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w:t>
            </w:r>
            <w:r>
              <w:rPr>
                <w:rFonts w:hint="default" w:ascii="Times New Roman" w:hAnsi="Times New Roman" w:eastAsia="仿宋" w:cs="Times New Roman"/>
                <w:i/>
                <w:iCs/>
                <w:color w:val="auto"/>
                <w:kern w:val="0"/>
                <w:sz w:val="21"/>
                <w:szCs w:val="21"/>
                <w:u w:val="none"/>
                <w:bdr w:val="none" w:color="auto" w:sz="0" w:space="0"/>
                <w:lang w:val="en-US" w:eastAsia="zh-CN" w:bidi="ar"/>
              </w:rPr>
              <w:t>f</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SiO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68BF1B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7E3DD95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160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1605F5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311</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74041A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4.98</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05272C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697DE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135E917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外检</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1F58CB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CaO、MgO、K</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O、Na</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w:t>
            </w:r>
            <w:r>
              <w:rPr>
                <w:rFonts w:hint="default" w:ascii="Times New Roman" w:hAnsi="Times New Roman" w:eastAsia="仿宋" w:cs="Times New Roman"/>
                <w:i/>
                <w:iCs/>
                <w:color w:val="auto"/>
                <w:kern w:val="0"/>
                <w:sz w:val="21"/>
                <w:szCs w:val="21"/>
                <w:u w:val="none"/>
                <w:bdr w:val="none" w:color="auto" w:sz="0" w:space="0"/>
                <w:lang w:val="en-US" w:eastAsia="zh-CN" w:bidi="ar"/>
              </w:rPr>
              <w:t>f</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SiO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0E5C07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41E490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80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3AE2A2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622</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9AD3D1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4.98</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66214D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内检的0.5倍</w:t>
            </w:r>
          </w:p>
        </w:tc>
      </w:tr>
      <w:tr w14:paraId="2D3FF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34CC0E7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覆盖层、岩溶充填物化学分析</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6767DFA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SiO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、Al</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、Fe</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、CaO、MgO、K</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O、Na</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O、SO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、Cl-、烧失量</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60ACDC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200E4B9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4B5D0EF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1500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1024DC3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1.50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1EF1D5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328D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1A8E23D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水泥配料基本分析</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6B12BD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SiO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、Al</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、Fe</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、K</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O、Na</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2</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O</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1F4743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2130B0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4C69A6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275</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7BFA0D0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0.55</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F9B51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61CFB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3BFDBFE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2.样品加工</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53F963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45E847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607D4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6412D4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A904B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9.05</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34DF3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6E21D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C7F6D5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5～10Kg</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10B58D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654C8B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4247DAF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1460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EA2442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62</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F8473B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9.05</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758AC4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51480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643F320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（二）水质分析</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6F0D1B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521B65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84FAB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301485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A36919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2.00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EF1AE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44DF1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231288C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1.一般水样</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6ADAD08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全分析</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5E37735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822D45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8</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78FD518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2500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313435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2.00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7351CB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市场价格</w:t>
            </w:r>
          </w:p>
        </w:tc>
      </w:tr>
      <w:tr w14:paraId="579D1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61B4D71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（三）岩矿鉴定与试验</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229176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507ED0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7EE22B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78629C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5BFB4F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13.31</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7BEAA6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7B0C5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7EC7A1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1.岩矿鉴定及测试</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135344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008B29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353DE7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7F87EF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55EDD1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0.17</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4FA4E7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1FA0D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61766ED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薄片制片</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01FCFF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07374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片</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340A85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620CED0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55</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96AA0E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0.06</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78119E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40382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1C3D3D2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薄片鉴定</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0C413E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499F12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片</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4F84FD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E20D23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109</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98E83C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0.11</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B8081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38EED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747EBE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2.岩石试验</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298838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05C9D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4624D5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7BA30B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2C6BDB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3.00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CECA2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431AB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239AF58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小体重、含水率</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4CAE03A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规格5×5×5cm</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0658F4E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0AAA19B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768EF7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299</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37DCCB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1.50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09B8A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287D9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323924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抗剪强度（饱和干燥）</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7C55553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规格5×5×5cm</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1CC243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240C8D2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126</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74226FD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119</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08CEC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1.50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0B4D07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09F18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443433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3.物理性能测试</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258F1D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8773E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0E41DB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F7438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1189B18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6.31</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70D0CB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559E3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3CBD83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抗压强度（水饱和状态下）</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68B3AA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65A605F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1571CA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126</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7BC1F0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87</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568E64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1.10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79DEE4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37B1F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6C332A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容重</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3CD6FB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241C33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1C5A109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126</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569C3BB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119</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4B3DA2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1.50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458506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2E3A1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6E7CD27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压碎指标</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6B6C23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4A9F527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99A98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BCA5C8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1200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22C67B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1.20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37B45C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6EAB1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4B297C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硫酸盐及硫化物</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19F835B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按SO</w:t>
            </w:r>
            <w:r>
              <w:rPr>
                <w:rFonts w:hint="default" w:ascii="Times New Roman" w:hAnsi="Times New Roman" w:eastAsia="仿宋" w:cs="Times New Roman"/>
                <w:i w:val="0"/>
                <w:iCs w:val="0"/>
                <w:color w:val="auto"/>
                <w:kern w:val="0"/>
                <w:sz w:val="21"/>
                <w:szCs w:val="21"/>
                <w:u w:val="none"/>
                <w:bdr w:val="none" w:color="auto" w:sz="0" w:space="0"/>
                <w:vertAlign w:val="subscript"/>
                <w:lang w:val="en-US" w:eastAsia="zh-CN" w:bidi="ar"/>
              </w:rPr>
              <w:t>3</w:t>
            </w:r>
            <w:r>
              <w:rPr>
                <w:rFonts w:hint="default" w:ascii="Times New Roman" w:hAnsi="Times New Roman" w:eastAsia="仿宋" w:cs="Times New Roman"/>
                <w:i w:val="0"/>
                <w:iCs w:val="0"/>
                <w:color w:val="auto"/>
                <w:kern w:val="0"/>
                <w:sz w:val="21"/>
                <w:szCs w:val="21"/>
                <w:u w:val="none"/>
                <w:bdr w:val="none" w:color="auto" w:sz="0" w:space="0"/>
                <w:lang w:val="en-US" w:eastAsia="zh-CN" w:bidi="ar"/>
              </w:rPr>
              <w:t>质量分数</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621AFA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700D41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134731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193</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8AEC53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0.19</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47C3EC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1704D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3AF3A0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坚固性测试（硫酸纳溶液测试）</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50DFB5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514E79D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74308AA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6DE76F4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1200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82D3EF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1.20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48A1FE5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市场价格</w:t>
            </w:r>
          </w:p>
        </w:tc>
      </w:tr>
      <w:tr w14:paraId="1D3D3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4489F10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吸水率</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37A764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4E7368B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16FAC7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1E7ABE7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119</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BFF07D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0.12</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EDB7E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321F7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69545CA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碱集料反应</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561DE0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312EA7D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70D51BA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CB9BE8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54AF08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3635429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市场价格</w:t>
            </w:r>
          </w:p>
        </w:tc>
      </w:tr>
      <w:tr w14:paraId="2FE5E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225D905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4.放射性测试</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564DE5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6CF23A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4A39C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654B10E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102D7C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0.50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21A790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7236E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2886354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5.土体常规试验</w:t>
            </w:r>
          </w:p>
        </w:tc>
        <w:tc>
          <w:tcPr>
            <w:tcW w:w="2098" w:type="dxa"/>
            <w:tcBorders>
              <w:top w:val="single" w:color="000000" w:sz="4" w:space="0"/>
              <w:left w:val="single" w:color="000000" w:sz="4" w:space="0"/>
              <w:bottom w:val="single" w:color="000000" w:sz="4" w:space="0"/>
              <w:right w:val="single" w:color="000000" w:sz="4" w:space="0"/>
            </w:tcBorders>
            <w:shd w:val="clear"/>
            <w:noWrap/>
            <w:vAlign w:val="center"/>
          </w:tcPr>
          <w:p w14:paraId="40E6B5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0E2180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22E6F7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7799F3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7D5DA5C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3.30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546DAA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市场价</w:t>
            </w:r>
          </w:p>
        </w:tc>
      </w:tr>
      <w:tr w14:paraId="3B576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6A7B3C8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土工试验</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57BF5C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岩石孔隙度；岩石渗透率；压缩、抗剪、比重、容重；液塑限颗粒分析；含水量；颗粒密度</w:t>
            </w: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14:paraId="364FBC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4D37222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7809C2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2000.00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32B538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0.80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2810142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市场价</w:t>
            </w:r>
          </w:p>
        </w:tc>
      </w:tr>
      <w:tr w14:paraId="2FFD2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44FB01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土壤有毒有害元素分析样</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0D14136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PH值、Tl、Hg、Cr、As、Cd、Co、Sb、Pb、Mn、Cu、Ni、Zn、Sn（14项）</w:t>
            </w: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14:paraId="55F7C91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33CBEB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2C810D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2500.00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4825C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72472EB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市场价</w:t>
            </w:r>
          </w:p>
        </w:tc>
      </w:tr>
      <w:tr w14:paraId="2A4A6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20"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1CF0C39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矿石有毒有害元素分析样</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5BB669A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PH值、Tl、Hg、Cr、As、Cd、Co、Sb、Pb、Mn、Cu、Ni、Zn、Sn（14项）</w:t>
            </w: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14:paraId="2D9535F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4A9320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6953804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2500.00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2A734F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1.50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7C1DC1E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市场价</w:t>
            </w:r>
          </w:p>
        </w:tc>
      </w:tr>
      <w:tr w14:paraId="593A9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72E7E8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6.土膨胀系数</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5EE58F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自由膨胀率</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3A42AA1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件</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7611FFD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27257D7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59.00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1DD8E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0.03</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1FBE11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r>
      <w:tr w14:paraId="3D848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1538D4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六、其他地质工作</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24B0F80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153E45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078F41A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71275B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F38864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121.69</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21B67A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r>
      <w:tr w14:paraId="4B6E9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1C0051C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(一)地质勘查工作测量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426F53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570F0C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4D097B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1F4C71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114DB00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4.73</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F8512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r>
      <w:tr w14:paraId="225E7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68BB0E8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1.剖面线测量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37223C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39832E1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km</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4248DC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6693C7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1600.00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753F40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0.32</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494FF3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r>
      <w:tr w14:paraId="01B50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44A316E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2.工程点测量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18A52DF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钻探孔口、剥土工程起终点</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09B1024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点</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33894DB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21</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69BA371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2100.00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A50C16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4.41</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3B0E9A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地区调整系数1.0</w:t>
            </w:r>
          </w:p>
        </w:tc>
      </w:tr>
      <w:tr w14:paraId="6043B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CC632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（二）地质编录</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1A9F1C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54710E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5C51AB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81CA3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AB758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13.23</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12CFF1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55AE5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9A1DFE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1.槽探</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7E5678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2E1FB0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m</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3F37BC0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4230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4349154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15</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0CCDC4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6.35</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4CF679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地区调整系数1.0</w:t>
            </w:r>
          </w:p>
        </w:tc>
      </w:tr>
      <w:tr w14:paraId="25012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37619F4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2.钻探</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4E77FC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0A91CD2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m</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31DD921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1322</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2DD4F0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26.00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5BA0E7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3.44</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4D5393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地区调整系数1.0</w:t>
            </w:r>
          </w:p>
        </w:tc>
      </w:tr>
      <w:tr w14:paraId="47587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E0FBA2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3.钻孔水文地质编录</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7BDE31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5B9F41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m</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076850B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1322</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31E5195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26.00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128D9F7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3.44</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40C6F1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地区调整系数1.0</w:t>
            </w:r>
          </w:p>
        </w:tc>
      </w:tr>
      <w:tr w14:paraId="21766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69CB88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(三)采样</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37174F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060FCB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74BC4D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117745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797D27B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36.43</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2FF41F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04C21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505F312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1.刻槽样</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1FEBD0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5×3cm</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3C4F9F3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m</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7BC25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4230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19E9CC5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78</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ABE45A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32.99</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076A9A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地区调整系数1.0</w:t>
            </w:r>
          </w:p>
        </w:tc>
      </w:tr>
      <w:tr w14:paraId="74797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4628A74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2.劈心样</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74150E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07F4618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m</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28C45FC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1322</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6687B11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26</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50483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3.44</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367349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地区调整系数1.0</w:t>
            </w:r>
          </w:p>
        </w:tc>
      </w:tr>
      <w:tr w14:paraId="51A8B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5870469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(四)岩矿心保管</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5C1D9D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BE0B2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m</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46492A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1190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7558A4B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82650C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2.38</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2EC98B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岩心采取率按90%计</w:t>
            </w:r>
          </w:p>
        </w:tc>
      </w:tr>
      <w:tr w14:paraId="08A6E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D0EFC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(五)水工环测量</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2224AF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56A6C3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7AFF69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2858E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30EBA0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5.92</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74A929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6050B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85347D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1.长期水文动态观测</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03C4BB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861CAE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点</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18C42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7</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1B824D1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4000.00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0D64BF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2.80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49D8CFE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市场价</w:t>
            </w:r>
          </w:p>
        </w:tc>
      </w:tr>
      <w:tr w14:paraId="3292D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55F071A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2.钻孔注水试验</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5E6253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2D9721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台班</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4FD235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3AD1D8D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2500.00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B64A70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0.75</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15F40E3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市场价</w:t>
            </w:r>
          </w:p>
        </w:tc>
      </w:tr>
      <w:tr w14:paraId="29FFD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751FA68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3.试坑渗水试验</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083574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1E2DA0E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台班</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A5F57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391CB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2500.00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194FA8F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3211BE6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市场价</w:t>
            </w:r>
          </w:p>
        </w:tc>
      </w:tr>
      <w:tr w14:paraId="6CA70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13980D1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4.气象资料收集</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6FF4F5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6E6F265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份</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334D028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6F32706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5000.00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A69A74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0.50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328F192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市场价</w:t>
            </w:r>
          </w:p>
        </w:tc>
      </w:tr>
      <w:tr w14:paraId="6BD9B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4452B03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5.水文物探测井</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543A96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6AB89A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015558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E6436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C9E25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0.87</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273F3A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1CE78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6AF6ACF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视电阻率测井</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1D993D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2D1DDF9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m</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0731C23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206</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27AD0A1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13</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DA8FE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0.27</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53F3B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0FB81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268661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声波测井</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144F9A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923B4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m</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373EFB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206</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621CB90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14</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C33A1A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0.29</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4DFC12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1DDA9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6E352FE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扩散法井液电阻率测井</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152960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539A3F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m</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021A59F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206</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7688C48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15</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7BE440C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0.31</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2B645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04A73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3EFC247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（六）节理裂隙平台施工</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67842C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672907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215333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65BFD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94A9AF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3.50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150DCC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3BE67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14D9787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1.线岩溶裂隙率调查</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41050F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4C1AD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m</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569857D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1000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3EF99B1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15</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519875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1.50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19A766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2690A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6181134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2.面岩溶裂隙率调查</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0B37E1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1DBC959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m</w:t>
            </w:r>
            <w:r>
              <w:rPr>
                <w:rFonts w:hint="default" w:ascii="Times New Roman" w:hAnsi="Times New Roman" w:eastAsia="仿宋" w:cs="Times New Roman"/>
                <w:i w:val="0"/>
                <w:iCs w:val="0"/>
                <w:color w:val="auto"/>
                <w:kern w:val="0"/>
                <w:sz w:val="21"/>
                <w:szCs w:val="21"/>
                <w:u w:val="none"/>
                <w:bdr w:val="none" w:color="auto" w:sz="0" w:space="0"/>
                <w:vertAlign w:val="superscript"/>
                <w:lang w:val="en-US" w:eastAsia="zh-CN" w:bidi="ar"/>
              </w:rPr>
              <w:t>2</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A68288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500</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2534B9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40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72BC612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2.00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1D7E8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20A0B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7DE3365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(七)设计论证编写</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414D16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BB1AF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7C4A1E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6A477B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37870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6.50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234A5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57DDE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F7793C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矿产评价</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5BA655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88C8A8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份</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2EF0C94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141B433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65000.00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2F26906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6.50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018ABE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73117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779C77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(八)综合研究及编写报告</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2F19EB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28A98A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42965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1D0103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155BE49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26.50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0EBCAC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1B075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4AE2DF1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1.矿产评价</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1A4CBAD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总经费500～1000万元</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00601D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份</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71AD6D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0B88DF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115000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4F1E46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11.50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7C588D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652A8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0A6BD37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2.开采方案</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183A4A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6710C7B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份</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7C46D12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41FAC93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150000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8A01D6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15.00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41D2E5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7CD7D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7411613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(九)报告印刷出版</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7B6842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621B00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7AB480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168BC2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28D24D0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22.50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462959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30C43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3343BD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矿产评价</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788485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790002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份</w:t>
            </w: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4757C0C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3</w:t>
            </w: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2180597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75000.00</w:t>
            </w: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1FF4AC2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22.50</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600DBD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i w:val="0"/>
                <w:iCs w:val="0"/>
                <w:color w:val="auto"/>
                <w:sz w:val="21"/>
                <w:szCs w:val="21"/>
                <w:u w:val="none"/>
              </w:rPr>
            </w:pPr>
          </w:p>
        </w:tc>
      </w:tr>
      <w:tr w14:paraId="72B7C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5224A8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七、工地建筑</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4FBE18D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1AE3B4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67134A1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146A6D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7B83A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19.67</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104D30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野外工作手段的8%</w:t>
            </w:r>
          </w:p>
        </w:tc>
      </w:tr>
      <w:tr w14:paraId="28BD9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696E866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八、税金</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02C8A1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32B05E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1E6331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2E3391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80A04D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24.69</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436B4E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i w:val="0"/>
                <w:iCs w:val="0"/>
                <w:color w:val="auto"/>
                <w:sz w:val="21"/>
                <w:szCs w:val="21"/>
                <w:u w:val="none"/>
              </w:rPr>
            </w:pPr>
            <w:r>
              <w:rPr>
                <w:rFonts w:hint="default" w:ascii="Times New Roman" w:hAnsi="Times New Roman" w:eastAsia="仿宋" w:cs="Times New Roman"/>
                <w:i w:val="0"/>
                <w:iCs w:val="0"/>
                <w:color w:val="auto"/>
                <w:kern w:val="0"/>
                <w:sz w:val="21"/>
                <w:szCs w:val="21"/>
                <w:u w:val="none"/>
                <w:bdr w:val="none" w:color="auto" w:sz="0" w:space="0"/>
                <w:lang w:val="en-US" w:eastAsia="zh-CN" w:bidi="ar"/>
              </w:rPr>
              <w:t>项目经费预算的6%</w:t>
            </w:r>
          </w:p>
        </w:tc>
      </w:tr>
      <w:tr w14:paraId="00BD5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1" w:type="dxa"/>
            <w:tcBorders>
              <w:top w:val="single" w:color="000000" w:sz="4" w:space="0"/>
              <w:left w:val="single" w:color="000000" w:sz="4" w:space="0"/>
              <w:bottom w:val="single" w:color="000000" w:sz="4" w:space="0"/>
              <w:right w:val="single" w:color="000000" w:sz="4" w:space="0"/>
            </w:tcBorders>
            <w:shd w:val="clear"/>
            <w:vAlign w:val="center"/>
          </w:tcPr>
          <w:p w14:paraId="76E296B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合    计</w:t>
            </w:r>
          </w:p>
        </w:tc>
        <w:tc>
          <w:tcPr>
            <w:tcW w:w="2098" w:type="dxa"/>
            <w:tcBorders>
              <w:top w:val="single" w:color="000000" w:sz="4" w:space="0"/>
              <w:left w:val="single" w:color="000000" w:sz="4" w:space="0"/>
              <w:bottom w:val="single" w:color="000000" w:sz="4" w:space="0"/>
              <w:right w:val="single" w:color="000000" w:sz="4" w:space="0"/>
            </w:tcBorders>
            <w:shd w:val="clear"/>
            <w:vAlign w:val="center"/>
          </w:tcPr>
          <w:p w14:paraId="7DDAB49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shd w:val="clear"/>
            <w:vAlign w:val="center"/>
          </w:tcPr>
          <w:p w14:paraId="0851445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vAlign w:val="center"/>
          </w:tcPr>
          <w:p w14:paraId="3257BC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vAlign w:val="center"/>
          </w:tcPr>
          <w:p w14:paraId="7C56E64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B9694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仿宋" w:cs="Times New Roman"/>
                <w:b/>
                <w:bCs/>
                <w:i w:val="0"/>
                <w:iCs w:val="0"/>
                <w:color w:val="auto"/>
                <w:sz w:val="21"/>
                <w:szCs w:val="21"/>
                <w:u w:val="none"/>
              </w:rPr>
            </w:pPr>
            <w:r>
              <w:rPr>
                <w:rFonts w:hint="default" w:ascii="Times New Roman" w:hAnsi="Times New Roman" w:eastAsia="仿宋" w:cs="Times New Roman"/>
                <w:b/>
                <w:bCs/>
                <w:i w:val="0"/>
                <w:iCs w:val="0"/>
                <w:color w:val="auto"/>
                <w:kern w:val="0"/>
                <w:sz w:val="21"/>
                <w:szCs w:val="21"/>
                <w:u w:val="none"/>
                <w:bdr w:val="none" w:color="auto" w:sz="0" w:space="0"/>
                <w:lang w:val="en-US" w:eastAsia="zh-CN" w:bidi="ar"/>
              </w:rPr>
              <w:t>436.13</w:t>
            </w:r>
          </w:p>
        </w:tc>
        <w:tc>
          <w:tcPr>
            <w:tcW w:w="1587" w:type="dxa"/>
            <w:tcBorders>
              <w:top w:val="single" w:color="000000" w:sz="4" w:space="0"/>
              <w:left w:val="single" w:color="000000" w:sz="4" w:space="0"/>
              <w:bottom w:val="single" w:color="000000" w:sz="4" w:space="0"/>
              <w:right w:val="single" w:color="000000" w:sz="4" w:space="0"/>
            </w:tcBorders>
            <w:shd w:val="clear"/>
            <w:vAlign w:val="center"/>
          </w:tcPr>
          <w:p w14:paraId="58070B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仿宋" w:cs="Times New Roman"/>
                <w:b/>
                <w:bCs/>
                <w:i w:val="0"/>
                <w:iCs w:val="0"/>
                <w:color w:val="auto"/>
                <w:sz w:val="21"/>
                <w:szCs w:val="21"/>
                <w:u w:val="none"/>
              </w:rPr>
            </w:pPr>
          </w:p>
        </w:tc>
      </w:tr>
    </w:tbl>
    <w:p w14:paraId="7BD89F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pPr>
    </w:p>
    <w:p w14:paraId="307199ED">
      <w:pPr>
        <w:pStyle w:val="4"/>
        <w:spacing w:before="381" w:beforeLines="100"/>
      </w:pPr>
      <w:bookmarkStart w:id="483" w:name="_Toc31425"/>
      <w:bookmarkStart w:id="484" w:name="_Toc22753"/>
      <w:bookmarkStart w:id="485" w:name="_Toc5583"/>
      <w:bookmarkStart w:id="486" w:name="_Toc32596"/>
      <w:r>
        <w:rPr>
          <w:lang w:val="en-US"/>
        </w:rPr>
        <w:t xml:space="preserve">8.7 </w:t>
      </w:r>
      <w:r>
        <w:t>项目预算的可靠性及合理性分析</w:t>
      </w:r>
      <w:bookmarkEnd w:id="483"/>
      <w:bookmarkEnd w:id="484"/>
      <w:bookmarkEnd w:id="485"/>
      <w:bookmarkEnd w:id="486"/>
    </w:p>
    <w:p w14:paraId="767F2D5F">
      <w:pPr>
        <w:ind w:firstLine="560"/>
      </w:pPr>
      <w:r>
        <w:t>本项目预算以实施方案采用的工作手段和安排的工作量为依据，采用《广西壮族自治区地质勘查项目预算标准》（桂财资环〔2021〕18号附件2）进行测算，项目预算依据充分，与项目工作安排吻合，预算结果可靠，各费用预算安排比较合理，可保证项目工作任务的完成。项目经费预算工作手段占项目费用的比例见表8-2。</w:t>
      </w:r>
    </w:p>
    <w:p w14:paraId="33D0D92C">
      <w:pPr>
        <w:spacing w:line="240" w:lineRule="auto"/>
        <w:ind w:firstLine="0" w:firstLineChars="0"/>
        <w:jc w:val="center"/>
        <w:rPr>
          <w:b/>
          <w:bCs/>
          <w:sz w:val="24"/>
          <w:szCs w:val="24"/>
        </w:rPr>
      </w:pPr>
    </w:p>
    <w:p w14:paraId="7A5AB7DF">
      <w:pPr>
        <w:spacing w:line="240" w:lineRule="auto"/>
        <w:ind w:firstLine="0" w:firstLineChars="0"/>
        <w:jc w:val="center"/>
      </w:pPr>
      <w:r>
        <w:rPr>
          <w:b/>
          <w:bCs/>
          <w:sz w:val="24"/>
          <w:szCs w:val="24"/>
        </w:rPr>
        <w:t xml:space="preserve">表8-2  </w:t>
      </w:r>
      <w:r>
        <w:rPr>
          <w:b/>
          <w:sz w:val="24"/>
          <w:szCs w:val="24"/>
        </w:rPr>
        <w:t>预算中各工作手段所占比例一览表</w:t>
      </w:r>
    </w:p>
    <w:tbl>
      <w:tblPr>
        <w:tblStyle w:val="32"/>
        <w:tblW w:w="7242" w:type="dxa"/>
        <w:jc w:val="center"/>
        <w:tblLayout w:type="autofit"/>
        <w:tblCellMar>
          <w:top w:w="0" w:type="dxa"/>
          <w:left w:w="108" w:type="dxa"/>
          <w:bottom w:w="0" w:type="dxa"/>
          <w:right w:w="108" w:type="dxa"/>
        </w:tblCellMar>
      </w:tblPr>
      <w:tblGrid>
        <w:gridCol w:w="2554"/>
        <w:gridCol w:w="2274"/>
        <w:gridCol w:w="2414"/>
      </w:tblGrid>
      <w:tr w14:paraId="0D9BA5D5">
        <w:tblPrEx>
          <w:tblCellMar>
            <w:top w:w="0" w:type="dxa"/>
            <w:left w:w="108" w:type="dxa"/>
            <w:bottom w:w="0" w:type="dxa"/>
            <w:right w:w="108" w:type="dxa"/>
          </w:tblCellMar>
        </w:tblPrEx>
        <w:trPr>
          <w:trHeight w:val="424" w:hRule="atLeast"/>
          <w:tblHeader/>
          <w:jc w:val="center"/>
        </w:trPr>
        <w:tc>
          <w:tcPr>
            <w:tcW w:w="2554" w:type="dxa"/>
            <w:tcBorders>
              <w:top w:val="single" w:color="auto" w:sz="4" w:space="0"/>
              <w:left w:val="single" w:color="auto" w:sz="4" w:space="0"/>
              <w:bottom w:val="single" w:color="auto" w:sz="4" w:space="0"/>
              <w:right w:val="single" w:color="auto" w:sz="4" w:space="0"/>
            </w:tcBorders>
            <w:noWrap/>
            <w:vAlign w:val="center"/>
          </w:tcPr>
          <w:p w14:paraId="78A93A33">
            <w:pPr>
              <w:widowControl/>
              <w:spacing w:line="240" w:lineRule="auto"/>
              <w:ind w:firstLine="0" w:firstLineChars="0"/>
              <w:jc w:val="center"/>
              <w:rPr>
                <w:kern w:val="0"/>
                <w:sz w:val="24"/>
                <w:szCs w:val="24"/>
              </w:rPr>
            </w:pPr>
            <w:r>
              <w:rPr>
                <w:kern w:val="0"/>
                <w:sz w:val="24"/>
                <w:szCs w:val="24"/>
              </w:rPr>
              <w:t>工作手段项目</w:t>
            </w:r>
          </w:p>
        </w:tc>
        <w:tc>
          <w:tcPr>
            <w:tcW w:w="2274" w:type="dxa"/>
            <w:tcBorders>
              <w:top w:val="single" w:color="auto" w:sz="4" w:space="0"/>
              <w:left w:val="single" w:color="auto" w:sz="4" w:space="0"/>
              <w:bottom w:val="single" w:color="auto" w:sz="4" w:space="0"/>
              <w:right w:val="single" w:color="auto" w:sz="4" w:space="0"/>
            </w:tcBorders>
            <w:noWrap/>
            <w:vAlign w:val="center"/>
          </w:tcPr>
          <w:p w14:paraId="6C9363FE">
            <w:pPr>
              <w:widowControl/>
              <w:spacing w:line="240" w:lineRule="auto"/>
              <w:ind w:firstLine="0" w:firstLineChars="0"/>
              <w:jc w:val="center"/>
              <w:rPr>
                <w:kern w:val="0"/>
                <w:sz w:val="24"/>
                <w:szCs w:val="24"/>
              </w:rPr>
            </w:pPr>
            <w:r>
              <w:rPr>
                <w:kern w:val="0"/>
                <w:sz w:val="24"/>
                <w:szCs w:val="24"/>
              </w:rPr>
              <w:t>预算金额（万元）</w:t>
            </w:r>
          </w:p>
        </w:tc>
        <w:tc>
          <w:tcPr>
            <w:tcW w:w="2414" w:type="dxa"/>
            <w:tcBorders>
              <w:top w:val="single" w:color="auto" w:sz="4" w:space="0"/>
              <w:left w:val="single" w:color="auto" w:sz="4" w:space="0"/>
              <w:bottom w:val="single" w:color="auto" w:sz="4" w:space="0"/>
              <w:right w:val="single" w:color="auto" w:sz="4" w:space="0"/>
            </w:tcBorders>
            <w:noWrap/>
            <w:vAlign w:val="center"/>
          </w:tcPr>
          <w:p w14:paraId="37F965D0">
            <w:pPr>
              <w:widowControl/>
              <w:spacing w:line="240" w:lineRule="auto"/>
              <w:ind w:firstLine="0" w:firstLineChars="0"/>
              <w:jc w:val="center"/>
              <w:rPr>
                <w:kern w:val="0"/>
                <w:sz w:val="24"/>
                <w:szCs w:val="24"/>
              </w:rPr>
            </w:pPr>
            <w:r>
              <w:rPr>
                <w:kern w:val="0"/>
                <w:sz w:val="24"/>
                <w:szCs w:val="24"/>
              </w:rPr>
              <w:t>占总预算比例（%）</w:t>
            </w:r>
          </w:p>
        </w:tc>
      </w:tr>
      <w:tr w14:paraId="6F374B4F">
        <w:tblPrEx>
          <w:tblCellMar>
            <w:top w:w="0" w:type="dxa"/>
            <w:left w:w="108" w:type="dxa"/>
            <w:bottom w:w="0" w:type="dxa"/>
            <w:right w:w="108" w:type="dxa"/>
          </w:tblCellMar>
        </w:tblPrEx>
        <w:trPr>
          <w:trHeight w:val="90" w:hRule="atLeast"/>
          <w:jc w:val="center"/>
        </w:trPr>
        <w:tc>
          <w:tcPr>
            <w:tcW w:w="2554" w:type="dxa"/>
            <w:tcBorders>
              <w:top w:val="single" w:color="auto" w:sz="4" w:space="0"/>
              <w:left w:val="single" w:color="auto" w:sz="4" w:space="0"/>
              <w:bottom w:val="single" w:color="auto" w:sz="4" w:space="0"/>
              <w:right w:val="single" w:color="auto" w:sz="4" w:space="0"/>
            </w:tcBorders>
            <w:noWrap/>
            <w:vAlign w:val="center"/>
          </w:tcPr>
          <w:p w14:paraId="6CF51115">
            <w:pPr>
              <w:widowControl/>
              <w:spacing w:line="240" w:lineRule="auto"/>
              <w:ind w:firstLine="0" w:firstLineChars="0"/>
              <w:jc w:val="left"/>
              <w:rPr>
                <w:kern w:val="0"/>
                <w:sz w:val="24"/>
                <w:szCs w:val="24"/>
              </w:rPr>
            </w:pPr>
            <w:r>
              <w:rPr>
                <w:kern w:val="0"/>
                <w:sz w:val="24"/>
                <w:szCs w:val="24"/>
              </w:rPr>
              <w:t>一、地形测量</w:t>
            </w:r>
          </w:p>
        </w:tc>
        <w:tc>
          <w:tcPr>
            <w:tcW w:w="2274" w:type="dxa"/>
            <w:tcBorders>
              <w:top w:val="single" w:color="auto" w:sz="4" w:space="0"/>
              <w:left w:val="single" w:color="auto" w:sz="4" w:space="0"/>
              <w:bottom w:val="single" w:color="auto" w:sz="4" w:space="0"/>
              <w:right w:val="single" w:color="auto" w:sz="4" w:space="0"/>
            </w:tcBorders>
            <w:noWrap/>
            <w:vAlign w:val="center"/>
          </w:tcPr>
          <w:p w14:paraId="61E054CF">
            <w:pPr>
              <w:widowControl/>
              <w:spacing w:line="240" w:lineRule="auto"/>
              <w:ind w:firstLine="0" w:firstLineChars="0"/>
              <w:jc w:val="center"/>
              <w:rPr>
                <w:rFonts w:hint="eastAsia" w:eastAsia="宋体"/>
                <w:kern w:val="0"/>
                <w:sz w:val="24"/>
                <w:szCs w:val="24"/>
                <w:lang w:val="en-US" w:eastAsia="zh-CN"/>
              </w:rPr>
            </w:pPr>
            <w:r>
              <w:rPr>
                <w:rFonts w:eastAsia="宋体"/>
                <w:kern w:val="0"/>
                <w:sz w:val="24"/>
                <w:szCs w:val="24"/>
              </w:rPr>
              <w:t>16.8</w:t>
            </w:r>
            <w:r>
              <w:rPr>
                <w:rFonts w:hint="eastAsia" w:eastAsia="宋体"/>
                <w:kern w:val="0"/>
                <w:sz w:val="24"/>
                <w:szCs w:val="24"/>
                <w:lang w:val="en-US" w:eastAsia="zh-CN"/>
              </w:rPr>
              <w:t>0</w:t>
            </w:r>
          </w:p>
        </w:tc>
        <w:tc>
          <w:tcPr>
            <w:tcW w:w="2414" w:type="dxa"/>
            <w:tcBorders>
              <w:top w:val="single" w:color="auto" w:sz="4" w:space="0"/>
              <w:left w:val="single" w:color="auto" w:sz="4" w:space="0"/>
              <w:bottom w:val="single" w:color="auto" w:sz="4" w:space="0"/>
              <w:right w:val="single" w:color="auto" w:sz="4" w:space="0"/>
            </w:tcBorders>
            <w:noWrap/>
            <w:vAlign w:val="center"/>
          </w:tcPr>
          <w:p w14:paraId="6D67D4A6">
            <w:pPr>
              <w:widowControl/>
              <w:spacing w:line="240" w:lineRule="auto"/>
              <w:ind w:firstLine="0" w:firstLineChars="0"/>
              <w:jc w:val="center"/>
              <w:rPr>
                <w:rFonts w:hint="default" w:eastAsia="宋体"/>
                <w:kern w:val="0"/>
                <w:sz w:val="24"/>
                <w:szCs w:val="24"/>
                <w:lang w:val="en-US" w:eastAsia="zh-CN"/>
              </w:rPr>
            </w:pPr>
            <w:r>
              <w:rPr>
                <w:rFonts w:hint="eastAsia" w:eastAsia="宋体"/>
                <w:kern w:val="0"/>
                <w:sz w:val="24"/>
                <w:szCs w:val="24"/>
                <w:lang w:val="en-US" w:eastAsia="zh-CN"/>
              </w:rPr>
              <w:t>3.85</w:t>
            </w:r>
          </w:p>
        </w:tc>
      </w:tr>
      <w:tr w14:paraId="25B2112B">
        <w:tblPrEx>
          <w:tblCellMar>
            <w:top w:w="0" w:type="dxa"/>
            <w:left w:w="108" w:type="dxa"/>
            <w:bottom w:w="0" w:type="dxa"/>
            <w:right w:w="108" w:type="dxa"/>
          </w:tblCellMar>
        </w:tblPrEx>
        <w:trPr>
          <w:trHeight w:val="300" w:hRule="atLeast"/>
          <w:jc w:val="center"/>
        </w:trPr>
        <w:tc>
          <w:tcPr>
            <w:tcW w:w="2554" w:type="dxa"/>
            <w:tcBorders>
              <w:top w:val="single" w:color="auto" w:sz="4" w:space="0"/>
              <w:left w:val="single" w:color="auto" w:sz="4" w:space="0"/>
              <w:bottom w:val="single" w:color="auto" w:sz="4" w:space="0"/>
              <w:right w:val="single" w:color="auto" w:sz="4" w:space="0"/>
            </w:tcBorders>
            <w:noWrap/>
            <w:vAlign w:val="center"/>
          </w:tcPr>
          <w:p w14:paraId="26FD16A6">
            <w:pPr>
              <w:widowControl/>
              <w:spacing w:line="240" w:lineRule="auto"/>
              <w:ind w:firstLine="0" w:firstLineChars="0"/>
              <w:jc w:val="left"/>
              <w:rPr>
                <w:kern w:val="0"/>
                <w:sz w:val="24"/>
                <w:szCs w:val="24"/>
              </w:rPr>
            </w:pPr>
            <w:r>
              <w:rPr>
                <w:kern w:val="0"/>
                <w:sz w:val="24"/>
                <w:szCs w:val="24"/>
              </w:rPr>
              <w:t>二、地质测量</w:t>
            </w:r>
          </w:p>
        </w:tc>
        <w:tc>
          <w:tcPr>
            <w:tcW w:w="2274" w:type="dxa"/>
            <w:tcBorders>
              <w:top w:val="single" w:color="auto" w:sz="4" w:space="0"/>
              <w:left w:val="single" w:color="auto" w:sz="4" w:space="0"/>
              <w:bottom w:val="single" w:color="auto" w:sz="4" w:space="0"/>
              <w:right w:val="single" w:color="auto" w:sz="4" w:space="0"/>
            </w:tcBorders>
            <w:noWrap/>
            <w:vAlign w:val="center"/>
          </w:tcPr>
          <w:p w14:paraId="4C6E62A8">
            <w:pPr>
              <w:widowControl/>
              <w:spacing w:line="240" w:lineRule="auto"/>
              <w:ind w:firstLine="0" w:firstLineChars="0"/>
              <w:jc w:val="center"/>
              <w:rPr>
                <w:rFonts w:hint="default" w:eastAsia="宋体"/>
                <w:kern w:val="0"/>
                <w:sz w:val="24"/>
                <w:szCs w:val="24"/>
                <w:lang w:val="en-US" w:eastAsia="zh-CN"/>
              </w:rPr>
            </w:pPr>
            <w:r>
              <w:rPr>
                <w:rFonts w:eastAsia="宋体"/>
                <w:kern w:val="0"/>
                <w:sz w:val="24"/>
                <w:szCs w:val="24"/>
              </w:rPr>
              <w:t>2</w:t>
            </w:r>
            <w:r>
              <w:rPr>
                <w:rFonts w:hint="eastAsia" w:eastAsia="宋体"/>
                <w:kern w:val="0"/>
                <w:sz w:val="24"/>
                <w:szCs w:val="24"/>
                <w:lang w:val="en-US" w:eastAsia="zh-CN"/>
              </w:rPr>
              <w:t>8.01</w:t>
            </w:r>
          </w:p>
        </w:tc>
        <w:tc>
          <w:tcPr>
            <w:tcW w:w="2414" w:type="dxa"/>
            <w:tcBorders>
              <w:top w:val="single" w:color="auto" w:sz="4" w:space="0"/>
              <w:left w:val="single" w:color="auto" w:sz="4" w:space="0"/>
              <w:bottom w:val="single" w:color="auto" w:sz="4" w:space="0"/>
              <w:right w:val="single" w:color="auto" w:sz="4" w:space="0"/>
            </w:tcBorders>
            <w:noWrap/>
            <w:vAlign w:val="center"/>
          </w:tcPr>
          <w:p w14:paraId="2F32C768">
            <w:pPr>
              <w:widowControl/>
              <w:spacing w:line="240" w:lineRule="auto"/>
              <w:ind w:firstLine="0" w:firstLineChars="0"/>
              <w:jc w:val="center"/>
              <w:rPr>
                <w:rFonts w:hint="default" w:eastAsia="宋体"/>
                <w:kern w:val="0"/>
                <w:sz w:val="24"/>
                <w:szCs w:val="24"/>
                <w:lang w:val="en-US" w:eastAsia="zh-CN"/>
              </w:rPr>
            </w:pPr>
            <w:r>
              <w:rPr>
                <w:rFonts w:hint="eastAsia" w:eastAsia="宋体"/>
                <w:kern w:val="0"/>
                <w:sz w:val="24"/>
                <w:szCs w:val="24"/>
                <w:lang w:val="en-US" w:eastAsia="zh-CN"/>
              </w:rPr>
              <w:t>6.42</w:t>
            </w:r>
          </w:p>
        </w:tc>
      </w:tr>
      <w:tr w14:paraId="2DF91231">
        <w:tblPrEx>
          <w:tblCellMar>
            <w:top w:w="0" w:type="dxa"/>
            <w:left w:w="108" w:type="dxa"/>
            <w:bottom w:w="0" w:type="dxa"/>
            <w:right w:w="108" w:type="dxa"/>
          </w:tblCellMar>
        </w:tblPrEx>
        <w:trPr>
          <w:trHeight w:val="300" w:hRule="atLeast"/>
          <w:jc w:val="center"/>
        </w:trPr>
        <w:tc>
          <w:tcPr>
            <w:tcW w:w="2554" w:type="dxa"/>
            <w:tcBorders>
              <w:top w:val="single" w:color="auto" w:sz="4" w:space="0"/>
              <w:left w:val="single" w:color="auto" w:sz="4" w:space="0"/>
              <w:bottom w:val="single" w:color="auto" w:sz="4" w:space="0"/>
              <w:right w:val="single" w:color="auto" w:sz="4" w:space="0"/>
            </w:tcBorders>
            <w:noWrap/>
            <w:vAlign w:val="center"/>
          </w:tcPr>
          <w:p w14:paraId="2A51AEEC">
            <w:pPr>
              <w:widowControl/>
              <w:spacing w:line="240" w:lineRule="auto"/>
              <w:ind w:firstLine="0" w:firstLineChars="0"/>
              <w:jc w:val="left"/>
              <w:rPr>
                <w:kern w:val="0"/>
                <w:sz w:val="24"/>
                <w:szCs w:val="24"/>
              </w:rPr>
            </w:pPr>
            <w:r>
              <w:rPr>
                <w:kern w:val="0"/>
                <w:sz w:val="24"/>
                <w:szCs w:val="24"/>
              </w:rPr>
              <w:t>三、物探</w:t>
            </w:r>
          </w:p>
        </w:tc>
        <w:tc>
          <w:tcPr>
            <w:tcW w:w="2274" w:type="dxa"/>
            <w:tcBorders>
              <w:top w:val="single" w:color="auto" w:sz="4" w:space="0"/>
              <w:left w:val="single" w:color="auto" w:sz="4" w:space="0"/>
              <w:bottom w:val="single" w:color="auto" w:sz="4" w:space="0"/>
              <w:right w:val="single" w:color="auto" w:sz="4" w:space="0"/>
            </w:tcBorders>
            <w:noWrap/>
            <w:vAlign w:val="center"/>
          </w:tcPr>
          <w:p w14:paraId="0286D9C2">
            <w:pPr>
              <w:widowControl/>
              <w:spacing w:line="240" w:lineRule="auto"/>
              <w:ind w:firstLine="0" w:firstLineChars="0"/>
              <w:jc w:val="center"/>
              <w:rPr>
                <w:kern w:val="0"/>
                <w:sz w:val="24"/>
                <w:szCs w:val="24"/>
              </w:rPr>
            </w:pPr>
          </w:p>
        </w:tc>
        <w:tc>
          <w:tcPr>
            <w:tcW w:w="2414" w:type="dxa"/>
            <w:tcBorders>
              <w:top w:val="single" w:color="auto" w:sz="4" w:space="0"/>
              <w:left w:val="single" w:color="auto" w:sz="4" w:space="0"/>
              <w:bottom w:val="single" w:color="auto" w:sz="4" w:space="0"/>
              <w:right w:val="single" w:color="auto" w:sz="4" w:space="0"/>
            </w:tcBorders>
            <w:noWrap/>
            <w:vAlign w:val="center"/>
          </w:tcPr>
          <w:p w14:paraId="1582F72B">
            <w:pPr>
              <w:widowControl/>
              <w:spacing w:line="240" w:lineRule="auto"/>
              <w:ind w:firstLine="0" w:firstLineChars="0"/>
              <w:jc w:val="center"/>
              <w:rPr>
                <w:kern w:val="0"/>
                <w:sz w:val="24"/>
                <w:szCs w:val="24"/>
              </w:rPr>
            </w:pPr>
          </w:p>
        </w:tc>
      </w:tr>
      <w:tr w14:paraId="31FC7E8B">
        <w:tblPrEx>
          <w:tblCellMar>
            <w:top w:w="0" w:type="dxa"/>
            <w:left w:w="108" w:type="dxa"/>
            <w:bottom w:w="0" w:type="dxa"/>
            <w:right w:w="108" w:type="dxa"/>
          </w:tblCellMar>
        </w:tblPrEx>
        <w:trPr>
          <w:trHeight w:val="300" w:hRule="atLeast"/>
          <w:jc w:val="center"/>
        </w:trPr>
        <w:tc>
          <w:tcPr>
            <w:tcW w:w="2554" w:type="dxa"/>
            <w:tcBorders>
              <w:top w:val="single" w:color="auto" w:sz="4" w:space="0"/>
              <w:left w:val="single" w:color="auto" w:sz="4" w:space="0"/>
              <w:bottom w:val="single" w:color="auto" w:sz="4" w:space="0"/>
              <w:right w:val="single" w:color="auto" w:sz="4" w:space="0"/>
            </w:tcBorders>
            <w:noWrap/>
            <w:vAlign w:val="center"/>
          </w:tcPr>
          <w:p w14:paraId="52888FAF">
            <w:pPr>
              <w:widowControl/>
              <w:spacing w:line="240" w:lineRule="auto"/>
              <w:ind w:firstLine="0" w:firstLineChars="0"/>
              <w:jc w:val="left"/>
              <w:rPr>
                <w:kern w:val="0"/>
                <w:sz w:val="24"/>
                <w:szCs w:val="24"/>
              </w:rPr>
            </w:pPr>
            <w:r>
              <w:rPr>
                <w:kern w:val="0"/>
                <w:sz w:val="24"/>
                <w:szCs w:val="24"/>
              </w:rPr>
              <w:t>四、化探</w:t>
            </w:r>
          </w:p>
        </w:tc>
        <w:tc>
          <w:tcPr>
            <w:tcW w:w="2274" w:type="dxa"/>
            <w:tcBorders>
              <w:top w:val="single" w:color="auto" w:sz="4" w:space="0"/>
              <w:left w:val="single" w:color="auto" w:sz="4" w:space="0"/>
              <w:bottom w:val="single" w:color="auto" w:sz="4" w:space="0"/>
              <w:right w:val="single" w:color="auto" w:sz="4" w:space="0"/>
            </w:tcBorders>
            <w:noWrap/>
            <w:vAlign w:val="center"/>
          </w:tcPr>
          <w:p w14:paraId="223137A5">
            <w:pPr>
              <w:widowControl/>
              <w:spacing w:line="240" w:lineRule="auto"/>
              <w:ind w:firstLine="0" w:firstLineChars="0"/>
              <w:jc w:val="center"/>
              <w:rPr>
                <w:kern w:val="0"/>
                <w:sz w:val="24"/>
                <w:szCs w:val="24"/>
              </w:rPr>
            </w:pPr>
          </w:p>
        </w:tc>
        <w:tc>
          <w:tcPr>
            <w:tcW w:w="2414" w:type="dxa"/>
            <w:tcBorders>
              <w:top w:val="single" w:color="auto" w:sz="4" w:space="0"/>
              <w:left w:val="single" w:color="auto" w:sz="4" w:space="0"/>
              <w:bottom w:val="single" w:color="auto" w:sz="4" w:space="0"/>
              <w:right w:val="single" w:color="auto" w:sz="4" w:space="0"/>
            </w:tcBorders>
            <w:noWrap/>
            <w:vAlign w:val="center"/>
          </w:tcPr>
          <w:p w14:paraId="7137E2F8">
            <w:pPr>
              <w:widowControl/>
              <w:spacing w:line="240" w:lineRule="auto"/>
              <w:ind w:firstLine="0" w:firstLineChars="0"/>
              <w:jc w:val="center"/>
              <w:rPr>
                <w:kern w:val="0"/>
                <w:sz w:val="24"/>
                <w:szCs w:val="24"/>
              </w:rPr>
            </w:pPr>
          </w:p>
        </w:tc>
      </w:tr>
      <w:tr w14:paraId="526EE13C">
        <w:trPr>
          <w:trHeight w:val="300" w:hRule="atLeast"/>
          <w:jc w:val="center"/>
        </w:trPr>
        <w:tc>
          <w:tcPr>
            <w:tcW w:w="2554" w:type="dxa"/>
            <w:tcBorders>
              <w:top w:val="single" w:color="auto" w:sz="4" w:space="0"/>
              <w:left w:val="single" w:color="auto" w:sz="4" w:space="0"/>
              <w:bottom w:val="single" w:color="auto" w:sz="4" w:space="0"/>
              <w:right w:val="single" w:color="auto" w:sz="4" w:space="0"/>
            </w:tcBorders>
            <w:noWrap/>
            <w:vAlign w:val="center"/>
          </w:tcPr>
          <w:p w14:paraId="192101C5">
            <w:pPr>
              <w:widowControl/>
              <w:spacing w:line="240" w:lineRule="auto"/>
              <w:ind w:firstLine="0" w:firstLineChars="0"/>
              <w:jc w:val="left"/>
              <w:rPr>
                <w:kern w:val="0"/>
                <w:sz w:val="24"/>
                <w:szCs w:val="24"/>
              </w:rPr>
            </w:pPr>
            <w:r>
              <w:rPr>
                <w:kern w:val="0"/>
                <w:sz w:val="24"/>
                <w:szCs w:val="24"/>
              </w:rPr>
              <w:t>五、遥感</w:t>
            </w:r>
          </w:p>
        </w:tc>
        <w:tc>
          <w:tcPr>
            <w:tcW w:w="2274" w:type="dxa"/>
            <w:tcBorders>
              <w:top w:val="single" w:color="auto" w:sz="4" w:space="0"/>
              <w:left w:val="single" w:color="auto" w:sz="4" w:space="0"/>
              <w:bottom w:val="single" w:color="auto" w:sz="4" w:space="0"/>
              <w:right w:val="single" w:color="auto" w:sz="4" w:space="0"/>
            </w:tcBorders>
            <w:noWrap/>
            <w:vAlign w:val="center"/>
          </w:tcPr>
          <w:p w14:paraId="5EBD8927">
            <w:pPr>
              <w:widowControl/>
              <w:spacing w:line="240" w:lineRule="auto"/>
              <w:ind w:firstLine="0" w:firstLineChars="0"/>
              <w:jc w:val="center"/>
              <w:rPr>
                <w:kern w:val="0"/>
                <w:sz w:val="24"/>
                <w:szCs w:val="24"/>
              </w:rPr>
            </w:pPr>
          </w:p>
        </w:tc>
        <w:tc>
          <w:tcPr>
            <w:tcW w:w="2414" w:type="dxa"/>
            <w:tcBorders>
              <w:top w:val="single" w:color="auto" w:sz="4" w:space="0"/>
              <w:left w:val="single" w:color="auto" w:sz="4" w:space="0"/>
              <w:bottom w:val="single" w:color="auto" w:sz="4" w:space="0"/>
              <w:right w:val="single" w:color="auto" w:sz="4" w:space="0"/>
            </w:tcBorders>
            <w:noWrap/>
            <w:vAlign w:val="center"/>
          </w:tcPr>
          <w:p w14:paraId="5C0A4972">
            <w:pPr>
              <w:widowControl/>
              <w:spacing w:line="240" w:lineRule="auto"/>
              <w:ind w:firstLine="0" w:firstLineChars="0"/>
              <w:jc w:val="center"/>
              <w:rPr>
                <w:kern w:val="0"/>
                <w:sz w:val="24"/>
                <w:szCs w:val="24"/>
              </w:rPr>
            </w:pPr>
          </w:p>
        </w:tc>
      </w:tr>
      <w:tr w14:paraId="1BE05BBE">
        <w:tblPrEx>
          <w:tblCellMar>
            <w:top w:w="0" w:type="dxa"/>
            <w:left w:w="108" w:type="dxa"/>
            <w:bottom w:w="0" w:type="dxa"/>
            <w:right w:w="108" w:type="dxa"/>
          </w:tblCellMar>
        </w:tblPrEx>
        <w:trPr>
          <w:trHeight w:val="271" w:hRule="atLeast"/>
          <w:jc w:val="center"/>
        </w:trPr>
        <w:tc>
          <w:tcPr>
            <w:tcW w:w="2554" w:type="dxa"/>
            <w:tcBorders>
              <w:top w:val="single" w:color="auto" w:sz="4" w:space="0"/>
              <w:left w:val="single" w:color="auto" w:sz="4" w:space="0"/>
              <w:bottom w:val="single" w:color="auto" w:sz="4" w:space="0"/>
              <w:right w:val="single" w:color="auto" w:sz="4" w:space="0"/>
            </w:tcBorders>
            <w:noWrap/>
            <w:vAlign w:val="center"/>
          </w:tcPr>
          <w:p w14:paraId="6517D424">
            <w:pPr>
              <w:widowControl/>
              <w:spacing w:line="240" w:lineRule="auto"/>
              <w:ind w:firstLine="0" w:firstLineChars="0"/>
              <w:jc w:val="left"/>
              <w:rPr>
                <w:kern w:val="0"/>
                <w:sz w:val="24"/>
                <w:szCs w:val="24"/>
              </w:rPr>
            </w:pPr>
            <w:r>
              <w:rPr>
                <w:kern w:val="0"/>
                <w:sz w:val="24"/>
                <w:szCs w:val="24"/>
              </w:rPr>
              <w:t>六、钻探</w:t>
            </w:r>
          </w:p>
        </w:tc>
        <w:tc>
          <w:tcPr>
            <w:tcW w:w="2274" w:type="dxa"/>
            <w:tcBorders>
              <w:top w:val="single" w:color="auto" w:sz="4" w:space="0"/>
              <w:left w:val="single" w:color="auto" w:sz="4" w:space="0"/>
              <w:bottom w:val="single" w:color="auto" w:sz="4" w:space="0"/>
              <w:right w:val="single" w:color="auto" w:sz="4" w:space="0"/>
            </w:tcBorders>
            <w:noWrap/>
            <w:vAlign w:val="center"/>
          </w:tcPr>
          <w:p w14:paraId="750D2085">
            <w:pPr>
              <w:widowControl/>
              <w:spacing w:line="240" w:lineRule="auto"/>
              <w:ind w:firstLine="0" w:firstLineChars="0"/>
              <w:jc w:val="center"/>
              <w:rPr>
                <w:rFonts w:hint="default" w:eastAsia="仿宋"/>
                <w:kern w:val="0"/>
                <w:sz w:val="24"/>
                <w:szCs w:val="24"/>
                <w:lang w:val="en-US" w:eastAsia="zh-CN"/>
              </w:rPr>
            </w:pPr>
            <w:r>
              <w:rPr>
                <w:kern w:val="0"/>
                <w:sz w:val="24"/>
                <w:szCs w:val="24"/>
              </w:rPr>
              <w:t>1</w:t>
            </w:r>
            <w:r>
              <w:rPr>
                <w:rFonts w:hint="eastAsia"/>
                <w:kern w:val="0"/>
                <w:sz w:val="24"/>
                <w:szCs w:val="24"/>
                <w:lang w:val="en-US" w:eastAsia="zh-CN"/>
              </w:rPr>
              <w:t>24.54</w:t>
            </w:r>
          </w:p>
        </w:tc>
        <w:tc>
          <w:tcPr>
            <w:tcW w:w="2414" w:type="dxa"/>
            <w:tcBorders>
              <w:top w:val="single" w:color="auto" w:sz="4" w:space="0"/>
              <w:left w:val="single" w:color="auto" w:sz="4" w:space="0"/>
              <w:bottom w:val="single" w:color="auto" w:sz="4" w:space="0"/>
              <w:right w:val="single" w:color="auto" w:sz="4" w:space="0"/>
            </w:tcBorders>
            <w:noWrap/>
            <w:vAlign w:val="center"/>
          </w:tcPr>
          <w:p w14:paraId="54FB297A">
            <w:pPr>
              <w:widowControl/>
              <w:spacing w:line="240" w:lineRule="auto"/>
              <w:ind w:firstLine="0" w:firstLineChars="0"/>
              <w:jc w:val="center"/>
              <w:rPr>
                <w:rFonts w:hint="default" w:eastAsia="宋体"/>
                <w:kern w:val="0"/>
                <w:sz w:val="24"/>
                <w:szCs w:val="24"/>
                <w:lang w:val="en-US" w:eastAsia="zh-CN"/>
              </w:rPr>
            </w:pPr>
            <w:r>
              <w:rPr>
                <w:rFonts w:hint="eastAsia" w:eastAsia="宋体"/>
                <w:kern w:val="0"/>
                <w:sz w:val="24"/>
                <w:szCs w:val="24"/>
                <w:lang w:val="en-US" w:eastAsia="zh-CN"/>
              </w:rPr>
              <w:t>28.56</w:t>
            </w:r>
          </w:p>
        </w:tc>
      </w:tr>
      <w:tr w14:paraId="61BD53A8">
        <w:tblPrEx>
          <w:tblCellMar>
            <w:top w:w="0" w:type="dxa"/>
            <w:left w:w="108" w:type="dxa"/>
            <w:bottom w:w="0" w:type="dxa"/>
            <w:right w:w="108" w:type="dxa"/>
          </w:tblCellMar>
        </w:tblPrEx>
        <w:trPr>
          <w:trHeight w:val="300" w:hRule="atLeast"/>
          <w:jc w:val="center"/>
        </w:trPr>
        <w:tc>
          <w:tcPr>
            <w:tcW w:w="2554" w:type="dxa"/>
            <w:tcBorders>
              <w:top w:val="single" w:color="auto" w:sz="4" w:space="0"/>
              <w:left w:val="single" w:color="auto" w:sz="4" w:space="0"/>
              <w:bottom w:val="single" w:color="auto" w:sz="4" w:space="0"/>
              <w:right w:val="single" w:color="auto" w:sz="4" w:space="0"/>
            </w:tcBorders>
            <w:noWrap/>
            <w:vAlign w:val="center"/>
          </w:tcPr>
          <w:p w14:paraId="638AB98E">
            <w:pPr>
              <w:widowControl/>
              <w:spacing w:line="240" w:lineRule="auto"/>
              <w:ind w:firstLine="0" w:firstLineChars="0"/>
              <w:jc w:val="left"/>
              <w:rPr>
                <w:kern w:val="0"/>
                <w:sz w:val="24"/>
                <w:szCs w:val="24"/>
              </w:rPr>
            </w:pPr>
            <w:r>
              <w:rPr>
                <w:kern w:val="0"/>
                <w:sz w:val="24"/>
                <w:szCs w:val="24"/>
              </w:rPr>
              <w:t>七、坑探</w:t>
            </w:r>
          </w:p>
        </w:tc>
        <w:tc>
          <w:tcPr>
            <w:tcW w:w="2274" w:type="dxa"/>
            <w:tcBorders>
              <w:top w:val="single" w:color="auto" w:sz="4" w:space="0"/>
              <w:left w:val="single" w:color="auto" w:sz="4" w:space="0"/>
              <w:bottom w:val="single" w:color="auto" w:sz="4" w:space="0"/>
              <w:right w:val="single" w:color="auto" w:sz="4" w:space="0"/>
            </w:tcBorders>
            <w:noWrap/>
            <w:vAlign w:val="center"/>
          </w:tcPr>
          <w:p w14:paraId="03E4C72E">
            <w:pPr>
              <w:widowControl/>
              <w:spacing w:line="240" w:lineRule="auto"/>
              <w:ind w:firstLine="0" w:firstLineChars="0"/>
              <w:jc w:val="center"/>
              <w:rPr>
                <w:kern w:val="0"/>
                <w:sz w:val="24"/>
                <w:szCs w:val="24"/>
              </w:rPr>
            </w:pPr>
          </w:p>
        </w:tc>
        <w:tc>
          <w:tcPr>
            <w:tcW w:w="2414" w:type="dxa"/>
            <w:tcBorders>
              <w:top w:val="single" w:color="auto" w:sz="4" w:space="0"/>
              <w:left w:val="single" w:color="auto" w:sz="4" w:space="0"/>
              <w:bottom w:val="single" w:color="auto" w:sz="4" w:space="0"/>
              <w:right w:val="single" w:color="auto" w:sz="4" w:space="0"/>
            </w:tcBorders>
            <w:noWrap/>
            <w:vAlign w:val="center"/>
          </w:tcPr>
          <w:p w14:paraId="153EE894">
            <w:pPr>
              <w:widowControl/>
              <w:spacing w:line="240" w:lineRule="auto"/>
              <w:ind w:firstLine="0" w:firstLineChars="0"/>
              <w:jc w:val="center"/>
              <w:rPr>
                <w:rFonts w:hint="eastAsia" w:eastAsia="仿宋"/>
                <w:kern w:val="0"/>
                <w:sz w:val="24"/>
                <w:szCs w:val="24"/>
                <w:lang w:val="en-US" w:eastAsia="zh-CN"/>
              </w:rPr>
            </w:pPr>
          </w:p>
        </w:tc>
      </w:tr>
      <w:tr w14:paraId="30CF6DD0">
        <w:tblPrEx>
          <w:tblCellMar>
            <w:top w:w="0" w:type="dxa"/>
            <w:left w:w="108" w:type="dxa"/>
            <w:bottom w:w="0" w:type="dxa"/>
            <w:right w:w="108" w:type="dxa"/>
          </w:tblCellMar>
        </w:tblPrEx>
        <w:trPr>
          <w:trHeight w:val="300" w:hRule="atLeast"/>
          <w:jc w:val="center"/>
        </w:trPr>
        <w:tc>
          <w:tcPr>
            <w:tcW w:w="2554" w:type="dxa"/>
            <w:tcBorders>
              <w:top w:val="single" w:color="auto" w:sz="4" w:space="0"/>
              <w:left w:val="single" w:color="auto" w:sz="4" w:space="0"/>
              <w:bottom w:val="single" w:color="auto" w:sz="4" w:space="0"/>
              <w:right w:val="single" w:color="auto" w:sz="4" w:space="0"/>
            </w:tcBorders>
            <w:noWrap/>
            <w:vAlign w:val="center"/>
          </w:tcPr>
          <w:p w14:paraId="0AA04335">
            <w:pPr>
              <w:widowControl/>
              <w:spacing w:line="240" w:lineRule="auto"/>
              <w:ind w:firstLine="0" w:firstLineChars="0"/>
              <w:jc w:val="left"/>
              <w:rPr>
                <w:kern w:val="0"/>
                <w:sz w:val="24"/>
                <w:szCs w:val="24"/>
              </w:rPr>
            </w:pPr>
            <w:r>
              <w:rPr>
                <w:kern w:val="0"/>
                <w:sz w:val="24"/>
                <w:szCs w:val="24"/>
              </w:rPr>
              <w:t>八、浅井</w:t>
            </w:r>
          </w:p>
        </w:tc>
        <w:tc>
          <w:tcPr>
            <w:tcW w:w="2274" w:type="dxa"/>
            <w:tcBorders>
              <w:top w:val="single" w:color="auto" w:sz="4" w:space="0"/>
              <w:left w:val="single" w:color="auto" w:sz="4" w:space="0"/>
              <w:bottom w:val="single" w:color="auto" w:sz="4" w:space="0"/>
              <w:right w:val="single" w:color="auto" w:sz="4" w:space="0"/>
            </w:tcBorders>
            <w:noWrap/>
            <w:vAlign w:val="center"/>
          </w:tcPr>
          <w:p w14:paraId="5F7D7D19">
            <w:pPr>
              <w:widowControl/>
              <w:spacing w:line="240" w:lineRule="auto"/>
              <w:ind w:firstLine="0" w:firstLineChars="0"/>
              <w:jc w:val="center"/>
              <w:rPr>
                <w:kern w:val="0"/>
                <w:sz w:val="24"/>
                <w:szCs w:val="24"/>
              </w:rPr>
            </w:pPr>
          </w:p>
        </w:tc>
        <w:tc>
          <w:tcPr>
            <w:tcW w:w="2414" w:type="dxa"/>
            <w:tcBorders>
              <w:top w:val="single" w:color="auto" w:sz="4" w:space="0"/>
              <w:left w:val="single" w:color="auto" w:sz="4" w:space="0"/>
              <w:bottom w:val="single" w:color="auto" w:sz="4" w:space="0"/>
              <w:right w:val="single" w:color="auto" w:sz="4" w:space="0"/>
            </w:tcBorders>
            <w:noWrap/>
            <w:vAlign w:val="center"/>
          </w:tcPr>
          <w:p w14:paraId="0ECAB30C">
            <w:pPr>
              <w:widowControl/>
              <w:spacing w:line="240" w:lineRule="auto"/>
              <w:ind w:firstLine="0" w:firstLineChars="0"/>
              <w:jc w:val="center"/>
              <w:rPr>
                <w:kern w:val="0"/>
                <w:sz w:val="24"/>
                <w:szCs w:val="24"/>
              </w:rPr>
            </w:pPr>
          </w:p>
        </w:tc>
      </w:tr>
      <w:tr w14:paraId="1719A6DC">
        <w:tblPrEx>
          <w:tblCellMar>
            <w:top w:w="0" w:type="dxa"/>
            <w:left w:w="108" w:type="dxa"/>
            <w:bottom w:w="0" w:type="dxa"/>
            <w:right w:w="108" w:type="dxa"/>
          </w:tblCellMar>
        </w:tblPrEx>
        <w:trPr>
          <w:trHeight w:val="300" w:hRule="atLeast"/>
          <w:jc w:val="center"/>
        </w:trPr>
        <w:tc>
          <w:tcPr>
            <w:tcW w:w="2554" w:type="dxa"/>
            <w:tcBorders>
              <w:top w:val="single" w:color="auto" w:sz="4" w:space="0"/>
              <w:left w:val="single" w:color="auto" w:sz="4" w:space="0"/>
              <w:bottom w:val="single" w:color="auto" w:sz="4" w:space="0"/>
              <w:right w:val="single" w:color="auto" w:sz="4" w:space="0"/>
            </w:tcBorders>
            <w:noWrap/>
            <w:vAlign w:val="center"/>
          </w:tcPr>
          <w:p w14:paraId="6EC2FC83">
            <w:pPr>
              <w:widowControl/>
              <w:spacing w:line="240" w:lineRule="auto"/>
              <w:ind w:firstLine="0" w:firstLineChars="0"/>
              <w:jc w:val="left"/>
              <w:rPr>
                <w:kern w:val="0"/>
                <w:sz w:val="24"/>
                <w:szCs w:val="24"/>
              </w:rPr>
            </w:pPr>
            <w:r>
              <w:rPr>
                <w:kern w:val="0"/>
                <w:sz w:val="24"/>
                <w:szCs w:val="24"/>
              </w:rPr>
              <w:t>九、剥土（槽探）</w:t>
            </w:r>
          </w:p>
        </w:tc>
        <w:tc>
          <w:tcPr>
            <w:tcW w:w="2274" w:type="dxa"/>
            <w:tcBorders>
              <w:top w:val="single" w:color="auto" w:sz="4" w:space="0"/>
              <w:left w:val="single" w:color="auto" w:sz="4" w:space="0"/>
              <w:bottom w:val="single" w:color="auto" w:sz="4" w:space="0"/>
              <w:right w:val="single" w:color="auto" w:sz="4" w:space="0"/>
            </w:tcBorders>
            <w:noWrap/>
            <w:vAlign w:val="center"/>
          </w:tcPr>
          <w:p w14:paraId="7E3B0EF9">
            <w:pPr>
              <w:widowControl/>
              <w:spacing w:line="240" w:lineRule="auto"/>
              <w:ind w:firstLine="0" w:firstLineChars="0"/>
              <w:jc w:val="center"/>
              <w:rPr>
                <w:rFonts w:eastAsia="宋体"/>
                <w:kern w:val="0"/>
                <w:sz w:val="24"/>
                <w:szCs w:val="24"/>
              </w:rPr>
            </w:pPr>
            <w:r>
              <w:rPr>
                <w:kern w:val="0"/>
                <w:sz w:val="24"/>
                <w:szCs w:val="24"/>
              </w:rPr>
              <w:t>18.20</w:t>
            </w:r>
          </w:p>
        </w:tc>
        <w:tc>
          <w:tcPr>
            <w:tcW w:w="2414" w:type="dxa"/>
            <w:tcBorders>
              <w:top w:val="single" w:color="auto" w:sz="4" w:space="0"/>
              <w:left w:val="single" w:color="auto" w:sz="4" w:space="0"/>
              <w:bottom w:val="single" w:color="auto" w:sz="4" w:space="0"/>
              <w:right w:val="single" w:color="auto" w:sz="4" w:space="0"/>
            </w:tcBorders>
            <w:noWrap/>
            <w:vAlign w:val="center"/>
          </w:tcPr>
          <w:p w14:paraId="20CD661E">
            <w:pPr>
              <w:widowControl/>
              <w:spacing w:line="240" w:lineRule="auto"/>
              <w:ind w:firstLine="0" w:firstLineChars="0"/>
              <w:jc w:val="center"/>
              <w:rPr>
                <w:rFonts w:hint="default" w:eastAsia="宋体"/>
                <w:kern w:val="0"/>
                <w:sz w:val="24"/>
                <w:szCs w:val="24"/>
                <w:lang w:val="en-US" w:eastAsia="zh-CN"/>
              </w:rPr>
            </w:pPr>
            <w:r>
              <w:rPr>
                <w:rFonts w:hint="eastAsia" w:eastAsia="宋体"/>
                <w:kern w:val="0"/>
                <w:sz w:val="24"/>
                <w:szCs w:val="24"/>
                <w:lang w:val="en-US" w:eastAsia="zh-CN"/>
              </w:rPr>
              <w:t>4.17</w:t>
            </w:r>
          </w:p>
        </w:tc>
      </w:tr>
      <w:tr w14:paraId="140A7EAB">
        <w:tblPrEx>
          <w:tblCellMar>
            <w:top w:w="0" w:type="dxa"/>
            <w:left w:w="108" w:type="dxa"/>
            <w:bottom w:w="0" w:type="dxa"/>
            <w:right w:w="108" w:type="dxa"/>
          </w:tblCellMar>
        </w:tblPrEx>
        <w:trPr>
          <w:trHeight w:val="300" w:hRule="atLeast"/>
          <w:jc w:val="center"/>
        </w:trPr>
        <w:tc>
          <w:tcPr>
            <w:tcW w:w="2554" w:type="dxa"/>
            <w:tcBorders>
              <w:top w:val="single" w:color="auto" w:sz="4" w:space="0"/>
              <w:left w:val="single" w:color="auto" w:sz="4" w:space="0"/>
              <w:bottom w:val="single" w:color="auto" w:sz="4" w:space="0"/>
              <w:right w:val="single" w:color="auto" w:sz="4" w:space="0"/>
            </w:tcBorders>
            <w:noWrap/>
            <w:vAlign w:val="center"/>
          </w:tcPr>
          <w:p w14:paraId="65F35C45">
            <w:pPr>
              <w:widowControl/>
              <w:spacing w:line="240" w:lineRule="auto"/>
              <w:ind w:firstLine="0" w:firstLineChars="0"/>
              <w:jc w:val="left"/>
              <w:rPr>
                <w:kern w:val="0"/>
                <w:sz w:val="24"/>
                <w:szCs w:val="24"/>
              </w:rPr>
            </w:pPr>
            <w:r>
              <w:rPr>
                <w:kern w:val="0"/>
                <w:sz w:val="24"/>
                <w:szCs w:val="24"/>
              </w:rPr>
              <w:t>十、岩矿测试</w:t>
            </w:r>
          </w:p>
        </w:tc>
        <w:tc>
          <w:tcPr>
            <w:tcW w:w="2274" w:type="dxa"/>
            <w:tcBorders>
              <w:top w:val="single" w:color="auto" w:sz="4" w:space="0"/>
              <w:left w:val="single" w:color="auto" w:sz="4" w:space="0"/>
              <w:bottom w:val="single" w:color="auto" w:sz="4" w:space="0"/>
              <w:right w:val="single" w:color="auto" w:sz="4" w:space="0"/>
            </w:tcBorders>
            <w:noWrap/>
            <w:vAlign w:val="center"/>
          </w:tcPr>
          <w:p w14:paraId="77B60AF7">
            <w:pPr>
              <w:widowControl/>
              <w:spacing w:line="240" w:lineRule="auto"/>
              <w:ind w:firstLine="0" w:firstLineChars="0"/>
              <w:jc w:val="center"/>
              <w:rPr>
                <w:rFonts w:hint="default" w:eastAsia="宋体"/>
                <w:kern w:val="0"/>
                <w:sz w:val="24"/>
                <w:szCs w:val="24"/>
                <w:lang w:val="en-US" w:eastAsia="zh-CN"/>
              </w:rPr>
            </w:pPr>
            <w:r>
              <w:rPr>
                <w:rFonts w:hint="eastAsia" w:eastAsia="宋体"/>
                <w:kern w:val="0"/>
                <w:sz w:val="24"/>
                <w:szCs w:val="24"/>
                <w:lang w:val="en-US" w:eastAsia="zh-CN"/>
              </w:rPr>
              <w:t>82.53</w:t>
            </w:r>
          </w:p>
        </w:tc>
        <w:tc>
          <w:tcPr>
            <w:tcW w:w="2414" w:type="dxa"/>
            <w:tcBorders>
              <w:top w:val="single" w:color="auto" w:sz="4" w:space="0"/>
              <w:left w:val="single" w:color="auto" w:sz="4" w:space="0"/>
              <w:bottom w:val="single" w:color="auto" w:sz="4" w:space="0"/>
              <w:right w:val="single" w:color="auto" w:sz="4" w:space="0"/>
            </w:tcBorders>
            <w:noWrap/>
            <w:vAlign w:val="center"/>
          </w:tcPr>
          <w:p w14:paraId="6DC2B82F">
            <w:pPr>
              <w:widowControl/>
              <w:spacing w:line="240" w:lineRule="auto"/>
              <w:ind w:firstLine="0" w:firstLineChars="0"/>
              <w:jc w:val="center"/>
              <w:rPr>
                <w:rFonts w:hint="default" w:eastAsia="宋体"/>
                <w:kern w:val="0"/>
                <w:sz w:val="24"/>
                <w:szCs w:val="24"/>
                <w:lang w:val="en-US" w:eastAsia="zh-CN"/>
              </w:rPr>
            </w:pPr>
            <w:r>
              <w:rPr>
                <w:rFonts w:hint="eastAsia" w:eastAsia="宋体"/>
                <w:kern w:val="0"/>
                <w:sz w:val="24"/>
                <w:szCs w:val="24"/>
                <w:lang w:val="en-US" w:eastAsia="zh-CN"/>
              </w:rPr>
              <w:t>18.92</w:t>
            </w:r>
          </w:p>
        </w:tc>
      </w:tr>
      <w:tr w14:paraId="6B34E194">
        <w:tblPrEx>
          <w:tblCellMar>
            <w:top w:w="0" w:type="dxa"/>
            <w:left w:w="108" w:type="dxa"/>
            <w:bottom w:w="0" w:type="dxa"/>
            <w:right w:w="108" w:type="dxa"/>
          </w:tblCellMar>
        </w:tblPrEx>
        <w:trPr>
          <w:trHeight w:val="300" w:hRule="atLeast"/>
          <w:jc w:val="center"/>
        </w:trPr>
        <w:tc>
          <w:tcPr>
            <w:tcW w:w="2554" w:type="dxa"/>
            <w:tcBorders>
              <w:top w:val="single" w:color="auto" w:sz="4" w:space="0"/>
              <w:left w:val="single" w:color="auto" w:sz="4" w:space="0"/>
              <w:bottom w:val="single" w:color="auto" w:sz="4" w:space="0"/>
              <w:right w:val="single" w:color="auto" w:sz="4" w:space="0"/>
            </w:tcBorders>
            <w:noWrap/>
            <w:vAlign w:val="center"/>
          </w:tcPr>
          <w:p w14:paraId="7BE0AF0D">
            <w:pPr>
              <w:widowControl/>
              <w:spacing w:line="240" w:lineRule="auto"/>
              <w:ind w:firstLine="0" w:firstLineChars="0"/>
              <w:jc w:val="left"/>
              <w:rPr>
                <w:kern w:val="0"/>
                <w:sz w:val="24"/>
                <w:szCs w:val="24"/>
              </w:rPr>
            </w:pPr>
            <w:r>
              <w:rPr>
                <w:kern w:val="0"/>
                <w:sz w:val="24"/>
                <w:szCs w:val="24"/>
              </w:rPr>
              <w:t>十一、其他地质工作</w:t>
            </w:r>
          </w:p>
        </w:tc>
        <w:tc>
          <w:tcPr>
            <w:tcW w:w="2274" w:type="dxa"/>
            <w:tcBorders>
              <w:top w:val="single" w:color="auto" w:sz="4" w:space="0"/>
              <w:left w:val="single" w:color="auto" w:sz="4" w:space="0"/>
              <w:bottom w:val="single" w:color="auto" w:sz="4" w:space="0"/>
              <w:right w:val="single" w:color="auto" w:sz="4" w:space="0"/>
            </w:tcBorders>
            <w:noWrap/>
            <w:vAlign w:val="center"/>
          </w:tcPr>
          <w:p w14:paraId="63A64AAB">
            <w:pPr>
              <w:widowControl/>
              <w:spacing w:line="240" w:lineRule="auto"/>
              <w:ind w:firstLine="0" w:firstLineChars="0"/>
              <w:jc w:val="center"/>
              <w:rPr>
                <w:rFonts w:hint="default" w:eastAsia="宋体"/>
                <w:kern w:val="0"/>
                <w:sz w:val="24"/>
                <w:szCs w:val="24"/>
                <w:lang w:val="en-US" w:eastAsia="zh-CN"/>
              </w:rPr>
            </w:pPr>
            <w:r>
              <w:rPr>
                <w:rFonts w:eastAsia="宋体"/>
                <w:kern w:val="0"/>
                <w:sz w:val="24"/>
                <w:szCs w:val="24"/>
              </w:rPr>
              <w:t>12</w:t>
            </w:r>
            <w:r>
              <w:rPr>
                <w:rFonts w:hint="eastAsia" w:eastAsia="宋体"/>
                <w:kern w:val="0"/>
                <w:sz w:val="24"/>
                <w:szCs w:val="24"/>
                <w:lang w:val="en-US" w:eastAsia="zh-CN"/>
              </w:rPr>
              <w:t>1.69</w:t>
            </w:r>
          </w:p>
        </w:tc>
        <w:tc>
          <w:tcPr>
            <w:tcW w:w="2414" w:type="dxa"/>
            <w:tcBorders>
              <w:top w:val="single" w:color="auto" w:sz="4" w:space="0"/>
              <w:left w:val="single" w:color="auto" w:sz="4" w:space="0"/>
              <w:bottom w:val="single" w:color="auto" w:sz="4" w:space="0"/>
              <w:right w:val="single" w:color="auto" w:sz="4" w:space="0"/>
            </w:tcBorders>
            <w:noWrap/>
            <w:vAlign w:val="center"/>
          </w:tcPr>
          <w:p w14:paraId="7E5ACB93">
            <w:pPr>
              <w:widowControl/>
              <w:spacing w:line="240" w:lineRule="auto"/>
              <w:ind w:firstLine="0" w:firstLineChars="0"/>
              <w:jc w:val="center"/>
              <w:rPr>
                <w:rFonts w:hint="default" w:eastAsia="宋体"/>
                <w:kern w:val="0"/>
                <w:sz w:val="24"/>
                <w:szCs w:val="24"/>
                <w:lang w:val="en-US" w:eastAsia="zh-CN"/>
              </w:rPr>
            </w:pPr>
            <w:r>
              <w:rPr>
                <w:rFonts w:hint="eastAsia" w:eastAsia="宋体"/>
                <w:kern w:val="0"/>
                <w:sz w:val="24"/>
                <w:szCs w:val="24"/>
                <w:lang w:val="en-US" w:eastAsia="zh-CN"/>
              </w:rPr>
              <w:t>27.90</w:t>
            </w:r>
          </w:p>
        </w:tc>
      </w:tr>
      <w:tr w14:paraId="5361BF2C">
        <w:tblPrEx>
          <w:tblCellMar>
            <w:top w:w="0" w:type="dxa"/>
            <w:left w:w="108" w:type="dxa"/>
            <w:bottom w:w="0" w:type="dxa"/>
            <w:right w:w="108" w:type="dxa"/>
          </w:tblCellMar>
        </w:tblPrEx>
        <w:trPr>
          <w:trHeight w:val="300" w:hRule="atLeast"/>
          <w:jc w:val="center"/>
        </w:trPr>
        <w:tc>
          <w:tcPr>
            <w:tcW w:w="2554" w:type="dxa"/>
            <w:tcBorders>
              <w:top w:val="single" w:color="auto" w:sz="4" w:space="0"/>
              <w:left w:val="single" w:color="auto" w:sz="4" w:space="0"/>
              <w:bottom w:val="single" w:color="auto" w:sz="4" w:space="0"/>
              <w:right w:val="single" w:color="auto" w:sz="4" w:space="0"/>
            </w:tcBorders>
            <w:noWrap/>
            <w:vAlign w:val="center"/>
          </w:tcPr>
          <w:p w14:paraId="7E898E0E">
            <w:pPr>
              <w:widowControl/>
              <w:spacing w:line="240" w:lineRule="auto"/>
              <w:ind w:firstLine="0" w:firstLineChars="0"/>
              <w:jc w:val="left"/>
              <w:rPr>
                <w:kern w:val="0"/>
                <w:sz w:val="24"/>
                <w:szCs w:val="24"/>
              </w:rPr>
            </w:pPr>
            <w:r>
              <w:rPr>
                <w:kern w:val="0"/>
                <w:sz w:val="24"/>
                <w:szCs w:val="24"/>
              </w:rPr>
              <w:t>十二、工地建筑</w:t>
            </w:r>
          </w:p>
        </w:tc>
        <w:tc>
          <w:tcPr>
            <w:tcW w:w="2274" w:type="dxa"/>
            <w:tcBorders>
              <w:top w:val="single" w:color="auto" w:sz="4" w:space="0"/>
              <w:left w:val="single" w:color="auto" w:sz="4" w:space="0"/>
              <w:bottom w:val="single" w:color="auto" w:sz="4" w:space="0"/>
              <w:right w:val="single" w:color="auto" w:sz="4" w:space="0"/>
            </w:tcBorders>
            <w:noWrap/>
            <w:vAlign w:val="center"/>
          </w:tcPr>
          <w:p w14:paraId="77E8929E">
            <w:pPr>
              <w:widowControl/>
              <w:spacing w:line="240" w:lineRule="auto"/>
              <w:ind w:firstLine="0" w:firstLineChars="0"/>
              <w:jc w:val="center"/>
              <w:rPr>
                <w:rFonts w:hint="default" w:eastAsia="宋体"/>
                <w:kern w:val="0"/>
                <w:sz w:val="24"/>
                <w:szCs w:val="24"/>
                <w:lang w:val="en-US" w:eastAsia="zh-CN"/>
              </w:rPr>
            </w:pPr>
            <w:r>
              <w:rPr>
                <w:rFonts w:hint="eastAsia" w:eastAsia="宋体"/>
                <w:kern w:val="0"/>
                <w:sz w:val="24"/>
                <w:szCs w:val="24"/>
                <w:lang w:val="en-US" w:eastAsia="zh-CN"/>
              </w:rPr>
              <w:t>19.67</w:t>
            </w:r>
          </w:p>
        </w:tc>
        <w:tc>
          <w:tcPr>
            <w:tcW w:w="2414" w:type="dxa"/>
            <w:tcBorders>
              <w:top w:val="single" w:color="auto" w:sz="4" w:space="0"/>
              <w:left w:val="single" w:color="auto" w:sz="4" w:space="0"/>
              <w:bottom w:val="single" w:color="auto" w:sz="4" w:space="0"/>
              <w:right w:val="single" w:color="auto" w:sz="4" w:space="0"/>
            </w:tcBorders>
            <w:noWrap/>
            <w:vAlign w:val="center"/>
          </w:tcPr>
          <w:p w14:paraId="776F0675">
            <w:pPr>
              <w:widowControl/>
              <w:spacing w:line="240" w:lineRule="auto"/>
              <w:ind w:firstLine="0" w:firstLineChars="0"/>
              <w:jc w:val="center"/>
              <w:rPr>
                <w:rFonts w:hint="default" w:eastAsia="宋体"/>
                <w:kern w:val="0"/>
                <w:sz w:val="24"/>
                <w:szCs w:val="24"/>
                <w:lang w:val="en-US" w:eastAsia="zh-CN"/>
              </w:rPr>
            </w:pPr>
            <w:r>
              <w:rPr>
                <w:rFonts w:hint="eastAsia" w:eastAsia="宋体"/>
                <w:kern w:val="0"/>
                <w:sz w:val="24"/>
                <w:szCs w:val="24"/>
                <w:lang w:val="en-US" w:eastAsia="zh-CN"/>
              </w:rPr>
              <w:t>4.51</w:t>
            </w:r>
          </w:p>
        </w:tc>
      </w:tr>
      <w:tr w14:paraId="40ED440F">
        <w:tblPrEx>
          <w:tblCellMar>
            <w:top w:w="0" w:type="dxa"/>
            <w:left w:w="108" w:type="dxa"/>
            <w:bottom w:w="0" w:type="dxa"/>
            <w:right w:w="108" w:type="dxa"/>
          </w:tblCellMar>
        </w:tblPrEx>
        <w:trPr>
          <w:trHeight w:val="300" w:hRule="atLeast"/>
          <w:jc w:val="center"/>
        </w:trPr>
        <w:tc>
          <w:tcPr>
            <w:tcW w:w="2554" w:type="dxa"/>
            <w:tcBorders>
              <w:top w:val="single" w:color="auto" w:sz="4" w:space="0"/>
              <w:left w:val="single" w:color="auto" w:sz="4" w:space="0"/>
              <w:bottom w:val="single" w:color="auto" w:sz="4" w:space="0"/>
              <w:right w:val="single" w:color="auto" w:sz="4" w:space="0"/>
            </w:tcBorders>
            <w:noWrap/>
            <w:vAlign w:val="center"/>
          </w:tcPr>
          <w:p w14:paraId="7647C32E">
            <w:pPr>
              <w:widowControl/>
              <w:spacing w:line="240" w:lineRule="auto"/>
              <w:ind w:firstLine="0" w:firstLineChars="0"/>
              <w:jc w:val="left"/>
              <w:rPr>
                <w:kern w:val="0"/>
                <w:sz w:val="24"/>
                <w:szCs w:val="24"/>
              </w:rPr>
            </w:pPr>
            <w:r>
              <w:rPr>
                <w:kern w:val="0"/>
                <w:sz w:val="24"/>
                <w:szCs w:val="24"/>
              </w:rPr>
              <w:t>十三、税金</w:t>
            </w:r>
          </w:p>
        </w:tc>
        <w:tc>
          <w:tcPr>
            <w:tcW w:w="2274" w:type="dxa"/>
            <w:tcBorders>
              <w:top w:val="single" w:color="auto" w:sz="4" w:space="0"/>
              <w:left w:val="single" w:color="auto" w:sz="4" w:space="0"/>
              <w:bottom w:val="single" w:color="auto" w:sz="4" w:space="0"/>
              <w:right w:val="single" w:color="auto" w:sz="4" w:space="0"/>
            </w:tcBorders>
            <w:noWrap/>
            <w:vAlign w:val="center"/>
          </w:tcPr>
          <w:p w14:paraId="2E78C85C">
            <w:pPr>
              <w:widowControl/>
              <w:spacing w:line="240" w:lineRule="auto"/>
              <w:ind w:firstLine="0" w:firstLineChars="0"/>
              <w:jc w:val="center"/>
              <w:rPr>
                <w:rFonts w:hint="default" w:eastAsia="仿宋"/>
                <w:kern w:val="0"/>
                <w:sz w:val="24"/>
                <w:szCs w:val="24"/>
                <w:lang w:val="en-US" w:eastAsia="zh-CN"/>
              </w:rPr>
            </w:pPr>
            <w:r>
              <w:rPr>
                <w:rFonts w:hint="eastAsia"/>
                <w:kern w:val="0"/>
                <w:sz w:val="24"/>
                <w:szCs w:val="24"/>
                <w:lang w:val="en-US" w:eastAsia="zh-CN"/>
              </w:rPr>
              <w:t>24.69</w:t>
            </w:r>
          </w:p>
        </w:tc>
        <w:tc>
          <w:tcPr>
            <w:tcW w:w="2414" w:type="dxa"/>
            <w:tcBorders>
              <w:top w:val="single" w:color="auto" w:sz="4" w:space="0"/>
              <w:left w:val="single" w:color="auto" w:sz="4" w:space="0"/>
              <w:bottom w:val="single" w:color="auto" w:sz="4" w:space="0"/>
              <w:right w:val="single" w:color="auto" w:sz="4" w:space="0"/>
            </w:tcBorders>
            <w:noWrap/>
            <w:vAlign w:val="center"/>
          </w:tcPr>
          <w:p w14:paraId="4B9DB221">
            <w:pPr>
              <w:widowControl/>
              <w:spacing w:line="240" w:lineRule="auto"/>
              <w:ind w:firstLine="0" w:firstLineChars="0"/>
              <w:jc w:val="center"/>
              <w:rPr>
                <w:rFonts w:hint="default" w:eastAsia="宋体"/>
                <w:kern w:val="0"/>
                <w:sz w:val="24"/>
                <w:szCs w:val="24"/>
                <w:lang w:val="en-US" w:eastAsia="zh-CN"/>
              </w:rPr>
            </w:pPr>
            <w:r>
              <w:rPr>
                <w:rFonts w:hint="eastAsia" w:eastAsia="宋体"/>
                <w:kern w:val="0"/>
                <w:sz w:val="24"/>
                <w:szCs w:val="24"/>
                <w:lang w:val="en-US" w:eastAsia="zh-CN"/>
              </w:rPr>
              <w:t>5.66</w:t>
            </w:r>
          </w:p>
        </w:tc>
      </w:tr>
      <w:tr w14:paraId="6FEBAABF">
        <w:tblPrEx>
          <w:tblCellMar>
            <w:top w:w="0" w:type="dxa"/>
            <w:left w:w="108" w:type="dxa"/>
            <w:bottom w:w="0" w:type="dxa"/>
            <w:right w:w="108" w:type="dxa"/>
          </w:tblCellMar>
        </w:tblPrEx>
        <w:trPr>
          <w:trHeight w:val="300" w:hRule="atLeast"/>
          <w:jc w:val="center"/>
        </w:trPr>
        <w:tc>
          <w:tcPr>
            <w:tcW w:w="2554" w:type="dxa"/>
            <w:tcBorders>
              <w:top w:val="single" w:color="auto" w:sz="4" w:space="0"/>
              <w:left w:val="single" w:color="auto" w:sz="4" w:space="0"/>
              <w:bottom w:val="single" w:color="auto" w:sz="4" w:space="0"/>
              <w:right w:val="single" w:color="auto" w:sz="4" w:space="0"/>
            </w:tcBorders>
            <w:noWrap/>
            <w:vAlign w:val="center"/>
          </w:tcPr>
          <w:p w14:paraId="73B59E69">
            <w:pPr>
              <w:widowControl/>
              <w:spacing w:line="240" w:lineRule="auto"/>
              <w:ind w:firstLine="0" w:firstLineChars="0"/>
              <w:jc w:val="left"/>
              <w:rPr>
                <w:kern w:val="0"/>
                <w:sz w:val="24"/>
                <w:szCs w:val="24"/>
              </w:rPr>
            </w:pPr>
            <w:r>
              <w:rPr>
                <w:kern w:val="0"/>
                <w:sz w:val="24"/>
                <w:szCs w:val="24"/>
              </w:rPr>
              <w:t>合      计</w:t>
            </w:r>
          </w:p>
        </w:tc>
        <w:tc>
          <w:tcPr>
            <w:tcW w:w="2274" w:type="dxa"/>
            <w:tcBorders>
              <w:top w:val="single" w:color="auto" w:sz="4" w:space="0"/>
              <w:left w:val="single" w:color="auto" w:sz="4" w:space="0"/>
              <w:bottom w:val="single" w:color="auto" w:sz="4" w:space="0"/>
              <w:right w:val="single" w:color="auto" w:sz="4" w:space="0"/>
            </w:tcBorders>
            <w:noWrap/>
            <w:vAlign w:val="center"/>
          </w:tcPr>
          <w:p w14:paraId="1F3FBCA4">
            <w:pPr>
              <w:widowControl/>
              <w:spacing w:line="240" w:lineRule="auto"/>
              <w:ind w:firstLine="0" w:firstLineChars="0"/>
              <w:jc w:val="center"/>
              <w:rPr>
                <w:rFonts w:hint="default" w:eastAsia="宋体"/>
                <w:kern w:val="0"/>
                <w:sz w:val="24"/>
                <w:szCs w:val="24"/>
                <w:lang w:val="en-US" w:eastAsia="zh-CN"/>
              </w:rPr>
            </w:pPr>
            <w:r>
              <w:rPr>
                <w:rFonts w:hint="eastAsia" w:eastAsia="宋体"/>
                <w:kern w:val="0"/>
                <w:sz w:val="24"/>
                <w:szCs w:val="24"/>
                <w:lang w:val="en-US" w:eastAsia="zh-CN"/>
              </w:rPr>
              <w:t>436.13</w:t>
            </w:r>
          </w:p>
        </w:tc>
        <w:tc>
          <w:tcPr>
            <w:tcW w:w="2414" w:type="dxa"/>
            <w:tcBorders>
              <w:top w:val="single" w:color="auto" w:sz="4" w:space="0"/>
              <w:left w:val="single" w:color="auto" w:sz="4" w:space="0"/>
              <w:bottom w:val="single" w:color="auto" w:sz="4" w:space="0"/>
              <w:right w:val="single" w:color="auto" w:sz="4" w:space="0"/>
            </w:tcBorders>
            <w:noWrap/>
            <w:vAlign w:val="center"/>
          </w:tcPr>
          <w:p w14:paraId="524EC960">
            <w:pPr>
              <w:widowControl/>
              <w:spacing w:line="240" w:lineRule="auto"/>
              <w:ind w:firstLine="0" w:firstLineChars="0"/>
              <w:jc w:val="center"/>
              <w:rPr>
                <w:rFonts w:hint="default" w:eastAsia="仿宋"/>
                <w:kern w:val="0"/>
                <w:sz w:val="24"/>
                <w:szCs w:val="24"/>
                <w:lang w:val="en-US" w:eastAsia="zh-CN"/>
              </w:rPr>
            </w:pPr>
            <w:r>
              <w:rPr>
                <w:rFonts w:hint="eastAsia"/>
                <w:kern w:val="0"/>
                <w:sz w:val="24"/>
                <w:szCs w:val="24"/>
                <w:lang w:val="en-US" w:eastAsia="zh-CN"/>
              </w:rPr>
              <w:t>100</w:t>
            </w:r>
          </w:p>
        </w:tc>
      </w:tr>
    </w:tbl>
    <w:p w14:paraId="5A8254B5">
      <w:pPr>
        <w:ind w:firstLine="560"/>
      </w:pPr>
    </w:p>
    <w:p w14:paraId="4D52F486">
      <w:pPr>
        <w:pStyle w:val="4"/>
      </w:pPr>
      <w:bookmarkStart w:id="487" w:name="_Toc18838"/>
      <w:bookmarkStart w:id="488" w:name="_Toc25982"/>
      <w:bookmarkStart w:id="489" w:name="_Toc55174908"/>
      <w:bookmarkStart w:id="490" w:name="_Toc14661"/>
      <w:bookmarkStart w:id="491" w:name="_Toc176901272"/>
      <w:bookmarkStart w:id="492" w:name="_Toc22098"/>
      <w:r>
        <w:t>8.</w:t>
      </w:r>
      <w:r>
        <w:rPr>
          <w:lang w:val="en-US"/>
        </w:rPr>
        <w:t>8</w:t>
      </w:r>
      <w:r>
        <w:t xml:space="preserve"> 需要说明的问题</w:t>
      </w:r>
      <w:bookmarkEnd w:id="487"/>
      <w:bookmarkEnd w:id="488"/>
      <w:bookmarkEnd w:id="489"/>
      <w:bookmarkEnd w:id="490"/>
      <w:bookmarkEnd w:id="491"/>
      <w:bookmarkEnd w:id="492"/>
    </w:p>
    <w:p w14:paraId="56D7B081">
      <w:pPr>
        <w:ind w:firstLine="560"/>
      </w:pPr>
      <w:r>
        <w:t>（1）由于地质勘查工作的复杂性，在项目实施过程中，可能发生实际支出与预算安排有偏差。随着项目工作的深入开展，项目工作内容、技术方法可能会发生变化，因此在工作实施过程中，将按实际情况适当调整经费支出内容，使实际支出与预算保持总平衡。</w:t>
      </w:r>
    </w:p>
    <w:p w14:paraId="3362E0B3">
      <w:pPr>
        <w:ind w:firstLine="560"/>
      </w:pPr>
      <w:r>
        <w:t>（2）项目实施过程中若现行国家政策变化，项目工作也应作相应的调整。</w:t>
      </w:r>
    </w:p>
    <w:p w14:paraId="1487DFF4">
      <w:pPr>
        <w:ind w:firstLine="560"/>
        <w:rPr>
          <w:kern w:val="0"/>
          <w:szCs w:val="28"/>
        </w:rPr>
        <w:sectPr>
          <w:pgSz w:w="11906" w:h="16838"/>
          <w:pgMar w:top="1418" w:right="1418" w:bottom="1418" w:left="1418" w:header="720" w:footer="720" w:gutter="0"/>
          <w:cols w:space="720" w:num="1"/>
          <w:docGrid w:type="lines" w:linePitch="381" w:charSpace="0"/>
        </w:sectPr>
      </w:pPr>
      <w:r>
        <w:t>（3）部分岩矿测试工作需要委托外单位完成，委托业务费按照市场价进行预算</w:t>
      </w:r>
    </w:p>
    <w:p w14:paraId="3EFB8EB2">
      <w:pPr>
        <w:pStyle w:val="3"/>
        <w:rPr>
          <w:sz w:val="32"/>
          <w:szCs w:val="32"/>
          <w:lang w:val="en-US"/>
        </w:rPr>
      </w:pPr>
      <w:bookmarkStart w:id="493" w:name="_Toc3091"/>
      <w:bookmarkStart w:id="494" w:name="_Toc24957"/>
      <w:bookmarkStart w:id="495" w:name="_Toc18526"/>
      <w:bookmarkStart w:id="496" w:name="_Toc26906"/>
      <w:bookmarkStart w:id="497" w:name="_Toc10524"/>
      <w:bookmarkStart w:id="498" w:name="_Toc21815"/>
      <w:bookmarkStart w:id="499" w:name="_Toc18223"/>
      <w:bookmarkStart w:id="500" w:name="_Toc27270"/>
      <w:bookmarkStart w:id="501" w:name="_Toc20213"/>
      <w:bookmarkStart w:id="502" w:name="_Toc172885822"/>
      <w:bookmarkStart w:id="503" w:name="_Toc124111389"/>
      <w:bookmarkStart w:id="504" w:name="_Toc124863060"/>
      <w:r>
        <w:rPr>
          <w:sz w:val="32"/>
          <w:szCs w:val="32"/>
          <w:lang w:val="en-US"/>
        </w:rPr>
        <w:t>附件</w:t>
      </w:r>
      <w:bookmarkEnd w:id="493"/>
      <w:bookmarkEnd w:id="494"/>
      <w:bookmarkEnd w:id="495"/>
      <w:bookmarkEnd w:id="496"/>
      <w:bookmarkEnd w:id="497"/>
      <w:bookmarkEnd w:id="498"/>
      <w:bookmarkEnd w:id="499"/>
      <w:bookmarkEnd w:id="500"/>
      <w:bookmarkEnd w:id="501"/>
    </w:p>
    <w:p w14:paraId="1C9B8F1F">
      <w:pPr>
        <w:pStyle w:val="4"/>
      </w:pPr>
      <w:bookmarkStart w:id="505" w:name="_Toc22307"/>
      <w:r>
        <w:t>附件1：勘查设计委托书</w:t>
      </w:r>
      <w:bookmarkEnd w:id="505"/>
    </w:p>
    <w:p w14:paraId="6883A5A8">
      <w:pPr>
        <w:ind w:firstLine="0" w:firstLineChars="0"/>
        <w:jc w:val="center"/>
        <w:rPr>
          <w:rFonts w:hint="eastAsia"/>
          <w:b/>
          <w:bCs/>
          <w:sz w:val="32"/>
          <w:szCs w:val="32"/>
        </w:rPr>
      </w:pPr>
    </w:p>
    <w:p w14:paraId="032AB32F">
      <w:pPr>
        <w:ind w:firstLine="0" w:firstLineChars="0"/>
        <w:jc w:val="center"/>
        <w:rPr>
          <w:b/>
          <w:bCs/>
          <w:kern w:val="0"/>
          <w:szCs w:val="28"/>
        </w:rPr>
      </w:pPr>
      <w:r>
        <w:rPr>
          <w:b/>
          <w:bCs/>
          <w:sz w:val="32"/>
          <w:szCs w:val="32"/>
        </w:rPr>
        <w:t>勘查设计委托书</w:t>
      </w:r>
    </w:p>
    <w:p w14:paraId="405605AE">
      <w:pPr>
        <w:ind w:firstLine="0" w:firstLineChars="0"/>
        <w:rPr>
          <w:bCs/>
          <w:kern w:val="0"/>
          <w:szCs w:val="28"/>
        </w:rPr>
      </w:pPr>
      <w:r>
        <w:rPr>
          <w:bCs/>
          <w:kern w:val="0"/>
          <w:szCs w:val="28"/>
        </w:rPr>
        <w:t>广西国土资源规划设计集团有限公司：</w:t>
      </w:r>
    </w:p>
    <w:p w14:paraId="71EFB869">
      <w:pPr>
        <w:ind w:firstLine="560"/>
      </w:pPr>
      <w:r>
        <w:t>为进一步规范采矿权管理工作，优化矿产资源开发布局，根据《防城港市矿业权整合方案》（2025年），我局拟对华润水泥（上思）有限公司龙大山矿区北矿段水泥用灰岩矿、华润水泥（上思）有限公司龙大山矿区南矿段水泥用灰岩矿、华润水泥（上思）有限公司讲鱼山石灰岩矿三个相互紧邻的采矿权进行整合。为完善采矿权整合前期相关手续，做好矿产资源勘查工作，现委托贵单位实施华润水泥（上思）有限公司龙大山矿区水泥用灰岩矿矿产资源勘查设计，请根据相关规范组织专业技术人员完成方案的编制工作。</w:t>
      </w:r>
    </w:p>
    <w:p w14:paraId="355DBDE7">
      <w:pPr>
        <w:ind w:firstLine="560"/>
      </w:pPr>
    </w:p>
    <w:p w14:paraId="5D828473">
      <w:pPr>
        <w:ind w:firstLine="560"/>
      </w:pPr>
    </w:p>
    <w:p w14:paraId="63FD4895">
      <w:pPr>
        <w:ind w:firstLine="560"/>
        <w:jc w:val="right"/>
      </w:pPr>
      <w:r>
        <w:t>委托</w:t>
      </w:r>
      <w:r>
        <w:rPr>
          <w:rFonts w:hint="eastAsia"/>
        </w:rPr>
        <w:t>单位</w:t>
      </w:r>
      <w:r>
        <w:t>：</w:t>
      </w:r>
      <w:r>
        <w:rPr>
          <w:rFonts w:hint="eastAsia"/>
        </w:rPr>
        <w:t>上思县</w:t>
      </w:r>
      <w:r>
        <w:t>自然资源局</w:t>
      </w:r>
    </w:p>
    <w:p w14:paraId="6122A35E">
      <w:pPr>
        <w:ind w:firstLine="5880" w:firstLineChars="2100"/>
        <w:jc w:val="left"/>
      </w:pPr>
      <w:r>
        <w:t>日期：2026年4月1日</w:t>
      </w:r>
    </w:p>
    <w:p w14:paraId="72E114EF">
      <w:pPr>
        <w:ind w:firstLine="0" w:firstLineChars="0"/>
      </w:pPr>
    </w:p>
    <w:p w14:paraId="4A1F011C">
      <w:pPr>
        <w:ind w:firstLine="0" w:firstLineChars="0"/>
        <w:sectPr>
          <w:pgSz w:w="11906" w:h="16838"/>
          <w:pgMar w:top="1418" w:right="1418" w:bottom="1418" w:left="1418" w:header="851" w:footer="992" w:gutter="0"/>
          <w:cols w:space="720" w:num="1"/>
          <w:docGrid w:type="lines" w:linePitch="381" w:charSpace="0"/>
        </w:sectPr>
      </w:pPr>
    </w:p>
    <w:p w14:paraId="1D34E08C">
      <w:pPr>
        <w:pStyle w:val="4"/>
      </w:pPr>
      <w:bookmarkStart w:id="506" w:name="_Toc3624"/>
      <w:bookmarkStart w:id="507" w:name="_Toc10769"/>
      <w:bookmarkStart w:id="508" w:name="_Toc30199"/>
      <w:bookmarkStart w:id="509" w:name="_Toc15267"/>
      <w:bookmarkStart w:id="510" w:name="_Toc5734"/>
      <w:bookmarkStart w:id="511" w:name="_Toc17569"/>
      <w:bookmarkStart w:id="512" w:name="_Toc27254"/>
      <w:bookmarkStart w:id="513" w:name="_Toc25710"/>
      <w:bookmarkStart w:id="514" w:name="_Toc26502"/>
      <w:r>
        <w:t>附件2：采矿许可证</w:t>
      </w:r>
      <w:bookmarkEnd w:id="506"/>
      <w:bookmarkEnd w:id="507"/>
      <w:bookmarkEnd w:id="508"/>
      <w:bookmarkEnd w:id="509"/>
      <w:bookmarkEnd w:id="510"/>
      <w:bookmarkEnd w:id="511"/>
      <w:bookmarkEnd w:id="512"/>
      <w:bookmarkEnd w:id="513"/>
      <w:bookmarkEnd w:id="514"/>
    </w:p>
    <w:p w14:paraId="01512CC9">
      <w:pPr>
        <w:spacing w:line="240" w:lineRule="auto"/>
        <w:ind w:firstLine="0" w:firstLineChars="0"/>
        <w:contextualSpacing/>
        <w:rPr>
          <w:rFonts w:eastAsia="仿宋_GB2312"/>
          <w:kern w:val="0"/>
          <w:szCs w:val="28"/>
        </w:rPr>
      </w:pPr>
      <w:r>
        <w:drawing>
          <wp:inline distT="0" distB="0" distL="0" distR="0">
            <wp:extent cx="6086475" cy="8355965"/>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0"/>
                    <a:stretch>
                      <a:fillRect/>
                    </a:stretch>
                  </pic:blipFill>
                  <pic:spPr>
                    <a:xfrm>
                      <a:off x="0" y="0"/>
                      <a:ext cx="6086475" cy="8356223"/>
                    </a:xfrm>
                    <a:prstGeom prst="rect">
                      <a:avLst/>
                    </a:prstGeom>
                  </pic:spPr>
                </pic:pic>
              </a:graphicData>
            </a:graphic>
          </wp:inline>
        </w:drawing>
      </w:r>
    </w:p>
    <w:p w14:paraId="4519EA53">
      <w:pPr>
        <w:spacing w:line="240" w:lineRule="auto"/>
        <w:ind w:firstLine="0" w:firstLineChars="0"/>
        <w:contextualSpacing/>
        <w:rPr>
          <w:rFonts w:eastAsia="仿宋_GB2312"/>
          <w:kern w:val="0"/>
          <w:szCs w:val="28"/>
        </w:rPr>
      </w:pPr>
      <w:r>
        <w:drawing>
          <wp:inline distT="0" distB="0" distL="0" distR="0">
            <wp:extent cx="6087110" cy="8124825"/>
            <wp:effectExtent l="0" t="0" r="889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31"/>
                    <a:stretch>
                      <a:fillRect/>
                    </a:stretch>
                  </pic:blipFill>
                  <pic:spPr>
                    <a:xfrm>
                      <a:off x="0" y="0"/>
                      <a:ext cx="6087278" cy="8124825"/>
                    </a:xfrm>
                    <a:prstGeom prst="rect">
                      <a:avLst/>
                    </a:prstGeom>
                  </pic:spPr>
                </pic:pic>
              </a:graphicData>
            </a:graphic>
          </wp:inline>
        </w:drawing>
      </w:r>
    </w:p>
    <w:p w14:paraId="4646A450">
      <w:pPr>
        <w:ind w:firstLine="0" w:firstLineChars="0"/>
      </w:pPr>
      <w:r>
        <w:drawing>
          <wp:inline distT="0" distB="0" distL="0" distR="0">
            <wp:extent cx="8067040" cy="5827395"/>
            <wp:effectExtent l="0" t="4128" r="6033" b="6032"/>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32">
                      <a:extLst>
                        <a:ext uri="{28A0092B-C50C-407E-A947-70E740481C1C}">
                          <a14:useLocalDpi xmlns:a14="http://schemas.microsoft.com/office/drawing/2010/main" val="0"/>
                        </a:ext>
                      </a:extLst>
                    </a:blip>
                    <a:srcRect l="4071" t="3127" r="1074" b="3232"/>
                    <a:stretch>
                      <a:fillRect/>
                    </a:stretch>
                  </pic:blipFill>
                  <pic:spPr>
                    <a:xfrm rot="-5400000">
                      <a:off x="0" y="0"/>
                      <a:ext cx="8064052" cy="5825704"/>
                    </a:xfrm>
                    <a:prstGeom prst="rect">
                      <a:avLst/>
                    </a:prstGeom>
                    <a:noFill/>
                    <a:ln>
                      <a:noFill/>
                    </a:ln>
                    <a:effectLst/>
                  </pic:spPr>
                </pic:pic>
              </a:graphicData>
            </a:graphic>
          </wp:inline>
        </w:drawing>
      </w:r>
    </w:p>
    <w:p w14:paraId="7A6994C9">
      <w:pPr>
        <w:ind w:firstLine="0" w:firstLineChars="0"/>
      </w:pPr>
    </w:p>
    <w:p w14:paraId="28DF30B1">
      <w:pPr>
        <w:ind w:firstLine="0" w:firstLineChars="0"/>
        <w:sectPr>
          <w:pgSz w:w="11906" w:h="16838"/>
          <w:pgMar w:top="1418" w:right="1418" w:bottom="1418" w:left="1418" w:header="851" w:footer="992" w:gutter="0"/>
          <w:cols w:space="720" w:num="1"/>
          <w:docGrid w:type="lines" w:linePitch="381" w:charSpace="0"/>
        </w:sectPr>
      </w:pPr>
    </w:p>
    <w:p w14:paraId="5FD54C3F">
      <w:pPr>
        <w:pStyle w:val="4"/>
      </w:pPr>
      <w:bookmarkStart w:id="515" w:name="_Toc18402"/>
      <w:bookmarkStart w:id="516" w:name="_Toc23949"/>
      <w:bookmarkStart w:id="517" w:name="_Toc16733"/>
      <w:bookmarkStart w:id="518" w:name="_Toc5605"/>
      <w:bookmarkStart w:id="519" w:name="_Toc24087"/>
      <w:bookmarkStart w:id="520" w:name="_Toc25316"/>
      <w:bookmarkStart w:id="521" w:name="_Toc18029"/>
      <w:bookmarkStart w:id="522" w:name="_Toc21419"/>
      <w:bookmarkStart w:id="523" w:name="_Toc32260"/>
      <w:r>
        <w:t>附件3：编制单位营业执照</w:t>
      </w:r>
      <w:bookmarkEnd w:id="502"/>
      <w:bookmarkEnd w:id="503"/>
      <w:bookmarkEnd w:id="504"/>
      <w:bookmarkEnd w:id="515"/>
      <w:bookmarkEnd w:id="516"/>
      <w:bookmarkEnd w:id="517"/>
      <w:bookmarkEnd w:id="518"/>
      <w:bookmarkEnd w:id="519"/>
      <w:bookmarkEnd w:id="520"/>
      <w:bookmarkEnd w:id="521"/>
      <w:bookmarkEnd w:id="522"/>
      <w:bookmarkEnd w:id="523"/>
    </w:p>
    <w:p w14:paraId="4AF2DC9B">
      <w:pPr>
        <w:spacing w:line="240" w:lineRule="auto"/>
        <w:ind w:firstLine="0" w:firstLineChars="0"/>
        <w:contextualSpacing/>
        <w:rPr>
          <w:rFonts w:eastAsia="仿宋_GB2312"/>
          <w:kern w:val="0"/>
          <w:szCs w:val="28"/>
        </w:rPr>
      </w:pPr>
      <w:r>
        <w:drawing>
          <wp:inline distT="0" distB="0" distL="0" distR="0">
            <wp:extent cx="8388350" cy="5927725"/>
            <wp:effectExtent l="0" t="7938" r="4763" b="4762"/>
            <wp:docPr id="131484369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43694" name="图片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rot="16200000">
                      <a:off x="0" y="0"/>
                      <a:ext cx="8394775" cy="5932366"/>
                    </a:xfrm>
                    <a:prstGeom prst="rect">
                      <a:avLst/>
                    </a:prstGeom>
                    <a:noFill/>
                    <a:ln>
                      <a:noFill/>
                    </a:ln>
                  </pic:spPr>
                </pic:pic>
              </a:graphicData>
            </a:graphic>
          </wp:inline>
        </w:drawing>
      </w:r>
    </w:p>
    <w:p w14:paraId="4C08C453">
      <w:pPr>
        <w:spacing w:line="240" w:lineRule="auto"/>
        <w:ind w:firstLine="0" w:firstLineChars="0"/>
        <w:contextualSpacing/>
        <w:rPr>
          <w:rFonts w:eastAsia="仿宋_GB2312"/>
          <w:kern w:val="0"/>
          <w:szCs w:val="28"/>
        </w:rPr>
        <w:sectPr>
          <w:pgSz w:w="11906" w:h="16838"/>
          <w:pgMar w:top="1418" w:right="1418" w:bottom="1418" w:left="1418" w:header="851" w:footer="992" w:gutter="0"/>
          <w:cols w:space="720" w:num="1"/>
          <w:docGrid w:type="lines" w:linePitch="381" w:charSpace="0"/>
        </w:sectPr>
      </w:pPr>
    </w:p>
    <w:p w14:paraId="3A7AF181">
      <w:pPr>
        <w:pStyle w:val="4"/>
      </w:pPr>
      <w:bookmarkStart w:id="524" w:name="_Toc22744"/>
      <w:bookmarkStart w:id="525" w:name="_Toc31315"/>
      <w:bookmarkStart w:id="526" w:name="_Toc15864"/>
      <w:bookmarkStart w:id="527" w:name="_Toc23051"/>
      <w:bookmarkStart w:id="528" w:name="_Toc12471"/>
      <w:bookmarkStart w:id="529" w:name="_Toc24124"/>
      <w:bookmarkStart w:id="530" w:name="_Toc32435"/>
      <w:bookmarkStart w:id="531" w:name="_Toc14969"/>
      <w:bookmarkStart w:id="532" w:name="_Toc23624"/>
      <w:r>
        <w:t>附件4：编制单位承诺书</w:t>
      </w:r>
      <w:bookmarkEnd w:id="524"/>
      <w:bookmarkEnd w:id="525"/>
      <w:bookmarkEnd w:id="526"/>
      <w:bookmarkEnd w:id="527"/>
      <w:bookmarkEnd w:id="528"/>
      <w:bookmarkEnd w:id="529"/>
      <w:bookmarkEnd w:id="530"/>
      <w:bookmarkEnd w:id="531"/>
      <w:bookmarkEnd w:id="532"/>
    </w:p>
    <w:p w14:paraId="47EC8521">
      <w:pPr>
        <w:ind w:firstLine="0" w:firstLineChars="0"/>
        <w:jc w:val="center"/>
        <w:rPr>
          <w:rFonts w:hint="eastAsia"/>
          <w:b/>
          <w:kern w:val="0"/>
          <w:sz w:val="32"/>
          <w:szCs w:val="32"/>
        </w:rPr>
      </w:pPr>
    </w:p>
    <w:p w14:paraId="13EBD79C">
      <w:pPr>
        <w:ind w:firstLine="0" w:firstLineChars="0"/>
        <w:jc w:val="center"/>
        <w:rPr>
          <w:b/>
          <w:kern w:val="0"/>
          <w:szCs w:val="28"/>
        </w:rPr>
      </w:pPr>
      <w:r>
        <w:rPr>
          <w:b/>
          <w:kern w:val="0"/>
          <w:sz w:val="32"/>
          <w:szCs w:val="32"/>
        </w:rPr>
        <w:t>编制单位承诺书</w:t>
      </w:r>
    </w:p>
    <w:p w14:paraId="40E9FCE9">
      <w:pPr>
        <w:ind w:firstLine="0" w:firstLineChars="0"/>
        <w:jc w:val="left"/>
        <w:rPr>
          <w:bCs/>
          <w:kern w:val="0"/>
          <w:szCs w:val="28"/>
        </w:rPr>
      </w:pPr>
      <w:r>
        <w:rPr>
          <w:bCs/>
          <w:kern w:val="0"/>
          <w:szCs w:val="28"/>
        </w:rPr>
        <w:t>承诺人单位名称：广西国土资源规划设计集团有限公司</w:t>
      </w:r>
    </w:p>
    <w:p w14:paraId="623CCF3E">
      <w:pPr>
        <w:ind w:firstLine="560"/>
        <w:jc w:val="left"/>
        <w:rPr>
          <w:bCs/>
          <w:kern w:val="0"/>
          <w:szCs w:val="28"/>
        </w:rPr>
      </w:pPr>
      <w:r>
        <w:rPr>
          <w:bCs/>
          <w:kern w:val="0"/>
          <w:szCs w:val="28"/>
        </w:rPr>
        <w:t>我单位将以《固体矿产地质勘查规范总则》（GB/T 13908-2020）、《固体矿产勘查工作规范》（GB/T33444-2016）、《矿产地质勘查规范 石灰岩、水泥配料石料类》（DZ/T 0213-2020），《固体矿产勘查设计规范》（DZ/T 0428-2023）为标准，完成《华润水泥（上思）有限公司龙大山矿区水泥用灰岩矿整合区详查实施方案》的任务编制，承诺人对下列送审资料做出承诺，即保证送审资料真实、客观、无伪造、无编改、我篡改等虚假内容、地质资料是合法取得的，其责任由承诺人自行承担。</w:t>
      </w:r>
    </w:p>
    <w:p w14:paraId="14D93A7D">
      <w:pPr>
        <w:ind w:firstLine="560"/>
        <w:jc w:val="left"/>
        <w:rPr>
          <w:bCs/>
          <w:kern w:val="0"/>
          <w:szCs w:val="28"/>
        </w:rPr>
      </w:pPr>
      <w:r>
        <w:rPr>
          <w:bCs/>
          <w:kern w:val="0"/>
          <w:szCs w:val="28"/>
        </w:rPr>
        <w:t>1、《华润水泥（上思）有限公司龙大山矿区水泥用灰岩矿整合区详查实施方案》中设计的基础数据、地质报告的内容。</w:t>
      </w:r>
    </w:p>
    <w:p w14:paraId="0A42621F">
      <w:pPr>
        <w:ind w:firstLine="560"/>
        <w:jc w:val="left"/>
        <w:rPr>
          <w:bCs/>
          <w:kern w:val="0"/>
          <w:szCs w:val="28"/>
        </w:rPr>
      </w:pPr>
      <w:r>
        <w:rPr>
          <w:bCs/>
          <w:kern w:val="0"/>
          <w:szCs w:val="28"/>
        </w:rPr>
        <w:t>2、编制单位营业执照复印件。</w:t>
      </w:r>
    </w:p>
    <w:p w14:paraId="4B638F02">
      <w:pPr>
        <w:ind w:firstLine="560"/>
        <w:jc w:val="left"/>
        <w:rPr>
          <w:bCs/>
          <w:kern w:val="0"/>
          <w:szCs w:val="28"/>
        </w:rPr>
      </w:pPr>
      <w:r>
        <w:rPr>
          <w:bCs/>
          <w:kern w:val="0"/>
          <w:szCs w:val="28"/>
        </w:rPr>
        <w:t>3、参与编制人员资料真实性。</w:t>
      </w:r>
    </w:p>
    <w:p w14:paraId="6B68870D">
      <w:pPr>
        <w:ind w:firstLine="560"/>
        <w:jc w:val="left"/>
        <w:rPr>
          <w:bCs/>
          <w:kern w:val="0"/>
          <w:szCs w:val="28"/>
        </w:rPr>
      </w:pPr>
      <w:r>
        <w:rPr>
          <w:bCs/>
          <w:kern w:val="0"/>
          <w:szCs w:val="28"/>
        </w:rPr>
        <w:t>4、审查机构认为应提交的与评审工作有关的其他资料。</w:t>
      </w:r>
    </w:p>
    <w:p w14:paraId="036EDBF8">
      <w:pPr>
        <w:ind w:firstLine="560"/>
        <w:jc w:val="left"/>
        <w:rPr>
          <w:bCs/>
          <w:kern w:val="0"/>
          <w:szCs w:val="28"/>
        </w:rPr>
      </w:pPr>
    </w:p>
    <w:p w14:paraId="2C5A60D6">
      <w:pPr>
        <w:ind w:firstLine="560"/>
        <w:jc w:val="left"/>
        <w:rPr>
          <w:bCs/>
          <w:kern w:val="0"/>
          <w:szCs w:val="28"/>
        </w:rPr>
      </w:pPr>
    </w:p>
    <w:p w14:paraId="0ED8A156">
      <w:pPr>
        <w:ind w:firstLine="560"/>
        <w:jc w:val="left"/>
        <w:rPr>
          <w:bCs/>
          <w:kern w:val="0"/>
          <w:szCs w:val="28"/>
        </w:rPr>
      </w:pPr>
    </w:p>
    <w:p w14:paraId="373D2147">
      <w:pPr>
        <w:ind w:firstLine="560"/>
        <w:jc w:val="left"/>
        <w:rPr>
          <w:bCs/>
          <w:kern w:val="0"/>
          <w:szCs w:val="28"/>
        </w:rPr>
      </w:pPr>
    </w:p>
    <w:p w14:paraId="509D8134">
      <w:pPr>
        <w:ind w:firstLine="1960" w:firstLineChars="700"/>
        <w:jc w:val="left"/>
        <w:rPr>
          <w:bCs/>
          <w:kern w:val="0"/>
          <w:szCs w:val="28"/>
        </w:rPr>
      </w:pPr>
      <w:r>
        <w:rPr>
          <w:bCs/>
          <w:kern w:val="0"/>
          <w:szCs w:val="28"/>
        </w:rPr>
        <w:t>承诺单位（盖章）：广西国土资源规划设计集团有限公司</w:t>
      </w:r>
    </w:p>
    <w:p w14:paraId="0CB3D205">
      <w:pPr>
        <w:ind w:firstLine="3558" w:firstLineChars="1271"/>
        <w:jc w:val="left"/>
        <w:rPr>
          <w:bCs/>
          <w:kern w:val="0"/>
          <w:szCs w:val="28"/>
        </w:rPr>
      </w:pPr>
      <w:r>
        <w:rPr>
          <w:bCs/>
          <w:kern w:val="0"/>
          <w:szCs w:val="28"/>
        </w:rPr>
        <w:t>日期：2026年4月25日</w:t>
      </w:r>
    </w:p>
    <w:p w14:paraId="47B751FA">
      <w:pPr>
        <w:ind w:firstLine="0" w:firstLineChars="0"/>
        <w:rPr>
          <w:b/>
          <w:kern w:val="0"/>
          <w:szCs w:val="28"/>
        </w:rPr>
      </w:pPr>
    </w:p>
    <w:p w14:paraId="5015A828">
      <w:pPr>
        <w:ind w:firstLine="0" w:firstLineChars="0"/>
        <w:rPr>
          <w:b/>
          <w:kern w:val="0"/>
          <w:szCs w:val="28"/>
        </w:rPr>
        <w:sectPr>
          <w:pgSz w:w="11906" w:h="16838"/>
          <w:pgMar w:top="1418" w:right="1418" w:bottom="1418" w:left="1418" w:header="851" w:footer="992" w:gutter="0"/>
          <w:cols w:space="720" w:num="1"/>
          <w:docGrid w:type="lines" w:linePitch="381" w:charSpace="0"/>
        </w:sectPr>
      </w:pPr>
    </w:p>
    <w:p w14:paraId="093BD292">
      <w:pPr>
        <w:pStyle w:val="4"/>
      </w:pPr>
      <w:bookmarkStart w:id="533" w:name="_Toc1562"/>
      <w:bookmarkStart w:id="534" w:name="_Toc12136"/>
      <w:bookmarkStart w:id="535" w:name="_Toc15555"/>
      <w:bookmarkStart w:id="536" w:name="_Toc7362"/>
      <w:bookmarkStart w:id="537" w:name="_Toc26974"/>
      <w:bookmarkStart w:id="538" w:name="_Toc26910"/>
      <w:bookmarkStart w:id="539" w:name="_Toc12658"/>
      <w:bookmarkStart w:id="540" w:name="_Toc22408"/>
      <w:bookmarkStart w:id="541" w:name="_Toc12853"/>
      <w:r>
        <w:t>附件5：编制单位初审意见</w:t>
      </w:r>
      <w:bookmarkEnd w:id="533"/>
      <w:bookmarkEnd w:id="534"/>
      <w:bookmarkEnd w:id="535"/>
      <w:bookmarkEnd w:id="536"/>
      <w:bookmarkEnd w:id="537"/>
      <w:bookmarkEnd w:id="538"/>
      <w:bookmarkEnd w:id="539"/>
      <w:bookmarkEnd w:id="540"/>
      <w:bookmarkEnd w:id="541"/>
    </w:p>
    <w:p w14:paraId="4E53E6FC">
      <w:pPr>
        <w:widowControl/>
        <w:spacing w:line="240" w:lineRule="auto"/>
        <w:ind w:firstLine="482" w:firstLineChars="0"/>
        <w:jc w:val="center"/>
        <w:rPr>
          <w:rFonts w:eastAsia="宋体"/>
          <w:b/>
          <w:bCs/>
          <w:kern w:val="0"/>
          <w:sz w:val="24"/>
          <w:szCs w:val="24"/>
        </w:rPr>
      </w:pPr>
      <w:r>
        <w:rPr>
          <w:rFonts w:eastAsia="微软雅黑"/>
          <w:b/>
          <w:bCs/>
          <w:kern w:val="0"/>
          <w:sz w:val="24"/>
          <w:szCs w:val="24"/>
        </w:rPr>
        <w:t>地质勘查项目设计（方案）初审意见书</w:t>
      </w:r>
    </w:p>
    <w:tbl>
      <w:tblPr>
        <w:tblStyle w:val="32"/>
        <w:tblW w:w="9640" w:type="dxa"/>
        <w:tblInd w:w="-176" w:type="dxa"/>
        <w:tblLayout w:type="fixed"/>
        <w:tblCellMar>
          <w:top w:w="0" w:type="dxa"/>
          <w:left w:w="108" w:type="dxa"/>
          <w:bottom w:w="0" w:type="dxa"/>
          <w:right w:w="108" w:type="dxa"/>
        </w:tblCellMar>
      </w:tblPr>
      <w:tblGrid>
        <w:gridCol w:w="2033"/>
        <w:gridCol w:w="4063"/>
        <w:gridCol w:w="1276"/>
        <w:gridCol w:w="2268"/>
      </w:tblGrid>
      <w:tr w14:paraId="064F3A22">
        <w:tblPrEx>
          <w:tblCellMar>
            <w:top w:w="0" w:type="dxa"/>
            <w:left w:w="108" w:type="dxa"/>
            <w:bottom w:w="0" w:type="dxa"/>
            <w:right w:w="108" w:type="dxa"/>
          </w:tblCellMar>
        </w:tblPrEx>
        <w:tc>
          <w:tcPr>
            <w:tcW w:w="2033" w:type="dxa"/>
            <w:tcBorders>
              <w:top w:val="single" w:color="000000" w:sz="4" w:space="0"/>
              <w:left w:val="single" w:color="000000" w:sz="4" w:space="0"/>
              <w:bottom w:val="single" w:color="000000" w:sz="4" w:space="0"/>
              <w:right w:val="single" w:color="000000" w:sz="4" w:space="0"/>
            </w:tcBorders>
            <w:vAlign w:val="center"/>
          </w:tcPr>
          <w:p w14:paraId="060AF12B">
            <w:pPr>
              <w:widowControl/>
              <w:adjustRightInd/>
              <w:snapToGrid/>
              <w:ind w:firstLine="0" w:firstLineChars="0"/>
              <w:jc w:val="center"/>
              <w:rPr>
                <w:kern w:val="0"/>
                <w:sz w:val="24"/>
                <w:szCs w:val="24"/>
              </w:rPr>
            </w:pPr>
            <w:r>
              <w:rPr>
                <w:kern w:val="0"/>
                <w:sz w:val="24"/>
                <w:szCs w:val="24"/>
              </w:rPr>
              <w:t>组织初审单位</w:t>
            </w:r>
          </w:p>
        </w:tc>
        <w:tc>
          <w:tcPr>
            <w:tcW w:w="4063" w:type="dxa"/>
            <w:tcBorders>
              <w:top w:val="single" w:color="000000" w:sz="4" w:space="0"/>
              <w:left w:val="nil"/>
              <w:bottom w:val="single" w:color="000000" w:sz="4" w:space="0"/>
              <w:right w:val="single" w:color="000000" w:sz="4" w:space="0"/>
            </w:tcBorders>
            <w:vAlign w:val="center"/>
          </w:tcPr>
          <w:p w14:paraId="7C1A2FDF">
            <w:pPr>
              <w:widowControl/>
              <w:adjustRightInd/>
              <w:snapToGrid/>
              <w:ind w:firstLine="0" w:firstLineChars="0"/>
              <w:jc w:val="center"/>
              <w:rPr>
                <w:kern w:val="0"/>
                <w:sz w:val="24"/>
                <w:szCs w:val="24"/>
              </w:rPr>
            </w:pPr>
            <w:r>
              <w:rPr>
                <w:kern w:val="0"/>
                <w:sz w:val="24"/>
                <w:szCs w:val="24"/>
              </w:rPr>
              <w:t>广西国土资源规划设计集团有限公司</w:t>
            </w:r>
          </w:p>
        </w:tc>
        <w:tc>
          <w:tcPr>
            <w:tcW w:w="1276" w:type="dxa"/>
            <w:tcBorders>
              <w:top w:val="single" w:color="000000" w:sz="4" w:space="0"/>
              <w:left w:val="nil"/>
              <w:bottom w:val="single" w:color="000000" w:sz="4" w:space="0"/>
              <w:right w:val="single" w:color="000000" w:sz="4" w:space="0"/>
            </w:tcBorders>
            <w:vAlign w:val="center"/>
          </w:tcPr>
          <w:p w14:paraId="2FEB44AD">
            <w:pPr>
              <w:widowControl/>
              <w:adjustRightInd/>
              <w:snapToGrid/>
              <w:ind w:firstLine="0" w:firstLineChars="0"/>
              <w:jc w:val="center"/>
              <w:rPr>
                <w:kern w:val="0"/>
                <w:sz w:val="24"/>
                <w:szCs w:val="24"/>
              </w:rPr>
            </w:pPr>
            <w:r>
              <w:rPr>
                <w:kern w:val="0"/>
                <w:sz w:val="24"/>
                <w:szCs w:val="24"/>
              </w:rPr>
              <w:t>初审时间</w:t>
            </w:r>
          </w:p>
        </w:tc>
        <w:tc>
          <w:tcPr>
            <w:tcW w:w="2268" w:type="dxa"/>
            <w:tcBorders>
              <w:top w:val="single" w:color="000000" w:sz="4" w:space="0"/>
              <w:left w:val="nil"/>
              <w:bottom w:val="single" w:color="000000" w:sz="4" w:space="0"/>
              <w:right w:val="single" w:color="000000" w:sz="4" w:space="0"/>
            </w:tcBorders>
            <w:vAlign w:val="center"/>
          </w:tcPr>
          <w:p w14:paraId="7902CA55">
            <w:pPr>
              <w:widowControl/>
              <w:adjustRightInd/>
              <w:snapToGrid/>
              <w:ind w:firstLine="0" w:firstLineChars="0"/>
              <w:rPr>
                <w:kern w:val="0"/>
                <w:sz w:val="24"/>
                <w:szCs w:val="24"/>
              </w:rPr>
            </w:pPr>
            <w:r>
              <w:rPr>
                <w:kern w:val="0"/>
                <w:sz w:val="24"/>
                <w:szCs w:val="24"/>
              </w:rPr>
              <w:t>2026年04月26日</w:t>
            </w:r>
          </w:p>
        </w:tc>
      </w:tr>
      <w:tr w14:paraId="4F15D658">
        <w:tblPrEx>
          <w:tblCellMar>
            <w:top w:w="0" w:type="dxa"/>
            <w:left w:w="108" w:type="dxa"/>
            <w:bottom w:w="0" w:type="dxa"/>
            <w:right w:w="108" w:type="dxa"/>
          </w:tblCellMar>
        </w:tblPrEx>
        <w:tc>
          <w:tcPr>
            <w:tcW w:w="9640" w:type="dxa"/>
            <w:gridSpan w:val="4"/>
            <w:tcBorders>
              <w:top w:val="single" w:color="000000" w:sz="4" w:space="0"/>
              <w:left w:val="single" w:color="000000" w:sz="4" w:space="0"/>
              <w:bottom w:val="single" w:color="000000" w:sz="4" w:space="0"/>
              <w:right w:val="single" w:color="000000" w:sz="4" w:space="0"/>
            </w:tcBorders>
            <w:vAlign w:val="center"/>
          </w:tcPr>
          <w:p w14:paraId="21D3FAB6">
            <w:pPr>
              <w:widowControl/>
              <w:adjustRightInd/>
              <w:snapToGrid/>
              <w:ind w:firstLine="0" w:firstLineChars="0"/>
              <w:jc w:val="center"/>
              <w:rPr>
                <w:kern w:val="0"/>
                <w:sz w:val="24"/>
                <w:szCs w:val="24"/>
              </w:rPr>
            </w:pPr>
            <w:r>
              <w:rPr>
                <w:kern w:val="0"/>
                <w:sz w:val="24"/>
                <w:szCs w:val="24"/>
              </w:rPr>
              <w:t>初审意见</w:t>
            </w:r>
          </w:p>
        </w:tc>
      </w:tr>
      <w:tr w14:paraId="04CAE454">
        <w:tblPrEx>
          <w:tblCellMar>
            <w:top w:w="0" w:type="dxa"/>
            <w:left w:w="108" w:type="dxa"/>
            <w:bottom w:w="0" w:type="dxa"/>
            <w:right w:w="108" w:type="dxa"/>
          </w:tblCellMar>
        </w:tblPrEx>
        <w:trPr>
          <w:trHeight w:val="1453" w:hRule="atLeast"/>
        </w:trPr>
        <w:tc>
          <w:tcPr>
            <w:tcW w:w="9640" w:type="dxa"/>
            <w:gridSpan w:val="4"/>
            <w:tcBorders>
              <w:top w:val="single" w:color="000000" w:sz="4" w:space="0"/>
              <w:left w:val="single" w:color="000000" w:sz="4" w:space="0"/>
              <w:bottom w:val="single" w:color="000000" w:sz="4" w:space="0"/>
              <w:right w:val="single" w:color="000000" w:sz="4" w:space="0"/>
            </w:tcBorders>
          </w:tcPr>
          <w:p w14:paraId="3A9518A1">
            <w:pPr>
              <w:widowControl/>
              <w:ind w:left="2" w:firstLine="456" w:firstLineChars="0"/>
              <w:jc w:val="left"/>
              <w:rPr>
                <w:kern w:val="0"/>
                <w:sz w:val="24"/>
                <w:szCs w:val="24"/>
              </w:rPr>
            </w:pPr>
            <w:r>
              <w:rPr>
                <w:kern w:val="0"/>
                <w:sz w:val="24"/>
                <w:szCs w:val="24"/>
              </w:rPr>
              <w:t>按项目质量管理有关要求，我公司组织有关人员对《华润水泥（上思）有限公司龙大山矿区水泥用灰岩矿整合区详查实施方案》进行了初审。初审意见如下：</w:t>
            </w:r>
          </w:p>
          <w:p w14:paraId="1D7C2EF9">
            <w:pPr>
              <w:widowControl/>
              <w:ind w:firstLine="480" w:firstLineChars="0"/>
              <w:jc w:val="left"/>
              <w:rPr>
                <w:b/>
                <w:bCs/>
                <w:kern w:val="0"/>
                <w:sz w:val="24"/>
                <w:szCs w:val="24"/>
              </w:rPr>
            </w:pPr>
            <w:r>
              <w:rPr>
                <w:b/>
                <w:bCs/>
                <w:kern w:val="0"/>
                <w:sz w:val="24"/>
                <w:szCs w:val="24"/>
              </w:rPr>
              <w:t>一、项目总体概况</w:t>
            </w:r>
          </w:p>
          <w:p w14:paraId="0DA22825">
            <w:pPr>
              <w:ind w:firstLine="480"/>
              <w:rPr>
                <w:kern w:val="0"/>
                <w:sz w:val="24"/>
                <w:szCs w:val="24"/>
              </w:rPr>
            </w:pPr>
            <w:r>
              <w:rPr>
                <w:kern w:val="0"/>
                <w:sz w:val="24"/>
                <w:szCs w:val="24"/>
              </w:rPr>
              <w:t>1、本项目属防城港市自然资源局委托勘查项目。勘查目的是基本查明地质、构造特征及其对矿体的控制情况，矿体形态、产状、大小和矿石质量，基本确定矿体的连续性，对矿石的加工选矿性能进行类比试验研究或实验室流程试验研究，通过水工环地质调查，详细查明矿床的开采技术条件，预算矿区范围内水泥用灰岩矿资源储量，目的是为下一步采矿权出让及矿山生产建设提供地质依据。</w:t>
            </w:r>
          </w:p>
          <w:p w14:paraId="6DF0FB17">
            <w:pPr>
              <w:ind w:firstLine="480"/>
              <w:rPr>
                <w:sz w:val="24"/>
                <w:szCs w:val="24"/>
              </w:rPr>
            </w:pPr>
            <w:r>
              <w:rPr>
                <w:sz w:val="24"/>
                <w:szCs w:val="24"/>
              </w:rPr>
              <w:t>2、项目总体任务：</w:t>
            </w:r>
          </w:p>
          <w:p w14:paraId="4C3FCB79">
            <w:pPr>
              <w:ind w:firstLine="480"/>
              <w:rPr>
                <w:sz w:val="24"/>
                <w:szCs w:val="24"/>
              </w:rPr>
            </w:pPr>
            <w:r>
              <w:rPr>
                <w:sz w:val="24"/>
                <w:szCs w:val="24"/>
              </w:rPr>
              <w:t>（1）系统收集与矿区成矿有关的基础地质、矿产及周边同一矿床类型的地质资料进行综合分析。</w:t>
            </w:r>
          </w:p>
          <w:p w14:paraId="4B5E1B72">
            <w:pPr>
              <w:ind w:firstLine="480"/>
              <w:rPr>
                <w:sz w:val="24"/>
                <w:szCs w:val="24"/>
              </w:rPr>
            </w:pPr>
            <w:r>
              <w:rPr>
                <w:sz w:val="24"/>
                <w:szCs w:val="24"/>
              </w:rPr>
              <w:t>（2）通过开展1:2000地形测量和地质测量，基本查明矿区地层层位、岩性变化特征，基本查明矿区成矿地质特征，包括地层、构造、矿体分布、围岩蚀变特征。</w:t>
            </w:r>
          </w:p>
          <w:p w14:paraId="3C29212B">
            <w:pPr>
              <w:ind w:firstLine="480"/>
              <w:rPr>
                <w:sz w:val="24"/>
                <w:szCs w:val="24"/>
              </w:rPr>
            </w:pPr>
            <w:r>
              <w:rPr>
                <w:sz w:val="24"/>
                <w:szCs w:val="24"/>
              </w:rPr>
              <w:t>（3）在基本查明区内地表地质基础上，通过施工探矿工程，并进行系统取样，基本查明区内矿体形态、规模、厚度、变化规律及其矿石质量特征。</w:t>
            </w:r>
          </w:p>
          <w:p w14:paraId="546F6049">
            <w:pPr>
              <w:ind w:firstLine="480"/>
              <w:rPr>
                <w:sz w:val="24"/>
                <w:szCs w:val="24"/>
              </w:rPr>
            </w:pPr>
            <w:r>
              <w:rPr>
                <w:sz w:val="24"/>
                <w:szCs w:val="24"/>
              </w:rPr>
              <w:t>（4）开展专项水、工、环地质工作，调查研究区域水文地质条件；详细查明矿床的含（隔）水层、构造破碎带的水文地质特征、发育程度和分布规律；调查地表水体分布范围及收集长期水文观测资料；详细查明地下水的补给、径流、排泄条件，地表水与含水层的水力联系，矿床主要充水因素及其水文地质条件的复杂程度，初步预测矿坑涌水量，评价其对矿床开发的影响程度；调查研究可利用的供水水源的水质、水量和利用条件，指出供水水源方向。</w:t>
            </w:r>
          </w:p>
          <w:p w14:paraId="7AA8C882">
            <w:pPr>
              <w:ind w:firstLine="480"/>
              <w:rPr>
                <w:sz w:val="24"/>
                <w:szCs w:val="24"/>
              </w:rPr>
            </w:pPr>
            <w:r>
              <w:rPr>
                <w:sz w:val="24"/>
                <w:szCs w:val="24"/>
              </w:rPr>
              <w:t>（5）经过系统采样、测试，基本查明矿石的物理性质及加工性能，即矿石的体重、吸水率、抗压强度、坚固性、压碎指标、放射性等，评价水泥用灰岩矿体的物理特征。</w:t>
            </w:r>
          </w:p>
          <w:p w14:paraId="5B6BF381">
            <w:pPr>
              <w:ind w:firstLine="480"/>
              <w:rPr>
                <w:sz w:val="24"/>
                <w:szCs w:val="24"/>
              </w:rPr>
            </w:pPr>
            <w:r>
              <w:rPr>
                <w:sz w:val="24"/>
                <w:szCs w:val="24"/>
              </w:rPr>
              <w:t>（6）根据勘查工作所获得的地质矿产资料、成果及国内外资源市场情况，进行矿床开发经济意义的概略研究，为矿山开采设计提供依据。</w:t>
            </w:r>
          </w:p>
          <w:p w14:paraId="3D32266A">
            <w:pPr>
              <w:ind w:firstLine="480"/>
              <w:rPr>
                <w:sz w:val="24"/>
                <w:szCs w:val="24"/>
              </w:rPr>
            </w:pPr>
            <w:r>
              <w:rPr>
                <w:sz w:val="24"/>
                <w:szCs w:val="24"/>
              </w:rPr>
              <w:t>（7）通过勘查工程获取的成果，估算矿区水泥用石灰岩矿资源储量，提交《华润水泥（上思）有限公司水泥用灰岩矿整合区详查报告》，为矿山石灰岩矿开发利用提供地质依据。</w:t>
            </w:r>
          </w:p>
          <w:p w14:paraId="32D60CF7">
            <w:pPr>
              <w:widowControl/>
              <w:ind w:left="2" w:firstLine="444" w:firstLineChars="0"/>
              <w:jc w:val="left"/>
              <w:rPr>
                <w:kern w:val="0"/>
                <w:sz w:val="24"/>
                <w:szCs w:val="24"/>
              </w:rPr>
            </w:pPr>
            <w:r>
              <w:rPr>
                <w:kern w:val="0"/>
                <w:sz w:val="24"/>
                <w:szCs w:val="24"/>
              </w:rPr>
              <w:t>3、项目工作起止时间：2026年5月～2026年10月，工作周期6个月。</w:t>
            </w:r>
          </w:p>
          <w:p w14:paraId="5D2F9EA3">
            <w:pPr>
              <w:widowControl/>
              <w:ind w:left="2" w:firstLine="444" w:firstLineChars="0"/>
              <w:jc w:val="left"/>
              <w:rPr>
                <w:kern w:val="0"/>
                <w:sz w:val="24"/>
                <w:szCs w:val="24"/>
              </w:rPr>
            </w:pPr>
            <w:r>
              <w:rPr>
                <w:kern w:val="0"/>
                <w:sz w:val="24"/>
                <w:szCs w:val="24"/>
              </w:rPr>
              <w:t>4、设计的主要实物工作量为：1:2000地形测量3.0km</w:t>
            </w:r>
            <w:r>
              <w:rPr>
                <w:kern w:val="0"/>
                <w:sz w:val="24"/>
                <w:szCs w:val="24"/>
                <w:vertAlign w:val="superscript"/>
              </w:rPr>
              <w:t>2</w:t>
            </w:r>
            <w:r>
              <w:rPr>
                <w:kern w:val="0"/>
                <w:sz w:val="24"/>
                <w:szCs w:val="24"/>
              </w:rPr>
              <w:t>，1:2000地质测量1.36km</w:t>
            </w:r>
            <w:r>
              <w:rPr>
                <w:kern w:val="0"/>
                <w:sz w:val="24"/>
                <w:szCs w:val="24"/>
                <w:vertAlign w:val="superscript"/>
              </w:rPr>
              <w:t>2</w:t>
            </w:r>
            <w:r>
              <w:rPr>
                <w:kern w:val="0"/>
                <w:sz w:val="24"/>
                <w:szCs w:val="24"/>
              </w:rPr>
              <w:t>，</w:t>
            </w:r>
            <w:r>
              <w:rPr>
                <w:sz w:val="24"/>
                <w:szCs w:val="24"/>
              </w:rPr>
              <w:t>1:5000水文、工程、环境地质测量6.0km</w:t>
            </w:r>
            <w:r>
              <w:rPr>
                <w:sz w:val="24"/>
                <w:szCs w:val="24"/>
                <w:vertAlign w:val="superscript"/>
              </w:rPr>
              <w:t>2</w:t>
            </w:r>
            <w:r>
              <w:rPr>
                <w:sz w:val="24"/>
                <w:szCs w:val="24"/>
              </w:rPr>
              <w:t>，</w:t>
            </w:r>
            <w:r>
              <w:rPr>
                <w:kern w:val="0"/>
                <w:sz w:val="24"/>
                <w:szCs w:val="24"/>
              </w:rPr>
              <w:t>1:1000地质剖面测量5.3km，剥土2000m</w:t>
            </w:r>
            <w:r>
              <w:rPr>
                <w:kern w:val="0"/>
                <w:sz w:val="24"/>
                <w:szCs w:val="24"/>
                <w:vertAlign w:val="superscript"/>
              </w:rPr>
              <w:t>3</w:t>
            </w:r>
            <w:r>
              <w:rPr>
                <w:kern w:val="0"/>
                <w:sz w:val="24"/>
                <w:szCs w:val="24"/>
              </w:rPr>
              <w:t>，钻探2291m，</w:t>
            </w:r>
            <w:r>
              <w:rPr>
                <w:sz w:val="24"/>
                <w:szCs w:val="24"/>
              </w:rPr>
              <w:t>以及采样分析测试等</w:t>
            </w:r>
            <w:r>
              <w:rPr>
                <w:kern w:val="0"/>
                <w:sz w:val="24"/>
                <w:szCs w:val="24"/>
              </w:rPr>
              <w:t>。项目经费预算528.78万元。</w:t>
            </w:r>
          </w:p>
          <w:p w14:paraId="0670A9C8">
            <w:pPr>
              <w:widowControl/>
              <w:ind w:firstLine="459" w:firstLineChars="0"/>
              <w:jc w:val="left"/>
              <w:rPr>
                <w:kern w:val="0"/>
                <w:sz w:val="24"/>
                <w:szCs w:val="24"/>
              </w:rPr>
            </w:pPr>
            <w:r>
              <w:rPr>
                <w:kern w:val="0"/>
                <w:sz w:val="24"/>
                <w:szCs w:val="24"/>
              </w:rPr>
              <w:t>5、本区域处于一级构造羌塘-扬子-华南板块东南部，二级构造属扬子克拉通，三级构造属滇黔桂被动陆缘，四级构造属十万大山断陷盆地，出露的地层有</w:t>
            </w:r>
            <w:r>
              <w:rPr>
                <w:sz w:val="24"/>
                <w:szCs w:val="24"/>
              </w:rPr>
              <w:t>石炭系黄龙组（C</w:t>
            </w:r>
            <w:r>
              <w:rPr>
                <w:sz w:val="24"/>
                <w:szCs w:val="24"/>
                <w:vertAlign w:val="subscript"/>
              </w:rPr>
              <w:t>2</w:t>
            </w:r>
            <w:r>
              <w:rPr>
                <w:i/>
                <w:iCs/>
                <w:sz w:val="24"/>
                <w:szCs w:val="24"/>
              </w:rPr>
              <w:t>h</w:t>
            </w:r>
            <w:r>
              <w:rPr>
                <w:sz w:val="24"/>
                <w:szCs w:val="24"/>
              </w:rPr>
              <w:t>）和石炭系上统至二叠系下统马平组（C</w:t>
            </w:r>
            <w:r>
              <w:rPr>
                <w:sz w:val="24"/>
                <w:szCs w:val="24"/>
                <w:vertAlign w:val="subscript"/>
              </w:rPr>
              <w:t>2</w:t>
            </w:r>
            <w:r>
              <w:rPr>
                <w:sz w:val="24"/>
                <w:szCs w:val="24"/>
              </w:rPr>
              <w:t>P</w:t>
            </w:r>
            <w:r>
              <w:rPr>
                <w:sz w:val="24"/>
                <w:szCs w:val="24"/>
                <w:vertAlign w:val="subscript"/>
              </w:rPr>
              <w:t>1</w:t>
            </w:r>
            <w:r>
              <w:rPr>
                <w:i/>
                <w:iCs/>
                <w:sz w:val="24"/>
                <w:szCs w:val="24"/>
              </w:rPr>
              <w:t>m</w:t>
            </w:r>
            <w:r>
              <w:rPr>
                <w:sz w:val="24"/>
                <w:szCs w:val="24"/>
              </w:rPr>
              <w:t>）；二叠系中统的栖霞阶（P</w:t>
            </w:r>
            <w:r>
              <w:rPr>
                <w:sz w:val="24"/>
                <w:szCs w:val="24"/>
                <w:vertAlign w:val="subscript"/>
              </w:rPr>
              <w:t>2</w:t>
            </w:r>
            <w:r>
              <w:rPr>
                <w:i/>
                <w:iCs/>
                <w:sz w:val="24"/>
                <w:szCs w:val="24"/>
              </w:rPr>
              <w:t>q</w:t>
            </w:r>
            <w:r>
              <w:rPr>
                <w:sz w:val="24"/>
                <w:szCs w:val="24"/>
              </w:rPr>
              <w:t>）、茅口阶（P</w:t>
            </w:r>
            <w:r>
              <w:rPr>
                <w:sz w:val="24"/>
                <w:szCs w:val="24"/>
                <w:vertAlign w:val="subscript"/>
              </w:rPr>
              <w:t>2</w:t>
            </w:r>
            <w:r>
              <w:rPr>
                <w:i/>
                <w:iCs/>
                <w:sz w:val="24"/>
                <w:szCs w:val="24"/>
              </w:rPr>
              <w:t>m</w:t>
            </w:r>
            <w:r>
              <w:rPr>
                <w:sz w:val="24"/>
                <w:szCs w:val="24"/>
              </w:rPr>
              <w:t>）及未分上统（P</w:t>
            </w:r>
            <w:r>
              <w:rPr>
                <w:sz w:val="24"/>
                <w:szCs w:val="24"/>
                <w:vertAlign w:val="subscript"/>
              </w:rPr>
              <w:t>2</w:t>
            </w:r>
            <w:r>
              <w:rPr>
                <w:sz w:val="24"/>
                <w:szCs w:val="24"/>
              </w:rPr>
              <w:t>）；三叠系下统罗楼群下组（T</w:t>
            </w:r>
            <w:r>
              <w:rPr>
                <w:sz w:val="24"/>
                <w:szCs w:val="24"/>
                <w:vertAlign w:val="subscript"/>
              </w:rPr>
              <w:t>1</w:t>
            </w:r>
            <w:r>
              <w:rPr>
                <w:i/>
                <w:iCs/>
                <w:sz w:val="24"/>
                <w:szCs w:val="24"/>
              </w:rPr>
              <w:t>l</w:t>
            </w:r>
            <w:r>
              <w:rPr>
                <w:sz w:val="24"/>
                <w:szCs w:val="24"/>
                <w:vertAlign w:val="superscript"/>
              </w:rPr>
              <w:t>1</w:t>
            </w:r>
            <w:r>
              <w:rPr>
                <w:sz w:val="24"/>
                <w:szCs w:val="24"/>
              </w:rPr>
              <w:t>）；侏罗系下统的汪门组（J</w:t>
            </w:r>
            <w:r>
              <w:rPr>
                <w:sz w:val="24"/>
                <w:szCs w:val="24"/>
                <w:vertAlign w:val="subscript"/>
              </w:rPr>
              <w:t>1</w:t>
            </w:r>
            <w:r>
              <w:rPr>
                <w:i/>
                <w:iCs/>
                <w:sz w:val="24"/>
                <w:szCs w:val="24"/>
              </w:rPr>
              <w:t>w</w:t>
            </w:r>
            <w:r>
              <w:rPr>
                <w:sz w:val="24"/>
                <w:szCs w:val="24"/>
              </w:rPr>
              <w:t>）和百姓组下段（J</w:t>
            </w:r>
            <w:r>
              <w:rPr>
                <w:sz w:val="24"/>
                <w:szCs w:val="24"/>
                <w:vertAlign w:val="subscript"/>
              </w:rPr>
              <w:t>1</w:t>
            </w:r>
            <w:r>
              <w:rPr>
                <w:i/>
                <w:iCs/>
                <w:sz w:val="24"/>
                <w:szCs w:val="24"/>
              </w:rPr>
              <w:t>b</w:t>
            </w:r>
            <w:r>
              <w:rPr>
                <w:i/>
                <w:iCs/>
                <w:sz w:val="24"/>
                <w:szCs w:val="24"/>
                <w:vertAlign w:val="superscript"/>
              </w:rPr>
              <w:t>1</w:t>
            </w:r>
            <w:r>
              <w:rPr>
                <w:sz w:val="24"/>
                <w:szCs w:val="24"/>
              </w:rPr>
              <w:t>）、上段（J</w:t>
            </w:r>
            <w:r>
              <w:rPr>
                <w:sz w:val="24"/>
                <w:szCs w:val="24"/>
                <w:vertAlign w:val="subscript"/>
              </w:rPr>
              <w:t>1</w:t>
            </w:r>
            <w:r>
              <w:rPr>
                <w:i/>
                <w:iCs/>
                <w:sz w:val="24"/>
                <w:szCs w:val="24"/>
              </w:rPr>
              <w:t>b</w:t>
            </w:r>
            <w:r>
              <w:rPr>
                <w:i/>
                <w:iCs/>
                <w:sz w:val="24"/>
                <w:szCs w:val="24"/>
                <w:vertAlign w:val="superscript"/>
              </w:rPr>
              <w:t>2</w:t>
            </w:r>
            <w:r>
              <w:rPr>
                <w:sz w:val="24"/>
                <w:szCs w:val="24"/>
              </w:rPr>
              <w:t>）；白垩系下统新隆组（K</w:t>
            </w:r>
            <w:r>
              <w:rPr>
                <w:sz w:val="24"/>
                <w:szCs w:val="24"/>
                <w:vertAlign w:val="subscript"/>
              </w:rPr>
              <w:t>1</w:t>
            </w:r>
            <w:r>
              <w:rPr>
                <w:i/>
                <w:iCs/>
                <w:sz w:val="24"/>
                <w:szCs w:val="24"/>
              </w:rPr>
              <w:t>x</w:t>
            </w:r>
            <w:r>
              <w:rPr>
                <w:sz w:val="24"/>
                <w:szCs w:val="24"/>
              </w:rPr>
              <w:t>）；第三系邕宁群第一段（E</w:t>
            </w:r>
            <w:r>
              <w:rPr>
                <w:sz w:val="24"/>
                <w:szCs w:val="24"/>
                <w:vertAlign w:val="subscript"/>
              </w:rPr>
              <w:t>2</w:t>
            </w:r>
            <w:r>
              <w:rPr>
                <w:sz w:val="24"/>
                <w:szCs w:val="24"/>
              </w:rPr>
              <w:t>-N</w:t>
            </w:r>
            <w:r>
              <w:rPr>
                <w:i/>
                <w:iCs/>
                <w:sz w:val="24"/>
                <w:szCs w:val="24"/>
              </w:rPr>
              <w:t>y</w:t>
            </w:r>
            <w:r>
              <w:rPr>
                <w:i/>
                <w:iCs/>
                <w:sz w:val="24"/>
                <w:szCs w:val="24"/>
                <w:vertAlign w:val="superscript"/>
              </w:rPr>
              <w:t>1</w:t>
            </w:r>
            <w:r>
              <w:rPr>
                <w:sz w:val="24"/>
                <w:szCs w:val="24"/>
              </w:rPr>
              <w:t>）和第二段（E</w:t>
            </w:r>
            <w:r>
              <w:rPr>
                <w:sz w:val="24"/>
                <w:szCs w:val="24"/>
                <w:vertAlign w:val="subscript"/>
              </w:rPr>
              <w:t>2</w:t>
            </w:r>
            <w:r>
              <w:rPr>
                <w:sz w:val="24"/>
                <w:szCs w:val="24"/>
              </w:rPr>
              <w:t>-N</w:t>
            </w:r>
            <w:r>
              <w:rPr>
                <w:i/>
                <w:iCs/>
                <w:sz w:val="24"/>
                <w:szCs w:val="24"/>
              </w:rPr>
              <w:t>y</w:t>
            </w:r>
            <w:r>
              <w:rPr>
                <w:i/>
                <w:iCs/>
                <w:sz w:val="24"/>
                <w:szCs w:val="24"/>
                <w:vertAlign w:val="superscript"/>
              </w:rPr>
              <w:t>2</w:t>
            </w:r>
            <w:r>
              <w:rPr>
                <w:sz w:val="24"/>
                <w:szCs w:val="24"/>
              </w:rPr>
              <w:t>）；第四系全新统（Q</w:t>
            </w:r>
            <w:r>
              <w:rPr>
                <w:i/>
                <w:iCs/>
                <w:sz w:val="24"/>
                <w:szCs w:val="24"/>
              </w:rPr>
              <w:t>h</w:t>
            </w:r>
            <w:r>
              <w:rPr>
                <w:sz w:val="24"/>
                <w:szCs w:val="24"/>
              </w:rPr>
              <w:t>）</w:t>
            </w:r>
            <w:r>
              <w:rPr>
                <w:kern w:val="0"/>
                <w:sz w:val="24"/>
                <w:szCs w:val="24"/>
              </w:rPr>
              <w:t>。</w:t>
            </w:r>
          </w:p>
          <w:p w14:paraId="6917BA64">
            <w:pPr>
              <w:widowControl/>
              <w:ind w:firstLine="459" w:firstLineChars="0"/>
              <w:jc w:val="left"/>
              <w:rPr>
                <w:sz w:val="24"/>
                <w:szCs w:val="24"/>
              </w:rPr>
            </w:pPr>
            <w:r>
              <w:rPr>
                <w:kern w:val="0"/>
                <w:sz w:val="24"/>
                <w:szCs w:val="24"/>
              </w:rPr>
              <w:t>6、勘查区发现</w:t>
            </w:r>
            <w:r>
              <w:rPr>
                <w:sz w:val="24"/>
                <w:szCs w:val="24"/>
              </w:rPr>
              <w:t>有3个单矿层，分别为</w:t>
            </w:r>
            <w:r>
              <w:rPr>
                <w:rFonts w:hint="eastAsia" w:ascii="宋体" w:hAnsi="宋体" w:eastAsia="宋体" w:cs="宋体"/>
                <w:sz w:val="24"/>
                <w:szCs w:val="24"/>
              </w:rPr>
              <w:t>①</w:t>
            </w:r>
            <w:r>
              <w:rPr>
                <w:sz w:val="24"/>
                <w:szCs w:val="24"/>
              </w:rPr>
              <w:t>号矿层、</w:t>
            </w:r>
            <w:r>
              <w:rPr>
                <w:rFonts w:hint="eastAsia" w:ascii="宋体" w:hAnsi="宋体" w:eastAsia="宋体" w:cs="宋体"/>
                <w:sz w:val="24"/>
                <w:szCs w:val="24"/>
              </w:rPr>
              <w:t>②</w:t>
            </w:r>
            <w:r>
              <w:rPr>
                <w:sz w:val="24"/>
                <w:szCs w:val="24"/>
              </w:rPr>
              <w:t>号矿层、</w:t>
            </w:r>
            <w:r>
              <w:rPr>
                <w:rFonts w:hint="eastAsia" w:ascii="宋体" w:hAnsi="宋体" w:eastAsia="宋体" w:cs="宋体"/>
                <w:sz w:val="24"/>
                <w:szCs w:val="24"/>
              </w:rPr>
              <w:t>③</w:t>
            </w:r>
            <w:r>
              <w:rPr>
                <w:sz w:val="24"/>
                <w:szCs w:val="24"/>
              </w:rPr>
              <w:t>号矿层。</w:t>
            </w:r>
          </w:p>
          <w:p w14:paraId="55B1A83D">
            <w:pPr>
              <w:widowControl/>
              <w:ind w:firstLine="459" w:firstLineChars="0"/>
              <w:jc w:val="left"/>
              <w:rPr>
                <w:sz w:val="24"/>
                <w:szCs w:val="24"/>
              </w:rPr>
            </w:pPr>
            <w:r>
              <w:rPr>
                <w:rFonts w:hint="eastAsia" w:ascii="宋体" w:hAnsi="宋体" w:eastAsia="宋体" w:cs="宋体"/>
                <w:sz w:val="24"/>
                <w:szCs w:val="24"/>
              </w:rPr>
              <w:t>①</w:t>
            </w:r>
            <w:r>
              <w:rPr>
                <w:sz w:val="24"/>
                <w:szCs w:val="24"/>
              </w:rPr>
              <w:t>号矿层：赋存于P</w:t>
            </w:r>
            <w:r>
              <w:rPr>
                <w:sz w:val="24"/>
                <w:szCs w:val="24"/>
                <w:vertAlign w:val="subscript"/>
              </w:rPr>
              <w:t>2</w:t>
            </w:r>
            <w:r>
              <w:rPr>
                <w:i/>
                <w:iCs/>
                <w:sz w:val="24"/>
                <w:szCs w:val="24"/>
              </w:rPr>
              <w:t>m</w:t>
            </w:r>
            <w:r>
              <w:rPr>
                <w:sz w:val="24"/>
                <w:szCs w:val="24"/>
              </w:rPr>
              <w:t>地层中，由灰、灰白色厚层～块状灰岩组成。分布在矿区中～中北部，呈单斜层状产出。倾向318～358°，倾角30～26°。东西长约1000m，南北宽250～520m。该层在04线附近裂隙较发育，裂隙一般都被土黄色、红黄色粘土所充填，裂隙一般延伸0.3～10m不等，一般延伸4m。该矿层质量较好，没有发现夹石。</w:t>
            </w:r>
          </w:p>
          <w:p w14:paraId="010C85B0">
            <w:pPr>
              <w:ind w:firstLine="480"/>
              <w:rPr>
                <w:sz w:val="24"/>
                <w:szCs w:val="24"/>
              </w:rPr>
            </w:pPr>
            <w:r>
              <w:rPr>
                <w:rFonts w:hint="eastAsia" w:ascii="宋体" w:hAnsi="宋体" w:eastAsia="宋体" w:cs="宋体"/>
                <w:sz w:val="24"/>
                <w:szCs w:val="24"/>
              </w:rPr>
              <w:t>②</w:t>
            </w:r>
            <w:r>
              <w:rPr>
                <w:sz w:val="24"/>
                <w:szCs w:val="24"/>
              </w:rPr>
              <w:t>号矿层：赋存于P</w:t>
            </w:r>
            <w:r>
              <w:rPr>
                <w:sz w:val="24"/>
                <w:szCs w:val="24"/>
                <w:vertAlign w:val="subscript"/>
              </w:rPr>
              <w:t>2</w:t>
            </w:r>
            <w:r>
              <w:rPr>
                <w:i/>
                <w:iCs/>
                <w:sz w:val="24"/>
                <w:szCs w:val="24"/>
              </w:rPr>
              <w:t>q</w:t>
            </w:r>
            <w:r>
              <w:rPr>
                <w:sz w:val="24"/>
                <w:szCs w:val="24"/>
              </w:rPr>
              <w:t>地层中，由深灰、灰黑色薄～中层状夹含燧石结核灰岩和少量含硅质白云岩、云质灰岩组成。分布在矿区中部，呈单斜层状产出。倾向325～350°，倾角28～33°。矿层东西长约1400m，南北宽25～65m。本矿层发现1个夹石为M1夹石。</w:t>
            </w:r>
          </w:p>
          <w:p w14:paraId="2982E6A8">
            <w:pPr>
              <w:widowControl/>
              <w:ind w:firstLine="459" w:firstLineChars="0"/>
              <w:jc w:val="left"/>
              <w:rPr>
                <w:kern w:val="0"/>
                <w:sz w:val="24"/>
                <w:szCs w:val="24"/>
              </w:rPr>
            </w:pPr>
            <w:r>
              <w:rPr>
                <w:rFonts w:hint="eastAsia" w:ascii="宋体" w:hAnsi="宋体" w:eastAsia="宋体" w:cs="宋体"/>
                <w:sz w:val="24"/>
                <w:szCs w:val="24"/>
              </w:rPr>
              <w:t>③</w:t>
            </w:r>
            <w:r>
              <w:rPr>
                <w:sz w:val="24"/>
                <w:szCs w:val="24"/>
              </w:rPr>
              <w:t>号矿层：赋存于C</w:t>
            </w:r>
            <w:r>
              <w:rPr>
                <w:sz w:val="24"/>
                <w:szCs w:val="24"/>
                <w:vertAlign w:val="subscript"/>
              </w:rPr>
              <w:t>2</w:t>
            </w:r>
            <w:r>
              <w:rPr>
                <w:sz w:val="24"/>
                <w:szCs w:val="24"/>
              </w:rPr>
              <w:t>P</w:t>
            </w:r>
            <w:r>
              <w:rPr>
                <w:sz w:val="24"/>
                <w:szCs w:val="24"/>
                <w:vertAlign w:val="subscript"/>
              </w:rPr>
              <w:t>1</w:t>
            </w:r>
            <w:r>
              <w:rPr>
                <w:i/>
                <w:iCs/>
                <w:sz w:val="24"/>
                <w:szCs w:val="24"/>
              </w:rPr>
              <w:t>m</w:t>
            </w:r>
            <w:r>
              <w:rPr>
                <w:sz w:val="24"/>
                <w:szCs w:val="24"/>
              </w:rPr>
              <w:t>地层中，为浅灰、灰白、灰色厚层～块状灰岩。分布在矿区中～中南部，呈单斜层状产出。倾向320～350°，倾角42～34°，一般为340</w:t>
            </w:r>
            <w:r>
              <w:rPr>
                <w:rFonts w:hint="eastAsia" w:ascii="宋体" w:hAnsi="宋体" w:eastAsia="宋体" w:cs="宋体"/>
                <w:sz w:val="24"/>
                <w:szCs w:val="24"/>
              </w:rPr>
              <w:t>∠</w:t>
            </w:r>
            <w:r>
              <w:rPr>
                <w:sz w:val="24"/>
                <w:szCs w:val="24"/>
              </w:rPr>
              <w:t>38。矿层东西长约1300m，南北宽680m。本矿层发现3个夹石，分别为M2、M3、M4夹石。</w:t>
            </w:r>
          </w:p>
          <w:p w14:paraId="6B6D48EA">
            <w:pPr>
              <w:widowControl/>
              <w:ind w:firstLine="459" w:firstLineChars="0"/>
              <w:jc w:val="left"/>
              <w:rPr>
                <w:kern w:val="0"/>
                <w:sz w:val="24"/>
                <w:szCs w:val="24"/>
              </w:rPr>
            </w:pPr>
            <w:r>
              <w:rPr>
                <w:kern w:val="0"/>
                <w:sz w:val="24"/>
                <w:szCs w:val="24"/>
              </w:rPr>
              <w:t>总体上，开展详查工作依据较充分。</w:t>
            </w:r>
          </w:p>
          <w:p w14:paraId="11DF5E56">
            <w:pPr>
              <w:widowControl/>
              <w:ind w:firstLine="459" w:firstLineChars="0"/>
              <w:jc w:val="left"/>
              <w:rPr>
                <w:kern w:val="0"/>
                <w:sz w:val="24"/>
                <w:szCs w:val="24"/>
              </w:rPr>
            </w:pPr>
            <w:r>
              <w:rPr>
                <w:kern w:val="0"/>
                <w:sz w:val="24"/>
                <w:szCs w:val="24"/>
              </w:rPr>
              <w:t>7、工作部署：通过采用1:2000地形、地质测量，结合剥土、钻探工程，采集样品进行分析和测试，基本查明矿体的分布范围、数量、规模、产状、形态特征及其分布规律；基本查明矿体的岩性、矿物组成；基本查明矿体中的夹石、顶底板围岩的岩性、厚度、分布范围；基本查明矿体中节理裂隙和岩溶发育情况；基本查明矿石的结构、构造、矿物成分、主要物理性能和化学成分，划分矿石自然类型。通过1:5000专项水文地质、专项工程地质、环境地质测量，详细查明矿床开采技术条件。技术方法较恰当，具体实施可行，工作部署、工作安排合理，符合有关规范、规定的要求。</w:t>
            </w:r>
          </w:p>
          <w:p w14:paraId="4E398486">
            <w:pPr>
              <w:ind w:firstLine="480"/>
              <w:rPr>
                <w:kern w:val="0"/>
                <w:sz w:val="24"/>
                <w:szCs w:val="24"/>
              </w:rPr>
            </w:pPr>
            <w:r>
              <w:rPr>
                <w:kern w:val="0"/>
                <w:sz w:val="24"/>
                <w:szCs w:val="24"/>
              </w:rPr>
              <w:t>8、预期提交《</w:t>
            </w:r>
            <w:r>
              <w:rPr>
                <w:sz w:val="24"/>
                <w:szCs w:val="24"/>
              </w:rPr>
              <w:t>华润水泥（上思）有限公司水泥用灰岩矿整合区详查报告</w:t>
            </w:r>
            <w:r>
              <w:rPr>
                <w:kern w:val="0"/>
                <w:sz w:val="24"/>
                <w:szCs w:val="24"/>
              </w:rPr>
              <w:t>》及相关附图、附表及附件，提交水泥用灰岩矿总资源量（控制+推断）6286.04万m</w:t>
            </w:r>
            <w:r>
              <w:rPr>
                <w:kern w:val="0"/>
                <w:sz w:val="24"/>
                <w:szCs w:val="24"/>
                <w:vertAlign w:val="superscript"/>
              </w:rPr>
              <w:t>3</w:t>
            </w:r>
            <w:r>
              <w:rPr>
                <w:kern w:val="0"/>
                <w:sz w:val="24"/>
                <w:szCs w:val="24"/>
              </w:rPr>
              <w:t>（合1.697亿t），其中控制资源量4076.73万m</w:t>
            </w:r>
            <w:r>
              <w:rPr>
                <w:kern w:val="0"/>
                <w:sz w:val="24"/>
                <w:szCs w:val="24"/>
                <w:vertAlign w:val="superscript"/>
              </w:rPr>
              <w:t>3</w:t>
            </w:r>
            <w:r>
              <w:rPr>
                <w:kern w:val="0"/>
                <w:sz w:val="24"/>
                <w:szCs w:val="24"/>
              </w:rPr>
              <w:t>（合1.101亿t），占比64.39%；推断资源量2209.31万m</w:t>
            </w:r>
            <w:r>
              <w:rPr>
                <w:kern w:val="0"/>
                <w:sz w:val="24"/>
                <w:szCs w:val="24"/>
                <w:vertAlign w:val="superscript"/>
              </w:rPr>
              <w:t>3</w:t>
            </w:r>
            <w:r>
              <w:rPr>
                <w:kern w:val="0"/>
                <w:sz w:val="24"/>
                <w:szCs w:val="24"/>
              </w:rPr>
              <w:t>（合0.607亿t），占比35.61%，矿床规模为大型。</w:t>
            </w:r>
          </w:p>
          <w:p w14:paraId="7860DB3B">
            <w:pPr>
              <w:widowControl/>
              <w:ind w:firstLine="459" w:firstLineChars="0"/>
              <w:jc w:val="left"/>
              <w:rPr>
                <w:kern w:val="0"/>
                <w:sz w:val="24"/>
                <w:szCs w:val="24"/>
              </w:rPr>
            </w:pPr>
            <w:r>
              <w:rPr>
                <w:kern w:val="0"/>
                <w:sz w:val="24"/>
                <w:szCs w:val="24"/>
              </w:rPr>
              <w:t>9、项目经费预算采用《广西壮族自治区地质勘查项目预算标准》（桂财资环〔2021〕18号附件2）的预算标准，符合有关规定。经费预算较合理。</w:t>
            </w:r>
          </w:p>
          <w:p w14:paraId="4C4D362B">
            <w:pPr>
              <w:widowControl/>
              <w:ind w:firstLine="459" w:firstLineChars="0"/>
              <w:jc w:val="left"/>
              <w:rPr>
                <w:kern w:val="0"/>
                <w:sz w:val="24"/>
                <w:szCs w:val="24"/>
              </w:rPr>
            </w:pPr>
            <w:r>
              <w:rPr>
                <w:kern w:val="0"/>
                <w:sz w:val="24"/>
                <w:szCs w:val="24"/>
              </w:rPr>
              <w:t>10、项目工作组织管理及人员组成和分工明确。</w:t>
            </w:r>
          </w:p>
          <w:p w14:paraId="4A88F299">
            <w:pPr>
              <w:widowControl/>
              <w:ind w:left="2" w:firstLine="444" w:firstLineChars="0"/>
              <w:jc w:val="left"/>
              <w:rPr>
                <w:kern w:val="0"/>
                <w:sz w:val="24"/>
                <w:szCs w:val="24"/>
              </w:rPr>
            </w:pPr>
            <w:r>
              <w:rPr>
                <w:kern w:val="0"/>
                <w:sz w:val="24"/>
                <w:szCs w:val="24"/>
              </w:rPr>
              <w:t>11、实施方案内容较齐全，基本符合要求。</w:t>
            </w:r>
          </w:p>
          <w:p w14:paraId="39C55820">
            <w:pPr>
              <w:widowControl/>
              <w:adjustRightInd/>
              <w:snapToGrid/>
              <w:spacing w:line="240" w:lineRule="auto"/>
              <w:ind w:firstLine="480" w:firstLineChars="0"/>
              <w:jc w:val="left"/>
              <w:rPr>
                <w:b/>
                <w:bCs/>
                <w:kern w:val="0"/>
                <w:sz w:val="24"/>
                <w:szCs w:val="24"/>
              </w:rPr>
            </w:pPr>
            <w:r>
              <w:rPr>
                <w:b/>
                <w:bCs/>
                <w:kern w:val="0"/>
                <w:sz w:val="24"/>
                <w:szCs w:val="24"/>
              </w:rPr>
              <w:t>二、结论</w:t>
            </w:r>
          </w:p>
          <w:p w14:paraId="5DC0803A">
            <w:pPr>
              <w:widowControl/>
              <w:adjustRightInd/>
              <w:snapToGrid/>
              <w:spacing w:line="240" w:lineRule="auto"/>
              <w:ind w:firstLine="480" w:firstLineChars="0"/>
              <w:jc w:val="left"/>
              <w:rPr>
                <w:kern w:val="0"/>
                <w:sz w:val="24"/>
                <w:szCs w:val="24"/>
              </w:rPr>
            </w:pPr>
            <w:r>
              <w:rPr>
                <w:kern w:val="0"/>
                <w:sz w:val="24"/>
                <w:szCs w:val="24"/>
              </w:rPr>
              <w:t>综上所述，详查实施方案编写依据较充分，技术路线、方法恰当，工作部署、工作安排较合理，技术要求符合有关规范要求，主要实物工作量安排合理，经费概算编制符合有关要求。经初步审查，进一步修改完善后，同意提交进行评审。</w:t>
            </w:r>
          </w:p>
          <w:p w14:paraId="5D74975E">
            <w:pPr>
              <w:widowControl/>
              <w:adjustRightInd/>
              <w:snapToGrid/>
              <w:spacing w:line="240" w:lineRule="auto"/>
              <w:ind w:firstLine="480" w:firstLineChars="0"/>
              <w:jc w:val="left"/>
              <w:rPr>
                <w:kern w:val="0"/>
                <w:sz w:val="24"/>
                <w:szCs w:val="24"/>
              </w:rPr>
            </w:pPr>
          </w:p>
          <w:p w14:paraId="656F2E36">
            <w:pPr>
              <w:widowControl/>
              <w:adjustRightInd/>
              <w:snapToGrid/>
              <w:spacing w:line="240" w:lineRule="auto"/>
              <w:ind w:firstLine="480" w:firstLineChars="0"/>
              <w:jc w:val="left"/>
              <w:rPr>
                <w:kern w:val="0"/>
                <w:sz w:val="24"/>
                <w:szCs w:val="24"/>
              </w:rPr>
            </w:pPr>
          </w:p>
          <w:p w14:paraId="3C6C9D4F">
            <w:pPr>
              <w:widowControl/>
              <w:adjustRightInd/>
              <w:snapToGrid/>
              <w:spacing w:line="240" w:lineRule="auto"/>
              <w:ind w:firstLine="480" w:firstLineChars="0"/>
              <w:jc w:val="left"/>
              <w:rPr>
                <w:kern w:val="0"/>
                <w:sz w:val="24"/>
                <w:szCs w:val="24"/>
              </w:rPr>
            </w:pPr>
            <w:r>
              <w:rPr>
                <w:kern w:val="0"/>
                <w:sz w:val="24"/>
                <w:szCs w:val="24"/>
              </w:rPr>
              <w:t>初审专家组：覃伟</w:t>
            </w:r>
          </w:p>
          <w:p w14:paraId="21898C94">
            <w:pPr>
              <w:widowControl/>
              <w:adjustRightInd/>
              <w:snapToGrid/>
              <w:spacing w:line="240" w:lineRule="auto"/>
              <w:ind w:firstLine="480" w:firstLineChars="0"/>
              <w:jc w:val="left"/>
              <w:rPr>
                <w:rFonts w:hint="eastAsia"/>
                <w:kern w:val="0"/>
                <w:sz w:val="24"/>
                <w:szCs w:val="24"/>
              </w:rPr>
            </w:pPr>
          </w:p>
          <w:p w14:paraId="2C32637E">
            <w:pPr>
              <w:widowControl/>
              <w:adjustRightInd/>
              <w:snapToGrid/>
              <w:spacing w:line="240" w:lineRule="auto"/>
              <w:ind w:firstLine="480" w:firstLineChars="0"/>
              <w:jc w:val="left"/>
              <w:rPr>
                <w:kern w:val="0"/>
                <w:sz w:val="24"/>
                <w:szCs w:val="24"/>
              </w:rPr>
            </w:pPr>
          </w:p>
          <w:p w14:paraId="5E29A9D8">
            <w:pPr>
              <w:widowControl/>
              <w:adjustRightInd/>
              <w:snapToGrid/>
              <w:spacing w:line="240" w:lineRule="auto"/>
              <w:ind w:firstLine="3360" w:firstLineChars="1400"/>
              <w:jc w:val="left"/>
              <w:rPr>
                <w:kern w:val="0"/>
                <w:sz w:val="24"/>
                <w:szCs w:val="24"/>
              </w:rPr>
            </w:pPr>
            <w:r>
              <w:rPr>
                <w:kern w:val="0"/>
                <w:sz w:val="24"/>
                <w:szCs w:val="24"/>
              </w:rPr>
              <w:t>初审单位（盖章）：广西国土资源规划设计集团有限公司</w:t>
            </w:r>
          </w:p>
          <w:p w14:paraId="5BFF4971">
            <w:pPr>
              <w:widowControl/>
              <w:adjustRightInd/>
              <w:snapToGrid/>
              <w:spacing w:line="240" w:lineRule="auto"/>
              <w:ind w:firstLine="4519" w:firstLineChars="1883"/>
              <w:jc w:val="left"/>
              <w:rPr>
                <w:kern w:val="0"/>
                <w:sz w:val="24"/>
                <w:szCs w:val="24"/>
              </w:rPr>
            </w:pPr>
            <w:r>
              <w:rPr>
                <w:kern w:val="0"/>
                <w:sz w:val="24"/>
                <w:szCs w:val="24"/>
              </w:rPr>
              <w:t>日  期：2026年04月26日</w:t>
            </w:r>
          </w:p>
          <w:p w14:paraId="2DA409EE">
            <w:pPr>
              <w:widowControl/>
              <w:adjustRightInd/>
              <w:snapToGrid/>
              <w:spacing w:line="240" w:lineRule="auto"/>
              <w:ind w:firstLine="5705" w:firstLineChars="0"/>
              <w:jc w:val="left"/>
              <w:rPr>
                <w:kern w:val="0"/>
                <w:sz w:val="24"/>
                <w:szCs w:val="24"/>
              </w:rPr>
            </w:pPr>
          </w:p>
          <w:p w14:paraId="792B0FAA">
            <w:pPr>
              <w:widowControl/>
              <w:adjustRightInd/>
              <w:snapToGrid/>
              <w:spacing w:line="240" w:lineRule="auto"/>
              <w:ind w:firstLine="0" w:firstLineChars="0"/>
              <w:jc w:val="left"/>
              <w:rPr>
                <w:rFonts w:hint="eastAsia"/>
                <w:b/>
                <w:bCs/>
                <w:kern w:val="0"/>
                <w:sz w:val="30"/>
                <w:szCs w:val="30"/>
              </w:rPr>
            </w:pPr>
          </w:p>
          <w:p w14:paraId="1AB06D53">
            <w:pPr>
              <w:widowControl/>
              <w:adjustRightInd/>
              <w:snapToGrid/>
              <w:spacing w:line="240" w:lineRule="auto"/>
              <w:ind w:firstLine="0" w:firstLineChars="0"/>
              <w:jc w:val="left"/>
              <w:rPr>
                <w:rFonts w:hint="eastAsia"/>
                <w:b/>
                <w:bCs/>
                <w:kern w:val="0"/>
                <w:sz w:val="30"/>
                <w:szCs w:val="30"/>
              </w:rPr>
            </w:pPr>
          </w:p>
          <w:p w14:paraId="489398CB">
            <w:pPr>
              <w:widowControl/>
              <w:adjustRightInd/>
              <w:snapToGrid/>
              <w:spacing w:line="240" w:lineRule="auto"/>
              <w:ind w:firstLine="0" w:firstLineChars="0"/>
              <w:jc w:val="left"/>
              <w:rPr>
                <w:b/>
                <w:bCs/>
                <w:kern w:val="0"/>
                <w:sz w:val="30"/>
                <w:szCs w:val="30"/>
              </w:rPr>
            </w:pPr>
          </w:p>
        </w:tc>
      </w:tr>
    </w:tbl>
    <w:p w14:paraId="2FF9E6CB">
      <w:pPr>
        <w:ind w:firstLine="198" w:firstLineChars="82"/>
        <w:rPr>
          <w:rFonts w:eastAsiaTheme="minorEastAsia"/>
          <w:b/>
          <w:bCs/>
          <w:kern w:val="0"/>
          <w:sz w:val="24"/>
        </w:rPr>
      </w:pPr>
    </w:p>
    <w:p w14:paraId="6D2B626C">
      <w:pPr>
        <w:pStyle w:val="4"/>
      </w:pPr>
      <w:bookmarkStart w:id="542" w:name="_Toc7282"/>
      <w:r>
        <w:t>附件6：</w:t>
      </w:r>
      <w:r>
        <w:rPr>
          <w:rFonts w:hint="eastAsia"/>
        </w:rPr>
        <w:t>原地质报告评审意见书及备案证明</w:t>
      </w:r>
      <w:bookmarkEnd w:id="542"/>
    </w:p>
    <w:p w14:paraId="27851FB8">
      <w:pPr>
        <w:pStyle w:val="5"/>
        <w:rPr>
          <w:lang w:val="en-US"/>
        </w:rPr>
      </w:pPr>
      <w:r>
        <w:rPr>
          <w:lang w:val="en-US"/>
        </w:rPr>
        <w:t>（1）《广西上思县思阳镇龙大山矿区北矿段水泥用灰岩矿详查报告》</w:t>
      </w:r>
    </w:p>
    <w:p w14:paraId="7F5C6A71">
      <w:pPr>
        <w:spacing w:line="240" w:lineRule="auto"/>
        <w:ind w:firstLine="0" w:firstLineChars="0"/>
        <w:jc w:val="center"/>
      </w:pPr>
      <w:r>
        <w:drawing>
          <wp:inline distT="0" distB="0" distL="114300" distR="114300">
            <wp:extent cx="5629275" cy="8011795"/>
            <wp:effectExtent l="0" t="0" r="0" b="8255"/>
            <wp:docPr id="39" name="图片 39" descr="（北矿段）矿石储量评估专家意见_页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北矿段）矿石储量评估专家意见_页面_01"/>
                    <pic:cNvPicPr>
                      <a:picLocks noChangeAspect="1"/>
                    </pic:cNvPicPr>
                  </pic:nvPicPr>
                  <pic:blipFill>
                    <a:blip r:embed="rId34"/>
                    <a:srcRect l="6358" t="7929" r="7468" b="5325"/>
                    <a:stretch>
                      <a:fillRect/>
                    </a:stretch>
                  </pic:blipFill>
                  <pic:spPr>
                    <a:xfrm>
                      <a:off x="0" y="0"/>
                      <a:ext cx="5632116" cy="8016197"/>
                    </a:xfrm>
                    <a:prstGeom prst="rect">
                      <a:avLst/>
                    </a:prstGeom>
                    <a:ln>
                      <a:noFill/>
                    </a:ln>
                  </pic:spPr>
                </pic:pic>
              </a:graphicData>
            </a:graphic>
          </wp:inline>
        </w:drawing>
      </w:r>
      <w:r>
        <w:drawing>
          <wp:inline distT="0" distB="0" distL="114300" distR="114300">
            <wp:extent cx="6086475" cy="8808085"/>
            <wp:effectExtent l="0" t="0" r="0" b="0"/>
            <wp:docPr id="38" name="图片 38" descr="（北矿段）矿石储量评估专家意见_页面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北矿段）矿石储量评估专家意见_页面_02"/>
                    <pic:cNvPicPr>
                      <a:picLocks noChangeAspect="1"/>
                    </pic:cNvPicPr>
                  </pic:nvPicPr>
                  <pic:blipFill>
                    <a:blip r:embed="rId35"/>
                    <a:srcRect l="6708" t="4527"/>
                    <a:stretch>
                      <a:fillRect/>
                    </a:stretch>
                  </pic:blipFill>
                  <pic:spPr>
                    <a:xfrm>
                      <a:off x="0" y="0"/>
                      <a:ext cx="6086950" cy="8809151"/>
                    </a:xfrm>
                    <a:prstGeom prst="rect">
                      <a:avLst/>
                    </a:prstGeom>
                    <a:ln>
                      <a:noFill/>
                    </a:ln>
                  </pic:spPr>
                </pic:pic>
              </a:graphicData>
            </a:graphic>
          </wp:inline>
        </w:drawing>
      </w:r>
      <w:r>
        <w:drawing>
          <wp:inline distT="0" distB="0" distL="114300" distR="114300">
            <wp:extent cx="6096000" cy="8846185"/>
            <wp:effectExtent l="0" t="0" r="0" b="0"/>
            <wp:docPr id="37" name="图片 37" descr="（北矿段）矿石储量评估专家意见_页面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北矿段）矿石储量评估专家意见_页面_03"/>
                    <pic:cNvPicPr>
                      <a:picLocks noChangeAspect="1"/>
                    </pic:cNvPicPr>
                  </pic:nvPicPr>
                  <pic:blipFill>
                    <a:blip r:embed="rId36"/>
                    <a:srcRect l="8942" t="6558"/>
                    <a:stretch>
                      <a:fillRect/>
                    </a:stretch>
                  </pic:blipFill>
                  <pic:spPr>
                    <a:xfrm>
                      <a:off x="0" y="0"/>
                      <a:ext cx="6096476" cy="8847262"/>
                    </a:xfrm>
                    <a:prstGeom prst="rect">
                      <a:avLst/>
                    </a:prstGeom>
                    <a:ln>
                      <a:noFill/>
                    </a:ln>
                  </pic:spPr>
                </pic:pic>
              </a:graphicData>
            </a:graphic>
          </wp:inline>
        </w:drawing>
      </w:r>
      <w:r>
        <w:drawing>
          <wp:inline distT="0" distB="0" distL="114300" distR="114300">
            <wp:extent cx="6105525" cy="8820785"/>
            <wp:effectExtent l="0" t="0" r="0" b="0"/>
            <wp:docPr id="36" name="图片 36" descr="（北矿段）矿石储量评估专家意见_页面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北矿段）矿石储量评估专家意见_页面_04"/>
                    <pic:cNvPicPr>
                      <a:picLocks noChangeAspect="1"/>
                    </pic:cNvPicPr>
                  </pic:nvPicPr>
                  <pic:blipFill>
                    <a:blip r:embed="rId37"/>
                    <a:srcRect l="9107" t="7143"/>
                    <a:stretch>
                      <a:fillRect/>
                    </a:stretch>
                  </pic:blipFill>
                  <pic:spPr>
                    <a:xfrm>
                      <a:off x="0" y="0"/>
                      <a:ext cx="6106002" cy="8821609"/>
                    </a:xfrm>
                    <a:prstGeom prst="rect">
                      <a:avLst/>
                    </a:prstGeom>
                    <a:ln>
                      <a:noFill/>
                    </a:ln>
                  </pic:spPr>
                </pic:pic>
              </a:graphicData>
            </a:graphic>
          </wp:inline>
        </w:drawing>
      </w:r>
      <w:r>
        <w:drawing>
          <wp:inline distT="0" distB="0" distL="114300" distR="114300">
            <wp:extent cx="6153150" cy="8778875"/>
            <wp:effectExtent l="0" t="0" r="0" b="3175"/>
            <wp:docPr id="35" name="图片 35" descr="（北矿段）矿石储量评估专家意见_页面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北矿段）矿石储量评估专家意见_页面_05"/>
                    <pic:cNvPicPr>
                      <a:picLocks noChangeAspect="1"/>
                    </pic:cNvPicPr>
                  </pic:nvPicPr>
                  <pic:blipFill>
                    <a:blip r:embed="rId38"/>
                    <a:srcRect l="7617" t="6791"/>
                    <a:stretch>
                      <a:fillRect/>
                    </a:stretch>
                  </pic:blipFill>
                  <pic:spPr>
                    <a:xfrm>
                      <a:off x="0" y="0"/>
                      <a:ext cx="6153630" cy="8780088"/>
                    </a:xfrm>
                    <a:prstGeom prst="rect">
                      <a:avLst/>
                    </a:prstGeom>
                    <a:ln>
                      <a:noFill/>
                    </a:ln>
                  </pic:spPr>
                </pic:pic>
              </a:graphicData>
            </a:graphic>
          </wp:inline>
        </w:drawing>
      </w:r>
      <w:r>
        <w:drawing>
          <wp:inline distT="0" distB="0" distL="114300" distR="114300">
            <wp:extent cx="6162675" cy="8778875"/>
            <wp:effectExtent l="0" t="0" r="0" b="3175"/>
            <wp:docPr id="34" name="图片 34" descr="（北矿段）矿石储量评估专家意见_页面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北矿段）矿石储量评估专家意见_页面_06"/>
                    <pic:cNvPicPr>
                      <a:picLocks noChangeAspect="1"/>
                    </pic:cNvPicPr>
                  </pic:nvPicPr>
                  <pic:blipFill>
                    <a:blip r:embed="rId39"/>
                    <a:srcRect l="7120" t="6441"/>
                    <a:stretch>
                      <a:fillRect/>
                    </a:stretch>
                  </pic:blipFill>
                  <pic:spPr>
                    <a:xfrm>
                      <a:off x="0" y="0"/>
                      <a:ext cx="6163156" cy="8779609"/>
                    </a:xfrm>
                    <a:prstGeom prst="rect">
                      <a:avLst/>
                    </a:prstGeom>
                    <a:ln>
                      <a:noFill/>
                    </a:ln>
                  </pic:spPr>
                </pic:pic>
              </a:graphicData>
            </a:graphic>
          </wp:inline>
        </w:drawing>
      </w:r>
      <w:r>
        <w:drawing>
          <wp:inline distT="0" distB="0" distL="114300" distR="114300">
            <wp:extent cx="6038850" cy="8823325"/>
            <wp:effectExtent l="0" t="0" r="0" b="0"/>
            <wp:docPr id="33" name="图片 33" descr="（北矿段）矿石储量评估专家意见_页面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北矿段）矿石储量评估专家意见_页面_07"/>
                    <pic:cNvPicPr>
                      <a:picLocks noChangeAspect="1"/>
                    </pic:cNvPicPr>
                  </pic:nvPicPr>
                  <pic:blipFill>
                    <a:blip r:embed="rId40"/>
                    <a:srcRect l="9107" t="6089"/>
                    <a:stretch>
                      <a:fillRect/>
                    </a:stretch>
                  </pic:blipFill>
                  <pic:spPr>
                    <a:xfrm>
                      <a:off x="0" y="0"/>
                      <a:ext cx="6039321" cy="8824298"/>
                    </a:xfrm>
                    <a:prstGeom prst="rect">
                      <a:avLst/>
                    </a:prstGeom>
                    <a:ln>
                      <a:noFill/>
                    </a:ln>
                  </pic:spPr>
                </pic:pic>
              </a:graphicData>
            </a:graphic>
          </wp:inline>
        </w:drawing>
      </w:r>
      <w:r>
        <w:drawing>
          <wp:inline distT="0" distB="0" distL="114300" distR="114300">
            <wp:extent cx="6246495" cy="8715375"/>
            <wp:effectExtent l="0" t="0" r="1905" b="0"/>
            <wp:docPr id="32" name="图片 32" descr="（北矿段）矿石储量评估专家意见_页面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北矿段）矿石储量评估专家意见_页面_08"/>
                    <pic:cNvPicPr>
                      <a:picLocks noChangeAspect="1"/>
                    </pic:cNvPicPr>
                  </pic:nvPicPr>
                  <pic:blipFill>
                    <a:blip r:embed="rId41"/>
                    <a:srcRect l="8611" t="5622" b="4215"/>
                    <a:stretch>
                      <a:fillRect/>
                    </a:stretch>
                  </pic:blipFill>
                  <pic:spPr>
                    <a:xfrm>
                      <a:off x="0" y="0"/>
                      <a:ext cx="6247104" cy="8716055"/>
                    </a:xfrm>
                    <a:prstGeom prst="rect">
                      <a:avLst/>
                    </a:prstGeom>
                    <a:ln>
                      <a:noFill/>
                    </a:ln>
                  </pic:spPr>
                </pic:pic>
              </a:graphicData>
            </a:graphic>
          </wp:inline>
        </w:drawing>
      </w:r>
      <w:r>
        <w:drawing>
          <wp:inline distT="0" distB="0" distL="114300" distR="114300">
            <wp:extent cx="6210300" cy="8646795"/>
            <wp:effectExtent l="0" t="0" r="0" b="1905"/>
            <wp:docPr id="31" name="图片 31" descr="（北矿段）矿石储量评估专家意见_页面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北矿段）矿石储量评估专家意见_页面_09"/>
                    <pic:cNvPicPr>
                      <a:picLocks noChangeAspect="1"/>
                    </pic:cNvPicPr>
                  </pic:nvPicPr>
                  <pic:blipFill>
                    <a:blip r:embed="rId42"/>
                    <a:srcRect l="7286" t="5972" r="1968" b="4683"/>
                    <a:stretch>
                      <a:fillRect/>
                    </a:stretch>
                  </pic:blipFill>
                  <pic:spPr>
                    <a:xfrm>
                      <a:off x="0" y="0"/>
                      <a:ext cx="6210785" cy="8647498"/>
                    </a:xfrm>
                    <a:prstGeom prst="rect">
                      <a:avLst/>
                    </a:prstGeom>
                    <a:ln>
                      <a:noFill/>
                    </a:ln>
                  </pic:spPr>
                </pic:pic>
              </a:graphicData>
            </a:graphic>
          </wp:inline>
        </w:drawing>
      </w:r>
      <w:r>
        <w:drawing>
          <wp:inline distT="0" distB="0" distL="114300" distR="114300">
            <wp:extent cx="6124575" cy="8509000"/>
            <wp:effectExtent l="0" t="0" r="0" b="6350"/>
            <wp:docPr id="30" name="图片 30" descr="（北矿段）矿石储量评估专家意见_页面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北矿段）矿石储量评估专家意见_页面_10"/>
                    <pic:cNvPicPr>
                      <a:picLocks noChangeAspect="1"/>
                    </pic:cNvPicPr>
                  </pic:nvPicPr>
                  <pic:blipFill>
                    <a:blip r:embed="rId43"/>
                    <a:srcRect l="8942" t="6441" b="4099"/>
                    <a:stretch>
                      <a:fillRect/>
                    </a:stretch>
                  </pic:blipFill>
                  <pic:spPr>
                    <a:xfrm>
                      <a:off x="0" y="0"/>
                      <a:ext cx="6125053" cy="8510016"/>
                    </a:xfrm>
                    <a:prstGeom prst="rect">
                      <a:avLst/>
                    </a:prstGeom>
                    <a:ln>
                      <a:noFill/>
                    </a:ln>
                  </pic:spPr>
                </pic:pic>
              </a:graphicData>
            </a:graphic>
          </wp:inline>
        </w:drawing>
      </w:r>
      <w:r>
        <w:drawing>
          <wp:inline distT="0" distB="0" distL="114300" distR="114300">
            <wp:extent cx="5991225" cy="8697595"/>
            <wp:effectExtent l="0" t="0" r="0" b="8255"/>
            <wp:docPr id="29" name="图片 29" descr="（北矿段）矿石储量评估专家意见_页面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北矿段）矿石储量评估专家意见_页面_11"/>
                    <pic:cNvPicPr>
                      <a:picLocks noChangeAspect="1"/>
                    </pic:cNvPicPr>
                  </pic:nvPicPr>
                  <pic:blipFill>
                    <a:blip r:embed="rId44"/>
                    <a:srcRect l="7948" t="5621" r="4452" b="4450"/>
                    <a:stretch>
                      <a:fillRect/>
                    </a:stretch>
                  </pic:blipFill>
                  <pic:spPr>
                    <a:xfrm>
                      <a:off x="0" y="0"/>
                      <a:ext cx="5991693" cy="8698715"/>
                    </a:xfrm>
                    <a:prstGeom prst="rect">
                      <a:avLst/>
                    </a:prstGeom>
                    <a:ln>
                      <a:noFill/>
                    </a:ln>
                  </pic:spPr>
                </pic:pic>
              </a:graphicData>
            </a:graphic>
          </wp:inline>
        </w:drawing>
      </w:r>
      <w:r>
        <w:drawing>
          <wp:inline distT="0" distB="0" distL="114300" distR="114300">
            <wp:extent cx="5911850" cy="7410450"/>
            <wp:effectExtent l="0" t="0" r="0" b="0"/>
            <wp:docPr id="25" name="图片 25" descr="（北矿段）矿石储量评估专家意见_页面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北矿段）矿石储量评估专家意见_页面_12"/>
                    <pic:cNvPicPr>
                      <a:picLocks noChangeAspect="1"/>
                    </pic:cNvPicPr>
                  </pic:nvPicPr>
                  <pic:blipFill>
                    <a:blip r:embed="rId45"/>
                    <a:srcRect l="8445" t="9837" b="9016"/>
                    <a:stretch>
                      <a:fillRect/>
                    </a:stretch>
                  </pic:blipFill>
                  <pic:spPr>
                    <a:xfrm>
                      <a:off x="0" y="0"/>
                      <a:ext cx="5912633" cy="7411029"/>
                    </a:xfrm>
                    <a:prstGeom prst="rect">
                      <a:avLst/>
                    </a:prstGeom>
                    <a:ln>
                      <a:noFill/>
                    </a:ln>
                  </pic:spPr>
                </pic:pic>
              </a:graphicData>
            </a:graphic>
          </wp:inline>
        </w:drawing>
      </w:r>
      <w:r>
        <w:drawing>
          <wp:inline distT="0" distB="0" distL="114300" distR="114300">
            <wp:extent cx="5801360" cy="7524750"/>
            <wp:effectExtent l="0" t="0" r="8890" b="0"/>
            <wp:docPr id="16" name="图片 16" descr="（北矿段）矿石储量评估专家意见_页面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北矿段）矿石储量评估专家意见_页面_13"/>
                    <pic:cNvPicPr>
                      <a:picLocks noChangeAspect="1"/>
                    </pic:cNvPicPr>
                  </pic:nvPicPr>
                  <pic:blipFill>
                    <a:blip r:embed="rId46"/>
                    <a:srcRect l="4140" t="6441" r="3294" b="8665"/>
                    <a:stretch>
                      <a:fillRect/>
                    </a:stretch>
                  </pic:blipFill>
                  <pic:spPr>
                    <a:xfrm>
                      <a:off x="0" y="0"/>
                      <a:ext cx="5802297" cy="7525338"/>
                    </a:xfrm>
                    <a:prstGeom prst="rect">
                      <a:avLst/>
                    </a:prstGeom>
                    <a:ln>
                      <a:noFill/>
                    </a:ln>
                  </pic:spPr>
                </pic:pic>
              </a:graphicData>
            </a:graphic>
          </wp:inline>
        </w:drawing>
      </w:r>
      <w:r>
        <w:drawing>
          <wp:inline distT="0" distB="0" distL="114300" distR="114300">
            <wp:extent cx="6072505" cy="8391525"/>
            <wp:effectExtent l="0" t="0" r="4445" b="0"/>
            <wp:docPr id="15" name="图片 15" descr="（北矿段）矿石储量评估专家意见_页面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北矿段）矿石储量评估专家意见_页面_14"/>
                    <pic:cNvPicPr>
                      <a:picLocks noChangeAspect="1"/>
                    </pic:cNvPicPr>
                  </pic:nvPicPr>
                  <pic:blipFill>
                    <a:blip r:embed="rId47"/>
                    <a:srcRect l="6127" t="3864" r="2797" b="7143"/>
                    <a:stretch>
                      <a:fillRect/>
                    </a:stretch>
                  </pic:blipFill>
                  <pic:spPr>
                    <a:xfrm>
                      <a:off x="0" y="0"/>
                      <a:ext cx="6073288" cy="8392180"/>
                    </a:xfrm>
                    <a:prstGeom prst="rect">
                      <a:avLst/>
                    </a:prstGeom>
                    <a:ln>
                      <a:noFill/>
                    </a:ln>
                  </pic:spPr>
                </pic:pic>
              </a:graphicData>
            </a:graphic>
          </wp:inline>
        </w:drawing>
      </w:r>
    </w:p>
    <w:p w14:paraId="492305D3">
      <w:pPr>
        <w:spacing w:line="240" w:lineRule="auto"/>
        <w:ind w:firstLine="0" w:firstLineChars="0"/>
        <w:jc w:val="center"/>
      </w:pPr>
      <w:r>
        <w:drawing>
          <wp:inline distT="0" distB="0" distL="114300" distR="114300">
            <wp:extent cx="6237605" cy="8205470"/>
            <wp:effectExtent l="0" t="0" r="10795" b="5080"/>
            <wp:docPr id="9" name="图片 9" descr="（北矿段）储量备案证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北矿段）储量备案证明"/>
                    <pic:cNvPicPr>
                      <a:picLocks noChangeAspect="1"/>
                    </pic:cNvPicPr>
                  </pic:nvPicPr>
                  <pic:blipFill>
                    <a:blip r:embed="rId48"/>
                    <a:srcRect l="6789" t="6924" b="6370"/>
                    <a:stretch>
                      <a:fillRect/>
                    </a:stretch>
                  </pic:blipFill>
                  <pic:spPr>
                    <a:xfrm>
                      <a:off x="0" y="0"/>
                      <a:ext cx="6237605" cy="8205470"/>
                    </a:xfrm>
                    <a:prstGeom prst="rect">
                      <a:avLst/>
                    </a:prstGeom>
                  </pic:spPr>
                </pic:pic>
              </a:graphicData>
            </a:graphic>
          </wp:inline>
        </w:drawing>
      </w:r>
    </w:p>
    <w:p w14:paraId="37E8C9BB">
      <w:pPr>
        <w:spacing w:line="240" w:lineRule="auto"/>
        <w:ind w:firstLine="0" w:firstLineChars="0"/>
        <w:jc w:val="center"/>
      </w:pPr>
      <w:r>
        <w:br w:type="page"/>
      </w:r>
    </w:p>
    <w:p w14:paraId="6D123D28">
      <w:pPr>
        <w:pStyle w:val="5"/>
        <w:rPr>
          <w:lang w:val="en-US"/>
        </w:rPr>
      </w:pPr>
      <w:r>
        <w:rPr>
          <w:lang w:val="en-US"/>
        </w:rPr>
        <w:t>（2）《广西上思县思阳镇龙大山矿区南矿段水泥用灰岩矿资源/储量核实报告》</w:t>
      </w:r>
    </w:p>
    <w:p w14:paraId="683E340F">
      <w:pPr>
        <w:spacing w:line="240" w:lineRule="auto"/>
        <w:ind w:firstLine="0" w:firstLineChars="0"/>
        <w:jc w:val="center"/>
      </w:pPr>
      <w:r>
        <w:drawing>
          <wp:inline distT="0" distB="0" distL="114300" distR="114300">
            <wp:extent cx="6075680" cy="8074660"/>
            <wp:effectExtent l="0" t="0" r="1270" b="2540"/>
            <wp:docPr id="63" name="图片 63" descr="(南矿段）储量评审意见及备案证明_页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南矿段）储量评审意见及备案证明_页面_01"/>
                    <pic:cNvPicPr>
                      <a:picLocks noChangeAspect="1"/>
                    </pic:cNvPicPr>
                  </pic:nvPicPr>
                  <pic:blipFill>
                    <a:blip r:embed="rId49"/>
                    <a:srcRect l="17055" t="11199" b="8580"/>
                    <a:stretch>
                      <a:fillRect/>
                    </a:stretch>
                  </pic:blipFill>
                  <pic:spPr>
                    <a:xfrm>
                      <a:off x="0" y="0"/>
                      <a:ext cx="6075680" cy="8074660"/>
                    </a:xfrm>
                    <a:prstGeom prst="rect">
                      <a:avLst/>
                    </a:prstGeom>
                  </pic:spPr>
                </pic:pic>
              </a:graphicData>
            </a:graphic>
          </wp:inline>
        </w:drawing>
      </w:r>
      <w:r>
        <w:drawing>
          <wp:inline distT="0" distB="0" distL="114300" distR="114300">
            <wp:extent cx="6167120" cy="8299450"/>
            <wp:effectExtent l="0" t="0" r="5080" b="6350"/>
            <wp:docPr id="62" name="图片 62" descr="(南矿段）储量评审意见及备案证明_页面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南矿段）储量评审意见及备案证明_页面_02"/>
                    <pic:cNvPicPr>
                      <a:picLocks noChangeAspect="1"/>
                    </pic:cNvPicPr>
                  </pic:nvPicPr>
                  <pic:blipFill>
                    <a:blip r:embed="rId50"/>
                    <a:srcRect l="13909" t="6523" r="1314" b="10460"/>
                    <a:stretch>
                      <a:fillRect/>
                    </a:stretch>
                  </pic:blipFill>
                  <pic:spPr>
                    <a:xfrm>
                      <a:off x="0" y="0"/>
                      <a:ext cx="6167120" cy="8299450"/>
                    </a:xfrm>
                    <a:prstGeom prst="rect">
                      <a:avLst/>
                    </a:prstGeom>
                  </pic:spPr>
                </pic:pic>
              </a:graphicData>
            </a:graphic>
          </wp:inline>
        </w:drawing>
      </w:r>
      <w:r>
        <w:drawing>
          <wp:inline distT="0" distB="0" distL="114300" distR="114300">
            <wp:extent cx="5774690" cy="8881110"/>
            <wp:effectExtent l="0" t="0" r="16510" b="15240"/>
            <wp:docPr id="61" name="图片 61" descr="(南矿段）储量评审意见及备案证明_页面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南矿段）储量评审意见及备案证明_页面_03"/>
                    <pic:cNvPicPr>
                      <a:picLocks noChangeAspect="1"/>
                    </pic:cNvPicPr>
                  </pic:nvPicPr>
                  <pic:blipFill>
                    <a:blip r:embed="rId51"/>
                    <a:srcRect l="14443" t="5118" r="3409" b="2968"/>
                    <a:stretch>
                      <a:fillRect/>
                    </a:stretch>
                  </pic:blipFill>
                  <pic:spPr>
                    <a:xfrm>
                      <a:off x="0" y="0"/>
                      <a:ext cx="5774690" cy="8881110"/>
                    </a:xfrm>
                    <a:prstGeom prst="rect">
                      <a:avLst/>
                    </a:prstGeom>
                  </pic:spPr>
                </pic:pic>
              </a:graphicData>
            </a:graphic>
          </wp:inline>
        </w:drawing>
      </w:r>
      <w:r>
        <w:drawing>
          <wp:inline distT="0" distB="0" distL="114300" distR="114300">
            <wp:extent cx="5927725" cy="8988425"/>
            <wp:effectExtent l="0" t="0" r="15875" b="3175"/>
            <wp:docPr id="60" name="图片 60" descr="(南矿段）储量评审意见及备案证明_页面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南矿段）储量评审意见及备案证明_页面_04"/>
                    <pic:cNvPicPr>
                      <a:picLocks noChangeAspect="1"/>
                    </pic:cNvPicPr>
                  </pic:nvPicPr>
                  <pic:blipFill>
                    <a:blip r:embed="rId52"/>
                    <a:srcRect l="12459" t="2351" r="662" b="1797"/>
                    <a:stretch>
                      <a:fillRect/>
                    </a:stretch>
                  </pic:blipFill>
                  <pic:spPr>
                    <a:xfrm>
                      <a:off x="0" y="0"/>
                      <a:ext cx="5927725" cy="8988425"/>
                    </a:xfrm>
                    <a:prstGeom prst="rect">
                      <a:avLst/>
                    </a:prstGeom>
                  </pic:spPr>
                </pic:pic>
              </a:graphicData>
            </a:graphic>
          </wp:inline>
        </w:drawing>
      </w:r>
      <w:r>
        <w:drawing>
          <wp:inline distT="0" distB="0" distL="114300" distR="114300">
            <wp:extent cx="5587365" cy="8885555"/>
            <wp:effectExtent l="0" t="0" r="13335" b="10795"/>
            <wp:docPr id="59" name="图片 59" descr="(南矿段）储量评审意见及备案证明_页面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南矿段）储量评审意见及备案证明_页面_05"/>
                    <pic:cNvPicPr>
                      <a:picLocks noChangeAspect="1"/>
                    </pic:cNvPicPr>
                  </pic:nvPicPr>
                  <pic:blipFill>
                    <a:blip r:embed="rId53"/>
                    <a:srcRect l="14112" t="4396" r="3252"/>
                    <a:stretch>
                      <a:fillRect/>
                    </a:stretch>
                  </pic:blipFill>
                  <pic:spPr>
                    <a:xfrm>
                      <a:off x="0" y="0"/>
                      <a:ext cx="5587365" cy="8885555"/>
                    </a:xfrm>
                    <a:prstGeom prst="rect">
                      <a:avLst/>
                    </a:prstGeom>
                  </pic:spPr>
                </pic:pic>
              </a:graphicData>
            </a:graphic>
          </wp:inline>
        </w:drawing>
      </w:r>
      <w:r>
        <w:drawing>
          <wp:inline distT="0" distB="0" distL="114300" distR="114300">
            <wp:extent cx="5937250" cy="8896350"/>
            <wp:effectExtent l="0" t="0" r="6350" b="0"/>
            <wp:docPr id="58" name="图片 58" descr="(南矿段）储量评审意见及备案证明_页面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南矿段）储量评审意见及备案证明_页面_06"/>
                    <pic:cNvPicPr>
                      <a:picLocks noChangeAspect="1"/>
                    </pic:cNvPicPr>
                  </pic:nvPicPr>
                  <pic:blipFill>
                    <a:blip r:embed="rId54"/>
                    <a:srcRect l="15436" t="4668" b="3144"/>
                    <a:stretch>
                      <a:fillRect/>
                    </a:stretch>
                  </pic:blipFill>
                  <pic:spPr>
                    <a:xfrm>
                      <a:off x="0" y="0"/>
                      <a:ext cx="5937250" cy="8896350"/>
                    </a:xfrm>
                    <a:prstGeom prst="rect">
                      <a:avLst/>
                    </a:prstGeom>
                  </pic:spPr>
                </pic:pic>
              </a:graphicData>
            </a:graphic>
          </wp:inline>
        </w:drawing>
      </w:r>
      <w:r>
        <w:drawing>
          <wp:inline distT="0" distB="0" distL="114300" distR="114300">
            <wp:extent cx="5904865" cy="8716645"/>
            <wp:effectExtent l="0" t="0" r="635" b="8255"/>
            <wp:docPr id="57" name="图片 57" descr="(南矿段）储量评审意见及备案证明_页面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南矿段）储量评审意见及备案证明_页面_07"/>
                    <pic:cNvPicPr>
                      <a:picLocks noChangeAspect="1"/>
                    </pic:cNvPicPr>
                  </pic:nvPicPr>
                  <pic:blipFill>
                    <a:blip r:embed="rId55"/>
                    <a:srcRect l="12915" t="4386" r="1479" b="3663"/>
                    <a:stretch>
                      <a:fillRect/>
                    </a:stretch>
                  </pic:blipFill>
                  <pic:spPr>
                    <a:xfrm>
                      <a:off x="0" y="0"/>
                      <a:ext cx="5904865" cy="8716645"/>
                    </a:xfrm>
                    <a:prstGeom prst="rect">
                      <a:avLst/>
                    </a:prstGeom>
                  </pic:spPr>
                </pic:pic>
              </a:graphicData>
            </a:graphic>
          </wp:inline>
        </w:drawing>
      </w:r>
      <w:r>
        <w:drawing>
          <wp:inline distT="0" distB="0" distL="114300" distR="114300">
            <wp:extent cx="5890260" cy="8892540"/>
            <wp:effectExtent l="0" t="0" r="15240" b="3810"/>
            <wp:docPr id="56" name="图片 56" descr="(南矿段）储量评审意见及备案证明_页面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南矿段）储量评审意见及备案证明_页面_08"/>
                    <pic:cNvPicPr>
                      <a:picLocks noChangeAspect="1"/>
                    </pic:cNvPicPr>
                  </pic:nvPicPr>
                  <pic:blipFill>
                    <a:blip r:embed="rId56"/>
                    <a:srcRect l="14406" t="5712" r="3223" b="3792"/>
                    <a:stretch>
                      <a:fillRect/>
                    </a:stretch>
                  </pic:blipFill>
                  <pic:spPr>
                    <a:xfrm>
                      <a:off x="0" y="0"/>
                      <a:ext cx="5890260" cy="8892540"/>
                    </a:xfrm>
                    <a:prstGeom prst="rect">
                      <a:avLst/>
                    </a:prstGeom>
                  </pic:spPr>
                </pic:pic>
              </a:graphicData>
            </a:graphic>
          </wp:inline>
        </w:drawing>
      </w:r>
      <w:r>
        <w:drawing>
          <wp:inline distT="0" distB="0" distL="114300" distR="114300">
            <wp:extent cx="6009005" cy="8721090"/>
            <wp:effectExtent l="0" t="0" r="10795" b="3810"/>
            <wp:docPr id="55" name="图片 55" descr="(南矿段）储量评审意见及备案证明_页面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南矿段）储量评审意见及备案证明_页面_09"/>
                    <pic:cNvPicPr>
                      <a:picLocks noChangeAspect="1"/>
                    </pic:cNvPicPr>
                  </pic:nvPicPr>
                  <pic:blipFill>
                    <a:blip r:embed="rId57"/>
                    <a:srcRect l="11963" t="5150" r="2337" b="4372"/>
                    <a:stretch>
                      <a:fillRect/>
                    </a:stretch>
                  </pic:blipFill>
                  <pic:spPr>
                    <a:xfrm>
                      <a:off x="0" y="0"/>
                      <a:ext cx="6009005" cy="8721090"/>
                    </a:xfrm>
                    <a:prstGeom prst="rect">
                      <a:avLst/>
                    </a:prstGeom>
                  </pic:spPr>
                </pic:pic>
              </a:graphicData>
            </a:graphic>
          </wp:inline>
        </w:drawing>
      </w:r>
      <w:r>
        <w:drawing>
          <wp:inline distT="0" distB="0" distL="114300" distR="114300">
            <wp:extent cx="5595620" cy="8776335"/>
            <wp:effectExtent l="0" t="0" r="5080" b="5715"/>
            <wp:docPr id="54" name="图片 54" descr="(南矿段）储量评审意见及备案证明_页面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南矿段）储量评审意见及备案证明_页面_10"/>
                    <pic:cNvPicPr>
                      <a:picLocks noChangeAspect="1"/>
                    </pic:cNvPicPr>
                  </pic:nvPicPr>
                  <pic:blipFill>
                    <a:blip r:embed="rId58"/>
                    <a:srcRect l="12750" t="3663" r="4714" b="2129"/>
                    <a:stretch>
                      <a:fillRect/>
                    </a:stretch>
                  </pic:blipFill>
                  <pic:spPr>
                    <a:xfrm>
                      <a:off x="0" y="0"/>
                      <a:ext cx="5595620" cy="8776335"/>
                    </a:xfrm>
                    <a:prstGeom prst="rect">
                      <a:avLst/>
                    </a:prstGeom>
                  </pic:spPr>
                </pic:pic>
              </a:graphicData>
            </a:graphic>
          </wp:inline>
        </w:drawing>
      </w:r>
      <w:r>
        <w:drawing>
          <wp:inline distT="0" distB="0" distL="114300" distR="114300">
            <wp:extent cx="5749290" cy="8893810"/>
            <wp:effectExtent l="0" t="0" r="3810" b="2540"/>
            <wp:docPr id="53" name="图片 53" descr="(南矿段）储量评审意见及备案证明_页面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南矿段）储量评审意见及备案证明_页面_11"/>
                    <pic:cNvPicPr>
                      <a:picLocks noChangeAspect="1"/>
                    </pic:cNvPicPr>
                  </pic:nvPicPr>
                  <pic:blipFill>
                    <a:blip r:embed="rId59"/>
                    <a:srcRect l="13451" t="3826" r="3418" b="2615"/>
                    <a:stretch>
                      <a:fillRect/>
                    </a:stretch>
                  </pic:blipFill>
                  <pic:spPr>
                    <a:xfrm>
                      <a:off x="0" y="0"/>
                      <a:ext cx="5749290" cy="8893810"/>
                    </a:xfrm>
                    <a:prstGeom prst="rect">
                      <a:avLst/>
                    </a:prstGeom>
                  </pic:spPr>
                </pic:pic>
              </a:graphicData>
            </a:graphic>
          </wp:inline>
        </w:drawing>
      </w:r>
      <w:r>
        <w:drawing>
          <wp:inline distT="0" distB="0" distL="114300" distR="114300">
            <wp:extent cx="5914390" cy="8832850"/>
            <wp:effectExtent l="0" t="0" r="10160" b="6350"/>
            <wp:docPr id="52" name="图片 52" descr="(南矿段）储量评审意见及备案证明_页面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南矿段）储量评审意见及备案证明_页面_12"/>
                    <pic:cNvPicPr>
                      <a:picLocks noChangeAspect="1"/>
                    </pic:cNvPicPr>
                  </pic:nvPicPr>
                  <pic:blipFill>
                    <a:blip r:embed="rId60"/>
                    <a:srcRect l="12253" t="4482" r="1314" b="1590"/>
                    <a:stretch>
                      <a:fillRect/>
                    </a:stretch>
                  </pic:blipFill>
                  <pic:spPr>
                    <a:xfrm>
                      <a:off x="0" y="0"/>
                      <a:ext cx="5914390" cy="8832850"/>
                    </a:xfrm>
                    <a:prstGeom prst="rect">
                      <a:avLst/>
                    </a:prstGeom>
                  </pic:spPr>
                </pic:pic>
              </a:graphicData>
            </a:graphic>
          </wp:inline>
        </w:drawing>
      </w:r>
      <w:r>
        <w:drawing>
          <wp:inline distT="0" distB="0" distL="114300" distR="114300">
            <wp:extent cx="5759450" cy="8790305"/>
            <wp:effectExtent l="0" t="0" r="12700" b="10795"/>
            <wp:docPr id="51" name="图片 51" descr="(南矿段）储量评审意见及备案证明_页面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南矿段）储量评审意见及备案证明_页面_13"/>
                    <pic:cNvPicPr>
                      <a:picLocks noChangeAspect="1"/>
                    </pic:cNvPicPr>
                  </pic:nvPicPr>
                  <pic:blipFill>
                    <a:blip r:embed="rId61"/>
                    <a:srcRect l="15105" t="4235" r="2260" b="4011"/>
                    <a:stretch>
                      <a:fillRect/>
                    </a:stretch>
                  </pic:blipFill>
                  <pic:spPr>
                    <a:xfrm>
                      <a:off x="0" y="0"/>
                      <a:ext cx="5759450" cy="8790305"/>
                    </a:xfrm>
                    <a:prstGeom prst="rect">
                      <a:avLst/>
                    </a:prstGeom>
                  </pic:spPr>
                </pic:pic>
              </a:graphicData>
            </a:graphic>
          </wp:inline>
        </w:drawing>
      </w:r>
      <w:r>
        <w:drawing>
          <wp:inline distT="0" distB="0" distL="114300" distR="114300">
            <wp:extent cx="5937250" cy="8791575"/>
            <wp:effectExtent l="0" t="0" r="6350" b="9525"/>
            <wp:docPr id="50" name="图片 50" descr="(南矿段）储量评审意见及备案证明_页面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南矿段）储量评审意见及备案证明_页面_14"/>
                    <pic:cNvPicPr>
                      <a:picLocks noChangeAspect="1"/>
                    </pic:cNvPicPr>
                  </pic:nvPicPr>
                  <pic:blipFill>
                    <a:blip r:embed="rId62"/>
                    <a:srcRect l="12624" t="5849"/>
                    <a:stretch>
                      <a:fillRect/>
                    </a:stretch>
                  </pic:blipFill>
                  <pic:spPr>
                    <a:xfrm>
                      <a:off x="0" y="0"/>
                      <a:ext cx="5937250" cy="8791575"/>
                    </a:xfrm>
                    <a:prstGeom prst="rect">
                      <a:avLst/>
                    </a:prstGeom>
                  </pic:spPr>
                </pic:pic>
              </a:graphicData>
            </a:graphic>
          </wp:inline>
        </w:drawing>
      </w:r>
      <w:r>
        <w:drawing>
          <wp:inline distT="0" distB="0" distL="114300" distR="114300">
            <wp:extent cx="5899150" cy="8912860"/>
            <wp:effectExtent l="0" t="0" r="6350" b="0"/>
            <wp:docPr id="49" name="图片 49" descr="(南矿段）储量评审意见及备案证明_页面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南矿段）储量评审意见及备案证明_页面_15"/>
                    <pic:cNvPicPr>
                      <a:picLocks noChangeAspect="1"/>
                    </pic:cNvPicPr>
                  </pic:nvPicPr>
                  <pic:blipFill>
                    <a:blip r:embed="rId63"/>
                    <a:srcRect l="13120" t="4981" r="-331" b="-842"/>
                    <a:stretch>
                      <a:fillRect/>
                    </a:stretch>
                  </pic:blipFill>
                  <pic:spPr>
                    <a:xfrm>
                      <a:off x="0" y="0"/>
                      <a:ext cx="5899150" cy="8912860"/>
                    </a:xfrm>
                    <a:prstGeom prst="rect">
                      <a:avLst/>
                    </a:prstGeom>
                  </pic:spPr>
                </pic:pic>
              </a:graphicData>
            </a:graphic>
          </wp:inline>
        </w:drawing>
      </w:r>
      <w:r>
        <w:drawing>
          <wp:inline distT="0" distB="0" distL="114300" distR="114300">
            <wp:extent cx="5796280" cy="8796655"/>
            <wp:effectExtent l="0" t="0" r="13970" b="4445"/>
            <wp:docPr id="48" name="图片 48" descr="(南矿段）储量评审意见及备案证明_页面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南矿段）储量评审意见及备案证明_页面_16"/>
                    <pic:cNvPicPr>
                      <a:picLocks noChangeAspect="1"/>
                    </pic:cNvPicPr>
                  </pic:nvPicPr>
                  <pic:blipFill>
                    <a:blip r:embed="rId64"/>
                    <a:srcRect l="14443" t="6762" r="4245" b="3457"/>
                    <a:stretch>
                      <a:fillRect/>
                    </a:stretch>
                  </pic:blipFill>
                  <pic:spPr>
                    <a:xfrm>
                      <a:off x="0" y="0"/>
                      <a:ext cx="5796280" cy="8796655"/>
                    </a:xfrm>
                    <a:prstGeom prst="rect">
                      <a:avLst/>
                    </a:prstGeom>
                  </pic:spPr>
                </pic:pic>
              </a:graphicData>
            </a:graphic>
          </wp:inline>
        </w:drawing>
      </w:r>
      <w:r>
        <w:drawing>
          <wp:inline distT="0" distB="0" distL="114300" distR="114300">
            <wp:extent cx="5790565" cy="8758555"/>
            <wp:effectExtent l="0" t="0" r="635" b="4445"/>
            <wp:docPr id="47" name="图片 47" descr="(南矿段）储量评审意见及备案证明_页面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南矿段）储量评审意见及备案证明_页面_17"/>
                    <pic:cNvPicPr>
                      <a:picLocks noChangeAspect="1"/>
                    </pic:cNvPicPr>
                  </pic:nvPicPr>
                  <pic:blipFill>
                    <a:blip r:embed="rId65"/>
                    <a:srcRect l="13578" t="4884"/>
                    <a:stretch>
                      <a:fillRect/>
                    </a:stretch>
                  </pic:blipFill>
                  <pic:spPr>
                    <a:xfrm>
                      <a:off x="0" y="0"/>
                      <a:ext cx="5790565" cy="8758555"/>
                    </a:xfrm>
                    <a:prstGeom prst="rect">
                      <a:avLst/>
                    </a:prstGeom>
                  </pic:spPr>
                </pic:pic>
              </a:graphicData>
            </a:graphic>
          </wp:inline>
        </w:drawing>
      </w:r>
      <w:r>
        <w:drawing>
          <wp:inline distT="0" distB="0" distL="114300" distR="114300">
            <wp:extent cx="5676900" cy="8741410"/>
            <wp:effectExtent l="0" t="0" r="0" b="2540"/>
            <wp:docPr id="46" name="图片 46" descr="(南矿段）储量评审意见及备案证明_页面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南矿段）储量评审意见及备案证明_页面_18"/>
                    <pic:cNvPicPr>
                      <a:picLocks noChangeAspect="1"/>
                    </pic:cNvPicPr>
                  </pic:nvPicPr>
                  <pic:blipFill>
                    <a:blip r:embed="rId66"/>
                    <a:srcRect l="12584" t="3920" r="4625" b="3302"/>
                    <a:stretch>
                      <a:fillRect/>
                    </a:stretch>
                  </pic:blipFill>
                  <pic:spPr>
                    <a:xfrm>
                      <a:off x="0" y="0"/>
                      <a:ext cx="5676900" cy="8741410"/>
                    </a:xfrm>
                    <a:prstGeom prst="rect">
                      <a:avLst/>
                    </a:prstGeom>
                  </pic:spPr>
                </pic:pic>
              </a:graphicData>
            </a:graphic>
          </wp:inline>
        </w:drawing>
      </w:r>
      <w:r>
        <w:drawing>
          <wp:inline distT="0" distB="0" distL="114300" distR="114300">
            <wp:extent cx="5861050" cy="8811895"/>
            <wp:effectExtent l="0" t="0" r="6350" b="8255"/>
            <wp:docPr id="45" name="图片 45" descr="(南矿段）储量评审意见及备案证明_页面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南矿段）储量评审意见及备案证明_页面_19"/>
                    <pic:cNvPicPr>
                      <a:picLocks noChangeAspect="1"/>
                    </pic:cNvPicPr>
                  </pic:nvPicPr>
                  <pic:blipFill>
                    <a:blip r:embed="rId67"/>
                    <a:srcRect l="13120" t="4973"/>
                    <a:stretch>
                      <a:fillRect/>
                    </a:stretch>
                  </pic:blipFill>
                  <pic:spPr>
                    <a:xfrm>
                      <a:off x="0" y="0"/>
                      <a:ext cx="5861050" cy="8811895"/>
                    </a:xfrm>
                    <a:prstGeom prst="rect">
                      <a:avLst/>
                    </a:prstGeom>
                  </pic:spPr>
                </pic:pic>
              </a:graphicData>
            </a:graphic>
          </wp:inline>
        </w:drawing>
      </w:r>
      <w:r>
        <w:drawing>
          <wp:inline distT="0" distB="0" distL="114300" distR="114300">
            <wp:extent cx="5752465" cy="8826500"/>
            <wp:effectExtent l="0" t="0" r="635" b="12700"/>
            <wp:docPr id="44" name="图片 44" descr="(南矿段）储量评审意见及备案证明_页面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南矿段）储量评审意见及备案证明_页面_20"/>
                    <pic:cNvPicPr>
                      <a:picLocks noChangeAspect="1"/>
                    </pic:cNvPicPr>
                  </pic:nvPicPr>
                  <pic:blipFill>
                    <a:blip r:embed="rId68"/>
                    <a:srcRect l="13578" t="3510"/>
                    <a:stretch>
                      <a:fillRect/>
                    </a:stretch>
                  </pic:blipFill>
                  <pic:spPr>
                    <a:xfrm>
                      <a:off x="0" y="0"/>
                      <a:ext cx="5752465" cy="8826500"/>
                    </a:xfrm>
                    <a:prstGeom prst="rect">
                      <a:avLst/>
                    </a:prstGeom>
                  </pic:spPr>
                </pic:pic>
              </a:graphicData>
            </a:graphic>
          </wp:inline>
        </w:drawing>
      </w:r>
      <w:r>
        <w:drawing>
          <wp:inline distT="0" distB="0" distL="114300" distR="114300">
            <wp:extent cx="5927725" cy="8819515"/>
            <wp:effectExtent l="0" t="0" r="15875" b="635"/>
            <wp:docPr id="43" name="图片 43" descr="(南矿段）储量评审意见及备案证明_页面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南矿段）储量评审意见及备案证明_页面_21"/>
                    <pic:cNvPicPr>
                      <a:picLocks noChangeAspect="1"/>
                    </pic:cNvPicPr>
                  </pic:nvPicPr>
                  <pic:blipFill>
                    <a:blip r:embed="rId69"/>
                    <a:srcRect l="11632" t="4347"/>
                    <a:stretch>
                      <a:fillRect/>
                    </a:stretch>
                  </pic:blipFill>
                  <pic:spPr>
                    <a:xfrm>
                      <a:off x="0" y="0"/>
                      <a:ext cx="5927725" cy="8819515"/>
                    </a:xfrm>
                    <a:prstGeom prst="rect">
                      <a:avLst/>
                    </a:prstGeom>
                  </pic:spPr>
                </pic:pic>
              </a:graphicData>
            </a:graphic>
          </wp:inline>
        </w:drawing>
      </w:r>
      <w:r>
        <w:drawing>
          <wp:inline distT="0" distB="0" distL="114300" distR="114300">
            <wp:extent cx="6003290" cy="8839835"/>
            <wp:effectExtent l="0" t="0" r="16510" b="18415"/>
            <wp:docPr id="42" name="图片 42" descr="(南矿段）储量评审意见及备案证明_页面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南矿段）储量评审意见及备案证明_页面_22"/>
                    <pic:cNvPicPr>
                      <a:picLocks noChangeAspect="1"/>
                    </pic:cNvPicPr>
                  </pic:nvPicPr>
                  <pic:blipFill>
                    <a:blip r:embed="rId70"/>
                    <a:srcRect l="9647" t="3193"/>
                    <a:stretch>
                      <a:fillRect/>
                    </a:stretch>
                  </pic:blipFill>
                  <pic:spPr>
                    <a:xfrm>
                      <a:off x="0" y="0"/>
                      <a:ext cx="6003290" cy="8839835"/>
                    </a:xfrm>
                    <a:prstGeom prst="rect">
                      <a:avLst/>
                    </a:prstGeom>
                  </pic:spPr>
                </pic:pic>
              </a:graphicData>
            </a:graphic>
          </wp:inline>
        </w:drawing>
      </w:r>
      <w:r>
        <w:drawing>
          <wp:inline distT="0" distB="0" distL="114300" distR="114300">
            <wp:extent cx="6198870" cy="8486140"/>
            <wp:effectExtent l="0" t="0" r="11430" b="10160"/>
            <wp:docPr id="40" name="图片 40" descr="(南矿段）储量评审意见及备案证明_页面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南矿段）储量评审意见及备案证明_页面_24"/>
                    <pic:cNvPicPr>
                      <a:picLocks noChangeAspect="1"/>
                    </pic:cNvPicPr>
                  </pic:nvPicPr>
                  <pic:blipFill>
                    <a:blip r:embed="rId71"/>
                    <a:srcRect l="10597" t="6305" b="4643"/>
                    <a:stretch>
                      <a:fillRect/>
                    </a:stretch>
                  </pic:blipFill>
                  <pic:spPr>
                    <a:xfrm>
                      <a:off x="0" y="0"/>
                      <a:ext cx="6198870" cy="8486140"/>
                    </a:xfrm>
                    <a:prstGeom prst="rect">
                      <a:avLst/>
                    </a:prstGeom>
                  </pic:spPr>
                </pic:pic>
              </a:graphicData>
            </a:graphic>
          </wp:inline>
        </w:drawing>
      </w:r>
    </w:p>
    <w:p w14:paraId="2899B9DC">
      <w:pPr>
        <w:spacing w:line="240" w:lineRule="auto"/>
        <w:ind w:firstLine="0" w:firstLineChars="0"/>
        <w:jc w:val="center"/>
      </w:pPr>
    </w:p>
    <w:p w14:paraId="68DC85B0">
      <w:pPr>
        <w:ind w:firstLine="560"/>
      </w:pPr>
      <w:r>
        <w:br w:type="page"/>
      </w:r>
    </w:p>
    <w:p w14:paraId="400FB9CA">
      <w:pPr>
        <w:pStyle w:val="5"/>
        <w:rPr>
          <w:lang w:val="en-US"/>
        </w:rPr>
      </w:pPr>
      <w:r>
        <w:rPr>
          <w:lang w:val="en-US"/>
        </w:rPr>
        <w:t>（3）《广西上思县讲鱼山矿区石灰岩矿资源储量核实报告》</w:t>
      </w:r>
    </w:p>
    <w:p w14:paraId="3BF8EB21">
      <w:pPr>
        <w:spacing w:line="240" w:lineRule="auto"/>
        <w:ind w:firstLine="0" w:firstLineChars="0"/>
        <w:jc w:val="center"/>
      </w:pPr>
      <w:r>
        <w:drawing>
          <wp:inline distT="0" distB="0" distL="114300" distR="114300">
            <wp:extent cx="6276975" cy="8035925"/>
            <wp:effectExtent l="0" t="0" r="9525" b="3175"/>
            <wp:docPr id="64" name="图片 64" descr="讲鱼山核实报告评审意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讲鱼山核实报告评审意见"/>
                    <pic:cNvPicPr>
                      <a:picLocks noChangeAspect="1"/>
                    </pic:cNvPicPr>
                  </pic:nvPicPr>
                  <pic:blipFill>
                    <a:blip r:embed="rId72"/>
                    <a:srcRect l="4487" t="13213" r="6670" b="6138"/>
                    <a:stretch>
                      <a:fillRect/>
                    </a:stretch>
                  </pic:blipFill>
                  <pic:spPr>
                    <a:xfrm rot="10800000">
                      <a:off x="0" y="0"/>
                      <a:ext cx="6276975" cy="8035925"/>
                    </a:xfrm>
                    <a:prstGeom prst="rect">
                      <a:avLst/>
                    </a:prstGeom>
                  </pic:spPr>
                </pic:pic>
              </a:graphicData>
            </a:graphic>
          </wp:inline>
        </w:drawing>
      </w:r>
      <w:r>
        <w:drawing>
          <wp:inline distT="0" distB="0" distL="114300" distR="114300">
            <wp:extent cx="5887720" cy="8638540"/>
            <wp:effectExtent l="0" t="0" r="17780" b="10160"/>
            <wp:docPr id="66" name="图片 66" descr="讲鱼山备案证明附件_页面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讲鱼山备案证明附件_页面_20"/>
                    <pic:cNvPicPr>
                      <a:picLocks noChangeAspect="1"/>
                    </pic:cNvPicPr>
                  </pic:nvPicPr>
                  <pic:blipFill>
                    <a:blip r:embed="rId73"/>
                    <a:srcRect l="15203" t="18638" r="11307" b="5148"/>
                    <a:stretch>
                      <a:fillRect/>
                    </a:stretch>
                  </pic:blipFill>
                  <pic:spPr>
                    <a:xfrm>
                      <a:off x="0" y="0"/>
                      <a:ext cx="5887720" cy="8638540"/>
                    </a:xfrm>
                    <a:prstGeom prst="rect">
                      <a:avLst/>
                    </a:prstGeom>
                  </pic:spPr>
                </pic:pic>
              </a:graphicData>
            </a:graphic>
          </wp:inline>
        </w:drawing>
      </w:r>
    </w:p>
    <w:p w14:paraId="19E84599">
      <w:pPr>
        <w:spacing w:line="240" w:lineRule="auto"/>
        <w:ind w:firstLine="0" w:firstLineChars="0"/>
        <w:jc w:val="center"/>
      </w:pPr>
    </w:p>
    <w:p w14:paraId="34585559">
      <w:pPr>
        <w:spacing w:line="240" w:lineRule="auto"/>
        <w:ind w:firstLine="0" w:firstLineChars="0"/>
        <w:jc w:val="center"/>
        <w:sectPr>
          <w:pgSz w:w="11906" w:h="16838"/>
          <w:pgMar w:top="1418" w:right="1418" w:bottom="1418" w:left="1418" w:header="851" w:footer="992" w:gutter="0"/>
          <w:cols w:space="720" w:num="1"/>
          <w:docGrid w:type="lines" w:linePitch="381" w:charSpace="0"/>
        </w:sectPr>
      </w:pPr>
    </w:p>
    <w:p w14:paraId="281E7EA4">
      <w:pPr>
        <w:pStyle w:val="4"/>
      </w:pPr>
      <w:bookmarkStart w:id="543" w:name="_Toc7971"/>
      <w:r>
        <w:t>附件7：专家意见及签到表</w:t>
      </w:r>
      <w:bookmarkEnd w:id="543"/>
    </w:p>
    <w:p w14:paraId="4BFC0A75">
      <w:pPr>
        <w:spacing w:line="240" w:lineRule="auto"/>
        <w:ind w:firstLine="0" w:firstLineChars="0"/>
      </w:pPr>
      <w:r>
        <w:drawing>
          <wp:inline distT="0" distB="0" distL="114300" distR="114300">
            <wp:extent cx="8288655" cy="5838825"/>
            <wp:effectExtent l="0" t="0" r="9525" b="17145"/>
            <wp:docPr id="70" name="图片 70" descr="85c4aa71a834f46b142f3b24b7c6ac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85c4aa71a834f46b142f3b24b7c6ac9d"/>
                    <pic:cNvPicPr>
                      <a:picLocks noChangeAspect="1"/>
                    </pic:cNvPicPr>
                  </pic:nvPicPr>
                  <pic:blipFill>
                    <a:blip r:embed="rId74"/>
                    <a:srcRect l="7584" t="8050" r="5762" b="6796"/>
                    <a:stretch>
                      <a:fillRect/>
                    </a:stretch>
                  </pic:blipFill>
                  <pic:spPr>
                    <a:xfrm rot="5400000">
                      <a:off x="0" y="0"/>
                      <a:ext cx="8288655" cy="5838825"/>
                    </a:xfrm>
                    <a:prstGeom prst="rect">
                      <a:avLst/>
                    </a:prstGeom>
                  </pic:spPr>
                </pic:pic>
              </a:graphicData>
            </a:graphic>
          </wp:inline>
        </w:drawing>
      </w:r>
    </w:p>
    <w:p w14:paraId="0FA9EA6B">
      <w:pPr>
        <w:spacing w:line="240" w:lineRule="auto"/>
        <w:ind w:firstLine="0" w:firstLineChars="0"/>
      </w:pPr>
      <w:r>
        <w:drawing>
          <wp:inline distT="0" distB="0" distL="114300" distR="114300">
            <wp:extent cx="6012815" cy="8663940"/>
            <wp:effectExtent l="0" t="0" r="6985" b="3810"/>
            <wp:docPr id="71" name="图片 71" descr="6767016cd3afab5f6de5da9dd4538f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6767016cd3afab5f6de5da9dd4538f61"/>
                    <pic:cNvPicPr>
                      <a:picLocks noChangeAspect="1"/>
                    </pic:cNvPicPr>
                  </pic:nvPicPr>
                  <pic:blipFill>
                    <a:blip r:embed="rId75"/>
                    <a:srcRect l="7007" t="6569" r="8354" b="6182"/>
                    <a:stretch>
                      <a:fillRect/>
                    </a:stretch>
                  </pic:blipFill>
                  <pic:spPr>
                    <a:xfrm>
                      <a:off x="0" y="0"/>
                      <a:ext cx="6012815" cy="8663940"/>
                    </a:xfrm>
                    <a:prstGeom prst="rect">
                      <a:avLst/>
                    </a:prstGeom>
                  </pic:spPr>
                </pic:pic>
              </a:graphicData>
            </a:graphic>
          </wp:inline>
        </w:drawing>
      </w:r>
    </w:p>
    <w:p w14:paraId="03EDC273">
      <w:pPr>
        <w:spacing w:line="240" w:lineRule="auto"/>
        <w:ind w:firstLine="0" w:firstLineChars="0"/>
      </w:pPr>
      <w:r>
        <w:drawing>
          <wp:inline distT="0" distB="0" distL="114300" distR="114300">
            <wp:extent cx="6236970" cy="8883650"/>
            <wp:effectExtent l="0" t="0" r="11430" b="12700"/>
            <wp:docPr id="67" name="图片 67" descr="55138f98ef39d0ad230065c039f7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55138f98ef39d0ad230065c039f79544"/>
                    <pic:cNvPicPr>
                      <a:picLocks noChangeAspect="1"/>
                    </pic:cNvPicPr>
                  </pic:nvPicPr>
                  <pic:blipFill>
                    <a:blip r:embed="rId76"/>
                    <a:srcRect l="7504" t="2161" b="2995"/>
                    <a:stretch>
                      <a:fillRect/>
                    </a:stretch>
                  </pic:blipFill>
                  <pic:spPr>
                    <a:xfrm>
                      <a:off x="0" y="0"/>
                      <a:ext cx="6236970" cy="8883650"/>
                    </a:xfrm>
                    <a:prstGeom prst="rect">
                      <a:avLst/>
                    </a:prstGeom>
                  </pic:spPr>
                </pic:pic>
              </a:graphicData>
            </a:graphic>
          </wp:inline>
        </w:drawing>
      </w:r>
    </w:p>
    <w:p w14:paraId="3F46D875">
      <w:pPr>
        <w:spacing w:line="240" w:lineRule="auto"/>
        <w:ind w:firstLine="0" w:firstLineChars="0"/>
      </w:pPr>
      <w:r>
        <w:drawing>
          <wp:inline distT="0" distB="0" distL="114300" distR="114300">
            <wp:extent cx="6312535" cy="8970010"/>
            <wp:effectExtent l="0" t="0" r="12065" b="2540"/>
            <wp:docPr id="68" name="图片 68" descr="b0dff2d831437c85b04426b202352d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b0dff2d831437c85b04426b202352d6e"/>
                    <pic:cNvPicPr>
                      <a:picLocks noChangeAspect="1"/>
                    </pic:cNvPicPr>
                  </pic:nvPicPr>
                  <pic:blipFill>
                    <a:blip r:embed="rId77"/>
                    <a:srcRect l="7007" t="1904" b="2701"/>
                    <a:stretch>
                      <a:fillRect/>
                    </a:stretch>
                  </pic:blipFill>
                  <pic:spPr>
                    <a:xfrm>
                      <a:off x="0" y="0"/>
                      <a:ext cx="6312535" cy="8970010"/>
                    </a:xfrm>
                    <a:prstGeom prst="rect">
                      <a:avLst/>
                    </a:prstGeom>
                  </pic:spPr>
                </pic:pic>
              </a:graphicData>
            </a:graphic>
          </wp:inline>
        </w:drawing>
      </w:r>
    </w:p>
    <w:p w14:paraId="1BD31A73">
      <w:pPr>
        <w:spacing w:line="240" w:lineRule="auto"/>
        <w:ind w:firstLine="0" w:firstLineChars="0"/>
      </w:pPr>
      <w:r>
        <w:drawing>
          <wp:inline distT="0" distB="0" distL="114300" distR="114300">
            <wp:extent cx="5889625" cy="8911590"/>
            <wp:effectExtent l="0" t="0" r="15875" b="3810"/>
            <wp:docPr id="69" name="图片 69" descr="f8c3c4360719f92f69fee9e481635e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f8c3c4360719f92f69fee9e481635ef0"/>
                    <pic:cNvPicPr>
                      <a:picLocks noChangeAspect="1"/>
                    </pic:cNvPicPr>
                  </pic:nvPicPr>
                  <pic:blipFill>
                    <a:blip r:embed="rId78"/>
                    <a:srcRect l="7504" t="2992" r="6036" b="2674"/>
                    <a:stretch>
                      <a:fillRect/>
                    </a:stretch>
                  </pic:blipFill>
                  <pic:spPr>
                    <a:xfrm>
                      <a:off x="0" y="0"/>
                      <a:ext cx="5889625" cy="8911590"/>
                    </a:xfrm>
                    <a:prstGeom prst="rect">
                      <a:avLst/>
                    </a:prstGeom>
                  </pic:spPr>
                </pic:pic>
              </a:graphicData>
            </a:graphic>
          </wp:inline>
        </w:drawing>
      </w:r>
    </w:p>
    <w:p w14:paraId="71B1A814">
      <w:pPr>
        <w:spacing w:line="240" w:lineRule="auto"/>
        <w:ind w:firstLine="0" w:firstLineChars="0"/>
      </w:pPr>
      <w:r>
        <w:drawing>
          <wp:inline distT="0" distB="0" distL="114300" distR="114300">
            <wp:extent cx="6252210" cy="8328025"/>
            <wp:effectExtent l="0" t="0" r="15240" b="15875"/>
            <wp:docPr id="74" name="图片 74" descr="华润水泥（上思）有限公司龙大山矿区水泥用灰岩矿整合区详查实施方案意见(张厚云专家)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华润水泥（上思）有限公司龙大山矿区水泥用灰岩矿整合区详查实施方案意见(张厚云专家)_页面_1"/>
                    <pic:cNvPicPr>
                      <a:picLocks noChangeAspect="1"/>
                    </pic:cNvPicPr>
                  </pic:nvPicPr>
                  <pic:blipFill>
                    <a:blip r:embed="rId79"/>
                    <a:srcRect l="5186" t="8107" r="4557" b="6882"/>
                    <a:stretch>
                      <a:fillRect/>
                    </a:stretch>
                  </pic:blipFill>
                  <pic:spPr>
                    <a:xfrm>
                      <a:off x="0" y="0"/>
                      <a:ext cx="6252210" cy="8328025"/>
                    </a:xfrm>
                    <a:prstGeom prst="rect">
                      <a:avLst/>
                    </a:prstGeom>
                  </pic:spPr>
                </pic:pic>
              </a:graphicData>
            </a:graphic>
          </wp:inline>
        </w:drawing>
      </w:r>
    </w:p>
    <w:p w14:paraId="09109AD5">
      <w:pPr>
        <w:spacing w:line="240" w:lineRule="auto"/>
        <w:ind w:firstLine="0" w:firstLineChars="0"/>
      </w:pPr>
      <w:r>
        <w:drawing>
          <wp:inline distT="0" distB="0" distL="114300" distR="114300">
            <wp:extent cx="6233160" cy="8049895"/>
            <wp:effectExtent l="0" t="0" r="15240" b="8255"/>
            <wp:docPr id="73" name="图片 73" descr="华润水泥（上思）有限公司龙大山矿区水泥用灰岩矿整合区详查实施方案意见(张厚云专家)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华润水泥（上思）有限公司龙大山矿区水泥用灰岩矿整合区详查实施方案意见(张厚云专家)_页面_2"/>
                    <pic:cNvPicPr>
                      <a:picLocks noChangeAspect="1"/>
                    </pic:cNvPicPr>
                  </pic:nvPicPr>
                  <pic:blipFill>
                    <a:blip r:embed="rId80"/>
                    <a:srcRect l="5020" t="9262" r="3067" b="6804"/>
                    <a:stretch>
                      <a:fillRect/>
                    </a:stretch>
                  </pic:blipFill>
                  <pic:spPr>
                    <a:xfrm>
                      <a:off x="0" y="0"/>
                      <a:ext cx="6233160" cy="8049895"/>
                    </a:xfrm>
                    <a:prstGeom prst="rect">
                      <a:avLst/>
                    </a:prstGeom>
                  </pic:spPr>
                </pic:pic>
              </a:graphicData>
            </a:graphic>
          </wp:inline>
        </w:drawing>
      </w:r>
    </w:p>
    <w:p w14:paraId="548330E7">
      <w:pPr>
        <w:spacing w:line="240" w:lineRule="auto"/>
        <w:ind w:firstLine="0" w:firstLineChars="0"/>
      </w:pPr>
      <w:r>
        <w:drawing>
          <wp:inline distT="0" distB="0" distL="114300" distR="114300">
            <wp:extent cx="6117590" cy="8750300"/>
            <wp:effectExtent l="0" t="0" r="16510" b="12700"/>
            <wp:docPr id="72" name="图片 72" descr="华润水泥（上思）有限公司龙大山矿区水泥用灰岩矿整合区详查实施方案意见(张厚云专家)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华润水泥（上思）有限公司龙大山矿区水泥用灰岩矿整合区详查实施方案意见(张厚云专家)_页面_3"/>
                    <pic:cNvPicPr>
                      <a:picLocks noChangeAspect="1"/>
                    </pic:cNvPicPr>
                  </pic:nvPicPr>
                  <pic:blipFill>
                    <a:blip r:embed="rId81"/>
                    <a:srcRect l="4855" t="8271" r="4226" b="-234"/>
                    <a:stretch>
                      <a:fillRect/>
                    </a:stretch>
                  </pic:blipFill>
                  <pic:spPr>
                    <a:xfrm>
                      <a:off x="0" y="0"/>
                      <a:ext cx="6117590" cy="8750300"/>
                    </a:xfrm>
                    <a:prstGeom prst="rect">
                      <a:avLst/>
                    </a:prstGeom>
                  </pic:spPr>
                </pic:pic>
              </a:graphicData>
            </a:graphic>
          </wp:inline>
        </w:drawing>
      </w:r>
    </w:p>
    <w:p w14:paraId="33C08B9E">
      <w:pPr>
        <w:spacing w:line="240" w:lineRule="auto"/>
        <w:ind w:firstLine="0" w:firstLineChars="0"/>
      </w:pPr>
      <w:r>
        <w:drawing>
          <wp:inline distT="0" distB="0" distL="114300" distR="114300">
            <wp:extent cx="6184265" cy="8350250"/>
            <wp:effectExtent l="0" t="0" r="6985" b="12700"/>
            <wp:docPr id="75" name="图片 75" descr="4978db242af5db205be4c204f6187e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4978db242af5db205be4c204f6187e6e"/>
                    <pic:cNvPicPr>
                      <a:picLocks noChangeAspect="1"/>
                    </pic:cNvPicPr>
                  </pic:nvPicPr>
                  <pic:blipFill>
                    <a:blip r:embed="rId82"/>
                    <a:srcRect l="3377" t="5562" r="6067" b="6423"/>
                    <a:stretch>
                      <a:fillRect/>
                    </a:stretch>
                  </pic:blipFill>
                  <pic:spPr>
                    <a:xfrm>
                      <a:off x="0" y="0"/>
                      <a:ext cx="6184265" cy="8350250"/>
                    </a:xfrm>
                    <a:prstGeom prst="rect">
                      <a:avLst/>
                    </a:prstGeom>
                  </pic:spPr>
                </pic:pic>
              </a:graphicData>
            </a:graphic>
          </wp:inline>
        </w:drawing>
      </w:r>
    </w:p>
    <w:p w14:paraId="6E39C1D3">
      <w:pPr>
        <w:spacing w:line="240" w:lineRule="auto"/>
        <w:ind w:firstLine="0" w:firstLineChars="0"/>
      </w:pPr>
      <w:r>
        <w:br w:type="page"/>
      </w:r>
    </w:p>
    <w:p w14:paraId="2ADB00BF">
      <w:pPr>
        <w:pStyle w:val="4"/>
      </w:pPr>
      <w:bookmarkStart w:id="544" w:name="_Toc647"/>
      <w:r>
        <w:t>附件8：专家意见修改说明</w:t>
      </w:r>
      <w:bookmarkEnd w:id="544"/>
    </w:p>
    <w:p w14:paraId="508D2F49">
      <w:pPr>
        <w:snapToGrid w:val="0"/>
        <w:jc w:val="center"/>
        <w:rPr>
          <w:rFonts w:hint="default" w:ascii="Times New Roman" w:hAnsi="Times New Roman" w:eastAsia="仿宋" w:cs="Times New Roman"/>
          <w:b/>
          <w:bCs/>
          <w:sz w:val="32"/>
          <w:szCs w:val="28"/>
        </w:rPr>
      </w:pPr>
      <w:bookmarkStart w:id="545" w:name="_Hlk185254423"/>
      <w:r>
        <w:rPr>
          <w:rFonts w:hint="default" w:ascii="Times New Roman" w:hAnsi="Times New Roman" w:eastAsia="仿宋" w:cs="Times New Roman"/>
          <w:b/>
          <w:bCs/>
          <w:sz w:val="32"/>
          <w:szCs w:val="28"/>
        </w:rPr>
        <w:t>《华润水泥（上思）有限公司龙大山矿区水泥用灰岩矿整合区详查实施方案》专家意见修改对照表</w:t>
      </w:r>
    </w:p>
    <w:p w14:paraId="5B470C4E">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rPr>
      </w:pPr>
      <w:r>
        <w:rPr>
          <w:rFonts w:hint="default" w:ascii="Times New Roman" w:hAnsi="Times New Roman" w:eastAsia="仿宋" w:cs="Times New Roman"/>
          <w:b/>
          <w:bCs/>
          <w:sz w:val="28"/>
          <w:szCs w:val="28"/>
          <w:lang w:val="en-US" w:eastAsia="zh-CN"/>
        </w:rPr>
        <w:t>王瑞湖</w:t>
      </w:r>
      <w:r>
        <w:rPr>
          <w:rFonts w:hint="default" w:ascii="Times New Roman" w:hAnsi="Times New Roman" w:eastAsia="仿宋" w:cs="Times New Roman"/>
          <w:b/>
          <w:bCs/>
          <w:sz w:val="28"/>
          <w:szCs w:val="28"/>
        </w:rPr>
        <w:t>专家：</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4253"/>
        <w:gridCol w:w="4221"/>
      </w:tblGrid>
      <w:tr w14:paraId="66D7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7" w:type="pct"/>
          </w:tcPr>
          <w:p w14:paraId="49CC198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序号</w:t>
            </w:r>
          </w:p>
        </w:tc>
        <w:tc>
          <w:tcPr>
            <w:tcW w:w="2290" w:type="pct"/>
          </w:tcPr>
          <w:p w14:paraId="7D4A4AA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专家意见</w:t>
            </w:r>
          </w:p>
        </w:tc>
        <w:tc>
          <w:tcPr>
            <w:tcW w:w="2272" w:type="pct"/>
          </w:tcPr>
          <w:p w14:paraId="13ACB02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修改情况</w:t>
            </w:r>
          </w:p>
        </w:tc>
      </w:tr>
      <w:tr w14:paraId="335B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000" w:type="pct"/>
            <w:gridSpan w:val="3"/>
          </w:tcPr>
          <w:p w14:paraId="7B9257D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rPr>
            </w:pPr>
            <w:r>
              <w:rPr>
                <w:rFonts w:hint="eastAsia" w:ascii="Times New Roman" w:hAnsi="Times New Roman" w:eastAsia="仿宋" w:cs="Times New Roman"/>
                <w:b/>
                <w:sz w:val="24"/>
                <w:szCs w:val="24"/>
                <w:lang w:val="en-US" w:eastAsia="zh-CN"/>
              </w:rPr>
              <w:t>文本</w:t>
            </w:r>
          </w:p>
        </w:tc>
      </w:tr>
      <w:tr w14:paraId="4A84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38F9F55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2290" w:type="pct"/>
          </w:tcPr>
          <w:p w14:paraId="0D0F7F99">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rPr>
            </w:pPr>
            <w:r>
              <w:rPr>
                <w:rFonts w:hint="default" w:ascii="Times New Roman" w:hAnsi="Times New Roman" w:eastAsia="仿宋" w:cs="Times New Roman"/>
                <w:color w:val="auto"/>
                <w:sz w:val="24"/>
                <w:szCs w:val="24"/>
              </w:rPr>
              <w:t>P10，以往地质工作情况。（1）建议补充2009年中建广西总队提交的龙大山矿区南矿段、北矿段详查报告投入的主要实物工作量，以及2016年三队提交的三化矿区详查报告和讲鱼山矿区核实报告投入的主要实物工作量、勘查类型及勘查工程网度；</w:t>
            </w:r>
            <w:r>
              <w:rPr>
                <w:rFonts w:hint="default" w:ascii="Times New Roman" w:hAnsi="Times New Roman" w:eastAsia="仿宋" w:cs="Times New Roman"/>
                <w:sz w:val="24"/>
                <w:szCs w:val="24"/>
              </w:rPr>
              <w:t>（2）P11</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拟设采矿权为原三个矿权整合而成，由于原矿山开采，矿体已基本裸露地表，拟设采矿权中心已形成一个长约1.29km，宽约1.10km不规则形态的历史采空区，开采标高在+ 344.98m~+506.80m</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该最低开采标高已超出现有采矿权最低开采标高（其中，北矿段开采证载开采标高为372.159m~563.739m，当前开采标高为344.98m~480.57m；南矿段开采证载开采标高为386m~504.7m，当前开采标高为357.45m~426.1m；讲鱼山开采证载开采标高为360m~563.22m，当前开采标高为425.29m~506.80m）。</w:t>
            </w:r>
          </w:p>
        </w:tc>
        <w:tc>
          <w:tcPr>
            <w:tcW w:w="2272" w:type="pct"/>
          </w:tcPr>
          <w:p w14:paraId="4D758DA4">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已按意见修改。（1）已补充</w:t>
            </w:r>
            <w:r>
              <w:rPr>
                <w:rFonts w:hint="default" w:ascii="Times New Roman" w:hAnsi="Times New Roman" w:eastAsia="仿宋" w:cs="Times New Roman"/>
                <w:b/>
                <w:bCs/>
                <w:sz w:val="24"/>
                <w:szCs w:val="24"/>
              </w:rPr>
              <w:t>2009年矿区南矿段、北矿段详查报告投入的主要实物工作量，以及</w:t>
            </w:r>
            <w:r>
              <w:rPr>
                <w:rFonts w:hint="eastAsia" w:ascii="Times New Roman" w:hAnsi="Times New Roman" w:eastAsia="仿宋" w:cs="Times New Roman"/>
                <w:b/>
                <w:bCs/>
                <w:sz w:val="24"/>
                <w:szCs w:val="24"/>
                <w:lang w:val="en-US" w:eastAsia="zh-CN"/>
              </w:rPr>
              <w:t>南、北矿段</w:t>
            </w:r>
            <w:r>
              <w:rPr>
                <w:rFonts w:hint="default" w:ascii="Times New Roman" w:hAnsi="Times New Roman" w:eastAsia="仿宋" w:cs="Times New Roman"/>
                <w:b/>
                <w:bCs/>
                <w:sz w:val="24"/>
                <w:szCs w:val="24"/>
              </w:rPr>
              <w:t>详查报告和讲鱼山矿区核实报告投入的主要实物工作量、勘查类型及勘查工程网度</w:t>
            </w:r>
            <w:r>
              <w:rPr>
                <w:rFonts w:hint="eastAsia" w:ascii="Times New Roman" w:hAnsi="Times New Roman" w:eastAsia="仿宋" w:cs="Times New Roman"/>
                <w:b/>
                <w:bCs/>
                <w:sz w:val="24"/>
                <w:szCs w:val="24"/>
                <w:lang w:eastAsia="zh-CN"/>
              </w:rPr>
              <w:t>，</w:t>
            </w:r>
            <w:r>
              <w:rPr>
                <w:rFonts w:hint="eastAsia" w:ascii="Times New Roman" w:hAnsi="Times New Roman" w:eastAsia="仿宋" w:cs="Times New Roman"/>
                <w:b/>
                <w:bCs/>
                <w:sz w:val="24"/>
                <w:szCs w:val="24"/>
                <w:lang w:val="en-US" w:eastAsia="zh-CN"/>
              </w:rPr>
              <w:t>详见P11、12</w:t>
            </w:r>
            <w:r>
              <w:rPr>
                <w:rFonts w:hint="default" w:ascii="Times New Roman" w:hAnsi="Times New Roman" w:eastAsia="仿宋" w:cs="Times New Roman"/>
                <w:b/>
                <w:bCs/>
                <w:sz w:val="24"/>
                <w:szCs w:val="24"/>
              </w:rPr>
              <w:t>；</w:t>
            </w:r>
            <w:r>
              <w:rPr>
                <w:rFonts w:hint="eastAsia" w:ascii="Times New Roman" w:hAnsi="Times New Roman" w:eastAsia="仿宋" w:cs="Times New Roman"/>
                <w:b/>
                <w:bCs/>
                <w:sz w:val="24"/>
                <w:szCs w:val="24"/>
                <w:lang w:val="en-US" w:eastAsia="zh-CN"/>
              </w:rPr>
              <w:t>（2）已核实修改，北矿段矿山实际开采标高应为+409.54m～+480.57m，南矿段为+409.95m～+426.81m，未低于采矿证标高</w:t>
            </w:r>
            <w:r>
              <w:rPr>
                <w:rFonts w:hint="eastAsia" w:ascii="Times New Roman" w:hAnsi="Times New Roman" w:eastAsia="仿宋" w:cs="Times New Roman"/>
                <w:b/>
                <w:bCs/>
                <w:sz w:val="24"/>
                <w:szCs w:val="24"/>
                <w:lang w:eastAsia="zh-CN"/>
              </w:rPr>
              <w:t>，</w:t>
            </w:r>
            <w:r>
              <w:rPr>
                <w:rFonts w:hint="eastAsia" w:ascii="Times New Roman" w:hAnsi="Times New Roman" w:eastAsia="仿宋" w:cs="Times New Roman"/>
                <w:b/>
                <w:bCs/>
                <w:sz w:val="24"/>
                <w:szCs w:val="24"/>
                <w:lang w:val="en-US" w:eastAsia="zh-CN"/>
              </w:rPr>
              <w:t>详见P13。</w:t>
            </w:r>
          </w:p>
        </w:tc>
      </w:tr>
      <w:tr w14:paraId="6105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1140DCA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2290" w:type="pct"/>
          </w:tcPr>
          <w:p w14:paraId="59A8AFD3">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P17，矿区地质</w:t>
            </w:r>
            <w:r>
              <w:rPr>
                <w:rFonts w:hint="default" w:ascii="Times New Roman" w:hAnsi="Times New Roman" w:eastAsia="仿宋" w:cs="Times New Roman"/>
                <w:color w:val="auto"/>
                <w:sz w:val="24"/>
                <w:szCs w:val="24"/>
              </w:rPr>
              <w:t>特征。（1）建议补充矿区含矿地层综合柱状图（插图），标明赋矿层位（马平组3个夹石、栖霞组1个夹石、茅口组无夹石）、矿体及夹石分布及厚度；</w:t>
            </w:r>
            <w:r>
              <w:rPr>
                <w:rFonts w:hint="default" w:ascii="Times New Roman" w:hAnsi="Times New Roman" w:eastAsia="仿宋" w:cs="Times New Roman"/>
                <w:sz w:val="24"/>
                <w:szCs w:val="24"/>
              </w:rPr>
              <w:t>（2）P19</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矿区共发育有南北向大三化断层</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F2</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和近东西向断层</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F3</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应修改为</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矿区共发育有近东西向正断层</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F2</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和近南北向大三化平移断层</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F3</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，其中F3断裂对矿层连续性有一定影响，建议加强调查研究。</w:t>
            </w:r>
          </w:p>
        </w:tc>
        <w:tc>
          <w:tcPr>
            <w:tcW w:w="2272" w:type="pct"/>
          </w:tcPr>
          <w:p w14:paraId="276F89B4">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已按意见修改。（1）已按意见补充含矿地层综合柱状图，详见P21。（2）已核实，矿区剖面图标注有误，南部的因为F3断层，西侧为F2断层。</w:t>
            </w:r>
          </w:p>
        </w:tc>
      </w:tr>
      <w:tr w14:paraId="145DD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0B42104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2290" w:type="pct"/>
          </w:tcPr>
          <w:p w14:paraId="2913B9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lang w:val="en-US" w:eastAsia="zh-CN"/>
              </w:rPr>
              <w:t>P29，勘查工作部署。（1）</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编制《华润水泥（上思）有限公司龙大山矿区水泥用灰岩矿详查报告》</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，该整合矿区前期已有大量开采，建议最终提交</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核实报告</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对办理采矿证更适用；（2）勘查类型及勘查工程间距，建议补充2009、2016年详查/核实确定的勘查类型（I类？）及采用的勘查工程间距（400×400m？），并对其有效性进行评价。</w:t>
            </w:r>
          </w:p>
        </w:tc>
        <w:tc>
          <w:tcPr>
            <w:tcW w:w="2272" w:type="pct"/>
          </w:tcPr>
          <w:p w14:paraId="12A218C0">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vertAlign w:val="baseline"/>
                <w:lang w:val="en-US" w:eastAsia="zh-CN"/>
              </w:rPr>
            </w:pPr>
            <w:r>
              <w:rPr>
                <w:rFonts w:hint="eastAsia" w:ascii="Times New Roman" w:hAnsi="Times New Roman" w:eastAsia="仿宋" w:cs="Times New Roman"/>
                <w:b/>
                <w:bCs/>
                <w:sz w:val="24"/>
                <w:szCs w:val="24"/>
                <w:vertAlign w:val="baseline"/>
                <w:lang w:val="en-US" w:eastAsia="zh-CN"/>
              </w:rPr>
              <w:t>已按意见修改。（1）已将最终提交报告修改为《广西上思县龙大山-讲鱼山矿区水泥用灰岩矿核实报告》；（2）已按意见补充2009、2016年详查/核实确定的勘查类型为I类及采用的勘查工程间距400×400m，并对其有效性进行评价，详见P33。</w:t>
            </w:r>
          </w:p>
        </w:tc>
      </w:tr>
      <w:tr w14:paraId="72DC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pct"/>
            <w:vAlign w:val="center"/>
          </w:tcPr>
          <w:p w14:paraId="3B8CACE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w:t>
            </w:r>
          </w:p>
        </w:tc>
        <w:tc>
          <w:tcPr>
            <w:tcW w:w="2290" w:type="pct"/>
          </w:tcPr>
          <w:p w14:paraId="27066237">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val="0"/>
                <w:bCs w:val="0"/>
                <w:color w:val="auto"/>
                <w:sz w:val="24"/>
                <w:szCs w:val="24"/>
                <w:lang w:eastAsia="zh-CN"/>
              </w:rPr>
            </w:pPr>
            <w:r>
              <w:rPr>
                <w:rFonts w:hint="default" w:ascii="Times New Roman" w:hAnsi="Times New Roman" w:eastAsia="仿宋" w:cs="Times New Roman"/>
                <w:b w:val="0"/>
                <w:bCs w:val="0"/>
                <w:color w:val="auto"/>
                <w:sz w:val="24"/>
                <w:szCs w:val="24"/>
                <w:lang w:eastAsia="zh-CN"/>
              </w:rPr>
              <w:t>P51，勘查工作技术要求，（1</w:t>
            </w:r>
            <w:r>
              <w:rPr>
                <w:rFonts w:hint="eastAsia" w:ascii="Times New Roman" w:hAnsi="Times New Roman" w:eastAsia="仿宋" w:cs="Times New Roman"/>
                <w:b w:val="0"/>
                <w:bCs w:val="0"/>
                <w:color w:val="auto"/>
                <w:sz w:val="24"/>
                <w:szCs w:val="24"/>
                <w:lang w:eastAsia="zh-CN"/>
              </w:rPr>
              <w:t>）“</w:t>
            </w:r>
            <w:r>
              <w:rPr>
                <w:rFonts w:hint="default" w:ascii="Times New Roman" w:hAnsi="Times New Roman" w:eastAsia="仿宋" w:cs="Times New Roman"/>
                <w:b w:val="0"/>
                <w:bCs w:val="0"/>
                <w:color w:val="auto"/>
                <w:sz w:val="24"/>
                <w:szCs w:val="24"/>
                <w:lang w:eastAsia="zh-CN"/>
              </w:rPr>
              <w:t>剥土中采用刻槽法，断面规格为10cm×5cm，样长为2m</w:t>
            </w:r>
            <w:r>
              <w:rPr>
                <w:rFonts w:hint="eastAsia" w:ascii="Times New Roman" w:hAnsi="Times New Roman" w:eastAsia="仿宋" w:cs="Times New Roman"/>
                <w:b w:val="0"/>
                <w:bCs w:val="0"/>
                <w:color w:val="auto"/>
                <w:sz w:val="24"/>
                <w:szCs w:val="24"/>
                <w:lang w:eastAsia="zh-CN"/>
              </w:rPr>
              <w:t>”</w:t>
            </w:r>
            <w:r>
              <w:rPr>
                <w:rFonts w:hint="default" w:ascii="Times New Roman" w:hAnsi="Times New Roman" w:eastAsia="仿宋" w:cs="Times New Roman"/>
                <w:b w:val="0"/>
                <w:bCs w:val="0"/>
                <w:color w:val="auto"/>
                <w:sz w:val="24"/>
                <w:szCs w:val="24"/>
                <w:lang w:eastAsia="zh-CN"/>
              </w:rPr>
              <w:t>，样槽规格偏大，建议采用10cm×3cm，如矿石质量均匀还可选择5cm×3cm</w:t>
            </w:r>
            <w:r>
              <w:rPr>
                <w:rFonts w:hint="eastAsia" w:ascii="Times New Roman" w:hAnsi="Times New Roman" w:eastAsia="仿宋" w:cs="Times New Roman"/>
                <w:b w:val="0"/>
                <w:bCs w:val="0"/>
                <w:color w:val="auto"/>
                <w:sz w:val="24"/>
                <w:szCs w:val="24"/>
                <w:lang w:eastAsia="zh-CN"/>
              </w:rPr>
              <w:t>；</w:t>
            </w:r>
            <w:r>
              <w:rPr>
                <w:rFonts w:hint="default" w:ascii="Times New Roman" w:hAnsi="Times New Roman" w:eastAsia="仿宋" w:cs="Times New Roman"/>
                <w:b w:val="0"/>
                <w:bCs w:val="0"/>
                <w:color w:val="auto"/>
                <w:sz w:val="24"/>
                <w:szCs w:val="24"/>
                <w:lang w:eastAsia="zh-CN"/>
              </w:rPr>
              <w:t>（2</w:t>
            </w:r>
            <w:r>
              <w:rPr>
                <w:rFonts w:hint="eastAsia" w:ascii="Times New Roman" w:hAnsi="Times New Roman" w:eastAsia="仿宋" w:cs="Times New Roman"/>
                <w:b w:val="0"/>
                <w:bCs w:val="0"/>
                <w:color w:val="auto"/>
                <w:sz w:val="24"/>
                <w:szCs w:val="24"/>
                <w:lang w:eastAsia="zh-CN"/>
              </w:rPr>
              <w:t>）</w:t>
            </w:r>
            <w:r>
              <w:rPr>
                <w:rFonts w:hint="default" w:ascii="Times New Roman" w:hAnsi="Times New Roman" w:eastAsia="仿宋" w:cs="Times New Roman"/>
                <w:b w:val="0"/>
                <w:bCs w:val="0"/>
                <w:color w:val="auto"/>
                <w:sz w:val="24"/>
                <w:szCs w:val="24"/>
                <w:lang w:eastAsia="zh-CN"/>
              </w:rPr>
              <w:t>P54样品加工流程图（图4-1）存在错误，过20目筛后应留出粗副样以备送内检分析。</w:t>
            </w:r>
          </w:p>
        </w:tc>
        <w:tc>
          <w:tcPr>
            <w:tcW w:w="2272" w:type="pct"/>
          </w:tcPr>
          <w:p w14:paraId="7C8E6866">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已按意见修改。（1）已将剥土采样断面规格改为</w:t>
            </w:r>
            <w:r>
              <w:rPr>
                <w:rFonts w:hint="default" w:ascii="Times New Roman" w:hAnsi="Times New Roman" w:eastAsia="仿宋" w:cs="Times New Roman"/>
                <w:b/>
                <w:bCs/>
                <w:color w:val="auto"/>
                <w:sz w:val="24"/>
                <w:szCs w:val="24"/>
                <w:lang w:eastAsia="zh-CN"/>
              </w:rPr>
              <w:t>10cm×3cm</w:t>
            </w:r>
            <w:r>
              <w:rPr>
                <w:rFonts w:hint="eastAsia" w:ascii="Times New Roman" w:hAnsi="Times New Roman" w:eastAsia="仿宋" w:cs="Times New Roman"/>
                <w:b/>
                <w:bCs/>
                <w:color w:val="auto"/>
                <w:sz w:val="24"/>
                <w:szCs w:val="24"/>
                <w:lang w:eastAsia="zh-CN"/>
              </w:rPr>
              <w:t>，</w:t>
            </w:r>
            <w:r>
              <w:rPr>
                <w:rFonts w:hint="eastAsia" w:ascii="Times New Roman" w:hAnsi="Times New Roman" w:eastAsia="仿宋" w:cs="Times New Roman"/>
                <w:b/>
                <w:bCs/>
                <w:color w:val="auto"/>
                <w:sz w:val="24"/>
                <w:szCs w:val="24"/>
                <w:lang w:val="en-US" w:eastAsia="zh-CN"/>
              </w:rPr>
              <w:t>详见P55</w:t>
            </w:r>
            <w:r>
              <w:rPr>
                <w:rFonts w:hint="eastAsia" w:ascii="Times New Roman" w:hAnsi="Times New Roman" w:eastAsia="仿宋" w:cs="Times New Roman"/>
                <w:b/>
                <w:bCs/>
                <w:color w:val="auto"/>
                <w:sz w:val="24"/>
                <w:szCs w:val="24"/>
                <w:lang w:eastAsia="zh-CN"/>
              </w:rPr>
              <w:t>；（</w:t>
            </w:r>
            <w:r>
              <w:rPr>
                <w:rFonts w:hint="eastAsia" w:ascii="Times New Roman" w:hAnsi="Times New Roman" w:eastAsia="仿宋" w:cs="Times New Roman"/>
                <w:b/>
                <w:bCs/>
                <w:color w:val="auto"/>
                <w:sz w:val="24"/>
                <w:szCs w:val="24"/>
                <w:lang w:val="en-US" w:eastAsia="zh-CN"/>
              </w:rPr>
              <w:t>2</w:t>
            </w:r>
            <w:r>
              <w:rPr>
                <w:rFonts w:hint="eastAsia" w:ascii="Times New Roman" w:hAnsi="Times New Roman" w:eastAsia="仿宋" w:cs="Times New Roman"/>
                <w:b/>
                <w:bCs/>
                <w:color w:val="auto"/>
                <w:sz w:val="24"/>
                <w:szCs w:val="24"/>
                <w:lang w:eastAsia="zh-CN"/>
              </w:rPr>
              <w:t>）</w:t>
            </w:r>
            <w:r>
              <w:rPr>
                <w:rFonts w:hint="default" w:ascii="Times New Roman" w:hAnsi="Times New Roman" w:eastAsia="仿宋" w:cs="Times New Roman"/>
                <w:b/>
                <w:bCs/>
                <w:color w:val="auto"/>
                <w:sz w:val="24"/>
                <w:szCs w:val="24"/>
                <w:lang w:eastAsia="zh-CN"/>
              </w:rPr>
              <w:t>样品加工流程</w:t>
            </w:r>
            <w:r>
              <w:rPr>
                <w:rFonts w:hint="eastAsia" w:ascii="Times New Roman" w:hAnsi="Times New Roman" w:eastAsia="仿宋" w:cs="Times New Roman"/>
                <w:b/>
                <w:bCs/>
                <w:color w:val="auto"/>
                <w:sz w:val="24"/>
                <w:szCs w:val="24"/>
                <w:lang w:val="en-US" w:eastAsia="zh-CN"/>
              </w:rPr>
              <w:t>已修改，详见P60</w:t>
            </w:r>
            <w:r>
              <w:rPr>
                <w:rFonts w:hint="default" w:ascii="Times New Roman" w:hAnsi="Times New Roman" w:eastAsia="仿宋" w:cs="Times New Roman"/>
                <w:b/>
                <w:bCs/>
                <w:color w:val="auto"/>
                <w:sz w:val="24"/>
                <w:szCs w:val="24"/>
                <w:lang w:eastAsia="zh-CN"/>
              </w:rPr>
              <w:t>。</w:t>
            </w:r>
          </w:p>
        </w:tc>
      </w:tr>
      <w:tr w14:paraId="29CD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4B5766D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5</w:t>
            </w:r>
          </w:p>
        </w:tc>
        <w:tc>
          <w:tcPr>
            <w:tcW w:w="2290" w:type="pct"/>
          </w:tcPr>
          <w:p w14:paraId="5C25A954">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仿宋" w:cs="Times New Roman"/>
                <w:sz w:val="24"/>
                <w:szCs w:val="24"/>
                <w:lang w:eastAsia="zh-CN"/>
              </w:rPr>
            </w:pPr>
            <w:r>
              <w:rPr>
                <w:rFonts w:hint="default" w:ascii="Times New Roman" w:hAnsi="Times New Roman" w:eastAsia="仿宋" w:cs="Times New Roman"/>
                <w:sz w:val="24"/>
                <w:szCs w:val="24"/>
              </w:rPr>
              <w:t>P64，预期成果。建议将</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2026年10月底提交《华润水泥（上思）有限公司龙大山矿区水泥用灰岩矿整合区详查报告》成果报告及相关附图、附表及附件</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修改为</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2026年10月底提交《广西上思县龙大山一讲鱼山矿区水泥用灰岩矿核实报告》及相关附图、附表、附件</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w:t>
            </w:r>
          </w:p>
        </w:tc>
        <w:tc>
          <w:tcPr>
            <w:tcW w:w="2272" w:type="pct"/>
          </w:tcPr>
          <w:p w14:paraId="1F1C38D9">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已按意见修改。已将预期成果报告修改为《广西上思县龙大山一讲鱼山矿区水泥用灰岩矿核实报告》，详见P73。</w:t>
            </w:r>
          </w:p>
        </w:tc>
      </w:tr>
      <w:tr w14:paraId="03ED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14:paraId="330EBC1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附图</w:t>
            </w:r>
          </w:p>
        </w:tc>
      </w:tr>
      <w:tr w14:paraId="14AF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0ADACC4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6</w:t>
            </w:r>
          </w:p>
        </w:tc>
        <w:tc>
          <w:tcPr>
            <w:tcW w:w="2290" w:type="pct"/>
          </w:tcPr>
          <w:p w14:paraId="18A133CC">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附图1（区域地质图），该图在矿区范围内主要出露地层（马平组、栖霞</w:t>
            </w:r>
          </w:p>
          <w:p w14:paraId="7C790E89">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组、茅口组及合山组）的宽度、面积与矿区地质图（附图2</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大多不一致，应利用矿区详细资料对区域地质图进行修正。</w:t>
            </w:r>
          </w:p>
        </w:tc>
        <w:tc>
          <w:tcPr>
            <w:tcW w:w="2272" w:type="pct"/>
          </w:tcPr>
          <w:p w14:paraId="4CC114CA">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已按意见修正区域地质图，详见附图01。</w:t>
            </w:r>
          </w:p>
        </w:tc>
      </w:tr>
      <w:tr w14:paraId="51B2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117F7D3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7</w:t>
            </w:r>
          </w:p>
        </w:tc>
        <w:tc>
          <w:tcPr>
            <w:tcW w:w="2290" w:type="pct"/>
          </w:tcPr>
          <w:p w14:paraId="66A7DAFA">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2</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附图2（工程部署图</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，①补充原来3个采矿权的拐点编号（可用不同数</w:t>
            </w:r>
          </w:p>
          <w:p w14:paraId="32E475FE">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字或颜色区别）及拐点坐标表，并与文本保持一致；②补充相应图例；③补充前人详查/核实已施工完成的槽探/剥土和钻探工程；④07线钻孔编号重复，应将南部的ZK7001修改为ZK7002，同时修改资源量预估算图。</w:t>
            </w:r>
          </w:p>
        </w:tc>
        <w:tc>
          <w:tcPr>
            <w:tcW w:w="2272" w:type="pct"/>
          </w:tcPr>
          <w:p w14:paraId="42DA1D37">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已按意见修改，详见附图02。（1）已补充原采矿权编号；（2）已补充相应图例；（3）已补充前人详查施工已完成的钻孔；（4）已将</w:t>
            </w:r>
            <w:r>
              <w:rPr>
                <w:rFonts w:hint="default" w:ascii="Times New Roman" w:hAnsi="Times New Roman" w:eastAsia="仿宋" w:cs="Times New Roman"/>
                <w:b/>
                <w:bCs/>
                <w:sz w:val="24"/>
                <w:szCs w:val="24"/>
                <w:lang w:val="en-US" w:eastAsia="zh-CN"/>
              </w:rPr>
              <w:t>南部的ZK7001修改为ZK702</w:t>
            </w:r>
            <w:r>
              <w:rPr>
                <w:rFonts w:hint="eastAsia" w:ascii="Times New Roman" w:hAnsi="Times New Roman" w:eastAsia="仿宋" w:cs="Times New Roman"/>
                <w:b/>
                <w:bCs/>
                <w:sz w:val="24"/>
                <w:szCs w:val="24"/>
                <w:lang w:val="en-US" w:eastAsia="zh-CN"/>
              </w:rPr>
              <w:t>，资源量已同步修改</w:t>
            </w:r>
            <w:r>
              <w:rPr>
                <w:rFonts w:hint="eastAsia" w:ascii="Times New Roman" w:hAnsi="Times New Roman" w:eastAsia="仿宋" w:cs="Times New Roman"/>
                <w:sz w:val="24"/>
                <w:szCs w:val="24"/>
                <w:lang w:val="en-US" w:eastAsia="zh-CN"/>
              </w:rPr>
              <w:t>。</w:t>
            </w:r>
          </w:p>
        </w:tc>
      </w:tr>
      <w:tr w14:paraId="4284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0865027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8</w:t>
            </w:r>
          </w:p>
        </w:tc>
        <w:tc>
          <w:tcPr>
            <w:tcW w:w="2290" w:type="pct"/>
          </w:tcPr>
          <w:p w14:paraId="27E362E3">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（3</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附图3-6（设计剖面图），①放大表示设计的剥土工程，如BT0001、BT</w:t>
            </w:r>
            <w:r>
              <w:rPr>
                <w:rFonts w:hint="eastAsia" w:ascii="Times New Roman" w:hAnsi="Times New Roman" w:eastAsia="仿宋" w:cs="Times New Roman"/>
                <w:sz w:val="24"/>
                <w:szCs w:val="24"/>
                <w:lang w:val="en-US" w:eastAsia="zh-CN"/>
              </w:rPr>
              <w:t>0</w:t>
            </w:r>
            <w:r>
              <w:rPr>
                <w:rFonts w:hint="default" w:ascii="Times New Roman" w:hAnsi="Times New Roman" w:eastAsia="仿宋" w:cs="Times New Roman"/>
                <w:sz w:val="24"/>
                <w:szCs w:val="24"/>
                <w:lang w:val="en-US" w:eastAsia="zh-CN"/>
              </w:rPr>
              <w:t>401、BT</w:t>
            </w:r>
            <w:r>
              <w:rPr>
                <w:rFonts w:hint="eastAsia" w:ascii="Times New Roman" w:hAnsi="Times New Roman" w:eastAsia="仿宋" w:cs="Times New Roman"/>
                <w:sz w:val="24"/>
                <w:szCs w:val="24"/>
                <w:lang w:val="en-US" w:eastAsia="zh-CN"/>
              </w:rPr>
              <w:t>0</w:t>
            </w:r>
            <w:r>
              <w:rPr>
                <w:rFonts w:hint="default" w:ascii="Times New Roman" w:hAnsi="Times New Roman" w:eastAsia="仿宋" w:cs="Times New Roman"/>
                <w:sz w:val="24"/>
                <w:szCs w:val="24"/>
                <w:lang w:val="en-US" w:eastAsia="zh-CN"/>
              </w:rPr>
              <w:t>301、BT</w:t>
            </w:r>
            <w:r>
              <w:rPr>
                <w:rFonts w:hint="eastAsia" w:ascii="Times New Roman" w:hAnsi="Times New Roman" w:eastAsia="仿宋" w:cs="Times New Roman"/>
                <w:sz w:val="24"/>
                <w:szCs w:val="24"/>
                <w:lang w:val="en-US" w:eastAsia="zh-CN"/>
              </w:rPr>
              <w:t>0</w:t>
            </w:r>
            <w:r>
              <w:rPr>
                <w:rFonts w:hint="default" w:ascii="Times New Roman" w:hAnsi="Times New Roman" w:eastAsia="仿宋" w:cs="Times New Roman"/>
                <w:sz w:val="24"/>
                <w:szCs w:val="24"/>
                <w:lang w:val="en-US" w:eastAsia="zh-CN"/>
              </w:rPr>
              <w:t>701；②将设计的控制资源量与推断资源量估算范围用不同颜色区别表示；③07线上设计剥土应为BT</w:t>
            </w:r>
            <w:r>
              <w:rPr>
                <w:rFonts w:hint="eastAsia" w:ascii="Times New Roman" w:hAnsi="Times New Roman" w:eastAsia="仿宋" w:cs="Times New Roman"/>
                <w:sz w:val="24"/>
                <w:szCs w:val="24"/>
                <w:lang w:val="en-US" w:eastAsia="zh-CN"/>
              </w:rPr>
              <w:t>0</w:t>
            </w:r>
            <w:r>
              <w:rPr>
                <w:rFonts w:hint="default" w:ascii="Times New Roman" w:hAnsi="Times New Roman" w:eastAsia="仿宋" w:cs="Times New Roman"/>
                <w:sz w:val="24"/>
                <w:szCs w:val="24"/>
                <w:lang w:val="en-US" w:eastAsia="zh-CN"/>
              </w:rPr>
              <w:t>701（不是BT</w:t>
            </w:r>
            <w:r>
              <w:rPr>
                <w:rFonts w:hint="eastAsia" w:ascii="Times New Roman" w:hAnsi="Times New Roman" w:eastAsia="仿宋" w:cs="Times New Roman"/>
                <w:sz w:val="24"/>
                <w:szCs w:val="24"/>
                <w:lang w:val="en-US" w:eastAsia="zh-CN"/>
              </w:rPr>
              <w:t>0</w:t>
            </w:r>
            <w:r>
              <w:rPr>
                <w:rFonts w:hint="default" w:ascii="Times New Roman" w:hAnsi="Times New Roman" w:eastAsia="仿宋" w:cs="Times New Roman"/>
                <w:sz w:val="24"/>
                <w:szCs w:val="24"/>
                <w:lang w:val="en-US" w:eastAsia="zh-CN"/>
              </w:rPr>
              <w:t>702</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，建议补齐该剥土北西部分采样工作（虽然该部超出了拟整合矿区范围，但仍处于原采矿权范围内），以便估算控制资源</w:t>
            </w:r>
            <w:r>
              <w:rPr>
                <w:rFonts w:hint="eastAsia" w:ascii="Times New Roman" w:hAnsi="Times New Roman" w:eastAsia="仿宋" w:cs="Times New Roman"/>
                <w:sz w:val="24"/>
                <w:szCs w:val="24"/>
                <w:lang w:val="en-US" w:eastAsia="zh-CN"/>
              </w:rPr>
              <w:t>。</w:t>
            </w:r>
          </w:p>
          <w:p w14:paraId="25C4AA40">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量；</w:t>
            </w:r>
          </w:p>
        </w:tc>
        <w:tc>
          <w:tcPr>
            <w:tcW w:w="2272" w:type="pct"/>
          </w:tcPr>
          <w:p w14:paraId="14DFD19C">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已按意见修改，详见附图3-6。（1）已放大表示剥土工程；（2）将控制资源量与推断资源量用不同的颜色表示；（3）已将7线上的剥土工程修改为BT701；BT701已补充北西部的采样工作。</w:t>
            </w:r>
          </w:p>
        </w:tc>
      </w:tr>
      <w:tr w14:paraId="6960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761E57A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9</w:t>
            </w:r>
          </w:p>
        </w:tc>
        <w:tc>
          <w:tcPr>
            <w:tcW w:w="2290" w:type="pct"/>
          </w:tcPr>
          <w:p w14:paraId="18A385A7">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（4）建议补充2009年中建广西总队提交的龙大山矿区南矿段、北矿段详查报告，以及2016年三队提交的三化矿区详查报告和讲鱼山矿区核实报告评审意见及备案证明附件</w:t>
            </w:r>
            <w:r>
              <w:rPr>
                <w:rFonts w:hint="eastAsia" w:ascii="Times New Roman" w:hAnsi="Times New Roman" w:eastAsia="仿宋" w:cs="Times New Roman"/>
                <w:color w:val="auto"/>
                <w:sz w:val="24"/>
                <w:szCs w:val="24"/>
                <w:lang w:val="en-US" w:eastAsia="zh-CN"/>
              </w:rPr>
              <w:t>。</w:t>
            </w:r>
          </w:p>
        </w:tc>
        <w:tc>
          <w:tcPr>
            <w:tcW w:w="2272" w:type="pct"/>
          </w:tcPr>
          <w:p w14:paraId="0C617C67">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color w:val="auto"/>
                <w:sz w:val="24"/>
                <w:szCs w:val="24"/>
                <w:lang w:val="en-US" w:eastAsia="zh-CN"/>
              </w:rPr>
            </w:pPr>
            <w:r>
              <w:rPr>
                <w:rFonts w:hint="eastAsia" w:ascii="Times New Roman" w:hAnsi="Times New Roman" w:eastAsia="仿宋" w:cs="Times New Roman"/>
                <w:b/>
                <w:bCs/>
                <w:color w:val="auto"/>
                <w:sz w:val="24"/>
                <w:szCs w:val="24"/>
                <w:lang w:val="en-US" w:eastAsia="zh-CN"/>
              </w:rPr>
              <w:t>已按意见补充南矿段、北矿段、讲鱼山矿山详查报告/</w:t>
            </w:r>
            <w:r>
              <w:rPr>
                <w:rFonts w:hint="default" w:ascii="Times New Roman" w:hAnsi="Times New Roman" w:eastAsia="仿宋" w:cs="Times New Roman"/>
                <w:b/>
                <w:bCs/>
                <w:color w:val="auto"/>
                <w:sz w:val="24"/>
                <w:szCs w:val="24"/>
                <w:lang w:val="en-US" w:eastAsia="zh-CN"/>
              </w:rPr>
              <w:t>核实报告评审意见及备案证明附件</w:t>
            </w:r>
            <w:r>
              <w:rPr>
                <w:rFonts w:hint="eastAsia" w:ascii="Times New Roman" w:hAnsi="Times New Roman" w:eastAsia="仿宋" w:cs="Times New Roman"/>
                <w:b/>
                <w:bCs/>
                <w:color w:val="auto"/>
                <w:sz w:val="24"/>
                <w:szCs w:val="24"/>
                <w:lang w:val="en-US" w:eastAsia="zh-CN"/>
              </w:rPr>
              <w:t>。</w:t>
            </w:r>
          </w:p>
        </w:tc>
      </w:tr>
      <w:bookmarkEnd w:id="545"/>
    </w:tbl>
    <w:p w14:paraId="62C16800">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ascii="Times New Roman" w:hAnsi="Times New Roman" w:eastAsia="宋体" w:cs="Times New Roman"/>
          <w:sz w:val="24"/>
          <w:szCs w:val="24"/>
        </w:rPr>
        <w:sectPr>
          <w:pgSz w:w="11906" w:h="16838"/>
          <w:pgMar w:top="1418" w:right="1418" w:bottom="1418" w:left="1418" w:header="851" w:footer="992" w:gutter="0"/>
          <w:cols w:space="425" w:num="1"/>
          <w:docGrid w:type="lines" w:linePitch="312" w:charSpace="0"/>
        </w:sectPr>
      </w:pPr>
    </w:p>
    <w:p w14:paraId="0F574A42">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ascii="Times New Roman" w:hAnsi="Times New Roman" w:eastAsia="宋体" w:cs="Times New Roman"/>
          <w:sz w:val="24"/>
          <w:szCs w:val="24"/>
        </w:rPr>
      </w:pPr>
      <w:r>
        <w:rPr>
          <w:rFonts w:hint="eastAsia" w:ascii="Times New Roman" w:hAnsi="Times New Roman" w:eastAsia="宋体" w:cs="Times New Roman"/>
          <w:b/>
          <w:bCs/>
          <w:sz w:val="28"/>
          <w:szCs w:val="28"/>
          <w:lang w:val="en-US" w:eastAsia="zh-CN"/>
        </w:rPr>
        <w:t>张厚云</w:t>
      </w:r>
      <w:r>
        <w:rPr>
          <w:rFonts w:ascii="Times New Roman" w:hAnsi="Times New Roman" w:eastAsia="宋体" w:cs="Times New Roman"/>
          <w:b/>
          <w:bCs/>
          <w:sz w:val="28"/>
          <w:szCs w:val="28"/>
        </w:rPr>
        <w:t>专家：</w:t>
      </w:r>
    </w:p>
    <w:tbl>
      <w:tblPr>
        <w:tblStyle w:val="33"/>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1"/>
        <w:gridCol w:w="4255"/>
        <w:gridCol w:w="4220"/>
      </w:tblGrid>
      <w:tr w14:paraId="57C3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27" w:type="pct"/>
          </w:tcPr>
          <w:p w14:paraId="7321E08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序号</w:t>
            </w:r>
          </w:p>
        </w:tc>
        <w:tc>
          <w:tcPr>
            <w:tcW w:w="2295" w:type="pct"/>
          </w:tcPr>
          <w:p w14:paraId="3795D93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专家意见</w:t>
            </w:r>
          </w:p>
        </w:tc>
        <w:tc>
          <w:tcPr>
            <w:tcW w:w="2276" w:type="pct"/>
          </w:tcPr>
          <w:p w14:paraId="789CCAF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修改情况</w:t>
            </w:r>
          </w:p>
        </w:tc>
      </w:tr>
      <w:tr w14:paraId="2499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pct"/>
            <w:vAlign w:val="center"/>
          </w:tcPr>
          <w:p w14:paraId="1325731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2295" w:type="pct"/>
          </w:tcPr>
          <w:p w14:paraId="26660A1B">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三个矿区的整合涉及两个矿种，讲鱼山为建筑石料，因此建议增加建筑石料类规范并增加针对建筑石料测试工作量到至少6件，（包括碱集料反应）。</w:t>
            </w:r>
          </w:p>
        </w:tc>
        <w:tc>
          <w:tcPr>
            <w:tcW w:w="2276" w:type="pct"/>
          </w:tcPr>
          <w:p w14:paraId="565A2F80">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已按意见修改，补充规范《矿产地质勘查规范 建筑用石料类》（DZT 0341-2020），详见P1</w:t>
            </w:r>
            <w:r>
              <w:rPr>
                <w:rFonts w:hint="eastAsia" w:ascii="Times New Roman" w:hAnsi="Times New Roman" w:eastAsia="仿宋" w:cs="Times New Roman"/>
                <w:b/>
                <w:bCs/>
                <w:sz w:val="24"/>
                <w:szCs w:val="24"/>
                <w:lang w:val="en-US" w:eastAsia="zh-CN"/>
              </w:rPr>
              <w:t>5</w:t>
            </w:r>
            <w:r>
              <w:rPr>
                <w:rFonts w:hint="default" w:ascii="Times New Roman" w:hAnsi="Times New Roman" w:eastAsia="仿宋" w:cs="Times New Roman"/>
                <w:b/>
                <w:bCs/>
                <w:sz w:val="24"/>
                <w:szCs w:val="24"/>
                <w:lang w:val="en-US" w:eastAsia="zh-CN"/>
              </w:rPr>
              <w:t>；针对建筑石料测试工作量已增加为6件,详见P3</w:t>
            </w:r>
            <w:r>
              <w:rPr>
                <w:rFonts w:hint="eastAsia" w:ascii="Times New Roman" w:hAnsi="Times New Roman" w:eastAsia="仿宋" w:cs="Times New Roman"/>
                <w:b/>
                <w:bCs/>
                <w:sz w:val="24"/>
                <w:szCs w:val="24"/>
                <w:lang w:val="en-US" w:eastAsia="zh-CN"/>
              </w:rPr>
              <w:t>8</w:t>
            </w:r>
            <w:r>
              <w:rPr>
                <w:rFonts w:hint="default" w:ascii="Times New Roman" w:hAnsi="Times New Roman" w:eastAsia="仿宋" w:cs="Times New Roman"/>
                <w:b/>
                <w:bCs/>
                <w:sz w:val="24"/>
                <w:szCs w:val="24"/>
                <w:lang w:val="en-US" w:eastAsia="zh-CN"/>
              </w:rPr>
              <w:t>。</w:t>
            </w:r>
          </w:p>
        </w:tc>
      </w:tr>
      <w:tr w14:paraId="34B7E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7" w:type="pct"/>
            <w:vAlign w:val="center"/>
          </w:tcPr>
          <w:p w14:paraId="657ADA2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w:t>
            </w:r>
          </w:p>
        </w:tc>
        <w:tc>
          <w:tcPr>
            <w:tcW w:w="2295" w:type="pct"/>
            <w:vAlign w:val="center"/>
          </w:tcPr>
          <w:p w14:paraId="66EB0E4B">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t>作为在产矿山因其前期已经施工了十多个钻孔，已控制了层位可适当利用，新增钻孔可适当考虑这一因素后结合剖面图优化孔位</w:t>
            </w:r>
            <w:r>
              <w:rPr>
                <w:rFonts w:hint="eastAsia" w:ascii="Times New Roman" w:hAnsi="Times New Roman" w:eastAsia="仿宋" w:cs="Times New Roman"/>
                <w:color w:val="auto"/>
                <w:sz w:val="24"/>
                <w:szCs w:val="24"/>
                <w:lang w:eastAsia="zh-CN"/>
              </w:rPr>
              <w:t>。</w:t>
            </w:r>
          </w:p>
        </w:tc>
        <w:tc>
          <w:tcPr>
            <w:tcW w:w="2276" w:type="pct"/>
          </w:tcPr>
          <w:p w14:paraId="0B0E429B">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已按意见结合前期施工钻孔，对本次钻孔布置进行优化。</w:t>
            </w:r>
          </w:p>
        </w:tc>
      </w:tr>
      <w:tr w14:paraId="7594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pct"/>
            <w:vAlign w:val="center"/>
          </w:tcPr>
          <w:p w14:paraId="3565DA1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2295" w:type="pct"/>
          </w:tcPr>
          <w:p w14:paraId="4320D249">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岩性为紫红色细砂岩、粉砂岩、泥岩，砂质结构、泥质粉砂结构，中-薄层状。适当安排测试看其是否可利用作水泥配料加以利用，也可减少弃土堆放量。</w:t>
            </w:r>
          </w:p>
        </w:tc>
        <w:tc>
          <w:tcPr>
            <w:tcW w:w="2276" w:type="pct"/>
          </w:tcPr>
          <w:p w14:paraId="3E0E96EB">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color w:val="auto"/>
                <w:sz w:val="24"/>
                <w:szCs w:val="24"/>
                <w:lang w:val="en-US" w:eastAsia="zh-CN"/>
              </w:rPr>
            </w:pPr>
            <w:r>
              <w:rPr>
                <w:rFonts w:hint="eastAsia" w:ascii="Times New Roman" w:hAnsi="Times New Roman" w:eastAsia="仿宋" w:cs="Times New Roman"/>
                <w:b/>
                <w:bCs/>
                <w:color w:val="auto"/>
                <w:sz w:val="24"/>
                <w:szCs w:val="24"/>
                <w:lang w:val="en-US" w:eastAsia="zh-CN"/>
              </w:rPr>
              <w:t>已按意见补充针对水泥配料取样测试。详见P60。</w:t>
            </w:r>
          </w:p>
        </w:tc>
      </w:tr>
      <w:tr w14:paraId="3D7C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pct"/>
            <w:vAlign w:val="center"/>
          </w:tcPr>
          <w:p w14:paraId="12BE92B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w:t>
            </w:r>
          </w:p>
        </w:tc>
        <w:tc>
          <w:tcPr>
            <w:tcW w:w="2295" w:type="pct"/>
          </w:tcPr>
          <w:p w14:paraId="118970F1">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rPr>
              <w:t>补充槽探工程布置一览表，根据地层产状，从获取控制资源量出发局部的工程布置可超出矿区范围，结合剖面图优化。如地表刻槽样是按槽探工程取样，样长可按2</w:t>
            </w: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4米（真厚度）并明确样槽规格等。</w:t>
            </w:r>
          </w:p>
        </w:tc>
        <w:tc>
          <w:tcPr>
            <w:tcW w:w="2276" w:type="pct"/>
          </w:tcPr>
          <w:p w14:paraId="7BEDBCD4">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已按意见修改。（1）槽探工程一览表已存在，详见P3</w:t>
            </w:r>
            <w:r>
              <w:rPr>
                <w:rFonts w:hint="eastAsia" w:ascii="Times New Roman" w:hAnsi="Times New Roman" w:eastAsia="仿宋" w:cs="Times New Roman"/>
                <w:b/>
                <w:bCs/>
                <w:sz w:val="24"/>
                <w:szCs w:val="24"/>
                <w:lang w:val="en-US" w:eastAsia="zh-CN"/>
              </w:rPr>
              <w:t>5</w:t>
            </w:r>
            <w:r>
              <w:rPr>
                <w:rFonts w:hint="default" w:ascii="Times New Roman" w:hAnsi="Times New Roman" w:eastAsia="仿宋" w:cs="Times New Roman"/>
                <w:b/>
                <w:bCs/>
                <w:sz w:val="24"/>
                <w:szCs w:val="24"/>
                <w:lang w:val="en-US" w:eastAsia="zh-CN"/>
              </w:rPr>
              <w:t>表</w:t>
            </w:r>
            <w:r>
              <w:rPr>
                <w:rFonts w:hint="eastAsia" w:ascii="Times New Roman" w:hAnsi="Times New Roman" w:eastAsia="仿宋" w:cs="Times New Roman"/>
                <w:b/>
                <w:bCs/>
                <w:sz w:val="24"/>
                <w:szCs w:val="24"/>
                <w:lang w:val="en-US" w:eastAsia="zh-CN"/>
              </w:rPr>
              <w:t>3-2</w:t>
            </w:r>
            <w:r>
              <w:rPr>
                <w:rFonts w:hint="default" w:ascii="Times New Roman" w:hAnsi="Times New Roman" w:eastAsia="仿宋" w:cs="Times New Roman"/>
                <w:b/>
                <w:bCs/>
                <w:sz w:val="24"/>
                <w:szCs w:val="24"/>
                <w:lang w:val="en-US" w:eastAsia="zh-CN"/>
              </w:rPr>
              <w:t>；（2）BT701已补充西北部剥土工作</w:t>
            </w:r>
            <w:r>
              <w:rPr>
                <w:rFonts w:hint="default" w:ascii="Times New Roman" w:hAnsi="Times New Roman" w:eastAsia="仿宋" w:cs="Times New Roman"/>
                <w:b/>
                <w:bCs/>
                <w:sz w:val="24"/>
                <w:szCs w:val="24"/>
                <w:lang w:eastAsia="zh-CN"/>
              </w:rPr>
              <w:t>，</w:t>
            </w:r>
            <w:r>
              <w:rPr>
                <w:rFonts w:hint="default" w:ascii="Times New Roman" w:hAnsi="Times New Roman" w:eastAsia="仿宋" w:cs="Times New Roman"/>
                <w:b/>
                <w:bCs/>
                <w:sz w:val="24"/>
                <w:szCs w:val="24"/>
                <w:lang w:val="en-US" w:eastAsia="zh-CN"/>
              </w:rPr>
              <w:t>详见附图02；（3）设计槽探工程取样样长为4m，样槽规格为10cm×3cm，详见P</w:t>
            </w:r>
            <w:r>
              <w:rPr>
                <w:rFonts w:hint="eastAsia" w:ascii="Times New Roman" w:hAnsi="Times New Roman" w:eastAsia="仿宋" w:cs="Times New Roman"/>
                <w:b/>
                <w:bCs/>
                <w:sz w:val="24"/>
                <w:szCs w:val="24"/>
                <w:lang w:val="en-US" w:eastAsia="zh-CN"/>
              </w:rPr>
              <w:t>60</w:t>
            </w:r>
            <w:r>
              <w:rPr>
                <w:rFonts w:hint="default" w:ascii="Times New Roman" w:hAnsi="Times New Roman" w:eastAsia="仿宋" w:cs="Times New Roman"/>
                <w:b/>
                <w:bCs/>
                <w:sz w:val="24"/>
                <w:szCs w:val="24"/>
                <w:lang w:val="en-US" w:eastAsia="zh-CN"/>
              </w:rPr>
              <w:t>。</w:t>
            </w:r>
          </w:p>
        </w:tc>
      </w:tr>
      <w:tr w14:paraId="57A5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pct"/>
            <w:vAlign w:val="center"/>
          </w:tcPr>
          <w:p w14:paraId="0498E9C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5</w:t>
            </w:r>
          </w:p>
        </w:tc>
        <w:tc>
          <w:tcPr>
            <w:tcW w:w="2295" w:type="pct"/>
          </w:tcPr>
          <w:p w14:paraId="08A89B7E">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设计剖面图中存在偏离勘探线情况的以虚线在剖面图上钻孔所在位置地形线，在平面图上标注其位置（偏离）。</w:t>
            </w:r>
          </w:p>
        </w:tc>
        <w:tc>
          <w:tcPr>
            <w:tcW w:w="2276" w:type="pct"/>
          </w:tcPr>
          <w:p w14:paraId="5174E4A0">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已按意见修改，将钻孔都布置在勘探线上，详见附图02。</w:t>
            </w:r>
          </w:p>
        </w:tc>
      </w:tr>
    </w:tbl>
    <w:p w14:paraId="35CE2B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ascii="Times New Roman" w:hAnsi="Times New Roman" w:eastAsia="宋体" w:cs="Times New Roman"/>
          <w:sz w:val="24"/>
          <w:szCs w:val="24"/>
        </w:rPr>
      </w:pPr>
    </w:p>
    <w:p w14:paraId="12E0DC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ascii="Times New Roman" w:hAnsi="Times New Roman" w:eastAsia="宋体" w:cs="Times New Roman"/>
          <w:sz w:val="24"/>
          <w:szCs w:val="24"/>
        </w:rPr>
        <w:sectPr>
          <w:pgSz w:w="11906" w:h="16838"/>
          <w:pgMar w:top="1418" w:right="1418" w:bottom="1418" w:left="1418" w:header="851" w:footer="992" w:gutter="0"/>
          <w:cols w:space="425" w:num="1"/>
          <w:docGrid w:type="lines" w:linePitch="312" w:charSpace="0"/>
        </w:sectPr>
      </w:pPr>
    </w:p>
    <w:p w14:paraId="1E364435">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8"/>
          <w:szCs w:val="28"/>
        </w:rPr>
      </w:pPr>
      <w:r>
        <w:rPr>
          <w:rFonts w:hint="eastAsia" w:ascii="Times New Roman" w:hAnsi="Times New Roman" w:eastAsia="仿宋" w:cs="Times New Roman"/>
          <w:b/>
          <w:bCs/>
          <w:sz w:val="28"/>
          <w:szCs w:val="28"/>
          <w:lang w:val="en-US" w:eastAsia="zh-CN"/>
        </w:rPr>
        <w:t>蒙永励</w:t>
      </w:r>
      <w:r>
        <w:rPr>
          <w:rFonts w:hint="default" w:ascii="Times New Roman" w:hAnsi="Times New Roman" w:eastAsia="仿宋" w:cs="Times New Roman"/>
          <w:b/>
          <w:bCs/>
          <w:sz w:val="28"/>
          <w:szCs w:val="28"/>
        </w:rPr>
        <w:t>专家：</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4254"/>
        <w:gridCol w:w="4220"/>
      </w:tblGrid>
      <w:tr w14:paraId="6D65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7" w:type="pct"/>
          </w:tcPr>
          <w:p w14:paraId="6B874E4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序号</w:t>
            </w:r>
          </w:p>
        </w:tc>
        <w:tc>
          <w:tcPr>
            <w:tcW w:w="2290" w:type="pct"/>
          </w:tcPr>
          <w:p w14:paraId="5CFED57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专家意见</w:t>
            </w:r>
          </w:p>
        </w:tc>
        <w:tc>
          <w:tcPr>
            <w:tcW w:w="2272" w:type="pct"/>
          </w:tcPr>
          <w:p w14:paraId="08F5763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修改情况</w:t>
            </w:r>
          </w:p>
        </w:tc>
      </w:tr>
      <w:tr w14:paraId="5623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581FCA6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2290" w:type="pct"/>
          </w:tcPr>
          <w:p w14:paraId="6F406E95">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已完成地质工作中，整合的三个采矿权已完成的水工环地质工作不明，如：地质勘（或核实）、矿山地质环境保护与土地复及环境评价工作等</w:t>
            </w:r>
            <w:r>
              <w:rPr>
                <w:rFonts w:hint="eastAsia"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lang w:val="en-US" w:eastAsia="zh-CN"/>
              </w:rPr>
              <w:t>宜将能收集到各阶段完成的水工环地实物工作列表表示，并将相应报告评审意见书作为《方案》附件</w:t>
            </w:r>
            <w:r>
              <w:rPr>
                <w:rFonts w:hint="eastAsia"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lang w:val="en-US" w:eastAsia="zh-CN"/>
              </w:rPr>
              <w:t>这是后续勘探工作部署的重要依据，如：若近几年开展过1:5000水工环地质测量工作，且已包括本次测量范围，本次工作在原工作基础上进行修测即可。</w:t>
            </w:r>
          </w:p>
        </w:tc>
        <w:tc>
          <w:tcPr>
            <w:tcW w:w="2272" w:type="pct"/>
          </w:tcPr>
          <w:p w14:paraId="6C40C47A">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已按意见补充历史详查水工环工作情况，</w:t>
            </w:r>
            <w:r>
              <w:rPr>
                <w:rFonts w:hint="default" w:ascii="Times New Roman" w:hAnsi="Times New Roman" w:eastAsia="仿宋" w:cs="Times New Roman"/>
                <w:b/>
                <w:bCs/>
                <w:sz w:val="24"/>
                <w:szCs w:val="24"/>
                <w:vertAlign w:val="baseline"/>
                <w:lang w:val="en-US" w:eastAsia="zh-CN"/>
              </w:rPr>
              <w:t>且</w:t>
            </w:r>
            <w:r>
              <w:rPr>
                <w:rFonts w:hint="eastAsia" w:ascii="Times New Roman" w:hAnsi="Times New Roman" w:eastAsia="仿宋" w:cs="Times New Roman"/>
                <w:b/>
                <w:bCs/>
                <w:sz w:val="24"/>
                <w:szCs w:val="24"/>
                <w:vertAlign w:val="baseline"/>
                <w:lang w:val="en-US" w:eastAsia="zh-CN"/>
              </w:rPr>
              <w:t>测量区域</w:t>
            </w:r>
            <w:r>
              <w:rPr>
                <w:rFonts w:hint="default" w:ascii="Times New Roman" w:hAnsi="Times New Roman" w:eastAsia="仿宋" w:cs="Times New Roman"/>
                <w:b/>
                <w:bCs/>
                <w:sz w:val="24"/>
                <w:szCs w:val="24"/>
                <w:vertAlign w:val="baseline"/>
                <w:lang w:val="en-US" w:eastAsia="zh-CN"/>
              </w:rPr>
              <w:t>包括本次测量范围，本次工作在原工作基础上进行修测。</w:t>
            </w:r>
            <w:r>
              <w:rPr>
                <w:rFonts w:hint="eastAsia" w:ascii="Times New Roman" w:hAnsi="Times New Roman" w:eastAsia="仿宋" w:cs="Times New Roman"/>
                <w:b/>
                <w:bCs/>
                <w:sz w:val="24"/>
                <w:szCs w:val="24"/>
                <w:vertAlign w:val="baseline"/>
                <w:lang w:val="en-US" w:eastAsia="zh-CN"/>
              </w:rPr>
              <w:t>详见P12。</w:t>
            </w:r>
          </w:p>
        </w:tc>
      </w:tr>
      <w:tr w14:paraId="206A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05F174C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2290" w:type="pct"/>
          </w:tcPr>
          <w:p w14:paraId="73BA485A">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认为</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地下水对对矿床开采影响不大</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水文地质条件简单</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，依据不充分；</w:t>
            </w:r>
          </w:p>
          <w:p w14:paraId="00D3D731">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未来露天采场直接充水含水层（茅口组、栖霞组与马平组灰岩溶洞裂隙水）的富水性、补给边界及补给条件、地下水位标高与矿体分布标高等不明确，水文地质条件宜暂定为中等；</w:t>
            </w:r>
          </w:p>
        </w:tc>
        <w:tc>
          <w:tcPr>
            <w:tcW w:w="2272" w:type="pct"/>
          </w:tcPr>
          <w:p w14:paraId="08D022F5">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已按意见修改，将水文地质条件修改为中等，详见P28。</w:t>
            </w:r>
          </w:p>
        </w:tc>
      </w:tr>
      <w:tr w14:paraId="6504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11537D0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2290" w:type="pct"/>
          </w:tcPr>
          <w:p w14:paraId="12EF6A83">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工程地质条件：没有体现现状露天采场各边坡特征（组成边坡岩性、边坡高度、坡角</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及可能存在的工程地质问题；地形地质及工程布置图显示，局部地段(边界点13~17、20~21、ZK0401孔西南）</w:t>
            </w:r>
          </w:p>
          <w:p w14:paraId="0E9598BB">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边坡高度20～70m，是否存在不稳定斜坡？</w:t>
            </w:r>
          </w:p>
        </w:tc>
        <w:tc>
          <w:tcPr>
            <w:tcW w:w="2272" w:type="pct"/>
          </w:tcPr>
          <w:p w14:paraId="29D32D1E">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已按意见修改，补充露天采场边坡特征，详见P29。</w:t>
            </w:r>
          </w:p>
        </w:tc>
      </w:tr>
      <w:tr w14:paraId="5F91A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56CD7E0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w:t>
            </w:r>
          </w:p>
        </w:tc>
        <w:tc>
          <w:tcPr>
            <w:tcW w:w="2290" w:type="pct"/>
          </w:tcPr>
          <w:p w14:paraId="3CF9E2BD">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宜参考GB/T 12719-2021第5.3.1、6.3.1条，补充水工环地质勘探阶段工程布置原则；</w:t>
            </w:r>
          </w:p>
        </w:tc>
        <w:tc>
          <w:tcPr>
            <w:tcW w:w="2272" w:type="pct"/>
          </w:tcPr>
          <w:p w14:paraId="39C2049C">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已按意见补充水工环工作原则，详见P32。</w:t>
            </w:r>
          </w:p>
        </w:tc>
      </w:tr>
      <w:tr w14:paraId="0CAD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7D24B59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val="en-US" w:eastAsia="zh-CN"/>
              </w:rPr>
              <w:t>5</w:t>
            </w:r>
          </w:p>
        </w:tc>
        <w:tc>
          <w:tcPr>
            <w:tcW w:w="2290" w:type="pct"/>
          </w:tcPr>
          <w:p w14:paraId="525ACE65">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设计的整合勘查区与紧邻矿区采空区调查、采场边坡节理裂隙调查统计、危岩、边坡稳定性地质灾害排查等工作，不合理。这是1:5000水工环地质测量必须完成的具体工作，不能单列工作量</w:t>
            </w:r>
            <w:r>
              <w:rPr>
                <w:rFonts w:hint="eastAsia" w:ascii="Times New Roman" w:hAnsi="Times New Roman" w:eastAsia="仿宋" w:cs="Times New Roman"/>
                <w:color w:val="auto"/>
                <w:sz w:val="24"/>
                <w:szCs w:val="24"/>
                <w:lang w:val="en-US" w:eastAsia="zh-CN"/>
              </w:rPr>
              <w:t>；</w:t>
            </w:r>
          </w:p>
        </w:tc>
        <w:tc>
          <w:tcPr>
            <w:tcW w:w="2272" w:type="pct"/>
          </w:tcPr>
          <w:p w14:paraId="7783AE7C">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color w:val="auto"/>
                <w:sz w:val="24"/>
                <w:szCs w:val="24"/>
                <w:lang w:val="en-US" w:eastAsia="zh-CN"/>
              </w:rPr>
            </w:pPr>
            <w:r>
              <w:rPr>
                <w:rFonts w:hint="eastAsia" w:ascii="Times New Roman" w:hAnsi="Times New Roman" w:eastAsia="仿宋" w:cs="Times New Roman"/>
                <w:b/>
                <w:bCs/>
                <w:color w:val="auto"/>
                <w:sz w:val="24"/>
                <w:szCs w:val="24"/>
                <w:lang w:val="en-US" w:eastAsia="zh-CN"/>
              </w:rPr>
              <w:t>已按意见修改，将整合勘查区与紧邻矿区采空区调查、采场边坡节理裂隙调查统计、危岩、边坡稳定性地质灾害排查等工作量删除，详见P37、38。</w:t>
            </w:r>
          </w:p>
        </w:tc>
      </w:tr>
      <w:tr w14:paraId="7FFB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3D82273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6</w:t>
            </w:r>
          </w:p>
        </w:tc>
        <w:tc>
          <w:tcPr>
            <w:tcW w:w="2290" w:type="pct"/>
          </w:tcPr>
          <w:p w14:paraId="189A0512">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color w:val="auto"/>
                <w:sz w:val="24"/>
                <w:szCs w:val="24"/>
                <w:lang w:val="en-US" w:eastAsia="zh-CN"/>
              </w:rPr>
              <w:t>布置的1:1000水文地质工程地质剖面测量（与地质剖面测量同步</w:t>
            </w:r>
            <w:r>
              <w:rPr>
                <w:rFonts w:hint="eastAsia" w:ascii="Times New Roman" w:hAnsi="Times New Roman" w:eastAsia="仿宋" w:cs="Times New Roman"/>
                <w:color w:val="auto"/>
                <w:sz w:val="24"/>
                <w:szCs w:val="24"/>
                <w:lang w:val="en-US" w:eastAsia="zh-CN"/>
              </w:rPr>
              <w:t>）</w:t>
            </w:r>
            <w:r>
              <w:rPr>
                <w:rFonts w:hint="default" w:ascii="Times New Roman" w:hAnsi="Times New Roman" w:eastAsia="仿宋" w:cs="Times New Roman"/>
                <w:color w:val="auto"/>
                <w:sz w:val="24"/>
                <w:szCs w:val="24"/>
                <w:lang w:val="en-US" w:eastAsia="zh-CN"/>
              </w:rPr>
              <w:t>，目的不明，是实测剖面还是勘探线剖面测量？二者目的不同，选取位置及长度也不同，应明确；如果是勘探线水文地质剖面、工程地质剖面，至少各有2条，各剖面加深钻孔（含地质孔或抽水试验孔</w:t>
            </w:r>
            <w:r>
              <w:rPr>
                <w:rFonts w:hint="eastAsia" w:ascii="Times New Roman" w:hAnsi="Times New Roman" w:eastAsia="仿宋" w:cs="Times New Roman"/>
                <w:color w:val="auto"/>
                <w:sz w:val="24"/>
                <w:szCs w:val="24"/>
                <w:lang w:val="en-US" w:eastAsia="zh-CN"/>
              </w:rPr>
              <w:t>）</w:t>
            </w:r>
            <w:r>
              <w:rPr>
                <w:rFonts w:hint="default" w:ascii="Times New Roman" w:hAnsi="Times New Roman" w:eastAsia="仿宋" w:cs="Times New Roman"/>
                <w:color w:val="auto"/>
                <w:sz w:val="24"/>
                <w:szCs w:val="24"/>
                <w:lang w:val="en-US" w:eastAsia="zh-CN"/>
              </w:rPr>
              <w:t>2~3孔，加深钻孔应揭露露天采场坑底30~50m</w:t>
            </w:r>
            <w:r>
              <w:rPr>
                <w:rFonts w:hint="eastAsia" w:ascii="Times New Roman" w:hAnsi="Times New Roman" w:eastAsia="仿宋" w:cs="Times New Roman"/>
                <w:color w:val="auto"/>
                <w:sz w:val="24"/>
                <w:szCs w:val="24"/>
                <w:lang w:val="en-US" w:eastAsia="zh-CN"/>
              </w:rPr>
              <w:t>；</w:t>
            </w:r>
          </w:p>
        </w:tc>
        <w:tc>
          <w:tcPr>
            <w:tcW w:w="2272" w:type="pct"/>
          </w:tcPr>
          <w:p w14:paraId="1789EEF8">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已按意见核实，布置的1:1000水文、工程地质剖面测量为勘探线剖面测量。</w:t>
            </w:r>
          </w:p>
        </w:tc>
      </w:tr>
      <w:tr w14:paraId="58CE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4261F7D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7</w:t>
            </w:r>
          </w:p>
        </w:tc>
        <w:tc>
          <w:tcPr>
            <w:tcW w:w="2290" w:type="pct"/>
          </w:tcPr>
          <w:p w14:paraId="0BF1AAC2">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设计区域水文地质调查范围（50km²）不明</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核实是否包括整合勘查区所在的一个完整的水文地质单元（或次级水文地质单元</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，且是以查明区域地下水的补给，径流、排泄条件为重点；</w:t>
            </w:r>
          </w:p>
        </w:tc>
        <w:tc>
          <w:tcPr>
            <w:tcW w:w="2272" w:type="pct"/>
          </w:tcPr>
          <w:p w14:paraId="52EE02D5">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vertAlign w:val="baseline"/>
                <w:lang w:val="en-US" w:eastAsia="zh-CN"/>
              </w:rPr>
            </w:pPr>
            <w:r>
              <w:rPr>
                <w:rFonts w:hint="eastAsia" w:ascii="Times New Roman" w:hAnsi="Times New Roman" w:eastAsia="仿宋" w:cs="Times New Roman"/>
                <w:b/>
                <w:bCs/>
                <w:sz w:val="24"/>
                <w:szCs w:val="24"/>
                <w:lang w:val="en-US" w:eastAsia="zh-CN"/>
              </w:rPr>
              <w:t>已按意见修改，将区域水文测量范围定为明江次一级水文地质单元，调查范围暂定50km</w:t>
            </w:r>
            <w:r>
              <w:rPr>
                <w:rFonts w:hint="eastAsia" w:ascii="Times New Roman" w:hAnsi="Times New Roman" w:eastAsia="仿宋" w:cs="Times New Roman"/>
                <w:b/>
                <w:bCs/>
                <w:sz w:val="24"/>
                <w:szCs w:val="24"/>
                <w:vertAlign w:val="superscript"/>
                <w:lang w:val="en-US" w:eastAsia="zh-CN"/>
              </w:rPr>
              <w:t>2</w:t>
            </w:r>
            <w:r>
              <w:rPr>
                <w:rFonts w:hint="eastAsia" w:ascii="Times New Roman" w:hAnsi="Times New Roman" w:eastAsia="仿宋" w:cs="Times New Roman"/>
                <w:b/>
                <w:bCs/>
                <w:sz w:val="24"/>
                <w:szCs w:val="24"/>
                <w:vertAlign w:val="baseline"/>
                <w:lang w:val="en-US" w:eastAsia="zh-CN"/>
              </w:rPr>
              <w:t>。</w:t>
            </w:r>
          </w:p>
        </w:tc>
      </w:tr>
      <w:tr w14:paraId="2726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27FEF31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8</w:t>
            </w:r>
          </w:p>
        </w:tc>
        <w:tc>
          <w:tcPr>
            <w:tcW w:w="2290" w:type="pct"/>
          </w:tcPr>
          <w:p w14:paraId="7D7CE4FD">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color w:val="auto"/>
                <w:sz w:val="24"/>
                <w:szCs w:val="24"/>
                <w:lang w:val="en-US"/>
              </w:rPr>
            </w:pPr>
            <w:r>
              <w:rPr>
                <w:rFonts w:hint="default" w:ascii="Times New Roman" w:hAnsi="Times New Roman" w:eastAsia="仿宋" w:cs="Times New Roman"/>
                <w:color w:val="auto"/>
                <w:sz w:val="24"/>
                <w:szCs w:val="24"/>
                <w:lang w:val="en-US"/>
              </w:rPr>
              <w:t>设计矿区水工环地质测量范围（6km²）不明，面积偏小，应包括矿床疏干可能影响的范围及补给边界、采矿活动可能影响的范围，如：《重金属环境安全隐患排查评估整治技术指南（试行</w:t>
            </w:r>
            <w:r>
              <w:rPr>
                <w:rFonts w:hint="eastAsia" w:ascii="Times New Roman" w:hAnsi="Times New Roman" w:eastAsia="仿宋" w:cs="Times New Roman"/>
                <w:color w:val="auto"/>
                <w:sz w:val="24"/>
                <w:szCs w:val="24"/>
                <w:lang w:val="en-US" w:eastAsia="zh-CN"/>
              </w:rPr>
              <w:t>）</w:t>
            </w:r>
            <w:r>
              <w:rPr>
                <w:rFonts w:hint="default" w:ascii="Times New Roman" w:hAnsi="Times New Roman" w:eastAsia="仿宋" w:cs="Times New Roman"/>
                <w:color w:val="auto"/>
                <w:sz w:val="24"/>
                <w:szCs w:val="24"/>
                <w:lang w:val="en-US"/>
              </w:rPr>
              <w:t>（环办固体函【2025】283 号</w:t>
            </w:r>
            <w:r>
              <w:rPr>
                <w:rFonts w:hint="eastAsia" w:ascii="Times New Roman" w:hAnsi="Times New Roman" w:eastAsia="仿宋" w:cs="Times New Roman"/>
                <w:color w:val="auto"/>
                <w:sz w:val="24"/>
                <w:szCs w:val="24"/>
                <w:lang w:val="en-US" w:eastAsia="zh-CN"/>
              </w:rPr>
              <w:t>）</w:t>
            </w:r>
            <w:r>
              <w:rPr>
                <w:rFonts w:hint="default" w:ascii="Times New Roman" w:hAnsi="Times New Roman" w:eastAsia="仿宋" w:cs="Times New Roman"/>
                <w:color w:val="auto"/>
                <w:sz w:val="24"/>
                <w:szCs w:val="24"/>
                <w:lang w:val="en-US"/>
              </w:rPr>
              <w:t>》第7.1.2条要求的地表水、地下水与农用地土壤可能受到污染的范围；</w:t>
            </w:r>
          </w:p>
        </w:tc>
        <w:tc>
          <w:tcPr>
            <w:tcW w:w="2272" w:type="pct"/>
          </w:tcPr>
          <w:p w14:paraId="4BBECE05">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vertAlign w:val="baseline"/>
                <w:lang w:val="en-US" w:eastAsia="zh-CN"/>
              </w:rPr>
            </w:pPr>
            <w:r>
              <w:rPr>
                <w:rFonts w:hint="eastAsia" w:ascii="Times New Roman" w:hAnsi="Times New Roman" w:eastAsia="仿宋" w:cs="Times New Roman"/>
                <w:b/>
                <w:bCs/>
                <w:sz w:val="24"/>
                <w:szCs w:val="24"/>
                <w:lang w:val="en-US" w:eastAsia="zh-CN"/>
              </w:rPr>
              <w:t>已按意见修改，将矿区水工环测量范围调整为8.0km</w:t>
            </w:r>
            <w:r>
              <w:rPr>
                <w:rFonts w:hint="eastAsia" w:ascii="Times New Roman" w:hAnsi="Times New Roman" w:eastAsia="仿宋" w:cs="Times New Roman"/>
                <w:b/>
                <w:bCs/>
                <w:sz w:val="24"/>
                <w:szCs w:val="24"/>
                <w:vertAlign w:val="superscript"/>
                <w:lang w:val="en-US" w:eastAsia="zh-CN"/>
              </w:rPr>
              <w:t>2</w:t>
            </w:r>
            <w:r>
              <w:rPr>
                <w:rFonts w:hint="eastAsia" w:ascii="Times New Roman" w:hAnsi="Times New Roman" w:eastAsia="仿宋" w:cs="Times New Roman"/>
                <w:b/>
                <w:bCs/>
                <w:sz w:val="24"/>
                <w:szCs w:val="24"/>
                <w:vertAlign w:val="baseline"/>
                <w:lang w:val="en-US" w:eastAsia="zh-CN"/>
              </w:rPr>
              <w:t>。</w:t>
            </w:r>
          </w:p>
        </w:tc>
      </w:tr>
      <w:tr w14:paraId="5CB0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6375BB6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9</w:t>
            </w:r>
          </w:p>
        </w:tc>
        <w:tc>
          <w:tcPr>
            <w:tcW w:w="2290" w:type="pct"/>
          </w:tcPr>
          <w:p w14:paraId="2B4697B4">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增加钻孔水文地质工程地质编录，对所有设计的地质孔、抽水试验孔进行编录，为划分含水层</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相对隔水层）的岩性、厚度、岩溶发育程度（钻孔遇洞率、钻孔线裂隙率</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、岩石质量及岩体完整性评价提供依据；工作量单位为</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孔</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，简易水文地质观测中工作量单位</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个</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不规范</w:t>
            </w:r>
            <w:r>
              <w:rPr>
                <w:rFonts w:hint="eastAsia" w:ascii="Times New Roman" w:hAnsi="Times New Roman" w:eastAsia="仿宋" w:cs="Times New Roman"/>
                <w:sz w:val="24"/>
                <w:szCs w:val="24"/>
                <w:lang w:val="en-US" w:eastAsia="zh-CN"/>
              </w:rPr>
              <w:t>；</w:t>
            </w:r>
          </w:p>
        </w:tc>
        <w:tc>
          <w:tcPr>
            <w:tcW w:w="2272" w:type="pct"/>
          </w:tcPr>
          <w:p w14:paraId="45DF2F5F">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水文地质工程地质编录已存在，详见P50；已将简易水文地质观测工作量单位改为“</w:t>
            </w:r>
            <w:r>
              <w:rPr>
                <w:rFonts w:hint="default" w:ascii="Times New Roman" w:hAnsi="Times New Roman" w:eastAsia="仿宋" w:cs="Times New Roman"/>
                <w:b/>
                <w:bCs/>
                <w:sz w:val="24"/>
                <w:szCs w:val="24"/>
                <w:lang w:val="en-US" w:eastAsia="zh-CN"/>
              </w:rPr>
              <w:t>孔</w:t>
            </w:r>
            <w:r>
              <w:rPr>
                <w:rFonts w:hint="eastAsia" w:ascii="Times New Roman" w:hAnsi="Times New Roman" w:eastAsia="仿宋" w:cs="Times New Roman"/>
                <w:b/>
                <w:bCs/>
                <w:sz w:val="24"/>
                <w:szCs w:val="24"/>
                <w:lang w:val="en-US" w:eastAsia="zh-CN"/>
              </w:rPr>
              <w:t>”。</w:t>
            </w:r>
          </w:p>
        </w:tc>
      </w:tr>
      <w:tr w14:paraId="0E19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7F2D4B2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10</w:t>
            </w:r>
          </w:p>
        </w:tc>
        <w:tc>
          <w:tcPr>
            <w:tcW w:w="2290" w:type="pct"/>
          </w:tcPr>
          <w:p w14:paraId="4D59F681">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rPr>
            </w:pPr>
            <w:r>
              <w:rPr>
                <w:rFonts w:hint="default" w:ascii="Times New Roman" w:hAnsi="Times New Roman" w:eastAsia="仿宋" w:cs="Times New Roman"/>
                <w:sz w:val="24"/>
                <w:szCs w:val="24"/>
                <w:lang w:val="en-US"/>
              </w:rPr>
              <w:t>预留水文地质钻探及抽水试验工作，</w:t>
            </w:r>
            <w:r>
              <w:rPr>
                <w:rFonts w:hint="default" w:ascii="Times New Roman" w:hAnsi="Times New Roman" w:eastAsia="仿宋" w:cs="Times New Roman"/>
                <w:color w:val="auto"/>
                <w:sz w:val="24"/>
                <w:szCs w:val="24"/>
                <w:lang w:val="en-US"/>
              </w:rPr>
              <w:t>钻孔深度应揭穿露天采场坑底30~50m，</w:t>
            </w:r>
            <w:r>
              <w:rPr>
                <w:rFonts w:hint="default" w:ascii="Times New Roman" w:hAnsi="Times New Roman" w:eastAsia="仿宋" w:cs="Times New Roman"/>
                <w:sz w:val="24"/>
                <w:szCs w:val="24"/>
                <w:lang w:val="en-US"/>
              </w:rPr>
              <w:t>并分层（或分段）观测茅口组、栖霞组、马平组灰岩的回次动水位、静止水位，分层（分段</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rPr>
              <w:t>进行抽水试验（每个地层灰岩至少有2段/2孔的抽水试验</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rPr>
              <w:t>；设计抽水试验工作量单位为</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rPr>
              <w:t>段/孔</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rPr>
              <w:t>，抽水试验参数作为预测矿坑涌水量依据；抽水试验孔位应在矿区水工环地质测量及钻孔揭露地下水位标高基础上确定，至少预留2孔。</w:t>
            </w:r>
          </w:p>
        </w:tc>
        <w:tc>
          <w:tcPr>
            <w:tcW w:w="2272" w:type="pct"/>
          </w:tcPr>
          <w:p w14:paraId="0D11C6D7">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lang w:val="en-US" w:eastAsia="zh-CN"/>
              </w:rPr>
            </w:pPr>
            <w:r>
              <w:rPr>
                <w:rFonts w:hint="eastAsia" w:ascii="Times New Roman" w:hAnsi="Times New Roman" w:eastAsia="仿宋" w:cs="Times New Roman"/>
                <w:b/>
                <w:bCs/>
                <w:sz w:val="24"/>
                <w:szCs w:val="24"/>
                <w:lang w:val="en-US" w:eastAsia="zh-CN"/>
              </w:rPr>
              <w:t>已按意见修改。（1）本次工作设计预留2个水文地质钻孔ZK306、ZK502，其ZK502由上至下依次贯穿茅口组、栖霞组、马平组灰岩，且钻孔深度揭穿露天采场坑底大于50m；（2）已将抽水试验工作量单位改为“段/孔”；（3）已预留水文地质钻孔。</w:t>
            </w:r>
          </w:p>
        </w:tc>
      </w:tr>
      <w:tr w14:paraId="61439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2A21E13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11</w:t>
            </w:r>
          </w:p>
        </w:tc>
        <w:tc>
          <w:tcPr>
            <w:tcW w:w="2290" w:type="pct"/>
          </w:tcPr>
          <w:p w14:paraId="5967F5B7">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预留水文物探测井：对设计的抽水试验孔开展视电阻率测井、声波测井、扩散法井液电阻率测井，为划分含水层（隔水层</w:t>
            </w:r>
            <w:r>
              <w:rPr>
                <w:rFonts w:hint="eastAsia" w:ascii="Times New Roman" w:hAnsi="Times New Roman" w:eastAsia="仿宋" w:cs="Times New Roman"/>
                <w:color w:val="auto"/>
                <w:sz w:val="24"/>
                <w:szCs w:val="24"/>
                <w:lang w:val="en-US" w:eastAsia="zh-CN"/>
              </w:rPr>
              <w:t>）</w:t>
            </w:r>
            <w:r>
              <w:rPr>
                <w:rFonts w:hint="default" w:ascii="Times New Roman" w:hAnsi="Times New Roman" w:eastAsia="仿宋" w:cs="Times New Roman"/>
                <w:color w:val="auto"/>
                <w:sz w:val="24"/>
                <w:szCs w:val="24"/>
                <w:lang w:val="en-US" w:eastAsia="zh-CN"/>
              </w:rPr>
              <w:t>的岩性、厚度、孔隙度、裂缝发育程度与渗透性等参数提供依据；</w:t>
            </w:r>
          </w:p>
        </w:tc>
        <w:tc>
          <w:tcPr>
            <w:tcW w:w="2272" w:type="pct"/>
          </w:tcPr>
          <w:p w14:paraId="2FC716B7">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color w:val="auto"/>
                <w:sz w:val="24"/>
                <w:szCs w:val="24"/>
                <w:lang w:val="en-US" w:eastAsia="zh-CN"/>
              </w:rPr>
            </w:pPr>
            <w:r>
              <w:rPr>
                <w:rFonts w:hint="eastAsia" w:ascii="Times New Roman" w:hAnsi="Times New Roman" w:eastAsia="仿宋" w:cs="Times New Roman"/>
                <w:b/>
                <w:bCs/>
                <w:color w:val="auto"/>
                <w:sz w:val="24"/>
                <w:szCs w:val="24"/>
                <w:lang w:val="en-US" w:eastAsia="zh-CN"/>
              </w:rPr>
              <w:t>已按意见预留水文物探测井工作，详见P56 ~ 59。</w:t>
            </w:r>
          </w:p>
        </w:tc>
      </w:tr>
      <w:tr w14:paraId="4B85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7C5E9B3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12</w:t>
            </w:r>
          </w:p>
        </w:tc>
        <w:tc>
          <w:tcPr>
            <w:tcW w:w="2290" w:type="pct"/>
          </w:tcPr>
          <w:p w14:paraId="247BE47D">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预留钻孔注水试验3个台班，目的不明；钻孔注水试验是针对地质钻孔未能揭露地下水位，无法开展抽水试验，利用地质孔进行钻孔注水试验工作，其试验参数不能作为勘探阶段矿坑涌水量预测依据；工作量单位为</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段/孔</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；建议预留3个孔分别对茅口组、栖霞组、马平组灰岩进行分段注水试验（每个地层灰岩至少有2段/2孔的注水试验）；</w:t>
            </w:r>
          </w:p>
        </w:tc>
        <w:tc>
          <w:tcPr>
            <w:tcW w:w="2272" w:type="pct"/>
          </w:tcPr>
          <w:p w14:paraId="61AC15F8">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已按意见修改。（1）将钻孔注水试验3个台班修改为抽水/注水试验4段/2孔；（2）已预留2个水文地质钻孔ZK306、ZK502，其ZK502由上至下依次贯穿茅口组、栖霞组、马平组灰岩，且钻孔深度揭穿露天采场坑底50m。</w:t>
            </w:r>
          </w:p>
        </w:tc>
      </w:tr>
      <w:tr w14:paraId="3E19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01D30AB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13</w:t>
            </w:r>
          </w:p>
        </w:tc>
        <w:tc>
          <w:tcPr>
            <w:tcW w:w="2290" w:type="pct"/>
          </w:tcPr>
          <w:p w14:paraId="668A4B3D">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缺少水质分析，应分别对区域、整合勘查区的地表水与地下水代表性水点取样，特别是整合勘查区地表水（溪流进入整合勘查区前、流出整合勘查区及采矿活动场地后汇入主干河流流前</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、地下水（泉水、抽水试验孔分层试验段、饮用水源点）的代表性水样采样，动态观测点按雨季、枯季分别采样；</w:t>
            </w:r>
          </w:p>
        </w:tc>
        <w:tc>
          <w:tcPr>
            <w:tcW w:w="2272" w:type="pct"/>
          </w:tcPr>
          <w:p w14:paraId="57227878">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水质全分析采样已设计有8件，详见P52。</w:t>
            </w:r>
          </w:p>
        </w:tc>
      </w:tr>
      <w:tr w14:paraId="111C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676F460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14</w:t>
            </w:r>
          </w:p>
        </w:tc>
        <w:tc>
          <w:tcPr>
            <w:tcW w:w="2290" w:type="pct"/>
          </w:tcPr>
          <w:p w14:paraId="37DCCFFA">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地表水地下水动态观测5个点（地表水、泉水</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，缺少钻孔终孔后水位动态观测，宜增加首批施工的2~3个钻孔作为动态观测孔；另外，动态观测时间太短</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2026年5月26日至2026年6月5</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w:t>
            </w:r>
          </w:p>
          <w:p w14:paraId="212FC937">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应改为：从野外工作开始至野外工作验收前</w:t>
            </w:r>
            <w:r>
              <w:rPr>
                <w:rFonts w:hint="eastAsia" w:ascii="Times New Roman" w:hAnsi="Times New Roman" w:eastAsia="仿宋" w:cs="Times New Roman"/>
                <w:sz w:val="24"/>
                <w:szCs w:val="24"/>
                <w:lang w:val="en-US" w:eastAsia="zh-CN"/>
              </w:rPr>
              <w:t>；</w:t>
            </w:r>
          </w:p>
        </w:tc>
        <w:tc>
          <w:tcPr>
            <w:tcW w:w="2272" w:type="pct"/>
          </w:tcPr>
          <w:p w14:paraId="18564739">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已按意见修改。（1）已将首批钻孔ZK306、ZK502，详见P50；（2）已将动态观测时间改为野外工作开始至野外工作验收前，详见P35。</w:t>
            </w:r>
          </w:p>
        </w:tc>
      </w:tr>
      <w:tr w14:paraId="1F9D1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6C58CE7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15</w:t>
            </w:r>
          </w:p>
        </w:tc>
        <w:tc>
          <w:tcPr>
            <w:tcW w:w="2290" w:type="pct"/>
          </w:tcPr>
          <w:p w14:paraId="28713867">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物理力学性能测试（抗压强度50件</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干、湿</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，抗剪强度20件（干、湿））；试验目的及采样数量不符合GB 12719-2021表5、附录I-1（岩土样室内试验项目）的要求</w:t>
            </w:r>
            <w:r>
              <w:rPr>
                <w:rFonts w:hint="eastAsia" w:ascii="Times New Roman" w:hAnsi="Times New Roman" w:eastAsia="仿宋" w:cs="Times New Roman"/>
                <w:sz w:val="24"/>
                <w:szCs w:val="24"/>
                <w:lang w:val="en-US" w:eastAsia="zh-CN"/>
              </w:rPr>
              <w:t>：（1）</w:t>
            </w:r>
            <w:r>
              <w:rPr>
                <w:rFonts w:hint="default" w:ascii="Times New Roman" w:hAnsi="Times New Roman" w:eastAsia="仿宋" w:cs="Times New Roman"/>
                <w:color w:val="auto"/>
                <w:sz w:val="24"/>
                <w:szCs w:val="24"/>
                <w:lang w:val="en-US" w:eastAsia="zh-CN"/>
              </w:rPr>
              <w:t>露天采场边坡稳定性评价，需要天然溶重、渗透系数、岩石抗压强度、抗剪强度及结构面强度（裂隙面、断层面）参数；应</w:t>
            </w:r>
            <w:r>
              <w:rPr>
                <w:rFonts w:hint="default" w:ascii="Times New Roman" w:hAnsi="Times New Roman" w:eastAsia="仿宋" w:cs="Times New Roman"/>
                <w:sz w:val="24"/>
                <w:szCs w:val="24"/>
                <w:lang w:val="en-US" w:eastAsia="zh-CN"/>
              </w:rPr>
              <w:t>分别对不同工程地质岩组分层取样，露天采场控制坑底30～50m，每种岩石不小于3组，分别对茅口组、栖霞组、马平组灰岩取样：</w:t>
            </w:r>
            <w:r>
              <w:rPr>
                <w:rFonts w:hint="eastAsia" w:ascii="Times New Roman" w:hAnsi="Times New Roman" w:eastAsia="仿宋" w:cs="Times New Roman"/>
                <w:sz w:val="24"/>
                <w:szCs w:val="24"/>
                <w:lang w:val="en-US" w:eastAsia="zh-CN"/>
              </w:rPr>
              <w:t>注意岩性有灰岩、泥灰岩、燧石灰岩、砂岩、硅质灰岩、砂岩风化层等；（2）试验试块数量</w:t>
            </w:r>
            <w:r>
              <w:rPr>
                <w:rFonts w:hint="default" w:ascii="Times New Roman" w:hAnsi="Times New Roman" w:eastAsia="仿宋" w:cs="Times New Roman"/>
                <w:sz w:val="24"/>
                <w:szCs w:val="24"/>
                <w:lang w:val="en-US" w:eastAsia="zh-CN"/>
              </w:rPr>
              <w:t>应按《DZ/T0276.18-2015 岩石物理力学试验规程》第6.1条及《DZ/T 0276.25-2015岩石物理力学性质试验规程》第6.1.1条</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同一含水状态和受力方向的试样，每组不应少于3块的要求取样</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；如：对茅口组灰岩，一组单轴抗压强度试验（饱和、干）试块数量至少各3块，一组抗剪强度试验（饱和、干</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试块数量至少各3块，则一组岩石的抗压（饱和、干）采样试块6块/1组，依此类推</w:t>
            </w:r>
          </w:p>
        </w:tc>
        <w:tc>
          <w:tcPr>
            <w:tcW w:w="2272" w:type="pct"/>
          </w:tcPr>
          <w:p w14:paraId="773D437C">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已按意见修改。（1）已采集相应岩石物理力学样；（2）针对岩性灰分别取样，设计采集7组，详见P61。</w:t>
            </w:r>
          </w:p>
        </w:tc>
      </w:tr>
      <w:tr w14:paraId="5C94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00D7DB4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16</w:t>
            </w:r>
          </w:p>
        </w:tc>
        <w:tc>
          <w:tcPr>
            <w:tcW w:w="2290" w:type="pct"/>
          </w:tcPr>
          <w:p w14:paraId="10CD448D">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岩石有害元素取样及分析、土壤有害元素取样及分析、分别改为：矿体与围岩重金属特征污染物检测样、土壤重金属特征污染物检测样，</w:t>
            </w:r>
            <w:r>
              <w:rPr>
                <w:rFonts w:hint="eastAsia" w:ascii="Times New Roman" w:hAnsi="Times New Roman" w:eastAsia="仿宋" w:cs="Times New Roman"/>
                <w:sz w:val="24"/>
                <w:szCs w:val="24"/>
                <w:lang w:val="en-US" w:eastAsia="zh-CN"/>
              </w:rPr>
              <w:t>矿体与围岩、土壤的采样数量偏少，应调整。</w:t>
            </w:r>
          </w:p>
        </w:tc>
        <w:tc>
          <w:tcPr>
            <w:tcW w:w="2272" w:type="pct"/>
          </w:tcPr>
          <w:p w14:paraId="518624EB">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已按已将修改，将有害元素样品名称改为重金属特征污染物，土壤每种土层设计采集2件，共4件，岩石设计每个矿层采集2件，共6件，详见P52、53。</w:t>
            </w:r>
          </w:p>
        </w:tc>
      </w:tr>
      <w:tr w14:paraId="1318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0AE1F6F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17</w:t>
            </w:r>
          </w:p>
        </w:tc>
        <w:tc>
          <w:tcPr>
            <w:tcW w:w="2290" w:type="pct"/>
          </w:tcPr>
          <w:p w14:paraId="71D90412">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采用规范规程：补充《工程地质测绘规程》（YS/T 5206-2020）、《工程岩体分级标准》（GBT50218-2014)、《水利水电工程岩土渗透性原位试验规程（第2部分：注水试验)》</w:t>
            </w:r>
            <w:r>
              <w:rPr>
                <w:rFonts w:hint="eastAsia" w:ascii="Times New Roman" w:hAnsi="Times New Roman" w:eastAsia="仿宋" w:cs="Times New Roman"/>
                <w:sz w:val="24"/>
                <w:szCs w:val="24"/>
                <w:lang w:val="en-US" w:eastAsia="zh-CN"/>
              </w:rPr>
              <w:t>（S</w:t>
            </w:r>
            <w:r>
              <w:rPr>
                <w:rFonts w:hint="default" w:ascii="Times New Roman" w:hAnsi="Times New Roman" w:eastAsia="仿宋" w:cs="Times New Roman"/>
                <w:sz w:val="24"/>
                <w:szCs w:val="24"/>
                <w:lang w:val="en-US" w:eastAsia="zh-CN"/>
              </w:rPr>
              <w:t>L/T31.2-2025</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w:t>
            </w:r>
          </w:p>
          <w:p w14:paraId="21500A8D">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《土壤环境质量农用地土壤污染风险管控标准（试行）》（GB 15618-2018）、《重金属环境安全隐患排查评估整治技术指南（试行</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环办固体函【2025】283号）。</w:t>
            </w:r>
          </w:p>
        </w:tc>
        <w:tc>
          <w:tcPr>
            <w:tcW w:w="2272" w:type="pct"/>
          </w:tcPr>
          <w:p w14:paraId="08A9C6D1">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已按意见补充相应规范，详见P46、47。</w:t>
            </w:r>
          </w:p>
        </w:tc>
      </w:tr>
      <w:tr w14:paraId="5A55B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4583F30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18</w:t>
            </w:r>
          </w:p>
        </w:tc>
        <w:tc>
          <w:tcPr>
            <w:tcW w:w="2290" w:type="pct"/>
          </w:tcPr>
          <w:p w14:paraId="10A720B7">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分序号标题逐一说明相关工作方法及技术要求，包括：1:5万区域水文地质调查，1:5000水文地质、工程地质与环境地质测量，钻孔简易水文地质观测，钻孔水文地质与工程地质编录，水文地质钻探，钻孔抽水试验，水文物探测井，钻孔注水试验，试坑渗水试验，水质分析，地表水与地下水动态监测，重金属特征污染物检测等；</w:t>
            </w:r>
          </w:p>
        </w:tc>
        <w:tc>
          <w:tcPr>
            <w:tcW w:w="2272" w:type="pct"/>
          </w:tcPr>
          <w:p w14:paraId="446D1BFD">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已按意见补充说明相关内容和技术要求，详见章节4.6。</w:t>
            </w:r>
          </w:p>
        </w:tc>
      </w:tr>
      <w:tr w14:paraId="5216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559CA5C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19</w:t>
            </w:r>
          </w:p>
        </w:tc>
        <w:tc>
          <w:tcPr>
            <w:tcW w:w="2290" w:type="pct"/>
          </w:tcPr>
          <w:p w14:paraId="74D7CAAF">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区域水文地质调查、矿区水工环地质测量的定额精度，应参考GB/T 12719-2021表4、YS/T5206-2020第3.0.6条的要求确定；水文地质测量与环境地质测量范围，应参考环办固体函【2025】283号第7.1.2条的要求可能污染地表水、农用地土壤的调查范围确定</w:t>
            </w:r>
            <w:r>
              <w:rPr>
                <w:rFonts w:hint="eastAsia" w:ascii="Times New Roman" w:hAnsi="Times New Roman" w:eastAsia="仿宋" w:cs="Times New Roman"/>
                <w:sz w:val="24"/>
                <w:szCs w:val="24"/>
                <w:lang w:val="en-US" w:eastAsia="zh-CN"/>
              </w:rPr>
              <w:t>。</w:t>
            </w:r>
          </w:p>
        </w:tc>
        <w:tc>
          <w:tcPr>
            <w:tcW w:w="2272" w:type="pct"/>
          </w:tcPr>
          <w:p w14:paraId="74A917B5">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vertAlign w:val="baseline"/>
                <w:lang w:val="en-US" w:eastAsia="zh-CN"/>
              </w:rPr>
            </w:pPr>
            <w:r>
              <w:rPr>
                <w:rFonts w:hint="eastAsia" w:ascii="Times New Roman" w:hAnsi="Times New Roman" w:eastAsia="仿宋" w:cs="Times New Roman"/>
                <w:b/>
                <w:bCs/>
                <w:sz w:val="24"/>
                <w:szCs w:val="24"/>
                <w:lang w:val="en-US" w:eastAsia="zh-CN"/>
              </w:rPr>
              <w:t>已按意见修改，将区域水文地质调查范围调整为明江次一级水文地质单元，调查范围80km</w:t>
            </w:r>
            <w:r>
              <w:rPr>
                <w:rFonts w:hint="eastAsia" w:ascii="Times New Roman" w:hAnsi="Times New Roman" w:eastAsia="仿宋" w:cs="Times New Roman"/>
                <w:b/>
                <w:bCs/>
                <w:sz w:val="24"/>
                <w:szCs w:val="24"/>
                <w:vertAlign w:val="superscript"/>
                <w:lang w:val="en-US" w:eastAsia="zh-CN"/>
              </w:rPr>
              <w:t>2</w:t>
            </w:r>
            <w:r>
              <w:rPr>
                <w:rFonts w:hint="eastAsia" w:ascii="Times New Roman" w:hAnsi="Times New Roman" w:eastAsia="仿宋" w:cs="Times New Roman"/>
                <w:b/>
                <w:bCs/>
                <w:sz w:val="24"/>
                <w:szCs w:val="24"/>
                <w:vertAlign w:val="baseline"/>
                <w:lang w:val="en-US" w:eastAsia="zh-CN"/>
              </w:rPr>
              <w:t>。</w:t>
            </w:r>
          </w:p>
        </w:tc>
      </w:tr>
      <w:tr w14:paraId="243B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0D34123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20</w:t>
            </w:r>
          </w:p>
        </w:tc>
        <w:tc>
          <w:tcPr>
            <w:tcW w:w="2290" w:type="pct"/>
          </w:tcPr>
          <w:p w14:paraId="608B2910">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查明直接充水含水层（茅口组（P</w:t>
            </w:r>
            <w:r>
              <w:rPr>
                <w:rFonts w:hint="default" w:ascii="Times New Roman" w:hAnsi="Times New Roman" w:eastAsia="仿宋" w:cs="Times New Roman"/>
                <w:sz w:val="24"/>
                <w:szCs w:val="24"/>
                <w:vertAlign w:val="subscript"/>
                <w:lang w:val="en-US" w:eastAsia="zh-CN"/>
              </w:rPr>
              <w:t>2</w:t>
            </w:r>
            <w:r>
              <w:rPr>
                <w:rFonts w:hint="default" w:ascii="Times New Roman" w:hAnsi="Times New Roman" w:eastAsia="仿宋" w:cs="Times New Roman"/>
                <w:i/>
                <w:iCs/>
                <w:sz w:val="24"/>
                <w:szCs w:val="24"/>
                <w:lang w:val="en-US" w:eastAsia="zh-CN"/>
              </w:rPr>
              <w:t>m</w:t>
            </w:r>
            <w:r>
              <w:rPr>
                <w:rFonts w:hint="default" w:ascii="Times New Roman" w:hAnsi="Times New Roman" w:eastAsia="仿宋" w:cs="Times New Roman"/>
                <w:sz w:val="24"/>
                <w:szCs w:val="24"/>
                <w:lang w:val="en-US" w:eastAsia="zh-CN"/>
              </w:rPr>
              <w:t>)、栖霞组（P</w:t>
            </w:r>
            <w:r>
              <w:rPr>
                <w:rFonts w:hint="default" w:ascii="Times New Roman" w:hAnsi="Times New Roman" w:eastAsia="仿宋" w:cs="Times New Roman"/>
                <w:sz w:val="24"/>
                <w:szCs w:val="24"/>
                <w:vertAlign w:val="subscript"/>
                <w:lang w:val="en-US" w:eastAsia="zh-CN"/>
              </w:rPr>
              <w:t>2</w:t>
            </w:r>
            <w:r>
              <w:rPr>
                <w:rFonts w:hint="default" w:ascii="Times New Roman" w:hAnsi="Times New Roman" w:eastAsia="仿宋" w:cs="Times New Roman"/>
                <w:i/>
                <w:iCs/>
                <w:sz w:val="24"/>
                <w:szCs w:val="24"/>
                <w:lang w:val="en-US" w:eastAsia="zh-CN"/>
              </w:rPr>
              <w:t>q</w:t>
            </w:r>
            <w:r>
              <w:rPr>
                <w:rFonts w:hint="default" w:ascii="Times New Roman" w:hAnsi="Times New Roman" w:eastAsia="仿宋" w:cs="Times New Roman"/>
                <w:sz w:val="24"/>
                <w:szCs w:val="24"/>
                <w:lang w:val="en-US" w:eastAsia="zh-CN"/>
              </w:rPr>
              <w:t>）与马平组（C</w:t>
            </w:r>
            <w:r>
              <w:rPr>
                <w:rFonts w:hint="eastAsia" w:ascii="Times New Roman" w:hAnsi="Times New Roman" w:eastAsia="仿宋" w:cs="Times New Roman"/>
                <w:sz w:val="24"/>
                <w:szCs w:val="24"/>
                <w:vertAlign w:val="subscript"/>
                <w:lang w:val="en-US" w:eastAsia="zh-CN"/>
              </w:rPr>
              <w:t>2</w:t>
            </w:r>
            <w:r>
              <w:rPr>
                <w:rFonts w:hint="default" w:ascii="Times New Roman" w:hAnsi="Times New Roman" w:eastAsia="仿宋" w:cs="Times New Roman"/>
                <w:sz w:val="24"/>
                <w:szCs w:val="24"/>
                <w:lang w:val="en-US" w:eastAsia="zh-CN"/>
              </w:rPr>
              <w:t>P</w:t>
            </w:r>
            <w:r>
              <w:rPr>
                <w:rFonts w:hint="default" w:ascii="Times New Roman" w:hAnsi="Times New Roman" w:eastAsia="仿宋" w:cs="Times New Roman"/>
                <w:sz w:val="24"/>
                <w:szCs w:val="24"/>
                <w:vertAlign w:val="subscript"/>
                <w:lang w:val="en-US" w:eastAsia="zh-CN"/>
              </w:rPr>
              <w:t>1</w:t>
            </w:r>
            <w:r>
              <w:rPr>
                <w:rFonts w:hint="default" w:ascii="Times New Roman" w:hAnsi="Times New Roman" w:eastAsia="仿宋" w:cs="Times New Roman"/>
                <w:i/>
                <w:iCs/>
                <w:sz w:val="24"/>
                <w:szCs w:val="24"/>
                <w:lang w:val="en-US" w:eastAsia="zh-CN"/>
              </w:rPr>
              <w:t>m</w:t>
            </w:r>
            <w:r>
              <w:rPr>
                <w:rFonts w:hint="default" w:ascii="Times New Roman" w:hAnsi="Times New Roman" w:eastAsia="仿宋" w:cs="Times New Roman"/>
                <w:sz w:val="24"/>
                <w:szCs w:val="24"/>
                <w:lang w:val="en-US" w:eastAsia="zh-CN"/>
              </w:rPr>
              <w:t>)）灰岩岩溶发育与岩性、构造等因素的关系，岩溶（溶蚀裂隙、岩溶洼地、漏斗、落水洞、溶洞等）在空间（平面、垂向）的分布及发育规律、充填深度和程度、岩溶发育程度、地下水位、富水性及其变化，地下水主要径流带的分布；</w:t>
            </w:r>
          </w:p>
        </w:tc>
        <w:tc>
          <w:tcPr>
            <w:tcW w:w="2272" w:type="pct"/>
          </w:tcPr>
          <w:p w14:paraId="2025176D">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已补充矿区水文地质测量内容，详见P47。</w:t>
            </w:r>
          </w:p>
        </w:tc>
      </w:tr>
      <w:tr w14:paraId="4BB4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3CC212F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21</w:t>
            </w:r>
          </w:p>
        </w:tc>
        <w:tc>
          <w:tcPr>
            <w:tcW w:w="2290" w:type="pct"/>
          </w:tcPr>
          <w:p w14:paraId="53D5CA21">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查明整合勘查区主要构造线方向，各级结构面的分布、产状、规模及充填、充水情况、各类结构面的发育程度、组合关系，主要不良优势结构面对矿床开采的影响</w:t>
            </w:r>
            <w:r>
              <w:rPr>
                <w:rFonts w:hint="eastAsia" w:ascii="Times New Roman" w:hAnsi="Times New Roman" w:eastAsia="仿宋" w:cs="Times New Roman"/>
                <w:sz w:val="24"/>
                <w:szCs w:val="24"/>
                <w:lang w:val="en-US" w:eastAsia="zh-CN"/>
              </w:rPr>
              <w:t>。</w:t>
            </w:r>
          </w:p>
        </w:tc>
        <w:tc>
          <w:tcPr>
            <w:tcW w:w="2272" w:type="pct"/>
          </w:tcPr>
          <w:p w14:paraId="15C83633">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已补充矿区工程地质测量内容，详见P48。</w:t>
            </w:r>
          </w:p>
        </w:tc>
      </w:tr>
      <w:tr w14:paraId="7D7F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45EF780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22</w:t>
            </w:r>
          </w:p>
        </w:tc>
        <w:tc>
          <w:tcPr>
            <w:tcW w:w="2290" w:type="pct"/>
          </w:tcPr>
          <w:p w14:paraId="2250B003">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查明整合勘查区南面区域F2断层性质、构造破碎带的位置、规模、性质、产状、充填与胶结程度、富水性、渗透性，可能沟通各含水层以及地表水的地段、对露天采坑充水的影响程度</w:t>
            </w:r>
            <w:r>
              <w:rPr>
                <w:rFonts w:hint="eastAsia" w:ascii="Times New Roman" w:hAnsi="Times New Roman" w:eastAsia="仿宋" w:cs="Times New Roman"/>
                <w:sz w:val="24"/>
                <w:szCs w:val="24"/>
                <w:lang w:val="en-US" w:eastAsia="zh-CN"/>
              </w:rPr>
              <w:t>。</w:t>
            </w:r>
          </w:p>
        </w:tc>
        <w:tc>
          <w:tcPr>
            <w:tcW w:w="2272" w:type="pct"/>
          </w:tcPr>
          <w:p w14:paraId="72D3C5C9">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已补充矿区工程地质测量内容，详见P48。</w:t>
            </w:r>
          </w:p>
        </w:tc>
      </w:tr>
      <w:tr w14:paraId="3D79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043DDB5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23</w:t>
            </w:r>
          </w:p>
        </w:tc>
        <w:tc>
          <w:tcPr>
            <w:tcW w:w="2290" w:type="pct"/>
          </w:tcPr>
          <w:p w14:paraId="3AFF3AF1">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查明整合勘查区周边环境污染及环境敏感目标分布情况、敏感目标与重点勘查地段的位置关系，如</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生态保护红线、自然保护区、泉水点、饮用水源、下游3km农用地、周边溪流与主干河流、村屯人口聚集区、道路、水利设施及电力设施等；</w:t>
            </w:r>
          </w:p>
        </w:tc>
        <w:tc>
          <w:tcPr>
            <w:tcW w:w="2272" w:type="pct"/>
          </w:tcPr>
          <w:p w14:paraId="4955D257">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已按意见补充矿区环境地质测量内容，详见P47。</w:t>
            </w:r>
          </w:p>
        </w:tc>
      </w:tr>
      <w:tr w14:paraId="7B0C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3F61C35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24</w:t>
            </w:r>
          </w:p>
        </w:tc>
        <w:tc>
          <w:tcPr>
            <w:tcW w:w="2290" w:type="pct"/>
          </w:tcPr>
          <w:p w14:paraId="0F39A61C">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查明整合矿山采空区现状（分布、边坡特征</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、整合矿山现状采矿活动的雨水、污水排放系统（截排水沟、沉淀池等）</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、采场各边坡角与稳定性、现状采矿活动（露天开采、矿石堆放与破碎加工等）对地表水与地下水污染、地下水资源的破坏程度、地貌景观与土地资源破坏及影响程度；</w:t>
            </w:r>
          </w:p>
        </w:tc>
        <w:tc>
          <w:tcPr>
            <w:tcW w:w="2272" w:type="pct"/>
          </w:tcPr>
          <w:p w14:paraId="35304BC1">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已按意见补充矿区环境地质测量内容，详见P48。</w:t>
            </w:r>
          </w:p>
        </w:tc>
      </w:tr>
      <w:tr w14:paraId="2C5A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431EF6F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25</w:t>
            </w:r>
          </w:p>
        </w:tc>
        <w:tc>
          <w:tcPr>
            <w:tcW w:w="2290" w:type="pct"/>
          </w:tcPr>
          <w:p w14:paraId="08C02AD6">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查明整合勘查区地质灾害现状（如：崩塌与滑坡、危岩、岩溶塌陷、不稳定斜坡等</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、水环境（地表水、地下水）质量现状，矿体与围岩、农用地土壤等重金属特征污染物及岩体放射性背景值；</w:t>
            </w:r>
          </w:p>
        </w:tc>
        <w:tc>
          <w:tcPr>
            <w:tcW w:w="2272" w:type="pct"/>
          </w:tcPr>
          <w:p w14:paraId="16680C80">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已按意见补充矿区环境地质测量内容，详见P48。</w:t>
            </w:r>
          </w:p>
        </w:tc>
      </w:tr>
      <w:tr w14:paraId="6CB3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2AA58EC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26</w:t>
            </w:r>
          </w:p>
        </w:tc>
        <w:tc>
          <w:tcPr>
            <w:tcW w:w="2290" w:type="pct"/>
          </w:tcPr>
          <w:p w14:paraId="68E5C487">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钻孔简易水文地质观测：补充说明重点观测第四系松散层孔隙水、茅口组、栖霞组、马平组灰岩及岩芯破碎孔段，钻进过程中回次动水位变化情况，根据回次动水位升降值（提钻孔后水位与下钻前水位的差值</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、判断划分钻孔含水岩性孔段及初见水位；</w:t>
            </w:r>
          </w:p>
        </w:tc>
        <w:tc>
          <w:tcPr>
            <w:tcW w:w="2272" w:type="pct"/>
          </w:tcPr>
          <w:p w14:paraId="5F0837C6">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已按意见修改，补充钻孔简易水文地质观测技术要求，详见P50。</w:t>
            </w:r>
          </w:p>
        </w:tc>
      </w:tr>
      <w:tr w14:paraId="67E4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6925CB3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27</w:t>
            </w:r>
          </w:p>
        </w:tc>
        <w:tc>
          <w:tcPr>
            <w:tcW w:w="2290" w:type="pct"/>
          </w:tcPr>
          <w:p w14:paraId="7532E7EF">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钻孔水文地质工程地质编录：对所有地质钻孔进行编录，参考GB/T12719-2021第4.4.2条、5.4.2条的要求补充，并根据GB/T12719-2021附录表G1岩石质量分级表划分岩体完整性等级，重点描述岩体完整性差、岩体破碎孔段的岩芯特征；</w:t>
            </w:r>
          </w:p>
        </w:tc>
        <w:tc>
          <w:tcPr>
            <w:tcW w:w="2272" w:type="pct"/>
          </w:tcPr>
          <w:p w14:paraId="605C3214">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已按意见补充钻孔水文地质工程地质编录技术要求，详见P51。</w:t>
            </w:r>
          </w:p>
        </w:tc>
      </w:tr>
      <w:tr w14:paraId="69E5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4B4C21A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28</w:t>
            </w:r>
          </w:p>
        </w:tc>
        <w:tc>
          <w:tcPr>
            <w:tcW w:w="2290" w:type="pct"/>
          </w:tcPr>
          <w:p w14:paraId="5AAC45D3">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补充水文物探测井技术要求</w:t>
            </w:r>
            <w:r>
              <w:rPr>
                <w:rFonts w:hint="eastAsia" w:ascii="Times New Roman" w:hAnsi="Times New Roman" w:eastAsia="仿宋" w:cs="Times New Roman"/>
                <w:color w:val="auto"/>
                <w:sz w:val="24"/>
                <w:szCs w:val="24"/>
                <w:lang w:val="en-US" w:eastAsia="zh-CN"/>
              </w:rPr>
              <w:t>；</w:t>
            </w:r>
          </w:p>
        </w:tc>
        <w:tc>
          <w:tcPr>
            <w:tcW w:w="2272" w:type="pct"/>
          </w:tcPr>
          <w:p w14:paraId="793377BD">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已按意见补充水文物探测井技术要求，详见P56 ~ 59。</w:t>
            </w:r>
          </w:p>
        </w:tc>
      </w:tr>
      <w:tr w14:paraId="079A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1764CBC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29</w:t>
            </w:r>
          </w:p>
        </w:tc>
        <w:tc>
          <w:tcPr>
            <w:tcW w:w="2290" w:type="pct"/>
          </w:tcPr>
          <w:p w14:paraId="63DA7AEE">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岩石物理力学样，按前述意见重新完善采样对象、采样组数、块数；土工试验采样对象及数</w:t>
            </w:r>
          </w:p>
        </w:tc>
        <w:tc>
          <w:tcPr>
            <w:tcW w:w="2272" w:type="pct"/>
          </w:tcPr>
          <w:p w14:paraId="4C5B4CE1">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已按意见修改，物理性能测试样设计各采集7组，土工试验样设计采集4件，粘性土和砂质土各采集2件。</w:t>
            </w:r>
          </w:p>
        </w:tc>
      </w:tr>
      <w:tr w14:paraId="726E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5CCB7DE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30</w:t>
            </w:r>
          </w:p>
        </w:tc>
        <w:tc>
          <w:tcPr>
            <w:tcW w:w="2290" w:type="pct"/>
          </w:tcPr>
          <w:p w14:paraId="17CCB97C">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土工试验样取样及试验项目，没有区分砂土、粘士的物理力学试验项目：</w:t>
            </w:r>
          </w:p>
          <w:p w14:paraId="7D015B4F">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(1)应参考GB/T 12719-2021附录I.1岩（土）室内试验项目重新确定；砂土与粘土试验项目通常包括：颗粒成分、比重、溶重、密度、含水率、孔隙比、渗透系数及压缩性；砂土宜增加相对密度；粘土则应增加界限含水率（液限、塑限、塑性指数、液性指数）、膨胀性（自由膨胀率、相对膨胀率、线缩率、膨胀总率）及抗剪强度等；样品采样规格、数量与质量，可参考《土工试验方法标准》（GB/T50123-2019</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附录B或检测单位的要求；</w:t>
            </w:r>
          </w:p>
        </w:tc>
        <w:tc>
          <w:tcPr>
            <w:tcW w:w="2272" w:type="pct"/>
          </w:tcPr>
          <w:p w14:paraId="1C736631">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已按意见修改土工试验样采集数量，相应的试验项目也同步修改。</w:t>
            </w:r>
          </w:p>
        </w:tc>
      </w:tr>
      <w:tr w14:paraId="60CB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7EF943F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3</w:t>
            </w:r>
            <w:bookmarkStart w:id="563" w:name="_GoBack"/>
            <w:bookmarkEnd w:id="563"/>
            <w:r>
              <w:rPr>
                <w:rFonts w:hint="eastAsia" w:ascii="Times New Roman" w:hAnsi="Times New Roman" w:eastAsia="仿宋" w:cs="Times New Roman"/>
                <w:sz w:val="24"/>
                <w:szCs w:val="24"/>
                <w:lang w:val="en-US" w:eastAsia="zh-CN"/>
              </w:rPr>
              <w:t>1</w:t>
            </w:r>
          </w:p>
        </w:tc>
        <w:tc>
          <w:tcPr>
            <w:tcW w:w="2290" w:type="pct"/>
          </w:tcPr>
          <w:p w14:paraId="19E98757">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（2</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其中多处有</w:t>
            </w:r>
            <w:r>
              <w:rPr>
                <w:rFonts w:hint="eastAsia" w:ascii="Times New Roman" w:hAnsi="Times New Roman" w:eastAsia="仿宋" w:cs="Times New Roman"/>
                <w:sz w:val="24"/>
                <w:szCs w:val="24"/>
                <w:lang w:val="en-US" w:eastAsia="zh-CN"/>
              </w:rPr>
              <w:t>“...岩</w:t>
            </w:r>
            <w:r>
              <w:rPr>
                <w:rFonts w:hint="default" w:ascii="Times New Roman" w:hAnsi="Times New Roman" w:eastAsia="仿宋" w:cs="Times New Roman"/>
                <w:sz w:val="24"/>
                <w:szCs w:val="24"/>
                <w:lang w:val="en-US" w:eastAsia="zh-CN"/>
              </w:rPr>
              <w:t>石</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中的</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岩石</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与</w:t>
            </w:r>
            <w:r>
              <w:rPr>
                <w:rFonts w:hint="eastAsia" w:ascii="Times New Roman" w:hAnsi="Times New Roman" w:eastAsia="仿宋" w:cs="Times New Roman"/>
                <w:sz w:val="24"/>
                <w:szCs w:val="24"/>
                <w:lang w:val="en-US" w:eastAsia="zh-CN"/>
              </w:rPr>
              <w:t>标</w:t>
            </w:r>
            <w:r>
              <w:rPr>
                <w:rFonts w:hint="default" w:ascii="Times New Roman" w:hAnsi="Times New Roman" w:eastAsia="仿宋" w:cs="Times New Roman"/>
                <w:sz w:val="24"/>
                <w:szCs w:val="24"/>
                <w:lang w:val="en-US" w:eastAsia="zh-CN"/>
              </w:rPr>
              <w:t>题不符合应统一改为</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土层</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w:t>
            </w:r>
          </w:p>
        </w:tc>
        <w:tc>
          <w:tcPr>
            <w:tcW w:w="2272" w:type="pct"/>
          </w:tcPr>
          <w:p w14:paraId="77B9A6C5">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已按意见修改，将与标题不符的“岩石”统一修改为“土层”。</w:t>
            </w:r>
          </w:p>
        </w:tc>
      </w:tr>
      <w:tr w14:paraId="5DFA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33D10E0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32</w:t>
            </w:r>
          </w:p>
        </w:tc>
        <w:tc>
          <w:tcPr>
            <w:tcW w:w="2290" w:type="pct"/>
          </w:tcPr>
          <w:p w14:paraId="5CF728C5">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《方案》中与环境污染有关的类似</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有毒有害元素</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，建议统改为</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重金属特征污染物</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w:t>
            </w:r>
          </w:p>
        </w:tc>
        <w:tc>
          <w:tcPr>
            <w:tcW w:w="2272" w:type="pct"/>
          </w:tcPr>
          <w:p w14:paraId="15CFA909">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已按意见将“有毒有害元素”修改为“重金属特征污染物”。</w:t>
            </w:r>
          </w:p>
        </w:tc>
      </w:tr>
      <w:tr w14:paraId="6BA0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47A3620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33</w:t>
            </w:r>
          </w:p>
        </w:tc>
        <w:tc>
          <w:tcPr>
            <w:tcW w:w="2290" w:type="pct"/>
          </w:tcPr>
          <w:p w14:paraId="6EEFFAC3">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4.5.2</w:t>
            </w:r>
            <w:r>
              <w:rPr>
                <w:rFonts w:hint="eastAsia" w:ascii="Times New Roman" w:hAnsi="Times New Roman" w:eastAsia="仿宋" w:cs="Times New Roman"/>
                <w:sz w:val="24"/>
                <w:szCs w:val="24"/>
                <w:lang w:val="en-US" w:eastAsia="zh-CN"/>
              </w:rPr>
              <w:t xml:space="preserve"> </w:t>
            </w:r>
            <w:r>
              <w:rPr>
                <w:rFonts w:hint="default" w:ascii="Times New Roman" w:hAnsi="Times New Roman" w:eastAsia="仿宋" w:cs="Times New Roman"/>
                <w:sz w:val="24"/>
                <w:szCs w:val="24"/>
                <w:lang w:val="en-US" w:eastAsia="zh-CN"/>
              </w:rPr>
              <w:t>1:5000水工环地质调查、</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矿区水文地质调查</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矿区工程地质调查</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矿区环境地质调查</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中的</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调查</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，应改为</w:t>
            </w:r>
            <w:r>
              <w:rPr>
                <w:rFonts w:hint="eastAsia" w:ascii="Times New Roman" w:hAnsi="Times New Roman" w:eastAsia="仿宋" w:cs="Times New Roman"/>
                <w:sz w:val="24"/>
                <w:szCs w:val="24"/>
                <w:lang w:val="en-US" w:eastAsia="zh-CN"/>
              </w:rPr>
              <w:t>“测</w:t>
            </w:r>
            <w:r>
              <w:rPr>
                <w:rFonts w:hint="default" w:ascii="Times New Roman" w:hAnsi="Times New Roman" w:eastAsia="仿宋" w:cs="Times New Roman"/>
                <w:sz w:val="24"/>
                <w:szCs w:val="24"/>
                <w:lang w:val="en-US" w:eastAsia="zh-CN"/>
              </w:rPr>
              <w:t>量</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w:t>
            </w:r>
          </w:p>
        </w:tc>
        <w:tc>
          <w:tcPr>
            <w:tcW w:w="2272" w:type="pct"/>
          </w:tcPr>
          <w:p w14:paraId="3ED35266">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已将“</w:t>
            </w:r>
            <w:r>
              <w:rPr>
                <w:rFonts w:hint="default" w:ascii="Times New Roman" w:hAnsi="Times New Roman" w:eastAsia="仿宋" w:cs="Times New Roman"/>
                <w:b/>
                <w:bCs/>
                <w:sz w:val="24"/>
                <w:szCs w:val="24"/>
                <w:lang w:val="en-US" w:eastAsia="zh-CN"/>
              </w:rPr>
              <w:t>1:5000水工环地质调查</w:t>
            </w:r>
            <w:r>
              <w:rPr>
                <w:rFonts w:hint="eastAsia" w:ascii="Times New Roman" w:hAnsi="Times New Roman" w:eastAsia="仿宋" w:cs="Times New Roman"/>
                <w:b/>
                <w:bCs/>
                <w:sz w:val="24"/>
                <w:szCs w:val="24"/>
                <w:lang w:val="en-US" w:eastAsia="zh-CN"/>
              </w:rPr>
              <w:t>”、“</w:t>
            </w:r>
            <w:r>
              <w:rPr>
                <w:rFonts w:hint="default" w:ascii="Times New Roman" w:hAnsi="Times New Roman" w:eastAsia="仿宋" w:cs="Times New Roman"/>
                <w:b/>
                <w:bCs/>
                <w:sz w:val="24"/>
                <w:szCs w:val="24"/>
                <w:lang w:val="en-US" w:eastAsia="zh-CN"/>
              </w:rPr>
              <w:t>矿区水文地质调查</w:t>
            </w:r>
            <w:r>
              <w:rPr>
                <w:rFonts w:hint="eastAsia" w:ascii="Times New Roman" w:hAnsi="Times New Roman" w:eastAsia="仿宋" w:cs="Times New Roman"/>
                <w:b/>
                <w:bCs/>
                <w:sz w:val="24"/>
                <w:szCs w:val="24"/>
                <w:lang w:val="en-US" w:eastAsia="zh-CN"/>
              </w:rPr>
              <w:t>“</w:t>
            </w:r>
            <w:r>
              <w:rPr>
                <w:rFonts w:hint="default" w:ascii="Times New Roman" w:hAnsi="Times New Roman" w:eastAsia="仿宋" w:cs="Times New Roman"/>
                <w:b/>
                <w:bCs/>
                <w:sz w:val="24"/>
                <w:szCs w:val="24"/>
                <w:lang w:val="en-US" w:eastAsia="zh-CN"/>
              </w:rPr>
              <w:t>、</w:t>
            </w:r>
            <w:r>
              <w:rPr>
                <w:rFonts w:hint="eastAsia" w:ascii="Times New Roman" w:hAnsi="Times New Roman" w:eastAsia="仿宋" w:cs="Times New Roman"/>
                <w:b/>
                <w:bCs/>
                <w:sz w:val="24"/>
                <w:szCs w:val="24"/>
                <w:lang w:val="en-US" w:eastAsia="zh-CN"/>
              </w:rPr>
              <w:t>“</w:t>
            </w:r>
            <w:r>
              <w:rPr>
                <w:rFonts w:hint="default" w:ascii="Times New Roman" w:hAnsi="Times New Roman" w:eastAsia="仿宋" w:cs="Times New Roman"/>
                <w:b/>
                <w:bCs/>
                <w:sz w:val="24"/>
                <w:szCs w:val="24"/>
                <w:lang w:val="en-US" w:eastAsia="zh-CN"/>
              </w:rPr>
              <w:t>矿区工程地质调查</w:t>
            </w:r>
            <w:r>
              <w:rPr>
                <w:rFonts w:hint="eastAsia" w:ascii="Times New Roman" w:hAnsi="Times New Roman" w:eastAsia="仿宋" w:cs="Times New Roman"/>
                <w:b/>
                <w:bCs/>
                <w:sz w:val="24"/>
                <w:szCs w:val="24"/>
                <w:lang w:val="en-US" w:eastAsia="zh-CN"/>
              </w:rPr>
              <w:t>”</w:t>
            </w:r>
            <w:r>
              <w:rPr>
                <w:rFonts w:hint="default" w:ascii="Times New Roman" w:hAnsi="Times New Roman" w:eastAsia="仿宋" w:cs="Times New Roman"/>
                <w:b/>
                <w:bCs/>
                <w:sz w:val="24"/>
                <w:szCs w:val="24"/>
                <w:lang w:val="en-US" w:eastAsia="zh-CN"/>
              </w:rPr>
              <w:t>、</w:t>
            </w:r>
            <w:r>
              <w:rPr>
                <w:rFonts w:hint="eastAsia" w:ascii="Times New Roman" w:hAnsi="Times New Roman" w:eastAsia="仿宋" w:cs="Times New Roman"/>
                <w:b/>
                <w:bCs/>
                <w:sz w:val="24"/>
                <w:szCs w:val="24"/>
                <w:lang w:val="en-US" w:eastAsia="zh-CN"/>
              </w:rPr>
              <w:t>“</w:t>
            </w:r>
            <w:r>
              <w:rPr>
                <w:rFonts w:hint="default" w:ascii="Times New Roman" w:hAnsi="Times New Roman" w:eastAsia="仿宋" w:cs="Times New Roman"/>
                <w:b/>
                <w:bCs/>
                <w:sz w:val="24"/>
                <w:szCs w:val="24"/>
                <w:lang w:val="en-US" w:eastAsia="zh-CN"/>
              </w:rPr>
              <w:t>矿区环境地质调查</w:t>
            </w:r>
            <w:r>
              <w:rPr>
                <w:rFonts w:hint="eastAsia" w:ascii="Times New Roman" w:hAnsi="Times New Roman" w:eastAsia="仿宋" w:cs="Times New Roman"/>
                <w:b/>
                <w:bCs/>
                <w:sz w:val="24"/>
                <w:szCs w:val="24"/>
                <w:lang w:val="en-US" w:eastAsia="zh-CN"/>
              </w:rPr>
              <w:t>”</w:t>
            </w:r>
            <w:r>
              <w:rPr>
                <w:rFonts w:hint="default" w:ascii="Times New Roman" w:hAnsi="Times New Roman" w:eastAsia="仿宋" w:cs="Times New Roman"/>
                <w:b/>
                <w:bCs/>
                <w:sz w:val="24"/>
                <w:szCs w:val="24"/>
                <w:lang w:val="en-US" w:eastAsia="zh-CN"/>
              </w:rPr>
              <w:t>中的</w:t>
            </w:r>
            <w:r>
              <w:rPr>
                <w:rFonts w:hint="eastAsia" w:ascii="Times New Roman" w:hAnsi="Times New Roman" w:eastAsia="仿宋" w:cs="Times New Roman"/>
                <w:b/>
                <w:bCs/>
                <w:sz w:val="24"/>
                <w:szCs w:val="24"/>
                <w:lang w:val="en-US" w:eastAsia="zh-CN"/>
              </w:rPr>
              <w:t>“</w:t>
            </w:r>
            <w:r>
              <w:rPr>
                <w:rFonts w:hint="default" w:ascii="Times New Roman" w:hAnsi="Times New Roman" w:eastAsia="仿宋" w:cs="Times New Roman"/>
                <w:b/>
                <w:bCs/>
                <w:sz w:val="24"/>
                <w:szCs w:val="24"/>
                <w:lang w:val="en-US" w:eastAsia="zh-CN"/>
              </w:rPr>
              <w:t>调查</w:t>
            </w:r>
            <w:r>
              <w:rPr>
                <w:rFonts w:hint="eastAsia" w:ascii="Times New Roman" w:hAnsi="Times New Roman" w:eastAsia="仿宋" w:cs="Times New Roman"/>
                <w:b/>
                <w:bCs/>
                <w:sz w:val="24"/>
                <w:szCs w:val="24"/>
                <w:lang w:val="en-US" w:eastAsia="zh-CN"/>
              </w:rPr>
              <w:t>”</w:t>
            </w:r>
            <w:r>
              <w:rPr>
                <w:rFonts w:hint="default" w:ascii="Times New Roman" w:hAnsi="Times New Roman" w:eastAsia="仿宋" w:cs="Times New Roman"/>
                <w:b/>
                <w:bCs/>
                <w:sz w:val="24"/>
                <w:szCs w:val="24"/>
                <w:lang w:val="en-US" w:eastAsia="zh-CN"/>
              </w:rPr>
              <w:t>，改为</w:t>
            </w:r>
            <w:r>
              <w:rPr>
                <w:rFonts w:hint="eastAsia" w:ascii="Times New Roman" w:hAnsi="Times New Roman" w:eastAsia="仿宋" w:cs="Times New Roman"/>
                <w:b/>
                <w:bCs/>
                <w:sz w:val="24"/>
                <w:szCs w:val="24"/>
                <w:lang w:val="en-US" w:eastAsia="zh-CN"/>
              </w:rPr>
              <w:t>“测</w:t>
            </w:r>
            <w:r>
              <w:rPr>
                <w:rFonts w:hint="default" w:ascii="Times New Roman" w:hAnsi="Times New Roman" w:eastAsia="仿宋" w:cs="Times New Roman"/>
                <w:b/>
                <w:bCs/>
                <w:sz w:val="24"/>
                <w:szCs w:val="24"/>
                <w:lang w:val="en-US" w:eastAsia="zh-CN"/>
              </w:rPr>
              <w:t>量</w:t>
            </w:r>
            <w:r>
              <w:rPr>
                <w:rFonts w:hint="eastAsia" w:ascii="Times New Roman" w:hAnsi="Times New Roman" w:eastAsia="仿宋" w:cs="Times New Roman"/>
                <w:b/>
                <w:bCs/>
                <w:sz w:val="24"/>
                <w:szCs w:val="24"/>
                <w:lang w:val="en-US" w:eastAsia="zh-CN"/>
              </w:rPr>
              <w:t>”。</w:t>
            </w:r>
          </w:p>
        </w:tc>
      </w:tr>
      <w:tr w14:paraId="265E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1D62C21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34</w:t>
            </w:r>
          </w:p>
        </w:tc>
        <w:tc>
          <w:tcPr>
            <w:tcW w:w="2290" w:type="pct"/>
          </w:tcPr>
          <w:p w14:paraId="5A1B8E4F">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经费预算部分，应根据修改后的水工环地质工作进行相应调整。</w:t>
            </w:r>
          </w:p>
        </w:tc>
        <w:tc>
          <w:tcPr>
            <w:tcW w:w="2272" w:type="pct"/>
          </w:tcPr>
          <w:p w14:paraId="7CEAD129">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已相应修改经费预算。</w:t>
            </w:r>
          </w:p>
        </w:tc>
      </w:tr>
      <w:tr w14:paraId="69D0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727ECC2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35</w:t>
            </w:r>
          </w:p>
        </w:tc>
        <w:tc>
          <w:tcPr>
            <w:tcW w:w="2290" w:type="pct"/>
          </w:tcPr>
          <w:p w14:paraId="0483B448">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绿色勘查部</w:t>
            </w:r>
            <w:r>
              <w:rPr>
                <w:rFonts w:hint="eastAsia" w:ascii="Times New Roman" w:hAnsi="Times New Roman" w:eastAsia="仿宋" w:cs="Times New Roman"/>
                <w:sz w:val="24"/>
                <w:szCs w:val="24"/>
                <w:lang w:val="en-US" w:eastAsia="zh-CN"/>
              </w:rPr>
              <w:t>分</w:t>
            </w:r>
            <w:r>
              <w:rPr>
                <w:rFonts w:hint="default" w:ascii="Times New Roman" w:hAnsi="Times New Roman" w:eastAsia="仿宋" w:cs="Times New Roman"/>
                <w:sz w:val="24"/>
                <w:szCs w:val="24"/>
                <w:lang w:val="en-US" w:eastAsia="zh-CN"/>
              </w:rPr>
              <w:t>，建议根据《绿色地质勘查工作</w:t>
            </w:r>
            <w:r>
              <w:rPr>
                <w:rFonts w:hint="eastAsia" w:ascii="Times New Roman" w:hAnsi="Times New Roman" w:eastAsia="仿宋" w:cs="Times New Roman"/>
                <w:sz w:val="24"/>
                <w:szCs w:val="24"/>
                <w:lang w:val="en-US" w:eastAsia="zh-CN"/>
              </w:rPr>
              <w:t>规范</w:t>
            </w:r>
            <w:r>
              <w:rPr>
                <w:rFonts w:hint="default" w:ascii="Times New Roman" w:hAnsi="Times New Roman" w:eastAsia="仿宋" w:cs="Times New Roman"/>
                <w:sz w:val="24"/>
                <w:szCs w:val="24"/>
                <w:lang w:val="en-US" w:eastAsia="zh-CN"/>
              </w:rPr>
              <w:t>》</w:t>
            </w:r>
            <w:r>
              <w:rPr>
                <w:rFonts w:hint="eastAsia" w:ascii="Times New Roman" w:hAnsi="Times New Roman" w:eastAsia="仿宋" w:cs="Times New Roman"/>
                <w:sz w:val="24"/>
                <w:szCs w:val="24"/>
                <w:lang w:val="en-US" w:eastAsia="zh-CN"/>
              </w:rPr>
              <w:t>（</w:t>
            </w:r>
            <w:r>
              <w:rPr>
                <w:rFonts w:hint="default" w:ascii="Times New Roman" w:hAnsi="Times New Roman" w:eastAsia="仿宋" w:cs="Times New Roman"/>
                <w:sz w:val="24"/>
                <w:szCs w:val="24"/>
                <w:lang w:val="en-US" w:eastAsia="zh-CN"/>
              </w:rPr>
              <w:t>DZ/T0374-2021）要求，进行修改</w:t>
            </w:r>
            <w:r>
              <w:rPr>
                <w:rFonts w:hint="eastAsia" w:ascii="Times New Roman" w:hAnsi="Times New Roman" w:eastAsia="仿宋" w:cs="Times New Roman"/>
                <w:sz w:val="24"/>
                <w:szCs w:val="24"/>
                <w:lang w:val="en-US" w:eastAsia="zh-CN"/>
              </w:rPr>
              <w:t>。</w:t>
            </w:r>
          </w:p>
        </w:tc>
        <w:tc>
          <w:tcPr>
            <w:tcW w:w="2272" w:type="pct"/>
          </w:tcPr>
          <w:p w14:paraId="0B3FEE08">
            <w:pPr>
              <w:keepNext w:val="0"/>
              <w:keepLines w:val="0"/>
              <w:pageBreakBefore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已按意见根据</w:t>
            </w:r>
            <w:r>
              <w:rPr>
                <w:rFonts w:hint="default" w:ascii="Times New Roman" w:hAnsi="Times New Roman" w:eastAsia="仿宋" w:cs="Times New Roman"/>
                <w:b/>
                <w:bCs/>
                <w:sz w:val="24"/>
                <w:szCs w:val="24"/>
                <w:lang w:val="en-US" w:eastAsia="zh-CN"/>
              </w:rPr>
              <w:t>《绿色地质勘查工作</w:t>
            </w:r>
            <w:r>
              <w:rPr>
                <w:rFonts w:hint="eastAsia" w:ascii="Times New Roman" w:hAnsi="Times New Roman" w:eastAsia="仿宋" w:cs="Times New Roman"/>
                <w:b/>
                <w:bCs/>
                <w:sz w:val="24"/>
                <w:szCs w:val="24"/>
                <w:lang w:val="en-US" w:eastAsia="zh-CN"/>
              </w:rPr>
              <w:t>规范</w:t>
            </w:r>
            <w:r>
              <w:rPr>
                <w:rFonts w:hint="default" w:ascii="Times New Roman" w:hAnsi="Times New Roman" w:eastAsia="仿宋" w:cs="Times New Roman"/>
                <w:b/>
                <w:bCs/>
                <w:sz w:val="24"/>
                <w:szCs w:val="24"/>
                <w:lang w:val="en-US" w:eastAsia="zh-CN"/>
              </w:rPr>
              <w:t>》</w:t>
            </w:r>
            <w:r>
              <w:rPr>
                <w:rFonts w:hint="eastAsia" w:ascii="Times New Roman" w:hAnsi="Times New Roman" w:eastAsia="仿宋" w:cs="Times New Roman"/>
                <w:b/>
                <w:bCs/>
                <w:sz w:val="24"/>
                <w:szCs w:val="24"/>
                <w:lang w:val="en-US" w:eastAsia="zh-CN"/>
              </w:rPr>
              <w:t>（</w:t>
            </w:r>
            <w:r>
              <w:rPr>
                <w:rFonts w:hint="default" w:ascii="Times New Roman" w:hAnsi="Times New Roman" w:eastAsia="仿宋" w:cs="Times New Roman"/>
                <w:b/>
                <w:bCs/>
                <w:sz w:val="24"/>
                <w:szCs w:val="24"/>
                <w:lang w:val="en-US" w:eastAsia="zh-CN"/>
              </w:rPr>
              <w:t>DZ/T0374-2021）要求，修改绿色勘查</w:t>
            </w:r>
            <w:r>
              <w:rPr>
                <w:rFonts w:hint="eastAsia" w:ascii="Times New Roman" w:hAnsi="Times New Roman" w:eastAsia="仿宋" w:cs="Times New Roman"/>
                <w:b/>
                <w:bCs/>
                <w:sz w:val="24"/>
                <w:szCs w:val="24"/>
                <w:lang w:val="en-US" w:eastAsia="zh-CN"/>
              </w:rPr>
              <w:t>内容，详见P749~ 77。</w:t>
            </w:r>
          </w:p>
        </w:tc>
      </w:tr>
    </w:tbl>
    <w:p w14:paraId="66D48251">
      <w:pPr>
        <w:snapToGrid w:val="0"/>
        <w:jc w:val="center"/>
        <w:rPr>
          <w:rFonts w:hint="default" w:ascii="Times New Roman" w:hAnsi="Times New Roman" w:eastAsia="仿宋" w:cs="Times New Roman"/>
          <w:b/>
          <w:bCs/>
          <w:sz w:val="32"/>
          <w:szCs w:val="28"/>
        </w:rPr>
      </w:pPr>
      <w:r>
        <w:br w:type="page"/>
      </w:r>
      <w:r>
        <w:rPr>
          <w:rFonts w:hint="default" w:ascii="Times New Roman" w:hAnsi="Times New Roman" w:eastAsia="仿宋" w:cs="Times New Roman"/>
          <w:b/>
          <w:bCs/>
          <w:sz w:val="32"/>
          <w:szCs w:val="28"/>
        </w:rPr>
        <w:t>《华润水泥（上思）有限公司龙大山矿区水泥用灰岩矿整合区详查实施方案》专家</w:t>
      </w:r>
      <w:r>
        <w:rPr>
          <w:rFonts w:hint="eastAsia" w:ascii="Times New Roman" w:hAnsi="Times New Roman" w:eastAsia="仿宋" w:cs="Times New Roman"/>
          <w:b/>
          <w:bCs/>
          <w:sz w:val="32"/>
          <w:szCs w:val="28"/>
          <w:lang w:val="en-US" w:eastAsia="zh-CN"/>
        </w:rPr>
        <w:t>复核</w:t>
      </w:r>
      <w:r>
        <w:rPr>
          <w:rFonts w:hint="default" w:ascii="Times New Roman" w:hAnsi="Times New Roman" w:eastAsia="仿宋" w:cs="Times New Roman"/>
          <w:b/>
          <w:bCs/>
          <w:sz w:val="32"/>
          <w:szCs w:val="28"/>
        </w:rPr>
        <w:t>意见修改对照表</w:t>
      </w:r>
    </w:p>
    <w:p w14:paraId="4F581F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rPr>
      </w:pPr>
      <w:r>
        <w:rPr>
          <w:rFonts w:hint="default" w:ascii="Times New Roman" w:hAnsi="Times New Roman" w:eastAsia="仿宋" w:cs="Times New Roman"/>
          <w:b/>
          <w:bCs/>
          <w:sz w:val="28"/>
          <w:szCs w:val="28"/>
          <w:lang w:val="en-US" w:eastAsia="zh-CN"/>
        </w:rPr>
        <w:t>王瑞湖</w:t>
      </w:r>
      <w:r>
        <w:rPr>
          <w:rFonts w:hint="default" w:ascii="Times New Roman" w:hAnsi="Times New Roman" w:eastAsia="仿宋" w:cs="Times New Roman"/>
          <w:b/>
          <w:bCs/>
          <w:sz w:val="28"/>
          <w:szCs w:val="28"/>
        </w:rPr>
        <w:t>专家：</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4253"/>
        <w:gridCol w:w="4221"/>
      </w:tblGrid>
      <w:tr w14:paraId="452A3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7" w:type="pct"/>
          </w:tcPr>
          <w:p w14:paraId="5763C1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序号</w:t>
            </w:r>
          </w:p>
        </w:tc>
        <w:tc>
          <w:tcPr>
            <w:tcW w:w="2290" w:type="pct"/>
          </w:tcPr>
          <w:p w14:paraId="0D45A7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专家意见</w:t>
            </w:r>
          </w:p>
        </w:tc>
        <w:tc>
          <w:tcPr>
            <w:tcW w:w="2272" w:type="pct"/>
          </w:tcPr>
          <w:p w14:paraId="1A4264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修改情况</w:t>
            </w:r>
          </w:p>
        </w:tc>
      </w:tr>
      <w:tr w14:paraId="7406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000" w:type="pct"/>
            <w:gridSpan w:val="3"/>
          </w:tcPr>
          <w:p w14:paraId="7E2DB2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rPr>
            </w:pPr>
            <w:r>
              <w:rPr>
                <w:rFonts w:hint="eastAsia" w:ascii="Times New Roman" w:hAnsi="Times New Roman" w:eastAsia="仿宋" w:cs="Times New Roman"/>
                <w:b/>
                <w:sz w:val="24"/>
                <w:szCs w:val="24"/>
                <w:lang w:val="en-US" w:eastAsia="zh-CN"/>
              </w:rPr>
              <w:t>文本</w:t>
            </w:r>
          </w:p>
        </w:tc>
      </w:tr>
      <w:tr w14:paraId="749FE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573CCA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2290" w:type="pct"/>
          </w:tcPr>
          <w:p w14:paraId="7FB198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rPr>
            </w:pPr>
            <w:r>
              <w:rPr>
                <w:rFonts w:hint="eastAsia" w:ascii="Times New Roman" w:hAnsi="Times New Roman" w:eastAsia="仿宋" w:cs="Times New Roman"/>
                <w:sz w:val="24"/>
                <w:szCs w:val="24"/>
              </w:rPr>
              <w:t>1:1</w:t>
            </w:r>
            <w:r>
              <w:rPr>
                <w:rFonts w:hint="default" w:ascii="Times New Roman" w:hAnsi="Times New Roman" w:eastAsia="仿宋" w:cs="Times New Roman"/>
                <w:sz w:val="24"/>
                <w:szCs w:val="24"/>
              </w:rPr>
              <w:t>000</w:t>
            </w:r>
            <w:r>
              <w:rPr>
                <w:rFonts w:hint="eastAsia" w:ascii="Times New Roman" w:hAnsi="Times New Roman" w:eastAsia="仿宋" w:cs="Times New Roman"/>
                <w:sz w:val="24"/>
                <w:szCs w:val="24"/>
              </w:rPr>
              <w:t>地质剖面测量修改为1:1</w:t>
            </w:r>
            <w:r>
              <w:rPr>
                <w:rFonts w:hint="default" w:ascii="Times New Roman" w:hAnsi="Times New Roman" w:eastAsia="仿宋" w:cs="Times New Roman"/>
                <w:sz w:val="24"/>
                <w:szCs w:val="24"/>
              </w:rPr>
              <w:t>000</w:t>
            </w:r>
            <w:r>
              <w:rPr>
                <w:rFonts w:hint="eastAsia" w:ascii="Times New Roman" w:hAnsi="Times New Roman" w:eastAsia="仿宋" w:cs="Times New Roman"/>
                <w:sz w:val="24"/>
                <w:szCs w:val="24"/>
              </w:rPr>
              <w:t>水文地质工程地质剖面测量，并相应补充1:1</w:t>
            </w:r>
            <w:r>
              <w:rPr>
                <w:rFonts w:hint="default" w:ascii="Times New Roman" w:hAnsi="Times New Roman" w:eastAsia="仿宋" w:cs="Times New Roman"/>
                <w:sz w:val="24"/>
                <w:szCs w:val="24"/>
              </w:rPr>
              <w:t>000</w:t>
            </w:r>
            <w:r>
              <w:rPr>
                <w:rFonts w:hint="eastAsia" w:ascii="Times New Roman" w:hAnsi="Times New Roman" w:eastAsia="仿宋" w:cs="Times New Roman"/>
                <w:sz w:val="24"/>
                <w:szCs w:val="24"/>
              </w:rPr>
              <w:t>水文地质工程地质剖面测技术要求；</w:t>
            </w:r>
          </w:p>
        </w:tc>
        <w:tc>
          <w:tcPr>
            <w:tcW w:w="2272" w:type="pct"/>
          </w:tcPr>
          <w:p w14:paraId="7C5FCC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_GB2312"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已按意见将1:1</w:t>
            </w:r>
            <w:r>
              <w:rPr>
                <w:rFonts w:hint="default" w:ascii="Times New Roman" w:hAnsi="Times New Roman" w:eastAsia="仿宋" w:cs="Times New Roman"/>
                <w:b/>
                <w:bCs/>
                <w:sz w:val="24"/>
                <w:szCs w:val="24"/>
                <w:lang w:val="en-US" w:eastAsia="zh-CN"/>
              </w:rPr>
              <w:t>000</w:t>
            </w:r>
            <w:r>
              <w:rPr>
                <w:rFonts w:hint="eastAsia" w:ascii="Times New Roman" w:hAnsi="Times New Roman" w:eastAsia="仿宋" w:cs="Times New Roman"/>
                <w:b/>
                <w:bCs/>
                <w:sz w:val="24"/>
                <w:szCs w:val="24"/>
                <w:lang w:val="en-US" w:eastAsia="zh-CN"/>
              </w:rPr>
              <w:t>地质剖面测量修为1:1</w:t>
            </w:r>
            <w:r>
              <w:rPr>
                <w:rFonts w:hint="default" w:ascii="Times New Roman" w:hAnsi="Times New Roman" w:eastAsia="仿宋" w:cs="Times New Roman"/>
                <w:b/>
                <w:bCs/>
                <w:sz w:val="24"/>
                <w:szCs w:val="24"/>
                <w:lang w:val="en-US" w:eastAsia="zh-CN"/>
              </w:rPr>
              <w:t>000</w:t>
            </w:r>
            <w:r>
              <w:rPr>
                <w:rFonts w:hint="eastAsia" w:ascii="Times New Roman" w:hAnsi="Times New Roman" w:eastAsia="仿宋" w:cs="Times New Roman"/>
                <w:b/>
                <w:bCs/>
                <w:sz w:val="24"/>
                <w:szCs w:val="24"/>
                <w:lang w:val="en-US" w:eastAsia="zh-CN"/>
              </w:rPr>
              <w:t>水文地质工程地质剖面测量，并补充1:1</w:t>
            </w:r>
            <w:r>
              <w:rPr>
                <w:rFonts w:hint="default" w:ascii="Times New Roman" w:hAnsi="Times New Roman" w:eastAsia="仿宋" w:cs="Times New Roman"/>
                <w:b/>
                <w:bCs/>
                <w:sz w:val="24"/>
                <w:szCs w:val="24"/>
                <w:lang w:val="en-US" w:eastAsia="zh-CN"/>
              </w:rPr>
              <w:t>000</w:t>
            </w:r>
            <w:r>
              <w:rPr>
                <w:rFonts w:hint="eastAsia" w:ascii="Times New Roman" w:hAnsi="Times New Roman" w:eastAsia="仿宋" w:cs="Times New Roman"/>
                <w:b/>
                <w:bCs/>
                <w:sz w:val="24"/>
                <w:szCs w:val="24"/>
                <w:lang w:val="en-US" w:eastAsia="zh-CN"/>
              </w:rPr>
              <w:t>水文地质工程地质剖面测技术要求。详见P5。</w:t>
            </w:r>
          </w:p>
        </w:tc>
      </w:tr>
      <w:tr w14:paraId="2715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678B70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2290" w:type="pct"/>
          </w:tcPr>
          <w:p w14:paraId="2B6722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rPr>
            </w:pPr>
            <w:r>
              <w:rPr>
                <w:rFonts w:hint="eastAsia" w:ascii="Times New Roman" w:hAnsi="Times New Roman" w:eastAsia="仿宋" w:cs="Times New Roman"/>
                <w:sz w:val="24"/>
                <w:szCs w:val="24"/>
              </w:rPr>
              <w:t>水泥用灰岩基本分析项目除“</w:t>
            </w:r>
            <w:r>
              <w:rPr>
                <w:rFonts w:hint="default" w:ascii="Times New Roman" w:hAnsi="Times New Roman" w:eastAsia="仿宋" w:cs="Times New Roman"/>
                <w:sz w:val="24"/>
                <w:szCs w:val="24"/>
              </w:rPr>
              <w:t>CaO、MgO、K</w:t>
            </w:r>
            <w:r>
              <w:rPr>
                <w:rFonts w:hint="default" w:ascii="Times New Roman" w:hAnsi="Times New Roman" w:eastAsia="仿宋" w:cs="Times New Roman"/>
                <w:sz w:val="24"/>
                <w:szCs w:val="24"/>
                <w:vertAlign w:val="subscript"/>
              </w:rPr>
              <w:t>2</w:t>
            </w:r>
            <w:r>
              <w:rPr>
                <w:rFonts w:hint="default" w:ascii="Times New Roman" w:hAnsi="Times New Roman" w:eastAsia="仿宋" w:cs="Times New Roman"/>
                <w:sz w:val="24"/>
                <w:szCs w:val="24"/>
              </w:rPr>
              <w:t>O、Na</w:t>
            </w:r>
            <w:r>
              <w:rPr>
                <w:rFonts w:hint="default" w:ascii="Times New Roman" w:hAnsi="Times New Roman" w:eastAsia="仿宋" w:cs="Times New Roman"/>
                <w:sz w:val="24"/>
                <w:szCs w:val="24"/>
                <w:vertAlign w:val="subscript"/>
              </w:rPr>
              <w:t>2</w:t>
            </w:r>
            <w:r>
              <w:rPr>
                <w:rFonts w:hint="default" w:ascii="Times New Roman" w:hAnsi="Times New Roman" w:eastAsia="仿宋" w:cs="Times New Roman"/>
                <w:sz w:val="24"/>
                <w:szCs w:val="24"/>
              </w:rPr>
              <w:t>O</w:t>
            </w:r>
            <w:r>
              <w:rPr>
                <w:rFonts w:hint="eastAsia" w:ascii="Times New Roman" w:hAnsi="Times New Roman" w:eastAsia="仿宋" w:cs="Times New Roman"/>
                <w:sz w:val="24"/>
                <w:szCs w:val="24"/>
              </w:rPr>
              <w:t>”外还应增加</w:t>
            </w:r>
            <w:r>
              <w:rPr>
                <w:rFonts w:hint="default" w:ascii="Times New Roman" w:hAnsi="Times New Roman" w:eastAsia="仿宋" w:cs="Times New Roman"/>
                <w:i/>
                <w:iCs/>
                <w:sz w:val="24"/>
                <w:szCs w:val="24"/>
              </w:rPr>
              <w:t>f</w:t>
            </w:r>
            <w:r>
              <w:rPr>
                <w:rFonts w:hint="default" w:ascii="Times New Roman" w:hAnsi="Times New Roman" w:eastAsia="仿宋" w:cs="Times New Roman"/>
                <w:sz w:val="24"/>
                <w:szCs w:val="24"/>
              </w:rPr>
              <w:t>SiO</w:t>
            </w:r>
            <w:r>
              <w:rPr>
                <w:rFonts w:hint="default" w:ascii="Times New Roman" w:hAnsi="Times New Roman" w:eastAsia="仿宋" w:cs="Times New Roman"/>
                <w:sz w:val="24"/>
                <w:szCs w:val="24"/>
                <w:vertAlign w:val="superscript"/>
              </w:rPr>
              <w:t>2</w:t>
            </w:r>
            <w:r>
              <w:rPr>
                <w:rFonts w:hint="eastAsia" w:ascii="Times New Roman" w:hAnsi="Times New Roman" w:eastAsia="仿宋" w:cs="Times New Roman"/>
                <w:sz w:val="24"/>
                <w:szCs w:val="24"/>
              </w:rPr>
              <w:t>；</w:t>
            </w:r>
          </w:p>
        </w:tc>
        <w:tc>
          <w:tcPr>
            <w:tcW w:w="2272" w:type="pct"/>
          </w:tcPr>
          <w:p w14:paraId="4D38EC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仿宋_GB2312" w:cs="Times New Roman"/>
                <w:b/>
                <w:bCs/>
                <w:sz w:val="24"/>
                <w:szCs w:val="24"/>
                <w:vertAlign w:val="baseline"/>
                <w:lang w:val="en-US" w:eastAsia="zh-CN"/>
              </w:rPr>
            </w:pPr>
            <w:r>
              <w:rPr>
                <w:rFonts w:hint="eastAsia" w:ascii="Times New Roman" w:hAnsi="Times New Roman" w:eastAsia="仿宋" w:cs="Times New Roman"/>
                <w:b/>
                <w:bCs/>
                <w:sz w:val="24"/>
                <w:szCs w:val="24"/>
                <w:lang w:val="en-US" w:eastAsia="zh-CN"/>
              </w:rPr>
              <w:t>已按意见在基本分析项目中增加</w:t>
            </w:r>
            <w:r>
              <w:rPr>
                <w:rFonts w:hint="eastAsia" w:ascii="Times New Roman" w:hAnsi="Times New Roman" w:eastAsia="仿宋" w:cs="Times New Roman"/>
                <w:b/>
                <w:bCs/>
                <w:i/>
                <w:iCs/>
                <w:sz w:val="24"/>
                <w:szCs w:val="24"/>
                <w:lang w:val="en-US" w:eastAsia="zh-CN"/>
              </w:rPr>
              <w:t>f</w:t>
            </w:r>
            <w:r>
              <w:rPr>
                <w:rFonts w:hint="eastAsia" w:ascii="Times New Roman" w:hAnsi="Times New Roman" w:eastAsia="仿宋" w:cs="Times New Roman"/>
                <w:b/>
                <w:bCs/>
                <w:sz w:val="24"/>
                <w:szCs w:val="24"/>
                <w:lang w:val="en-US" w:eastAsia="zh-CN"/>
              </w:rPr>
              <w:t>SiO</w:t>
            </w:r>
            <w:r>
              <w:rPr>
                <w:rFonts w:hint="eastAsia" w:ascii="Times New Roman" w:hAnsi="Times New Roman" w:eastAsia="仿宋" w:cs="Times New Roman"/>
                <w:b/>
                <w:bCs/>
                <w:sz w:val="24"/>
                <w:szCs w:val="24"/>
                <w:vertAlign w:val="subscript"/>
                <w:lang w:val="en-US" w:eastAsia="zh-CN"/>
              </w:rPr>
              <w:t>2</w:t>
            </w:r>
            <w:r>
              <w:rPr>
                <w:rFonts w:hint="eastAsia" w:ascii="Times New Roman" w:hAnsi="Times New Roman" w:eastAsia="仿宋" w:cs="Times New Roman"/>
                <w:b/>
                <w:bCs/>
                <w:sz w:val="24"/>
                <w:szCs w:val="24"/>
                <w:lang w:val="en-US" w:eastAsia="zh-CN"/>
              </w:rPr>
              <w:t>。</w:t>
            </w:r>
          </w:p>
        </w:tc>
      </w:tr>
      <w:tr w14:paraId="17D5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437" w:type="pct"/>
            <w:vAlign w:val="center"/>
          </w:tcPr>
          <w:p w14:paraId="4E8960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2290" w:type="pct"/>
          </w:tcPr>
          <w:p w14:paraId="0FCE33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rPr>
            </w:pPr>
            <w:r>
              <w:rPr>
                <w:rFonts w:hint="eastAsia" w:ascii="Times New Roman" w:hAnsi="Times New Roman" w:eastAsia="仿宋" w:cs="Times New Roman"/>
                <w:sz w:val="24"/>
                <w:szCs w:val="24"/>
              </w:rPr>
              <w:t>工业指标（表5</w:t>
            </w:r>
            <w:r>
              <w:rPr>
                <w:rFonts w:hint="default" w:ascii="Times New Roman" w:hAnsi="Times New Roman" w:eastAsia="仿宋" w:cs="Times New Roman"/>
                <w:sz w:val="24"/>
                <w:szCs w:val="24"/>
              </w:rPr>
              <w:t>-1</w:t>
            </w:r>
            <w:r>
              <w:rPr>
                <w:rFonts w:hint="eastAsia" w:ascii="Times New Roman" w:hAnsi="Times New Roman" w:eastAsia="仿宋" w:cs="Times New Roman"/>
                <w:sz w:val="24"/>
                <w:szCs w:val="24"/>
              </w:rPr>
              <w:t>）中的应补充“</w:t>
            </w:r>
            <w:r>
              <w:rPr>
                <w:rFonts w:hint="default" w:ascii="Times New Roman" w:hAnsi="Times New Roman" w:eastAsia="仿宋" w:cs="Times New Roman"/>
                <w:sz w:val="24"/>
                <w:szCs w:val="24"/>
              </w:rPr>
              <w:t>SO</w:t>
            </w:r>
            <w:r>
              <w:rPr>
                <w:rFonts w:hint="default" w:ascii="Times New Roman" w:hAnsi="Times New Roman" w:eastAsia="仿宋" w:cs="Times New Roman"/>
                <w:sz w:val="24"/>
                <w:szCs w:val="24"/>
                <w:vertAlign w:val="subscript"/>
              </w:rPr>
              <w:t>3</w:t>
            </w:r>
            <w:r>
              <w:rPr>
                <w:rFonts w:hint="eastAsia" w:ascii="Times New Roman" w:hAnsi="Times New Roman" w:eastAsia="仿宋" w:cs="Times New Roman"/>
                <w:sz w:val="24"/>
                <w:szCs w:val="24"/>
              </w:rPr>
              <w:t>、</w:t>
            </w:r>
            <w:r>
              <w:rPr>
                <w:rFonts w:hint="default" w:ascii="Times New Roman" w:hAnsi="Times New Roman" w:eastAsia="仿宋" w:cs="Times New Roman"/>
                <w:sz w:val="24"/>
                <w:szCs w:val="24"/>
              </w:rPr>
              <w:t>Cl</w:t>
            </w:r>
            <w:r>
              <w:rPr>
                <w:rFonts w:hint="eastAsia" w:ascii="Times New Roman" w:hAnsi="Times New Roman" w:eastAsia="仿宋" w:cs="Times New Roman"/>
                <w:sz w:val="24"/>
                <w:szCs w:val="24"/>
                <w:vertAlign w:val="superscript"/>
                <w:lang w:val="en-US" w:eastAsia="zh-CN"/>
              </w:rPr>
              <w:t>-</w:t>
            </w:r>
            <w:r>
              <w:rPr>
                <w:rFonts w:hint="eastAsia" w:ascii="Times New Roman" w:hAnsi="Times New Roman" w:eastAsia="仿宋" w:cs="Times New Roman"/>
                <w:sz w:val="24"/>
                <w:szCs w:val="24"/>
              </w:rPr>
              <w:t>”，其中“</w:t>
            </w:r>
            <w:r>
              <w:rPr>
                <w:rFonts w:hint="default" w:ascii="Times New Roman" w:hAnsi="Times New Roman" w:eastAsia="仿宋" w:cs="Times New Roman"/>
                <w:sz w:val="24"/>
                <w:szCs w:val="24"/>
              </w:rPr>
              <w:t>SO</w:t>
            </w:r>
            <w:r>
              <w:rPr>
                <w:rFonts w:hint="default" w:ascii="Times New Roman" w:hAnsi="Times New Roman" w:eastAsia="仿宋" w:cs="Times New Roman"/>
                <w:sz w:val="24"/>
                <w:szCs w:val="24"/>
                <w:vertAlign w:val="subscript"/>
              </w:rPr>
              <w:t>3</w:t>
            </w:r>
            <w:r>
              <w:rPr>
                <w:rFonts w:hint="default" w:ascii="Times New Roman" w:hAnsi="Times New Roman" w:eastAsia="仿宋" w:cs="Times New Roman"/>
                <w:sz w:val="24"/>
                <w:szCs w:val="24"/>
              </w:rPr>
              <w:t>、P</w:t>
            </w:r>
            <w:r>
              <w:rPr>
                <w:rFonts w:hint="default" w:ascii="Times New Roman" w:hAnsi="Times New Roman" w:eastAsia="仿宋" w:cs="Times New Roman"/>
                <w:sz w:val="24"/>
                <w:szCs w:val="24"/>
                <w:vertAlign w:val="subscript"/>
              </w:rPr>
              <w:t>2</w:t>
            </w:r>
            <w:r>
              <w:rPr>
                <w:rFonts w:hint="default" w:ascii="Times New Roman" w:hAnsi="Times New Roman" w:eastAsia="仿宋" w:cs="Times New Roman"/>
                <w:sz w:val="24"/>
                <w:szCs w:val="24"/>
              </w:rPr>
              <w:t>O</w:t>
            </w:r>
            <w:r>
              <w:rPr>
                <w:rFonts w:hint="default" w:ascii="Times New Roman" w:hAnsi="Times New Roman" w:eastAsia="仿宋" w:cs="Times New Roman"/>
                <w:sz w:val="24"/>
                <w:szCs w:val="24"/>
                <w:vertAlign w:val="subscript"/>
              </w:rPr>
              <w:t>5</w:t>
            </w:r>
            <w:r>
              <w:rPr>
                <w:rFonts w:hint="eastAsia" w:ascii="Times New Roman" w:hAnsi="Times New Roman" w:eastAsia="仿宋" w:cs="Times New Roman"/>
                <w:sz w:val="24"/>
                <w:szCs w:val="24"/>
              </w:rPr>
              <w:t>、</w:t>
            </w:r>
            <w:r>
              <w:rPr>
                <w:rFonts w:hint="default" w:ascii="Times New Roman" w:hAnsi="Times New Roman" w:eastAsia="仿宋" w:cs="Times New Roman"/>
                <w:sz w:val="24"/>
                <w:szCs w:val="24"/>
              </w:rPr>
              <w:t>Cl</w:t>
            </w:r>
            <w:r>
              <w:rPr>
                <w:rFonts w:hint="eastAsia" w:ascii="Times New Roman" w:hAnsi="Times New Roman" w:eastAsia="仿宋" w:cs="Times New Roman"/>
                <w:sz w:val="24"/>
                <w:szCs w:val="24"/>
                <w:vertAlign w:val="superscript"/>
                <w:lang w:val="en-US" w:eastAsia="zh-CN"/>
              </w:rPr>
              <w:t>-</w:t>
            </w:r>
            <w:r>
              <w:rPr>
                <w:rFonts w:hint="eastAsia" w:ascii="Times New Roman" w:hAnsi="Times New Roman" w:eastAsia="仿宋" w:cs="Times New Roman"/>
                <w:sz w:val="24"/>
                <w:szCs w:val="24"/>
              </w:rPr>
              <w:t>”应进行组合分析。</w:t>
            </w:r>
          </w:p>
        </w:tc>
        <w:tc>
          <w:tcPr>
            <w:tcW w:w="2272" w:type="pct"/>
          </w:tcPr>
          <w:p w14:paraId="47FB8B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vertAlign w:val="baseline"/>
                <w:lang w:val="en-US" w:eastAsia="zh-CN"/>
              </w:rPr>
            </w:pPr>
            <w:r>
              <w:rPr>
                <w:rFonts w:hint="eastAsia" w:ascii="Times New Roman" w:hAnsi="Times New Roman" w:eastAsia="仿宋" w:cs="Times New Roman"/>
                <w:b/>
                <w:bCs/>
                <w:sz w:val="24"/>
                <w:szCs w:val="24"/>
                <w:lang w:val="en-US" w:eastAsia="zh-CN"/>
              </w:rPr>
              <w:t>已按意见补充“SO3</w:t>
            </w:r>
            <w:r>
              <w:rPr>
                <w:rFonts w:hint="default" w:ascii="Times New Roman" w:hAnsi="Times New Roman" w:eastAsia="仿宋" w:cs="Times New Roman"/>
                <w:b/>
                <w:bCs/>
                <w:sz w:val="24"/>
                <w:szCs w:val="24"/>
                <w:lang w:val="en-US" w:eastAsia="zh-CN"/>
              </w:rPr>
              <w:t>、</w:t>
            </w:r>
            <w:r>
              <w:rPr>
                <w:rFonts w:hint="eastAsia" w:ascii="Times New Roman" w:hAnsi="Times New Roman" w:eastAsia="仿宋" w:cs="Times New Roman"/>
                <w:b/>
                <w:bCs/>
                <w:sz w:val="24"/>
                <w:szCs w:val="24"/>
                <w:lang w:val="en-US" w:eastAsia="zh-CN"/>
              </w:rPr>
              <w:t>P2O5、Cl</w:t>
            </w:r>
            <w:r>
              <w:rPr>
                <w:rFonts w:hint="eastAsia" w:ascii="Times New Roman" w:hAnsi="Times New Roman" w:eastAsia="仿宋" w:cs="Times New Roman"/>
                <w:b/>
                <w:bCs/>
                <w:sz w:val="24"/>
                <w:szCs w:val="24"/>
                <w:vertAlign w:val="superscript"/>
                <w:lang w:val="en-US" w:eastAsia="zh-CN"/>
              </w:rPr>
              <w:t>-</w:t>
            </w:r>
            <w:r>
              <w:rPr>
                <w:rFonts w:hint="eastAsia" w:ascii="Times New Roman" w:hAnsi="Times New Roman" w:eastAsia="仿宋" w:cs="Times New Roman"/>
                <w:b/>
                <w:bCs/>
                <w:sz w:val="24"/>
                <w:szCs w:val="24"/>
                <w:lang w:val="en-US" w:eastAsia="zh-CN"/>
              </w:rPr>
              <w:t>”进行组合分析。</w:t>
            </w:r>
          </w:p>
        </w:tc>
      </w:tr>
    </w:tbl>
    <w:p w14:paraId="2981E6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ascii="Times New Roman" w:hAnsi="Times New Roman" w:eastAsia="宋体" w:cs="Times New Roman"/>
          <w:sz w:val="24"/>
          <w:szCs w:val="24"/>
        </w:rPr>
        <w:sectPr>
          <w:pgSz w:w="11906" w:h="16838"/>
          <w:pgMar w:top="1418" w:right="1418" w:bottom="1418" w:left="1418" w:header="851" w:footer="992" w:gutter="0"/>
          <w:cols w:space="425" w:num="1"/>
          <w:docGrid w:type="lines" w:linePitch="312" w:charSpace="0"/>
        </w:sectPr>
      </w:pPr>
    </w:p>
    <w:p w14:paraId="603840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8"/>
          <w:szCs w:val="28"/>
        </w:rPr>
      </w:pPr>
      <w:r>
        <w:rPr>
          <w:rFonts w:hint="eastAsia" w:ascii="Times New Roman" w:hAnsi="Times New Roman" w:eastAsia="仿宋" w:cs="Times New Roman"/>
          <w:b/>
          <w:bCs/>
          <w:sz w:val="28"/>
          <w:szCs w:val="28"/>
          <w:lang w:val="en-US" w:eastAsia="zh-CN"/>
        </w:rPr>
        <w:t>蒙永励</w:t>
      </w:r>
      <w:r>
        <w:rPr>
          <w:rFonts w:hint="default" w:ascii="Times New Roman" w:hAnsi="Times New Roman" w:eastAsia="仿宋" w:cs="Times New Roman"/>
          <w:b/>
          <w:bCs/>
          <w:sz w:val="28"/>
          <w:szCs w:val="28"/>
        </w:rPr>
        <w:t>专家：</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4254"/>
        <w:gridCol w:w="4220"/>
      </w:tblGrid>
      <w:tr w14:paraId="7702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7" w:type="pct"/>
          </w:tcPr>
          <w:p w14:paraId="002484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序号</w:t>
            </w:r>
          </w:p>
        </w:tc>
        <w:tc>
          <w:tcPr>
            <w:tcW w:w="2290" w:type="pct"/>
          </w:tcPr>
          <w:p w14:paraId="0DBC71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专家意见</w:t>
            </w:r>
          </w:p>
        </w:tc>
        <w:tc>
          <w:tcPr>
            <w:tcW w:w="2272" w:type="pct"/>
          </w:tcPr>
          <w:p w14:paraId="1FE5B3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修改情况</w:t>
            </w:r>
          </w:p>
        </w:tc>
      </w:tr>
      <w:tr w14:paraId="4873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5E2EDE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2290" w:type="pct"/>
          </w:tcPr>
          <w:p w14:paraId="039A96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水文地质条件；对碳酸盐岩类溶蚀裂隙含水岩组，还是认为“并经裂隙从泉点和溶洞排泄。地下水多从340m可采标高以下排出，对矿床开采影响不大”，依据不充分，也没有体现会审意见“未来露天采场直接充水含水层（茅口组、栖霞组与马平组灰岩溶洞裂隙水）的富水性、补给边界及补给条件、地下水位标高与矿体分布标高等不明确，水文地质条件宜暂定为中等”；</w:t>
            </w:r>
          </w:p>
        </w:tc>
        <w:tc>
          <w:tcPr>
            <w:tcW w:w="2272" w:type="pct"/>
          </w:tcPr>
          <w:p w14:paraId="248D4F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已按意见将</w:t>
            </w:r>
            <w:r>
              <w:rPr>
                <w:rFonts w:hint="eastAsia" w:ascii="Times New Roman" w:hAnsi="Times New Roman" w:eastAsia="仿宋" w:cs="Times New Roman"/>
                <w:b/>
                <w:bCs/>
                <w:sz w:val="24"/>
                <w:szCs w:val="24"/>
                <w:vertAlign w:val="baseline"/>
                <w:lang w:val="en-US" w:eastAsia="zh-CN"/>
              </w:rPr>
              <w:t>“</w:t>
            </w:r>
            <w:r>
              <w:rPr>
                <w:rFonts w:hint="default" w:ascii="Times New Roman" w:hAnsi="Times New Roman" w:eastAsia="仿宋" w:cs="Times New Roman"/>
                <w:b/>
                <w:bCs/>
                <w:sz w:val="24"/>
                <w:szCs w:val="24"/>
                <w:vertAlign w:val="baseline"/>
                <w:lang w:val="en-US" w:eastAsia="zh-CN"/>
              </w:rPr>
              <w:t>并经裂隙从泉点和溶洞排泄。地下水多从340m可采标高以下排出，对矿床开采影响不大</w:t>
            </w:r>
            <w:r>
              <w:rPr>
                <w:rFonts w:hint="eastAsia" w:ascii="Times New Roman" w:hAnsi="Times New Roman" w:eastAsia="仿宋" w:cs="Times New Roman"/>
                <w:b/>
                <w:bCs/>
                <w:sz w:val="24"/>
                <w:szCs w:val="24"/>
                <w:vertAlign w:val="baseline"/>
                <w:lang w:val="en-US" w:eastAsia="zh-CN"/>
              </w:rPr>
              <w:t>”等依据不充分结论删除。</w:t>
            </w:r>
          </w:p>
        </w:tc>
      </w:tr>
      <w:tr w14:paraId="4597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6F699F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2290" w:type="pct"/>
          </w:tcPr>
          <w:p w14:paraId="5DD37F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工程地质条件：补充的“边坡岩性主要为大理岩，单级边坡高度约9~65m，边坡角度约12~25°”与会审意见”地形地质及工程布置图显示，局部地段（边界点13～17、20～21、ZK0401孔西南）边坡高度20～70m，是否存在不稳定斜坡”不符。应重新核实；</w:t>
            </w:r>
          </w:p>
        </w:tc>
        <w:tc>
          <w:tcPr>
            <w:tcW w:w="2272" w:type="pct"/>
          </w:tcPr>
          <w:p w14:paraId="11F521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已按意见修改，将边坡高度修改为9~70m，此外将边坡岩性为大理岩修改为灰岩。</w:t>
            </w:r>
          </w:p>
        </w:tc>
      </w:tr>
      <w:tr w14:paraId="2B85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71426D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2290" w:type="pct"/>
          </w:tcPr>
          <w:p w14:paraId="0B8D38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没有明确布置的1:1000</w:t>
            </w:r>
            <w:bookmarkStart w:id="546" w:name="OLE_LINK88"/>
            <w:bookmarkStart w:id="547" w:name="OLE_LINK87"/>
            <w:r>
              <w:rPr>
                <w:rFonts w:hint="default" w:ascii="Times New Roman" w:hAnsi="Times New Roman" w:eastAsia="仿宋" w:cs="Times New Roman"/>
                <w:sz w:val="24"/>
                <w:szCs w:val="24"/>
                <w:lang w:val="en-US" w:eastAsia="zh-CN"/>
              </w:rPr>
              <w:t>水文地质工程地质剖面，建议选取00线、03线作为水文地质剖面、工程地质剖面，其中ZK</w:t>
            </w:r>
            <w:bookmarkStart w:id="548" w:name="OLE_LINK8"/>
            <w:r>
              <w:rPr>
                <w:rFonts w:hint="default" w:ascii="Times New Roman" w:hAnsi="Times New Roman" w:eastAsia="仿宋" w:cs="Times New Roman"/>
                <w:sz w:val="24"/>
                <w:szCs w:val="24"/>
                <w:lang w:val="en-US" w:eastAsia="zh-CN"/>
              </w:rPr>
              <w:t>000</w:t>
            </w:r>
            <w:bookmarkEnd w:id="548"/>
            <w:r>
              <w:rPr>
                <w:rFonts w:hint="default" w:ascii="Times New Roman" w:hAnsi="Times New Roman" w:eastAsia="仿宋" w:cs="Times New Roman"/>
                <w:sz w:val="24"/>
                <w:szCs w:val="24"/>
                <w:lang w:val="en-US" w:eastAsia="zh-CN"/>
              </w:rPr>
              <w:t>2设计孔深53m、ZK0303设计孔深53m，均达不到控制</w:t>
            </w:r>
            <w:bookmarkEnd w:id="546"/>
            <w:bookmarkEnd w:id="547"/>
            <w:r>
              <w:rPr>
                <w:rFonts w:hint="default" w:ascii="Times New Roman" w:hAnsi="Times New Roman" w:eastAsia="仿宋" w:cs="Times New Roman"/>
                <w:sz w:val="24"/>
                <w:szCs w:val="24"/>
                <w:lang w:val="en-US" w:eastAsia="zh-CN"/>
              </w:rPr>
              <w:t>加深钻孔应揭露</w:t>
            </w:r>
            <w:bookmarkStart w:id="549" w:name="OLE_LINK89"/>
            <w:bookmarkStart w:id="550" w:name="OLE_LINK90"/>
            <w:r>
              <w:rPr>
                <w:rFonts w:hint="default" w:ascii="Times New Roman" w:hAnsi="Times New Roman" w:eastAsia="仿宋" w:cs="Times New Roman"/>
                <w:sz w:val="24"/>
                <w:szCs w:val="24"/>
                <w:lang w:val="en-US" w:eastAsia="zh-CN"/>
              </w:rPr>
              <w:t>露天采场坑底30～50m</w:t>
            </w:r>
            <w:bookmarkEnd w:id="549"/>
            <w:bookmarkEnd w:id="550"/>
            <w:r>
              <w:rPr>
                <w:rFonts w:hint="default" w:ascii="Times New Roman" w:hAnsi="Times New Roman" w:eastAsia="仿宋" w:cs="Times New Roman"/>
                <w:sz w:val="24"/>
                <w:szCs w:val="24"/>
                <w:lang w:val="en-US" w:eastAsia="zh-CN"/>
              </w:rPr>
              <w:t>的要求，应重新设计孔深；</w:t>
            </w:r>
          </w:p>
        </w:tc>
        <w:tc>
          <w:tcPr>
            <w:tcW w:w="2272" w:type="pct"/>
          </w:tcPr>
          <w:p w14:paraId="7A1A23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已按意见修改，将00线（现3线）、03线（现5线）设计为水文地质剖面，并将</w:t>
            </w:r>
            <w:r>
              <w:rPr>
                <w:rFonts w:hint="default" w:ascii="Times New Roman" w:hAnsi="Times New Roman" w:eastAsia="仿宋" w:cs="Times New Roman"/>
                <w:b/>
                <w:bCs/>
                <w:sz w:val="24"/>
                <w:szCs w:val="24"/>
                <w:lang w:val="en-US" w:eastAsia="zh-CN"/>
              </w:rPr>
              <w:t>ZK0002</w:t>
            </w:r>
            <w:r>
              <w:rPr>
                <w:rFonts w:hint="eastAsia" w:ascii="Times New Roman" w:hAnsi="Times New Roman" w:eastAsia="仿宋" w:cs="Times New Roman"/>
                <w:b/>
                <w:bCs/>
                <w:sz w:val="24"/>
                <w:szCs w:val="24"/>
                <w:lang w:val="en-US" w:eastAsia="zh-CN"/>
              </w:rPr>
              <w:t>（现ZK307）</w:t>
            </w:r>
            <w:r>
              <w:rPr>
                <w:rFonts w:hint="default" w:ascii="Times New Roman" w:hAnsi="Times New Roman" w:eastAsia="仿宋" w:cs="Times New Roman"/>
                <w:b/>
                <w:bCs/>
                <w:sz w:val="24"/>
                <w:szCs w:val="24"/>
                <w:lang w:val="en-US" w:eastAsia="zh-CN"/>
              </w:rPr>
              <w:t>、ZK0303</w:t>
            </w:r>
            <w:r>
              <w:rPr>
                <w:rFonts w:hint="eastAsia" w:ascii="Times New Roman" w:hAnsi="Times New Roman" w:eastAsia="仿宋" w:cs="Times New Roman"/>
                <w:b/>
                <w:bCs/>
                <w:sz w:val="24"/>
                <w:szCs w:val="24"/>
                <w:lang w:val="en-US" w:eastAsia="zh-CN"/>
              </w:rPr>
              <w:t>（现ZK506）加深钻孔深度到103m。</w:t>
            </w:r>
          </w:p>
        </w:tc>
      </w:tr>
      <w:tr w14:paraId="56CBD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71AE7E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w:t>
            </w:r>
          </w:p>
        </w:tc>
        <w:tc>
          <w:tcPr>
            <w:tcW w:w="2290" w:type="pct"/>
          </w:tcPr>
          <w:p w14:paraId="47ADE3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1：5万区域水文地质调查范围50km</w:t>
            </w:r>
            <w:r>
              <w:rPr>
                <w:rFonts w:hint="default" w:ascii="Times New Roman" w:hAnsi="Times New Roman" w:eastAsia="仿宋" w:cs="Times New Roman"/>
                <w:sz w:val="24"/>
                <w:szCs w:val="24"/>
                <w:vertAlign w:val="superscript"/>
                <w:lang w:val="en-US" w:eastAsia="zh-CN"/>
              </w:rPr>
              <w:t>2</w:t>
            </w:r>
            <w:r>
              <w:rPr>
                <w:rFonts w:hint="default" w:ascii="Times New Roman" w:hAnsi="Times New Roman" w:eastAsia="仿宋" w:cs="Times New Roman"/>
                <w:sz w:val="24"/>
                <w:szCs w:val="24"/>
                <w:lang w:val="en-US" w:eastAsia="zh-CN"/>
              </w:rPr>
              <w:t>，与原南矿段、北矿段完成80km</w:t>
            </w:r>
            <w:r>
              <w:rPr>
                <w:rFonts w:hint="default" w:ascii="Times New Roman" w:hAnsi="Times New Roman" w:eastAsia="仿宋" w:cs="Times New Roman"/>
                <w:sz w:val="24"/>
                <w:szCs w:val="24"/>
                <w:vertAlign w:val="superscript"/>
                <w:lang w:val="en-US" w:eastAsia="zh-CN"/>
              </w:rPr>
              <w:t>2</w:t>
            </w:r>
            <w:r>
              <w:rPr>
                <w:rFonts w:hint="default" w:ascii="Times New Roman" w:hAnsi="Times New Roman" w:eastAsia="仿宋" w:cs="Times New Roman"/>
                <w:sz w:val="24"/>
                <w:szCs w:val="24"/>
                <w:lang w:val="en-US" w:eastAsia="zh-CN"/>
              </w:rPr>
              <w:t>范围差别较大，设计的50km</w:t>
            </w:r>
            <w:r>
              <w:rPr>
                <w:rFonts w:hint="default" w:ascii="Times New Roman" w:hAnsi="Times New Roman" w:eastAsia="仿宋" w:cs="Times New Roman"/>
                <w:sz w:val="24"/>
                <w:szCs w:val="24"/>
                <w:vertAlign w:val="superscript"/>
                <w:lang w:val="en-US" w:eastAsia="zh-CN"/>
              </w:rPr>
              <w:t>2</w:t>
            </w:r>
            <w:r>
              <w:rPr>
                <w:rFonts w:hint="default" w:ascii="Times New Roman" w:hAnsi="Times New Roman" w:eastAsia="仿宋" w:cs="Times New Roman"/>
                <w:sz w:val="24"/>
                <w:szCs w:val="24"/>
                <w:lang w:val="en-US" w:eastAsia="zh-CN"/>
              </w:rPr>
              <w:t>是否包括整合勘查区所在的一个完整的水文地质单元（或次级水文地质单元）范围，且是以查明区域地下水的补给，径流、排泄条件为重点；</w:t>
            </w:r>
          </w:p>
        </w:tc>
        <w:tc>
          <w:tcPr>
            <w:tcW w:w="2272" w:type="pct"/>
          </w:tcPr>
          <w:p w14:paraId="431630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vertAlign w:val="baseline"/>
                <w:lang w:val="en-US" w:eastAsia="zh-CN"/>
              </w:rPr>
            </w:pPr>
            <w:r>
              <w:rPr>
                <w:rFonts w:hint="eastAsia" w:ascii="Times New Roman" w:hAnsi="Times New Roman" w:eastAsia="仿宋" w:cs="Times New Roman"/>
                <w:b/>
                <w:bCs/>
                <w:sz w:val="24"/>
                <w:szCs w:val="24"/>
                <w:lang w:val="en-US" w:eastAsia="zh-CN"/>
              </w:rPr>
              <w:t>已按已将区域水文地质调查范围修改为80km</w:t>
            </w:r>
            <w:r>
              <w:rPr>
                <w:rFonts w:hint="eastAsia" w:ascii="Times New Roman" w:hAnsi="Times New Roman" w:eastAsia="仿宋" w:cs="Times New Roman"/>
                <w:b/>
                <w:bCs/>
                <w:sz w:val="24"/>
                <w:szCs w:val="24"/>
                <w:vertAlign w:val="superscript"/>
                <w:lang w:val="en-US" w:eastAsia="zh-CN"/>
              </w:rPr>
              <w:t>2</w:t>
            </w:r>
            <w:r>
              <w:rPr>
                <w:rFonts w:hint="eastAsia" w:ascii="Times New Roman" w:hAnsi="Times New Roman" w:eastAsia="仿宋" w:cs="Times New Roman"/>
                <w:b/>
                <w:bCs/>
                <w:sz w:val="24"/>
                <w:szCs w:val="24"/>
                <w:vertAlign w:val="baseline"/>
                <w:lang w:val="en-US" w:eastAsia="zh-CN"/>
              </w:rPr>
              <w:t>，包含矿区所在次级水文地质单元。</w:t>
            </w:r>
          </w:p>
        </w:tc>
      </w:tr>
      <w:tr w14:paraId="5B47C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075BD5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val="en-US" w:eastAsia="zh-CN"/>
              </w:rPr>
              <w:t>5</w:t>
            </w:r>
          </w:p>
        </w:tc>
        <w:tc>
          <w:tcPr>
            <w:tcW w:w="2290" w:type="pct"/>
          </w:tcPr>
          <w:p w14:paraId="532867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没有增加钻孔水文地质工程地质编录工作及工作量，应按会审意见“对所有设计的地质孔、抽水试验孔进行编录，为划分含水层（相对隔水层）的岩性、厚度、岩溶发育程度（钻孔遇洞率、钻孔线裂隙率）、岩石质量及岩体完整性评价提供依据”要求补充；</w:t>
            </w:r>
          </w:p>
        </w:tc>
        <w:tc>
          <w:tcPr>
            <w:tcW w:w="2272" w:type="pct"/>
          </w:tcPr>
          <w:p w14:paraId="3D120E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color w:val="auto"/>
                <w:sz w:val="24"/>
                <w:szCs w:val="24"/>
                <w:lang w:val="en-US" w:eastAsia="zh-CN"/>
              </w:rPr>
            </w:pPr>
            <w:r>
              <w:rPr>
                <w:rFonts w:hint="eastAsia" w:ascii="Times New Roman" w:hAnsi="Times New Roman" w:eastAsia="仿宋" w:cs="Times New Roman"/>
                <w:b/>
                <w:bCs/>
                <w:color w:val="auto"/>
                <w:sz w:val="24"/>
                <w:szCs w:val="24"/>
                <w:lang w:val="en-US" w:eastAsia="zh-CN"/>
              </w:rPr>
              <w:t>已核实，钻孔水文地质、工程地质编录已设计在P52章节“4.6.9 钻孔水文地质、工程地质编录”。</w:t>
            </w:r>
          </w:p>
        </w:tc>
      </w:tr>
      <w:tr w14:paraId="2A6C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04699D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6</w:t>
            </w:r>
          </w:p>
        </w:tc>
        <w:tc>
          <w:tcPr>
            <w:tcW w:w="2290" w:type="pct"/>
          </w:tcPr>
          <w:p w14:paraId="3D67E0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没有补充增加预留水文地质钻探工作量，建议预留ZK0001（地质设计孔深214m）、ZK0301孔（</w:t>
            </w:r>
            <w:bookmarkStart w:id="551" w:name="OLE_LINK11"/>
            <w:bookmarkStart w:id="552" w:name="OLE_LINK12"/>
            <w:r>
              <w:rPr>
                <w:rFonts w:hint="default" w:ascii="Times New Roman" w:hAnsi="Times New Roman" w:eastAsia="仿宋" w:cs="Times New Roman"/>
                <w:sz w:val="24"/>
                <w:szCs w:val="24"/>
                <w:lang w:val="en-US" w:eastAsia="zh-CN"/>
              </w:rPr>
              <w:t>地质设计孔深154m</w:t>
            </w:r>
            <w:bookmarkEnd w:id="551"/>
            <w:bookmarkEnd w:id="552"/>
            <w:r>
              <w:rPr>
                <w:rFonts w:hint="default" w:ascii="Times New Roman" w:hAnsi="Times New Roman" w:eastAsia="仿宋" w:cs="Times New Roman"/>
                <w:sz w:val="24"/>
                <w:szCs w:val="24"/>
                <w:lang w:val="en-US" w:eastAsia="zh-CN"/>
              </w:rPr>
              <w:t>）为抽水试验孔，水文地质钻探扩孔孔深宜以揭露露天采场底50m含水层即可。</w:t>
            </w:r>
          </w:p>
        </w:tc>
        <w:tc>
          <w:tcPr>
            <w:tcW w:w="2272" w:type="pct"/>
          </w:tcPr>
          <w:p w14:paraId="4957EC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已将</w:t>
            </w:r>
            <w:r>
              <w:rPr>
                <w:rFonts w:hint="default" w:ascii="Times New Roman" w:hAnsi="Times New Roman" w:eastAsia="仿宋" w:cs="Times New Roman"/>
                <w:b/>
                <w:bCs/>
                <w:sz w:val="24"/>
                <w:szCs w:val="24"/>
                <w:lang w:val="en-US" w:eastAsia="zh-CN"/>
              </w:rPr>
              <w:t>ZK</w:t>
            </w:r>
            <w:r>
              <w:rPr>
                <w:rFonts w:hint="eastAsia" w:ascii="Times New Roman" w:hAnsi="Times New Roman" w:eastAsia="仿宋" w:cs="Times New Roman"/>
                <w:b/>
                <w:bCs/>
                <w:sz w:val="24"/>
                <w:szCs w:val="24"/>
                <w:lang w:val="en-US" w:eastAsia="zh-CN"/>
              </w:rPr>
              <w:t>0001（现ZK306）</w:t>
            </w:r>
            <w:r>
              <w:rPr>
                <w:rFonts w:hint="default" w:ascii="Times New Roman" w:hAnsi="Times New Roman" w:eastAsia="仿宋" w:cs="Times New Roman"/>
                <w:b/>
                <w:bCs/>
                <w:sz w:val="24"/>
                <w:szCs w:val="24"/>
                <w:lang w:val="en-US" w:eastAsia="zh-CN"/>
              </w:rPr>
              <w:t>、ZK030</w:t>
            </w:r>
            <w:r>
              <w:rPr>
                <w:rFonts w:hint="eastAsia" w:ascii="Times New Roman" w:hAnsi="Times New Roman" w:eastAsia="仿宋" w:cs="Times New Roman"/>
                <w:b/>
                <w:bCs/>
                <w:sz w:val="24"/>
                <w:szCs w:val="24"/>
                <w:lang w:val="en-US" w:eastAsia="zh-CN"/>
              </w:rPr>
              <w:t>1（现ZK502）设计为水文孔，并控制</w:t>
            </w:r>
            <w:r>
              <w:rPr>
                <w:rFonts w:hint="default" w:ascii="Times New Roman" w:hAnsi="Times New Roman" w:eastAsia="仿宋" w:cs="Times New Roman"/>
                <w:b/>
                <w:bCs/>
                <w:sz w:val="24"/>
                <w:szCs w:val="24"/>
                <w:lang w:val="en-US" w:eastAsia="zh-CN"/>
              </w:rPr>
              <w:t>扩孔孔深揭露露天采场底50m。</w:t>
            </w:r>
          </w:p>
        </w:tc>
      </w:tr>
      <w:tr w14:paraId="3A04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7B9590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7</w:t>
            </w:r>
          </w:p>
        </w:tc>
        <w:tc>
          <w:tcPr>
            <w:tcW w:w="2290" w:type="pct"/>
          </w:tcPr>
          <w:p w14:paraId="5A549E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预留的抽水试验工作（2段/孔），没有按会审意见“并分层（或分段）观测</w:t>
            </w:r>
            <w:bookmarkStart w:id="553" w:name="OLE_LINK95"/>
            <w:bookmarkStart w:id="554" w:name="OLE_LINK96"/>
            <w:bookmarkStart w:id="555" w:name="OLE_LINK17"/>
            <w:bookmarkStart w:id="556" w:name="OLE_LINK15"/>
            <w:bookmarkStart w:id="557" w:name="OLE_LINK97"/>
            <w:bookmarkStart w:id="558" w:name="OLE_LINK98"/>
            <w:r>
              <w:rPr>
                <w:rFonts w:hint="default" w:ascii="Times New Roman" w:hAnsi="Times New Roman" w:eastAsia="仿宋" w:cs="Times New Roman"/>
                <w:sz w:val="24"/>
                <w:szCs w:val="24"/>
                <w:lang w:val="en-US" w:eastAsia="zh-CN"/>
              </w:rPr>
              <w:t>茅口组、栖霞组、</w:t>
            </w:r>
            <w:bookmarkStart w:id="559" w:name="OLE_LINK19"/>
            <w:r>
              <w:rPr>
                <w:rFonts w:hint="default" w:ascii="Times New Roman" w:hAnsi="Times New Roman" w:eastAsia="仿宋" w:cs="Times New Roman"/>
                <w:sz w:val="24"/>
                <w:szCs w:val="24"/>
                <w:lang w:val="en-US" w:eastAsia="zh-CN"/>
              </w:rPr>
              <w:t>马平组</w:t>
            </w:r>
            <w:bookmarkEnd w:id="553"/>
            <w:bookmarkEnd w:id="554"/>
            <w:r>
              <w:rPr>
                <w:rFonts w:hint="default" w:ascii="Times New Roman" w:hAnsi="Times New Roman" w:eastAsia="仿宋" w:cs="Times New Roman"/>
                <w:sz w:val="24"/>
                <w:szCs w:val="24"/>
                <w:lang w:val="en-US" w:eastAsia="zh-CN"/>
              </w:rPr>
              <w:t>灰</w:t>
            </w:r>
            <w:bookmarkEnd w:id="555"/>
            <w:bookmarkEnd w:id="556"/>
            <w:r>
              <w:rPr>
                <w:rFonts w:hint="default" w:ascii="Times New Roman" w:hAnsi="Times New Roman" w:eastAsia="仿宋" w:cs="Times New Roman"/>
                <w:sz w:val="24"/>
                <w:szCs w:val="24"/>
                <w:lang w:val="en-US" w:eastAsia="zh-CN"/>
              </w:rPr>
              <w:t>岩</w:t>
            </w:r>
            <w:bookmarkEnd w:id="557"/>
            <w:bookmarkEnd w:id="558"/>
            <w:bookmarkEnd w:id="559"/>
            <w:r>
              <w:rPr>
                <w:rFonts w:hint="default" w:ascii="Times New Roman" w:hAnsi="Times New Roman" w:eastAsia="仿宋" w:cs="Times New Roman"/>
                <w:sz w:val="24"/>
                <w:szCs w:val="24"/>
                <w:lang w:val="en-US" w:eastAsia="zh-CN"/>
              </w:rPr>
              <w:t>的回次动水位、静止水位，分层（分段）进行抽水试验（</w:t>
            </w:r>
            <w:bookmarkStart w:id="560" w:name="OLE_LINK101"/>
            <w:r>
              <w:rPr>
                <w:rFonts w:hint="default" w:ascii="Times New Roman" w:hAnsi="Times New Roman" w:eastAsia="仿宋" w:cs="Times New Roman"/>
                <w:sz w:val="24"/>
                <w:szCs w:val="24"/>
                <w:lang w:val="en-US" w:eastAsia="zh-CN"/>
              </w:rPr>
              <w:t>每个地层灰岩至少有</w:t>
            </w:r>
            <w:bookmarkStart w:id="561" w:name="OLE_LINK136"/>
            <w:bookmarkStart w:id="562" w:name="OLE_LINK135"/>
            <w:r>
              <w:rPr>
                <w:rFonts w:hint="default" w:ascii="Times New Roman" w:hAnsi="Times New Roman" w:eastAsia="仿宋" w:cs="Times New Roman"/>
                <w:sz w:val="24"/>
                <w:szCs w:val="24"/>
                <w:lang w:val="en-US" w:eastAsia="zh-CN"/>
              </w:rPr>
              <w:t>2段/2孔</w:t>
            </w:r>
            <w:bookmarkEnd w:id="561"/>
            <w:bookmarkEnd w:id="562"/>
            <w:r>
              <w:rPr>
                <w:rFonts w:hint="default" w:ascii="Times New Roman" w:hAnsi="Times New Roman" w:eastAsia="仿宋" w:cs="Times New Roman"/>
                <w:sz w:val="24"/>
                <w:szCs w:val="24"/>
                <w:lang w:val="en-US" w:eastAsia="zh-CN"/>
              </w:rPr>
              <w:t>的抽水试验</w:t>
            </w:r>
            <w:bookmarkEnd w:id="560"/>
            <w:r>
              <w:rPr>
                <w:rFonts w:hint="default" w:ascii="Times New Roman" w:hAnsi="Times New Roman" w:eastAsia="仿宋" w:cs="Times New Roman"/>
                <w:sz w:val="24"/>
                <w:szCs w:val="24"/>
                <w:lang w:val="en-US" w:eastAsia="zh-CN"/>
              </w:rPr>
              <w:t>）”的要求；ZK0301孔分别揭露茅口组、栖霞组、马平组灰，该孔抽水试验工作量应为3段/1孔，ZK0001孔揭露马平组灰岩，其抽水试验工作量应为1段/1孔；总工作量应为4段/2孔；</w:t>
            </w:r>
          </w:p>
        </w:tc>
        <w:tc>
          <w:tcPr>
            <w:tcW w:w="2272" w:type="pct"/>
          </w:tcPr>
          <w:p w14:paraId="0605F8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vertAlign w:val="baseline"/>
                <w:lang w:val="en-US" w:eastAsia="zh-CN"/>
              </w:rPr>
            </w:pPr>
            <w:r>
              <w:rPr>
                <w:rFonts w:hint="eastAsia" w:ascii="Times New Roman" w:hAnsi="Times New Roman" w:eastAsia="仿宋" w:cs="Times New Roman"/>
                <w:b/>
                <w:bCs/>
                <w:sz w:val="24"/>
                <w:szCs w:val="24"/>
                <w:vertAlign w:val="baseline"/>
                <w:lang w:val="en-US" w:eastAsia="zh-CN"/>
              </w:rPr>
              <w:t>已按意见将抽水实验孔段修改为</w:t>
            </w:r>
            <w:r>
              <w:rPr>
                <w:rFonts w:hint="default" w:ascii="Times New Roman" w:hAnsi="Times New Roman" w:eastAsia="仿宋" w:cs="Times New Roman"/>
                <w:b/>
                <w:bCs/>
                <w:sz w:val="24"/>
                <w:szCs w:val="24"/>
                <w:lang w:val="en-US" w:eastAsia="zh-CN"/>
              </w:rPr>
              <w:t>4段/2孔</w:t>
            </w:r>
            <w:r>
              <w:rPr>
                <w:rFonts w:hint="eastAsia" w:ascii="Times New Roman" w:hAnsi="Times New Roman" w:eastAsia="仿宋" w:cs="Times New Roman"/>
                <w:b/>
                <w:bCs/>
                <w:sz w:val="24"/>
                <w:szCs w:val="24"/>
                <w:lang w:val="en-US" w:eastAsia="zh-CN"/>
              </w:rPr>
              <w:t>，其中ZK0301（现ZK502）抽水试验工作量为3段/1孔，ZK0001（现ZK306）抽水试验工作量为1段/1孔，详见P38</w:t>
            </w:r>
          </w:p>
        </w:tc>
      </w:tr>
      <w:tr w14:paraId="5414A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6B8E0A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8</w:t>
            </w:r>
          </w:p>
        </w:tc>
        <w:tc>
          <w:tcPr>
            <w:tcW w:w="2290" w:type="pct"/>
          </w:tcPr>
          <w:p w14:paraId="538E72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color w:val="auto"/>
                <w:sz w:val="24"/>
                <w:szCs w:val="24"/>
                <w:lang w:val="en-US"/>
              </w:rPr>
            </w:pPr>
            <w:r>
              <w:rPr>
                <w:rFonts w:hint="default" w:ascii="Times New Roman" w:hAnsi="Times New Roman" w:eastAsia="仿宋" w:cs="Times New Roman"/>
                <w:color w:val="auto"/>
                <w:sz w:val="24"/>
                <w:szCs w:val="24"/>
                <w:lang w:val="en-US"/>
              </w:rPr>
              <w:t>钻孔注水试验工作量，宜单列，不能与抽水试验混合；工作量也分段统计。</w:t>
            </w:r>
          </w:p>
        </w:tc>
        <w:tc>
          <w:tcPr>
            <w:tcW w:w="2272" w:type="pct"/>
          </w:tcPr>
          <w:p w14:paraId="14921D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vertAlign w:val="baseline"/>
                <w:lang w:val="en-US" w:eastAsia="zh-CN"/>
              </w:rPr>
            </w:pPr>
            <w:r>
              <w:rPr>
                <w:rFonts w:hint="eastAsia" w:ascii="Times New Roman" w:hAnsi="Times New Roman" w:eastAsia="仿宋" w:cs="Times New Roman"/>
                <w:b/>
                <w:bCs/>
                <w:sz w:val="24"/>
                <w:szCs w:val="24"/>
                <w:vertAlign w:val="baseline"/>
                <w:lang w:val="en-US" w:eastAsia="zh-CN"/>
              </w:rPr>
              <w:t>已按意见将注水试验工作量与抽水试验分开，其工作为</w:t>
            </w:r>
            <w:r>
              <w:rPr>
                <w:rFonts w:hint="default" w:ascii="Times New Roman" w:hAnsi="Times New Roman" w:eastAsia="仿宋" w:cs="Times New Roman"/>
                <w:b/>
                <w:bCs/>
                <w:sz w:val="24"/>
                <w:szCs w:val="24"/>
                <w:lang w:val="en-US" w:eastAsia="zh-CN"/>
              </w:rPr>
              <w:t>4段/2孔</w:t>
            </w:r>
            <w:r>
              <w:rPr>
                <w:rFonts w:hint="eastAsia" w:ascii="Times New Roman" w:hAnsi="Times New Roman" w:eastAsia="仿宋" w:cs="Times New Roman"/>
                <w:b/>
                <w:bCs/>
                <w:sz w:val="24"/>
                <w:szCs w:val="24"/>
                <w:lang w:val="en-US" w:eastAsia="zh-CN"/>
              </w:rPr>
              <w:t>，详见P38</w:t>
            </w:r>
          </w:p>
        </w:tc>
      </w:tr>
      <w:tr w14:paraId="1DDD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19B7A5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9</w:t>
            </w:r>
          </w:p>
        </w:tc>
        <w:tc>
          <w:tcPr>
            <w:tcW w:w="2290" w:type="pct"/>
          </w:tcPr>
          <w:p w14:paraId="00FB0A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预留水文物探测井工作量：应根据重新设计抽水试验孔深调整；</w:t>
            </w:r>
          </w:p>
        </w:tc>
        <w:tc>
          <w:tcPr>
            <w:tcW w:w="2272" w:type="pct"/>
          </w:tcPr>
          <w:p w14:paraId="4A4C62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已按意见修改，将水文无他测井工作量修改为206m，详见P38。</w:t>
            </w:r>
          </w:p>
        </w:tc>
      </w:tr>
      <w:tr w14:paraId="0FEB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2064EC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10</w:t>
            </w:r>
          </w:p>
        </w:tc>
        <w:tc>
          <w:tcPr>
            <w:tcW w:w="2290" w:type="pct"/>
          </w:tcPr>
          <w:p w14:paraId="45D87C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rPr>
            </w:pPr>
            <w:r>
              <w:rPr>
                <w:rFonts w:hint="default" w:ascii="Times New Roman" w:hAnsi="Times New Roman" w:eastAsia="仿宋" w:cs="Times New Roman"/>
                <w:sz w:val="24"/>
                <w:szCs w:val="24"/>
                <w:lang w:val="en-US"/>
              </w:rPr>
              <w:t>没有增加水质分析样，应按会审意见分别对区域、整合勘查区的地表水与地下水代表性水点取样，特别是整合勘查区地表水（溪流进入整合勘查区前、流出整合勘查区及采矿活动场地后汇入主干河流流前）、地下水（泉水、抽水试验孔分层试验段、饮用水源点、）的代表性水样采样，动态观测点按雨季、枯季分别采样；</w:t>
            </w:r>
          </w:p>
        </w:tc>
        <w:tc>
          <w:tcPr>
            <w:tcW w:w="2272" w:type="pct"/>
          </w:tcPr>
          <w:p w14:paraId="1EDD12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lang w:val="en-US" w:eastAsia="zh-CN"/>
              </w:rPr>
            </w:pPr>
            <w:r>
              <w:rPr>
                <w:rFonts w:hint="eastAsia" w:ascii="Times New Roman" w:hAnsi="Times New Roman" w:eastAsia="仿宋" w:cs="Times New Roman"/>
                <w:b/>
                <w:bCs/>
                <w:sz w:val="24"/>
                <w:szCs w:val="24"/>
                <w:lang w:val="en-US" w:eastAsia="zh-CN"/>
              </w:rPr>
              <w:t>已按意见将水质分析样取样增加为8件，详见P38。</w:t>
            </w:r>
          </w:p>
        </w:tc>
      </w:tr>
      <w:tr w14:paraId="6A9F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7297DF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11</w:t>
            </w:r>
          </w:p>
        </w:tc>
        <w:tc>
          <w:tcPr>
            <w:tcW w:w="2290" w:type="pct"/>
          </w:tcPr>
          <w:p w14:paraId="54C067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地表水地下水动态观测，仅增加1个钻孔，不合适，应按会审意见要求，增加首批施工的2～3个钻孔作为动态观测孔；</w:t>
            </w:r>
          </w:p>
        </w:tc>
        <w:tc>
          <w:tcPr>
            <w:tcW w:w="2272" w:type="pct"/>
          </w:tcPr>
          <w:p w14:paraId="7082F5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color w:val="auto"/>
                <w:sz w:val="24"/>
                <w:szCs w:val="24"/>
                <w:lang w:val="en-US" w:eastAsia="zh-CN"/>
              </w:rPr>
            </w:pPr>
            <w:r>
              <w:rPr>
                <w:rFonts w:hint="eastAsia" w:ascii="Times New Roman" w:hAnsi="Times New Roman" w:eastAsia="仿宋" w:cs="Times New Roman"/>
                <w:b/>
                <w:bCs/>
                <w:color w:val="auto"/>
                <w:sz w:val="24"/>
                <w:szCs w:val="24"/>
                <w:lang w:val="en-US" w:eastAsia="zh-CN"/>
              </w:rPr>
              <w:t>已按意见将</w:t>
            </w:r>
            <w:r>
              <w:rPr>
                <w:rFonts w:hint="eastAsia" w:ascii="Times New Roman" w:hAnsi="Times New Roman" w:eastAsia="仿宋" w:cs="Times New Roman"/>
                <w:b/>
                <w:bCs/>
                <w:sz w:val="24"/>
                <w:szCs w:val="24"/>
                <w:lang w:val="en-US" w:eastAsia="zh-CN"/>
              </w:rPr>
              <w:t>ZK502、ZK306设计为动态观测孔。</w:t>
            </w:r>
          </w:p>
        </w:tc>
      </w:tr>
      <w:tr w14:paraId="04B7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491D21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12</w:t>
            </w:r>
          </w:p>
        </w:tc>
        <w:tc>
          <w:tcPr>
            <w:tcW w:w="2290" w:type="pct"/>
          </w:tcPr>
          <w:p w14:paraId="57E401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①仅有抗压、抗剪强度，没有体现会审意见应检测天然溶重、渗透系数、岩石抗压强度、抗剪强度及结构面强度（裂隙面、断层面）参数的要求；</w:t>
            </w:r>
          </w:p>
        </w:tc>
        <w:tc>
          <w:tcPr>
            <w:tcW w:w="2272" w:type="pct"/>
          </w:tcPr>
          <w:p w14:paraId="500BCF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已按意见增加天然溶重、渗透系数、结构面强度（裂隙面、断层面）的取样测试，详见P60。</w:t>
            </w:r>
          </w:p>
        </w:tc>
      </w:tr>
      <w:tr w14:paraId="19DD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2A5025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13</w:t>
            </w:r>
          </w:p>
        </w:tc>
        <w:tc>
          <w:tcPr>
            <w:tcW w:w="2290" w:type="pct"/>
          </w:tcPr>
          <w:p w14:paraId="7A76CC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岩石抗压、抗剪强度各取14组，3块/组，核实是否包括茅口组、栖霞组、马平组的灰岩、泥质灰岩、不同风化程度的砂岩（全风化、强风化、中风化、弱风化砂岩）取样的要求，工作量单位应明确组数与块数，如：工作量：48/16，工作量单位为”块/组”；</w:t>
            </w:r>
          </w:p>
        </w:tc>
        <w:tc>
          <w:tcPr>
            <w:tcW w:w="2272" w:type="pct"/>
          </w:tcPr>
          <w:p w14:paraId="303769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已按意见增加取样数量，每种岩石各取1组，共7组，每组每项试验各取3块，每组共计取18块，最后设计采样126块/7组。详见P60。</w:t>
            </w:r>
          </w:p>
        </w:tc>
      </w:tr>
      <w:tr w14:paraId="534FF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2EF38E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14</w:t>
            </w:r>
          </w:p>
        </w:tc>
        <w:tc>
          <w:tcPr>
            <w:tcW w:w="2290" w:type="pct"/>
          </w:tcPr>
          <w:p w14:paraId="4A8040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按前述意见，修改水文地质钻孔、钻孔抽水试验、钻孔注水试验等工作量；</w:t>
            </w:r>
          </w:p>
        </w:tc>
        <w:tc>
          <w:tcPr>
            <w:tcW w:w="2272" w:type="pct"/>
          </w:tcPr>
          <w:p w14:paraId="6F35EF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已按意见修改水文地质钻孔、钻孔抽水试验、钻孔注水试验等工作量。</w:t>
            </w:r>
          </w:p>
        </w:tc>
      </w:tr>
      <w:tr w14:paraId="437ED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1ED1DE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15</w:t>
            </w:r>
          </w:p>
        </w:tc>
        <w:tc>
          <w:tcPr>
            <w:tcW w:w="2290" w:type="pct"/>
          </w:tcPr>
          <w:p w14:paraId="092659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补充水文物探测井技术要求；</w:t>
            </w:r>
          </w:p>
        </w:tc>
        <w:tc>
          <w:tcPr>
            <w:tcW w:w="2272" w:type="pct"/>
          </w:tcPr>
          <w:p w14:paraId="080F15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已按意见补充水文物探测井技术要求。</w:t>
            </w:r>
          </w:p>
        </w:tc>
      </w:tr>
      <w:tr w14:paraId="71E5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pct"/>
            <w:vAlign w:val="center"/>
          </w:tcPr>
          <w:p w14:paraId="387F87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16</w:t>
            </w:r>
          </w:p>
        </w:tc>
        <w:tc>
          <w:tcPr>
            <w:tcW w:w="2290" w:type="pct"/>
          </w:tcPr>
          <w:p w14:paraId="1D73D9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没有补充岩石物理力学样采样要求，按前述意见重新完善采样对象、采样组数、块数；特别是应对茅口组、栖霞组、马平组的灰岩、泥质灰岩、不同风化程度的砂岩（全风化、强风化、中风化、弱风化砂岩）分别取样的要求。</w:t>
            </w:r>
          </w:p>
        </w:tc>
        <w:tc>
          <w:tcPr>
            <w:tcW w:w="2272" w:type="pct"/>
          </w:tcPr>
          <w:p w14:paraId="3395D7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已按意见修改</w:t>
            </w:r>
            <w:r>
              <w:rPr>
                <w:rFonts w:hint="default" w:ascii="Times New Roman" w:hAnsi="Times New Roman" w:eastAsia="仿宋" w:cs="Times New Roman"/>
                <w:b/>
                <w:bCs/>
                <w:sz w:val="24"/>
                <w:szCs w:val="24"/>
                <w:lang w:val="en-US" w:eastAsia="zh-CN"/>
              </w:rPr>
              <w:t>岩石物理力学样</w:t>
            </w:r>
            <w:r>
              <w:rPr>
                <w:rFonts w:hint="eastAsia" w:ascii="Times New Roman" w:hAnsi="Times New Roman" w:eastAsia="仿宋" w:cs="Times New Roman"/>
                <w:b/>
                <w:bCs/>
                <w:sz w:val="24"/>
                <w:szCs w:val="24"/>
                <w:lang w:val="en-US" w:eastAsia="zh-CN"/>
              </w:rPr>
              <w:t>样数，对茅口组微晶灰岩、亮晶灰岩、生物碎屑灰岩，栖霞组微晶灰岩、马平组微晶灰岩以及汪门组砂岩、泥岩等分别取样。香江P60。</w:t>
            </w:r>
          </w:p>
        </w:tc>
      </w:tr>
    </w:tbl>
    <w:p w14:paraId="117766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ascii="Times New Roman" w:hAnsi="Times New Roman" w:eastAsia="宋体" w:cs="Times New Roman"/>
          <w:sz w:val="24"/>
          <w:szCs w:val="24"/>
        </w:rPr>
      </w:pPr>
    </w:p>
    <w:p w14:paraId="3D81F6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pPr>
    </w:p>
    <w:sectPr>
      <w:pgSz w:w="11906" w:h="16838"/>
      <w:pgMar w:top="1418" w:right="1418" w:bottom="1418" w:left="1418" w:header="851" w:footer="992" w:gutter="0"/>
      <w:cols w:space="720"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华文中宋">
    <w:panose1 w:val="02010600040101010101"/>
    <w:charset w:val="86"/>
    <w:family w:val="auto"/>
    <w:pitch w:val="default"/>
    <w:sig w:usb0="00000287" w:usb1="080F0000" w:usb2="00000000" w:usb3="00000000" w:csb0="0004009F" w:csb1="DFD70000"/>
  </w:font>
  <w:font w:name="隶书">
    <w:panose1 w:val="0201050906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5C9D9">
    <w:pPr>
      <w:pStyle w:val="2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1B4C3">
    <w:pPr>
      <w:pStyle w:val="22"/>
      <w:framePr w:wrap="around" w:vAnchor="text" w:hAnchor="margin" w:xAlign="center" w:y="1"/>
      <w:ind w:firstLine="360"/>
      <w:rPr>
        <w:rStyle w:val="70"/>
      </w:rPr>
    </w:pPr>
    <w:r>
      <w:fldChar w:fldCharType="begin"/>
    </w:r>
    <w:r>
      <w:rPr>
        <w:rStyle w:val="70"/>
      </w:rPr>
      <w:instrText xml:space="preserve">PAGE  </w:instrText>
    </w:r>
    <w:r>
      <w:fldChar w:fldCharType="separate"/>
    </w:r>
    <w:r>
      <w:rPr>
        <w:rStyle w:val="70"/>
      </w:rPr>
      <w:t>20</w:t>
    </w:r>
    <w:r>
      <w:fldChar w:fldCharType="end"/>
    </w:r>
  </w:p>
  <w:p w14:paraId="1921EC71">
    <w:pPr>
      <w:pStyle w:val="2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2A176">
    <w:pPr>
      <w:pStyle w:val="2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F1391">
    <w:pPr>
      <w:pStyle w:val="22"/>
    </w:pPr>
    <w:r>
      <w:rPr>
        <w:lang w:val="en-US"/>
      </w:rPr>
      <mc:AlternateContent>
        <mc:Choice Requires="wps">
          <w:drawing>
            <wp:anchor distT="0" distB="0" distL="114300" distR="114300" simplePos="0" relativeHeight="251659264" behindDoc="0" locked="0" layoutInCell="1" allowOverlap="1">
              <wp:simplePos x="0" y="0"/>
              <wp:positionH relativeFrom="margin">
                <wp:posOffset>2857500</wp:posOffset>
              </wp:positionH>
              <wp:positionV relativeFrom="paragraph">
                <wp:posOffset>19050</wp:posOffset>
              </wp:positionV>
              <wp:extent cx="224790" cy="18415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24790" cy="1841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D82454">
                          <w:pPr>
                            <w:pStyle w:val="22"/>
                          </w:pPr>
                          <w:r>
                            <w:fldChar w:fldCharType="begin"/>
                          </w:r>
                          <w:r>
                            <w:instrText xml:space="preserve"> PAGE  \* MERGEFORMAT </w:instrText>
                          </w:r>
                          <w:r>
                            <w:fldChar w:fldCharType="separate"/>
                          </w:r>
                          <w:r>
                            <w:t>III</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25pt;margin-top:1.5pt;height:14.5pt;width:17.7pt;mso-position-horizontal-relative:margin;z-index:251659264;mso-width-relative:page;mso-height-relative:page;" filled="f" stroked="f" coordsize="21600,21600" o:gfxdata="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ADNVnXAAAACAEAAA8AAAAAAAAAAQAgAAAAIgAAAGRycy9kb3ducmV2LnhtbFBL&#10;AQIUABQAAAAIAIdO4kDwWxnEMAIAAFUEAAAOAAAAAAAAAAEAIAAAACYBAABkcnMvZTJvRG9jLnht&#10;bFBLBQYAAAAABgAGAFkBAADIBQAAAAA=&#10;">
              <v:fill on="f" focussize="0,0"/>
              <v:stroke on="f" weight="0.5pt"/>
              <v:imagedata o:title=""/>
              <o:lock v:ext="edit" aspectratio="f"/>
              <v:textbox inset="0mm,0mm,0mm,0mm">
                <w:txbxContent>
                  <w:p w14:paraId="43D82454">
                    <w:pPr>
                      <w:pStyle w:val="22"/>
                    </w:pPr>
                    <w:r>
                      <w:fldChar w:fldCharType="begin"/>
                    </w:r>
                    <w:r>
                      <w:instrText xml:space="preserve"> PAGE  \* MERGEFORMAT </w:instrText>
                    </w:r>
                    <w:r>
                      <w:fldChar w:fldCharType="separate"/>
                    </w:r>
                    <w:r>
                      <w:t>III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48C55">
    <w:pPr>
      <w:pStyle w:val="22"/>
      <w:jc w:val="both"/>
    </w:pPr>
    <w:r>
      <w:rPr>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67665"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36766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FC5878">
                          <w:pPr>
                            <w:pStyle w:val="22"/>
                          </w:pPr>
                          <w:r>
                            <w:fldChar w:fldCharType="begin"/>
                          </w:r>
                          <w:r>
                            <w:instrText xml:space="preserve"> PAGE  \* MERGEFORMAT </w:instrText>
                          </w:r>
                          <w:r>
                            <w:fldChar w:fldCharType="separate"/>
                          </w:r>
                          <w:r>
                            <w:t>115</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28.95pt;mso-position-horizontal:center;mso-position-horizontal-relative:margin;z-index:251660288;mso-width-relative:page;mso-height-relative:page;" filled="f" stroked="f" coordsize="21600,21600" o:gfxdata="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3EKxtQAAAAEAQAADwAAAAAAAAABACAAAAAiAAAAZHJzL2Rvd25yZXYueG1sUEsB&#10;AhQAFAAAAAgAh07iQGrdjRMyAgAAWAQAAA4AAAAAAAAAAQAgAAAAIwEAAGRycy9lMm9Eb2MueG1s&#10;UEsFBgAAAAAGAAYAWQEAAMcFAAAAAA==&#10;">
              <v:fill on="f" focussize="0,0"/>
              <v:stroke on="f" weight="0.5pt"/>
              <v:imagedata o:title=""/>
              <o:lock v:ext="edit" aspectratio="f"/>
              <v:textbox inset="0mm,0mm,0mm,0mm" style="mso-fit-shape-to-text:t;">
                <w:txbxContent>
                  <w:p w14:paraId="4DFC5878">
                    <w:pPr>
                      <w:pStyle w:val="22"/>
                    </w:pPr>
                    <w:r>
                      <w:fldChar w:fldCharType="begin"/>
                    </w:r>
                    <w:r>
                      <w:instrText xml:space="preserve"> PAGE  \* MERGEFORMAT </w:instrText>
                    </w:r>
                    <w:r>
                      <w:fldChar w:fldCharType="separate"/>
                    </w:r>
                    <w:r>
                      <w:t>115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0A50D">
    <w:pPr>
      <w:pStyle w:val="2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C682B">
    <w:pPr>
      <w:spacing w:line="240" w:lineRule="auto"/>
      <w:ind w:firstLine="0" w:firstLineChars="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882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CF1"/>
    <w:rsid w:val="00007069"/>
    <w:rsid w:val="00017438"/>
    <w:rsid w:val="00017FCD"/>
    <w:rsid w:val="00020519"/>
    <w:rsid w:val="00021762"/>
    <w:rsid w:val="000222C0"/>
    <w:rsid w:val="00024D2E"/>
    <w:rsid w:val="00025821"/>
    <w:rsid w:val="00026F65"/>
    <w:rsid w:val="00035EB7"/>
    <w:rsid w:val="00040A2B"/>
    <w:rsid w:val="00040A5E"/>
    <w:rsid w:val="00043DBB"/>
    <w:rsid w:val="0004575B"/>
    <w:rsid w:val="00045D0D"/>
    <w:rsid w:val="00050BA6"/>
    <w:rsid w:val="0005517D"/>
    <w:rsid w:val="00057C8D"/>
    <w:rsid w:val="000737D6"/>
    <w:rsid w:val="00073A27"/>
    <w:rsid w:val="00076565"/>
    <w:rsid w:val="00084438"/>
    <w:rsid w:val="00085A64"/>
    <w:rsid w:val="00096426"/>
    <w:rsid w:val="000A1445"/>
    <w:rsid w:val="000A6965"/>
    <w:rsid w:val="000B0C19"/>
    <w:rsid w:val="000B0D93"/>
    <w:rsid w:val="000B2859"/>
    <w:rsid w:val="000C0811"/>
    <w:rsid w:val="000C4AA6"/>
    <w:rsid w:val="000C64BB"/>
    <w:rsid w:val="000D103F"/>
    <w:rsid w:val="000D1370"/>
    <w:rsid w:val="000D2BF2"/>
    <w:rsid w:val="000D6C0F"/>
    <w:rsid w:val="000E0720"/>
    <w:rsid w:val="000E3FC7"/>
    <w:rsid w:val="000E6ADB"/>
    <w:rsid w:val="000F3157"/>
    <w:rsid w:val="000F38FA"/>
    <w:rsid w:val="000F65D6"/>
    <w:rsid w:val="000F6698"/>
    <w:rsid w:val="000F7583"/>
    <w:rsid w:val="00100824"/>
    <w:rsid w:val="00113410"/>
    <w:rsid w:val="001140A6"/>
    <w:rsid w:val="00116B38"/>
    <w:rsid w:val="00116CAC"/>
    <w:rsid w:val="00116EA4"/>
    <w:rsid w:val="00117C0B"/>
    <w:rsid w:val="001200B9"/>
    <w:rsid w:val="00123C28"/>
    <w:rsid w:val="00132D94"/>
    <w:rsid w:val="00142E4B"/>
    <w:rsid w:val="00143349"/>
    <w:rsid w:val="00143361"/>
    <w:rsid w:val="001461DF"/>
    <w:rsid w:val="0015052E"/>
    <w:rsid w:val="00155E9C"/>
    <w:rsid w:val="00165FA2"/>
    <w:rsid w:val="00172A27"/>
    <w:rsid w:val="0017418D"/>
    <w:rsid w:val="0017429D"/>
    <w:rsid w:val="0017481C"/>
    <w:rsid w:val="001772C3"/>
    <w:rsid w:val="00177BA4"/>
    <w:rsid w:val="00196029"/>
    <w:rsid w:val="0019680C"/>
    <w:rsid w:val="00196BFF"/>
    <w:rsid w:val="001976E9"/>
    <w:rsid w:val="00197937"/>
    <w:rsid w:val="001A4131"/>
    <w:rsid w:val="001A4F71"/>
    <w:rsid w:val="001A7A97"/>
    <w:rsid w:val="001B02FA"/>
    <w:rsid w:val="001C0413"/>
    <w:rsid w:val="001C6C93"/>
    <w:rsid w:val="001D1F95"/>
    <w:rsid w:val="001F0F89"/>
    <w:rsid w:val="001F405D"/>
    <w:rsid w:val="002030B6"/>
    <w:rsid w:val="002069C1"/>
    <w:rsid w:val="002071DF"/>
    <w:rsid w:val="00207558"/>
    <w:rsid w:val="002120B3"/>
    <w:rsid w:val="0021229D"/>
    <w:rsid w:val="002161DF"/>
    <w:rsid w:val="002202B4"/>
    <w:rsid w:val="00234168"/>
    <w:rsid w:val="0024114C"/>
    <w:rsid w:val="002425BD"/>
    <w:rsid w:val="002432A3"/>
    <w:rsid w:val="00245ADC"/>
    <w:rsid w:val="00246185"/>
    <w:rsid w:val="002463DC"/>
    <w:rsid w:val="0025429E"/>
    <w:rsid w:val="002546DA"/>
    <w:rsid w:val="00264070"/>
    <w:rsid w:val="00267854"/>
    <w:rsid w:val="00276720"/>
    <w:rsid w:val="00276E57"/>
    <w:rsid w:val="00280A64"/>
    <w:rsid w:val="00291B86"/>
    <w:rsid w:val="0029422D"/>
    <w:rsid w:val="002A06E0"/>
    <w:rsid w:val="002A1304"/>
    <w:rsid w:val="002A32F0"/>
    <w:rsid w:val="002A4733"/>
    <w:rsid w:val="002B06DE"/>
    <w:rsid w:val="002B1105"/>
    <w:rsid w:val="002B6536"/>
    <w:rsid w:val="002C0871"/>
    <w:rsid w:val="002C7A83"/>
    <w:rsid w:val="002D59B5"/>
    <w:rsid w:val="002E0B95"/>
    <w:rsid w:val="002E106C"/>
    <w:rsid w:val="002E11A8"/>
    <w:rsid w:val="002E500D"/>
    <w:rsid w:val="002E5553"/>
    <w:rsid w:val="002E5E46"/>
    <w:rsid w:val="002F1A5B"/>
    <w:rsid w:val="002F1E45"/>
    <w:rsid w:val="003030BA"/>
    <w:rsid w:val="00304FA5"/>
    <w:rsid w:val="00311773"/>
    <w:rsid w:val="003155BE"/>
    <w:rsid w:val="00315E07"/>
    <w:rsid w:val="00316F4F"/>
    <w:rsid w:val="0032320D"/>
    <w:rsid w:val="003262E6"/>
    <w:rsid w:val="0033348C"/>
    <w:rsid w:val="0033427C"/>
    <w:rsid w:val="00341261"/>
    <w:rsid w:val="003415B5"/>
    <w:rsid w:val="00341867"/>
    <w:rsid w:val="00342762"/>
    <w:rsid w:val="00342C72"/>
    <w:rsid w:val="003439B5"/>
    <w:rsid w:val="0034490C"/>
    <w:rsid w:val="00345BD2"/>
    <w:rsid w:val="003504D1"/>
    <w:rsid w:val="003507B0"/>
    <w:rsid w:val="00361DDD"/>
    <w:rsid w:val="00362B24"/>
    <w:rsid w:val="00382B9C"/>
    <w:rsid w:val="00382C5E"/>
    <w:rsid w:val="00383B6D"/>
    <w:rsid w:val="00384E78"/>
    <w:rsid w:val="003935B5"/>
    <w:rsid w:val="003939DD"/>
    <w:rsid w:val="00393A62"/>
    <w:rsid w:val="00394C60"/>
    <w:rsid w:val="00397F0F"/>
    <w:rsid w:val="003A724D"/>
    <w:rsid w:val="003B37CF"/>
    <w:rsid w:val="003C080C"/>
    <w:rsid w:val="003D20BC"/>
    <w:rsid w:val="003D3725"/>
    <w:rsid w:val="003D3D19"/>
    <w:rsid w:val="003D50F3"/>
    <w:rsid w:val="003E32EA"/>
    <w:rsid w:val="003E3EF2"/>
    <w:rsid w:val="003E4252"/>
    <w:rsid w:val="003E4806"/>
    <w:rsid w:val="003F417C"/>
    <w:rsid w:val="003F7E27"/>
    <w:rsid w:val="00400717"/>
    <w:rsid w:val="004026BB"/>
    <w:rsid w:val="00402ED7"/>
    <w:rsid w:val="00403657"/>
    <w:rsid w:val="0041455E"/>
    <w:rsid w:val="004206ED"/>
    <w:rsid w:val="004260AA"/>
    <w:rsid w:val="00430732"/>
    <w:rsid w:val="004430CD"/>
    <w:rsid w:val="00443D94"/>
    <w:rsid w:val="004520DC"/>
    <w:rsid w:val="004561F9"/>
    <w:rsid w:val="00456887"/>
    <w:rsid w:val="004767AD"/>
    <w:rsid w:val="0047731F"/>
    <w:rsid w:val="004859C2"/>
    <w:rsid w:val="00486B2C"/>
    <w:rsid w:val="004933E0"/>
    <w:rsid w:val="0049469C"/>
    <w:rsid w:val="004A1741"/>
    <w:rsid w:val="004A2CBA"/>
    <w:rsid w:val="004B334E"/>
    <w:rsid w:val="004B365D"/>
    <w:rsid w:val="004C2367"/>
    <w:rsid w:val="004C47D6"/>
    <w:rsid w:val="004C635F"/>
    <w:rsid w:val="004D3F5E"/>
    <w:rsid w:val="004E257B"/>
    <w:rsid w:val="004E2C79"/>
    <w:rsid w:val="004E6D7B"/>
    <w:rsid w:val="004E7662"/>
    <w:rsid w:val="004F1062"/>
    <w:rsid w:val="004F1909"/>
    <w:rsid w:val="004F1C31"/>
    <w:rsid w:val="004F4B45"/>
    <w:rsid w:val="004F6820"/>
    <w:rsid w:val="00503C48"/>
    <w:rsid w:val="0050446D"/>
    <w:rsid w:val="0050638A"/>
    <w:rsid w:val="00511811"/>
    <w:rsid w:val="00525F5C"/>
    <w:rsid w:val="005309D8"/>
    <w:rsid w:val="00531B0E"/>
    <w:rsid w:val="00532088"/>
    <w:rsid w:val="00534303"/>
    <w:rsid w:val="00535ACE"/>
    <w:rsid w:val="00536807"/>
    <w:rsid w:val="00542AA8"/>
    <w:rsid w:val="0054478C"/>
    <w:rsid w:val="00547AF7"/>
    <w:rsid w:val="00554B53"/>
    <w:rsid w:val="005608B2"/>
    <w:rsid w:val="00563215"/>
    <w:rsid w:val="0056605D"/>
    <w:rsid w:val="0057281B"/>
    <w:rsid w:val="005771C0"/>
    <w:rsid w:val="0058082D"/>
    <w:rsid w:val="0058424A"/>
    <w:rsid w:val="00587845"/>
    <w:rsid w:val="0059061B"/>
    <w:rsid w:val="00591730"/>
    <w:rsid w:val="00592D11"/>
    <w:rsid w:val="00592EBD"/>
    <w:rsid w:val="00595E73"/>
    <w:rsid w:val="00596180"/>
    <w:rsid w:val="005B1DEC"/>
    <w:rsid w:val="005C2F42"/>
    <w:rsid w:val="005C6EDD"/>
    <w:rsid w:val="005D1430"/>
    <w:rsid w:val="005D3C54"/>
    <w:rsid w:val="005D4CEC"/>
    <w:rsid w:val="005E08FF"/>
    <w:rsid w:val="005E0F61"/>
    <w:rsid w:val="005E15EF"/>
    <w:rsid w:val="005F1AA3"/>
    <w:rsid w:val="005F295A"/>
    <w:rsid w:val="005F7C4D"/>
    <w:rsid w:val="0060149E"/>
    <w:rsid w:val="00601A98"/>
    <w:rsid w:val="00601BB2"/>
    <w:rsid w:val="006057DB"/>
    <w:rsid w:val="006148C7"/>
    <w:rsid w:val="0062438E"/>
    <w:rsid w:val="006262EE"/>
    <w:rsid w:val="00630AAB"/>
    <w:rsid w:val="006330F1"/>
    <w:rsid w:val="00637821"/>
    <w:rsid w:val="006400C5"/>
    <w:rsid w:val="00651AD3"/>
    <w:rsid w:val="00651D31"/>
    <w:rsid w:val="00652872"/>
    <w:rsid w:val="0065521A"/>
    <w:rsid w:val="00657AEC"/>
    <w:rsid w:val="00663E90"/>
    <w:rsid w:val="006723E6"/>
    <w:rsid w:val="006773CE"/>
    <w:rsid w:val="006775DB"/>
    <w:rsid w:val="00682489"/>
    <w:rsid w:val="00683945"/>
    <w:rsid w:val="0068445F"/>
    <w:rsid w:val="006873DD"/>
    <w:rsid w:val="00687A7A"/>
    <w:rsid w:val="00687CBC"/>
    <w:rsid w:val="006930E5"/>
    <w:rsid w:val="006976B0"/>
    <w:rsid w:val="006A1284"/>
    <w:rsid w:val="006A1667"/>
    <w:rsid w:val="006A3512"/>
    <w:rsid w:val="006A3D5D"/>
    <w:rsid w:val="006A3E31"/>
    <w:rsid w:val="006B1405"/>
    <w:rsid w:val="006B143B"/>
    <w:rsid w:val="006B21AB"/>
    <w:rsid w:val="006C533D"/>
    <w:rsid w:val="006C57C5"/>
    <w:rsid w:val="006C6610"/>
    <w:rsid w:val="006C6FA7"/>
    <w:rsid w:val="006D563E"/>
    <w:rsid w:val="006E0366"/>
    <w:rsid w:val="006E4D67"/>
    <w:rsid w:val="006E6E5B"/>
    <w:rsid w:val="006F04FD"/>
    <w:rsid w:val="006F74DD"/>
    <w:rsid w:val="007045BE"/>
    <w:rsid w:val="00705477"/>
    <w:rsid w:val="00705B16"/>
    <w:rsid w:val="0071247A"/>
    <w:rsid w:val="007131B5"/>
    <w:rsid w:val="0072223B"/>
    <w:rsid w:val="00724C65"/>
    <w:rsid w:val="007342E6"/>
    <w:rsid w:val="00740AD5"/>
    <w:rsid w:val="007426AF"/>
    <w:rsid w:val="007459C7"/>
    <w:rsid w:val="00751BBB"/>
    <w:rsid w:val="00753923"/>
    <w:rsid w:val="00760117"/>
    <w:rsid w:val="007605F6"/>
    <w:rsid w:val="00760CD9"/>
    <w:rsid w:val="00764A59"/>
    <w:rsid w:val="0077331B"/>
    <w:rsid w:val="00773A2C"/>
    <w:rsid w:val="00783613"/>
    <w:rsid w:val="007868B1"/>
    <w:rsid w:val="007935B8"/>
    <w:rsid w:val="00794EDA"/>
    <w:rsid w:val="007A08DF"/>
    <w:rsid w:val="007A7DA7"/>
    <w:rsid w:val="007B04EA"/>
    <w:rsid w:val="007B2290"/>
    <w:rsid w:val="007B646A"/>
    <w:rsid w:val="007B752A"/>
    <w:rsid w:val="007C61B0"/>
    <w:rsid w:val="007E32B0"/>
    <w:rsid w:val="007E58B0"/>
    <w:rsid w:val="007F174E"/>
    <w:rsid w:val="007F571E"/>
    <w:rsid w:val="007F599B"/>
    <w:rsid w:val="007F7CD5"/>
    <w:rsid w:val="008114FF"/>
    <w:rsid w:val="00811742"/>
    <w:rsid w:val="008118FA"/>
    <w:rsid w:val="00814233"/>
    <w:rsid w:val="00817ABA"/>
    <w:rsid w:val="00820446"/>
    <w:rsid w:val="00821421"/>
    <w:rsid w:val="00822B0A"/>
    <w:rsid w:val="0082740E"/>
    <w:rsid w:val="00827DD0"/>
    <w:rsid w:val="008316F0"/>
    <w:rsid w:val="00833CB1"/>
    <w:rsid w:val="008342CC"/>
    <w:rsid w:val="00836A47"/>
    <w:rsid w:val="00841A0A"/>
    <w:rsid w:val="00846205"/>
    <w:rsid w:val="00847004"/>
    <w:rsid w:val="00852638"/>
    <w:rsid w:val="00852A06"/>
    <w:rsid w:val="00856FFB"/>
    <w:rsid w:val="00867DC7"/>
    <w:rsid w:val="00877D3A"/>
    <w:rsid w:val="00880F92"/>
    <w:rsid w:val="00886E1D"/>
    <w:rsid w:val="008911D2"/>
    <w:rsid w:val="008A0457"/>
    <w:rsid w:val="008A0DD0"/>
    <w:rsid w:val="008A56FC"/>
    <w:rsid w:val="008A5874"/>
    <w:rsid w:val="008A6AC1"/>
    <w:rsid w:val="008C2E78"/>
    <w:rsid w:val="008D07A8"/>
    <w:rsid w:val="008D2895"/>
    <w:rsid w:val="008E7059"/>
    <w:rsid w:val="008E7BAF"/>
    <w:rsid w:val="008F2DB7"/>
    <w:rsid w:val="008F4376"/>
    <w:rsid w:val="00904C39"/>
    <w:rsid w:val="0090792E"/>
    <w:rsid w:val="00910773"/>
    <w:rsid w:val="009214F6"/>
    <w:rsid w:val="00921617"/>
    <w:rsid w:val="00921EC0"/>
    <w:rsid w:val="009248E9"/>
    <w:rsid w:val="0092496B"/>
    <w:rsid w:val="00930E84"/>
    <w:rsid w:val="00932041"/>
    <w:rsid w:val="009323ED"/>
    <w:rsid w:val="00933AF5"/>
    <w:rsid w:val="00944579"/>
    <w:rsid w:val="0094669A"/>
    <w:rsid w:val="0095257A"/>
    <w:rsid w:val="00956893"/>
    <w:rsid w:val="00957A21"/>
    <w:rsid w:val="00960A2D"/>
    <w:rsid w:val="00964EFB"/>
    <w:rsid w:val="00965BB5"/>
    <w:rsid w:val="00971F48"/>
    <w:rsid w:val="00977523"/>
    <w:rsid w:val="00980205"/>
    <w:rsid w:val="009821F1"/>
    <w:rsid w:val="009828B9"/>
    <w:rsid w:val="00984EB5"/>
    <w:rsid w:val="00985AF3"/>
    <w:rsid w:val="009A56A4"/>
    <w:rsid w:val="009A66DB"/>
    <w:rsid w:val="009B2B91"/>
    <w:rsid w:val="009B5FFD"/>
    <w:rsid w:val="009B6B01"/>
    <w:rsid w:val="009B76E0"/>
    <w:rsid w:val="009C3DF3"/>
    <w:rsid w:val="009E3698"/>
    <w:rsid w:val="009E6682"/>
    <w:rsid w:val="009F6070"/>
    <w:rsid w:val="009F71E5"/>
    <w:rsid w:val="009F7937"/>
    <w:rsid w:val="00A0010B"/>
    <w:rsid w:val="00A015F0"/>
    <w:rsid w:val="00A02C70"/>
    <w:rsid w:val="00A05316"/>
    <w:rsid w:val="00A05CE4"/>
    <w:rsid w:val="00A06392"/>
    <w:rsid w:val="00A07EDE"/>
    <w:rsid w:val="00A126DF"/>
    <w:rsid w:val="00A140FC"/>
    <w:rsid w:val="00A14A93"/>
    <w:rsid w:val="00A15909"/>
    <w:rsid w:val="00A23862"/>
    <w:rsid w:val="00A2482B"/>
    <w:rsid w:val="00A33D4F"/>
    <w:rsid w:val="00A3584C"/>
    <w:rsid w:val="00A4624B"/>
    <w:rsid w:val="00A476A3"/>
    <w:rsid w:val="00A47702"/>
    <w:rsid w:val="00A50B74"/>
    <w:rsid w:val="00A50B75"/>
    <w:rsid w:val="00A556E7"/>
    <w:rsid w:val="00A606BE"/>
    <w:rsid w:val="00A61399"/>
    <w:rsid w:val="00A616EF"/>
    <w:rsid w:val="00A67CA0"/>
    <w:rsid w:val="00A67F6A"/>
    <w:rsid w:val="00A73015"/>
    <w:rsid w:val="00A831AE"/>
    <w:rsid w:val="00A85CE2"/>
    <w:rsid w:val="00AA1179"/>
    <w:rsid w:val="00AA5127"/>
    <w:rsid w:val="00AA5158"/>
    <w:rsid w:val="00AA7EED"/>
    <w:rsid w:val="00AB4BA9"/>
    <w:rsid w:val="00AC23A1"/>
    <w:rsid w:val="00AD2081"/>
    <w:rsid w:val="00AD63E6"/>
    <w:rsid w:val="00AE1E43"/>
    <w:rsid w:val="00AE47D2"/>
    <w:rsid w:val="00AF23F0"/>
    <w:rsid w:val="00AF3FB3"/>
    <w:rsid w:val="00B004DF"/>
    <w:rsid w:val="00B03056"/>
    <w:rsid w:val="00B06D6D"/>
    <w:rsid w:val="00B16599"/>
    <w:rsid w:val="00B17999"/>
    <w:rsid w:val="00B21972"/>
    <w:rsid w:val="00B3018C"/>
    <w:rsid w:val="00B316DD"/>
    <w:rsid w:val="00B31E2D"/>
    <w:rsid w:val="00B4656F"/>
    <w:rsid w:val="00B50062"/>
    <w:rsid w:val="00B522E9"/>
    <w:rsid w:val="00B53EEC"/>
    <w:rsid w:val="00B60399"/>
    <w:rsid w:val="00B67891"/>
    <w:rsid w:val="00B74152"/>
    <w:rsid w:val="00B779FF"/>
    <w:rsid w:val="00B854C8"/>
    <w:rsid w:val="00B85F02"/>
    <w:rsid w:val="00B86EAB"/>
    <w:rsid w:val="00B956CF"/>
    <w:rsid w:val="00B9667D"/>
    <w:rsid w:val="00BA3349"/>
    <w:rsid w:val="00BA4942"/>
    <w:rsid w:val="00BA7E05"/>
    <w:rsid w:val="00BB1D8E"/>
    <w:rsid w:val="00BB7383"/>
    <w:rsid w:val="00BC5862"/>
    <w:rsid w:val="00BC6E31"/>
    <w:rsid w:val="00BD1A9D"/>
    <w:rsid w:val="00BD687E"/>
    <w:rsid w:val="00BD69C6"/>
    <w:rsid w:val="00BE2BCD"/>
    <w:rsid w:val="00BE415A"/>
    <w:rsid w:val="00BE4DA5"/>
    <w:rsid w:val="00BE55CB"/>
    <w:rsid w:val="00BF5DC1"/>
    <w:rsid w:val="00BF6995"/>
    <w:rsid w:val="00BF708D"/>
    <w:rsid w:val="00C00096"/>
    <w:rsid w:val="00C03F13"/>
    <w:rsid w:val="00C06085"/>
    <w:rsid w:val="00C10D8C"/>
    <w:rsid w:val="00C142A8"/>
    <w:rsid w:val="00C228E2"/>
    <w:rsid w:val="00C230E6"/>
    <w:rsid w:val="00C2330C"/>
    <w:rsid w:val="00C24EF2"/>
    <w:rsid w:val="00C364E9"/>
    <w:rsid w:val="00C41878"/>
    <w:rsid w:val="00C437FA"/>
    <w:rsid w:val="00C4541F"/>
    <w:rsid w:val="00C602A8"/>
    <w:rsid w:val="00C6274B"/>
    <w:rsid w:val="00C6664C"/>
    <w:rsid w:val="00C71C33"/>
    <w:rsid w:val="00C73C61"/>
    <w:rsid w:val="00C74285"/>
    <w:rsid w:val="00C82D84"/>
    <w:rsid w:val="00C86AC9"/>
    <w:rsid w:val="00C93A20"/>
    <w:rsid w:val="00CA4907"/>
    <w:rsid w:val="00CC050B"/>
    <w:rsid w:val="00CC0BDF"/>
    <w:rsid w:val="00CC0C6D"/>
    <w:rsid w:val="00CC25C0"/>
    <w:rsid w:val="00CC3F5B"/>
    <w:rsid w:val="00CC414E"/>
    <w:rsid w:val="00CD37C0"/>
    <w:rsid w:val="00CD4F63"/>
    <w:rsid w:val="00CE28D9"/>
    <w:rsid w:val="00CE3814"/>
    <w:rsid w:val="00CE4A2E"/>
    <w:rsid w:val="00CF1CFA"/>
    <w:rsid w:val="00D0145E"/>
    <w:rsid w:val="00D025F3"/>
    <w:rsid w:val="00D14496"/>
    <w:rsid w:val="00D15993"/>
    <w:rsid w:val="00D164FE"/>
    <w:rsid w:val="00D21772"/>
    <w:rsid w:val="00D2204D"/>
    <w:rsid w:val="00D24B35"/>
    <w:rsid w:val="00D34D8C"/>
    <w:rsid w:val="00D35623"/>
    <w:rsid w:val="00D41D97"/>
    <w:rsid w:val="00D45154"/>
    <w:rsid w:val="00D4593B"/>
    <w:rsid w:val="00D4605B"/>
    <w:rsid w:val="00D46154"/>
    <w:rsid w:val="00D47714"/>
    <w:rsid w:val="00D51198"/>
    <w:rsid w:val="00D53ABF"/>
    <w:rsid w:val="00D55B76"/>
    <w:rsid w:val="00D7698C"/>
    <w:rsid w:val="00D83557"/>
    <w:rsid w:val="00D94E17"/>
    <w:rsid w:val="00D96391"/>
    <w:rsid w:val="00DA1A64"/>
    <w:rsid w:val="00DA3FEB"/>
    <w:rsid w:val="00DB6A21"/>
    <w:rsid w:val="00DC301F"/>
    <w:rsid w:val="00DD038E"/>
    <w:rsid w:val="00DD2968"/>
    <w:rsid w:val="00DE1911"/>
    <w:rsid w:val="00DE4825"/>
    <w:rsid w:val="00DF1ACA"/>
    <w:rsid w:val="00DF25BC"/>
    <w:rsid w:val="00DF567C"/>
    <w:rsid w:val="00DF7098"/>
    <w:rsid w:val="00E00C23"/>
    <w:rsid w:val="00E02463"/>
    <w:rsid w:val="00E074C8"/>
    <w:rsid w:val="00E11DFB"/>
    <w:rsid w:val="00E208AF"/>
    <w:rsid w:val="00E22503"/>
    <w:rsid w:val="00E24D08"/>
    <w:rsid w:val="00E272BF"/>
    <w:rsid w:val="00E31B90"/>
    <w:rsid w:val="00E36981"/>
    <w:rsid w:val="00E42AE4"/>
    <w:rsid w:val="00E437C1"/>
    <w:rsid w:val="00E43F04"/>
    <w:rsid w:val="00E4639C"/>
    <w:rsid w:val="00E50066"/>
    <w:rsid w:val="00E50576"/>
    <w:rsid w:val="00E50B92"/>
    <w:rsid w:val="00E56347"/>
    <w:rsid w:val="00E6295C"/>
    <w:rsid w:val="00E70B5D"/>
    <w:rsid w:val="00E70F0B"/>
    <w:rsid w:val="00E71CF8"/>
    <w:rsid w:val="00E74A29"/>
    <w:rsid w:val="00E74D64"/>
    <w:rsid w:val="00E7664E"/>
    <w:rsid w:val="00E80DF3"/>
    <w:rsid w:val="00E81488"/>
    <w:rsid w:val="00E848B8"/>
    <w:rsid w:val="00E87F75"/>
    <w:rsid w:val="00E905FB"/>
    <w:rsid w:val="00E91E1F"/>
    <w:rsid w:val="00E92D1B"/>
    <w:rsid w:val="00EA015E"/>
    <w:rsid w:val="00EA0ABA"/>
    <w:rsid w:val="00EB7D58"/>
    <w:rsid w:val="00EC085B"/>
    <w:rsid w:val="00ED1531"/>
    <w:rsid w:val="00ED2E29"/>
    <w:rsid w:val="00ED51D7"/>
    <w:rsid w:val="00EE073A"/>
    <w:rsid w:val="00EE6483"/>
    <w:rsid w:val="00EF3CA7"/>
    <w:rsid w:val="00EF6A8F"/>
    <w:rsid w:val="00EF6CF8"/>
    <w:rsid w:val="00F01C7F"/>
    <w:rsid w:val="00F034B4"/>
    <w:rsid w:val="00F06F63"/>
    <w:rsid w:val="00F10070"/>
    <w:rsid w:val="00F10667"/>
    <w:rsid w:val="00F210A7"/>
    <w:rsid w:val="00F26C54"/>
    <w:rsid w:val="00F3170E"/>
    <w:rsid w:val="00F3340F"/>
    <w:rsid w:val="00F34F71"/>
    <w:rsid w:val="00F4087C"/>
    <w:rsid w:val="00F620FF"/>
    <w:rsid w:val="00F62A87"/>
    <w:rsid w:val="00F672FF"/>
    <w:rsid w:val="00F70BF3"/>
    <w:rsid w:val="00F711CE"/>
    <w:rsid w:val="00F72EF6"/>
    <w:rsid w:val="00F73218"/>
    <w:rsid w:val="00F76B3C"/>
    <w:rsid w:val="00F81DE6"/>
    <w:rsid w:val="00F82D5D"/>
    <w:rsid w:val="00F84122"/>
    <w:rsid w:val="00F93A5F"/>
    <w:rsid w:val="00FA4202"/>
    <w:rsid w:val="00FA51EE"/>
    <w:rsid w:val="00FB45F7"/>
    <w:rsid w:val="00FB6147"/>
    <w:rsid w:val="00FB7002"/>
    <w:rsid w:val="00FC1852"/>
    <w:rsid w:val="00FD26E2"/>
    <w:rsid w:val="00FD3ABD"/>
    <w:rsid w:val="00FD3F1F"/>
    <w:rsid w:val="00FE2BF0"/>
    <w:rsid w:val="00FF0778"/>
    <w:rsid w:val="01536B74"/>
    <w:rsid w:val="016A347B"/>
    <w:rsid w:val="01853A54"/>
    <w:rsid w:val="01934780"/>
    <w:rsid w:val="01946C70"/>
    <w:rsid w:val="01A15A0C"/>
    <w:rsid w:val="01D6466C"/>
    <w:rsid w:val="01F121F4"/>
    <w:rsid w:val="021F4265"/>
    <w:rsid w:val="026E0D49"/>
    <w:rsid w:val="0278176C"/>
    <w:rsid w:val="028B5457"/>
    <w:rsid w:val="02BC083D"/>
    <w:rsid w:val="02CB1CF7"/>
    <w:rsid w:val="02D23086"/>
    <w:rsid w:val="02DC2156"/>
    <w:rsid w:val="02DF39F5"/>
    <w:rsid w:val="030A0A72"/>
    <w:rsid w:val="03247659"/>
    <w:rsid w:val="03463A74"/>
    <w:rsid w:val="039D4077"/>
    <w:rsid w:val="03B20051"/>
    <w:rsid w:val="03BC7847"/>
    <w:rsid w:val="03D11ABB"/>
    <w:rsid w:val="03E05C76"/>
    <w:rsid w:val="03E2554B"/>
    <w:rsid w:val="04096F7B"/>
    <w:rsid w:val="0466358E"/>
    <w:rsid w:val="046B5540"/>
    <w:rsid w:val="04803EAB"/>
    <w:rsid w:val="04B35139"/>
    <w:rsid w:val="04CB36D1"/>
    <w:rsid w:val="04CC1D57"/>
    <w:rsid w:val="04E2157A"/>
    <w:rsid w:val="04FE4606"/>
    <w:rsid w:val="053A4F12"/>
    <w:rsid w:val="053C0C8A"/>
    <w:rsid w:val="053C6EDC"/>
    <w:rsid w:val="056C4208"/>
    <w:rsid w:val="05946D18"/>
    <w:rsid w:val="05AD1B88"/>
    <w:rsid w:val="05EB7ACA"/>
    <w:rsid w:val="06677F89"/>
    <w:rsid w:val="0677180A"/>
    <w:rsid w:val="068400A0"/>
    <w:rsid w:val="0686237C"/>
    <w:rsid w:val="068E5516"/>
    <w:rsid w:val="06D118A6"/>
    <w:rsid w:val="06D85505"/>
    <w:rsid w:val="06D96964"/>
    <w:rsid w:val="06FB68B7"/>
    <w:rsid w:val="07017693"/>
    <w:rsid w:val="07034156"/>
    <w:rsid w:val="070D0B30"/>
    <w:rsid w:val="07502A19"/>
    <w:rsid w:val="07CB4548"/>
    <w:rsid w:val="07DD49A7"/>
    <w:rsid w:val="07E8637B"/>
    <w:rsid w:val="080D363E"/>
    <w:rsid w:val="086B3224"/>
    <w:rsid w:val="0874698D"/>
    <w:rsid w:val="089C62CB"/>
    <w:rsid w:val="08C94F2B"/>
    <w:rsid w:val="08DB6A0C"/>
    <w:rsid w:val="092F44B4"/>
    <w:rsid w:val="094D790A"/>
    <w:rsid w:val="0966767D"/>
    <w:rsid w:val="097C01EF"/>
    <w:rsid w:val="097E14B2"/>
    <w:rsid w:val="098C1A3C"/>
    <w:rsid w:val="099E30AC"/>
    <w:rsid w:val="099E77A8"/>
    <w:rsid w:val="09AA6B0A"/>
    <w:rsid w:val="09D779E1"/>
    <w:rsid w:val="09F14739"/>
    <w:rsid w:val="0A0B1817"/>
    <w:rsid w:val="0A1B7A08"/>
    <w:rsid w:val="0A2A7C4B"/>
    <w:rsid w:val="0A3665F0"/>
    <w:rsid w:val="0A544CC8"/>
    <w:rsid w:val="0A612C59"/>
    <w:rsid w:val="0A8A6AF0"/>
    <w:rsid w:val="0B0762E2"/>
    <w:rsid w:val="0B135E27"/>
    <w:rsid w:val="0B2C354F"/>
    <w:rsid w:val="0B316DB7"/>
    <w:rsid w:val="0B3D750A"/>
    <w:rsid w:val="0B4E5BBB"/>
    <w:rsid w:val="0B4F4B0E"/>
    <w:rsid w:val="0B684935"/>
    <w:rsid w:val="0B6C7DF0"/>
    <w:rsid w:val="0B6D6042"/>
    <w:rsid w:val="0B884C29"/>
    <w:rsid w:val="0BBC5CBC"/>
    <w:rsid w:val="0C285E2F"/>
    <w:rsid w:val="0C366CF2"/>
    <w:rsid w:val="0C3D6BC5"/>
    <w:rsid w:val="0C5E598A"/>
    <w:rsid w:val="0C725ADB"/>
    <w:rsid w:val="0C7D652E"/>
    <w:rsid w:val="0C9F189C"/>
    <w:rsid w:val="0CAF2210"/>
    <w:rsid w:val="0CB00D05"/>
    <w:rsid w:val="0CB11F5E"/>
    <w:rsid w:val="0CC8265C"/>
    <w:rsid w:val="0CF167FE"/>
    <w:rsid w:val="0CF62067"/>
    <w:rsid w:val="0D0429D6"/>
    <w:rsid w:val="0D115AFE"/>
    <w:rsid w:val="0D166265"/>
    <w:rsid w:val="0D1B387B"/>
    <w:rsid w:val="0D224C0A"/>
    <w:rsid w:val="0D4765BC"/>
    <w:rsid w:val="0D5D3F68"/>
    <w:rsid w:val="0D724950"/>
    <w:rsid w:val="0D8238FA"/>
    <w:rsid w:val="0DF30B86"/>
    <w:rsid w:val="0DF94F7A"/>
    <w:rsid w:val="0E173408"/>
    <w:rsid w:val="0E8D69FB"/>
    <w:rsid w:val="0EB775D4"/>
    <w:rsid w:val="0ECD4593"/>
    <w:rsid w:val="0EEE56EB"/>
    <w:rsid w:val="0EF12AE6"/>
    <w:rsid w:val="0F0B474C"/>
    <w:rsid w:val="0F515C7A"/>
    <w:rsid w:val="0F9B0CA3"/>
    <w:rsid w:val="0FD03043"/>
    <w:rsid w:val="100D48FD"/>
    <w:rsid w:val="10240C99"/>
    <w:rsid w:val="1070041D"/>
    <w:rsid w:val="10704E1B"/>
    <w:rsid w:val="108D4D01"/>
    <w:rsid w:val="108F25B6"/>
    <w:rsid w:val="10A53018"/>
    <w:rsid w:val="10F31A98"/>
    <w:rsid w:val="10F342A8"/>
    <w:rsid w:val="111E1B8C"/>
    <w:rsid w:val="117E41D8"/>
    <w:rsid w:val="118C5EA9"/>
    <w:rsid w:val="120170ED"/>
    <w:rsid w:val="120D4FB9"/>
    <w:rsid w:val="121D3BF2"/>
    <w:rsid w:val="12530CCC"/>
    <w:rsid w:val="125515DD"/>
    <w:rsid w:val="127557DC"/>
    <w:rsid w:val="12B94A9C"/>
    <w:rsid w:val="12CD1ABC"/>
    <w:rsid w:val="12DA20EA"/>
    <w:rsid w:val="12F42BA4"/>
    <w:rsid w:val="134578A4"/>
    <w:rsid w:val="13734411"/>
    <w:rsid w:val="137D703E"/>
    <w:rsid w:val="13A02D2C"/>
    <w:rsid w:val="13A91BE1"/>
    <w:rsid w:val="13AE71F7"/>
    <w:rsid w:val="13B7528C"/>
    <w:rsid w:val="13D529D6"/>
    <w:rsid w:val="13E12D7D"/>
    <w:rsid w:val="13E13B6E"/>
    <w:rsid w:val="13EE5846"/>
    <w:rsid w:val="13F33034"/>
    <w:rsid w:val="14101CFA"/>
    <w:rsid w:val="14283E94"/>
    <w:rsid w:val="14761E85"/>
    <w:rsid w:val="147F6DE6"/>
    <w:rsid w:val="14891A12"/>
    <w:rsid w:val="14924CF7"/>
    <w:rsid w:val="149E2B37"/>
    <w:rsid w:val="14C8078D"/>
    <w:rsid w:val="14C8253B"/>
    <w:rsid w:val="1537146E"/>
    <w:rsid w:val="15496F89"/>
    <w:rsid w:val="156033A4"/>
    <w:rsid w:val="1638549E"/>
    <w:rsid w:val="164125A5"/>
    <w:rsid w:val="165F6ECF"/>
    <w:rsid w:val="169C77DB"/>
    <w:rsid w:val="16CC5916"/>
    <w:rsid w:val="16ED396B"/>
    <w:rsid w:val="171D7580"/>
    <w:rsid w:val="17233E03"/>
    <w:rsid w:val="1740460A"/>
    <w:rsid w:val="1741112D"/>
    <w:rsid w:val="1767603B"/>
    <w:rsid w:val="17800EAB"/>
    <w:rsid w:val="17832749"/>
    <w:rsid w:val="178C2434"/>
    <w:rsid w:val="17EA0EE3"/>
    <w:rsid w:val="17EF431F"/>
    <w:rsid w:val="18215FDC"/>
    <w:rsid w:val="182369CB"/>
    <w:rsid w:val="182E649D"/>
    <w:rsid w:val="18575DED"/>
    <w:rsid w:val="185B7651"/>
    <w:rsid w:val="186611D1"/>
    <w:rsid w:val="18C80D5B"/>
    <w:rsid w:val="18D91305"/>
    <w:rsid w:val="18E732AE"/>
    <w:rsid w:val="191500C9"/>
    <w:rsid w:val="191C0587"/>
    <w:rsid w:val="19232435"/>
    <w:rsid w:val="192B270C"/>
    <w:rsid w:val="195A5E2A"/>
    <w:rsid w:val="197607B7"/>
    <w:rsid w:val="197D7D98"/>
    <w:rsid w:val="19CF036F"/>
    <w:rsid w:val="19D16AA1"/>
    <w:rsid w:val="1A02029D"/>
    <w:rsid w:val="1A587EBD"/>
    <w:rsid w:val="1AEF625F"/>
    <w:rsid w:val="1B065B6B"/>
    <w:rsid w:val="1B067559"/>
    <w:rsid w:val="1B19589E"/>
    <w:rsid w:val="1B1F4AA8"/>
    <w:rsid w:val="1B334486"/>
    <w:rsid w:val="1B593EEC"/>
    <w:rsid w:val="1B860A5A"/>
    <w:rsid w:val="1B8D3B96"/>
    <w:rsid w:val="1BA15893"/>
    <w:rsid w:val="1BD87507"/>
    <w:rsid w:val="1C174C2D"/>
    <w:rsid w:val="1C1C4F1A"/>
    <w:rsid w:val="1C2C33AF"/>
    <w:rsid w:val="1C427D00"/>
    <w:rsid w:val="1C6A2129"/>
    <w:rsid w:val="1C765DE0"/>
    <w:rsid w:val="1C7A43B4"/>
    <w:rsid w:val="1C7B0016"/>
    <w:rsid w:val="1C875F22"/>
    <w:rsid w:val="1CA94A00"/>
    <w:rsid w:val="1CAE64BA"/>
    <w:rsid w:val="1CB87339"/>
    <w:rsid w:val="1D230C56"/>
    <w:rsid w:val="1D306ECF"/>
    <w:rsid w:val="1D93080B"/>
    <w:rsid w:val="1D9A04DA"/>
    <w:rsid w:val="1DCD2970"/>
    <w:rsid w:val="1DCD471E"/>
    <w:rsid w:val="1DE503C3"/>
    <w:rsid w:val="1E68518D"/>
    <w:rsid w:val="1E696B3C"/>
    <w:rsid w:val="1E8F40C9"/>
    <w:rsid w:val="1EB01574"/>
    <w:rsid w:val="1EF81C6E"/>
    <w:rsid w:val="1F0C54A8"/>
    <w:rsid w:val="1F220BCD"/>
    <w:rsid w:val="1F666BD8"/>
    <w:rsid w:val="1F775289"/>
    <w:rsid w:val="1F830DF5"/>
    <w:rsid w:val="1F8D239D"/>
    <w:rsid w:val="1F8E6440"/>
    <w:rsid w:val="1F951C13"/>
    <w:rsid w:val="1F996FAD"/>
    <w:rsid w:val="1FB6553C"/>
    <w:rsid w:val="1FB738D7"/>
    <w:rsid w:val="1FC17355"/>
    <w:rsid w:val="1FEB1DE0"/>
    <w:rsid w:val="201C6E50"/>
    <w:rsid w:val="203C57B4"/>
    <w:rsid w:val="20496676"/>
    <w:rsid w:val="20570BEB"/>
    <w:rsid w:val="206051B5"/>
    <w:rsid w:val="20717F2A"/>
    <w:rsid w:val="20720E19"/>
    <w:rsid w:val="207F2647"/>
    <w:rsid w:val="20E02979"/>
    <w:rsid w:val="210B3EDB"/>
    <w:rsid w:val="219519F6"/>
    <w:rsid w:val="21CD73E2"/>
    <w:rsid w:val="21F030D1"/>
    <w:rsid w:val="21F07C0B"/>
    <w:rsid w:val="21FA7AAB"/>
    <w:rsid w:val="221438FE"/>
    <w:rsid w:val="22573150"/>
    <w:rsid w:val="227E1F4A"/>
    <w:rsid w:val="227F4849"/>
    <w:rsid w:val="22963C78"/>
    <w:rsid w:val="22D64075"/>
    <w:rsid w:val="22DD18A7"/>
    <w:rsid w:val="231D374A"/>
    <w:rsid w:val="2323790C"/>
    <w:rsid w:val="23294515"/>
    <w:rsid w:val="23423300"/>
    <w:rsid w:val="23652CF6"/>
    <w:rsid w:val="237C4C1C"/>
    <w:rsid w:val="23A91789"/>
    <w:rsid w:val="23AD74CB"/>
    <w:rsid w:val="23D00EFF"/>
    <w:rsid w:val="240A73B4"/>
    <w:rsid w:val="24376D95"/>
    <w:rsid w:val="244E3C37"/>
    <w:rsid w:val="245457D9"/>
    <w:rsid w:val="245B6F27"/>
    <w:rsid w:val="24612064"/>
    <w:rsid w:val="24836111"/>
    <w:rsid w:val="24843748"/>
    <w:rsid w:val="24AD7AF4"/>
    <w:rsid w:val="24CB25AB"/>
    <w:rsid w:val="25441769"/>
    <w:rsid w:val="254F3C9D"/>
    <w:rsid w:val="257A162F"/>
    <w:rsid w:val="258B5D6A"/>
    <w:rsid w:val="25AA28E6"/>
    <w:rsid w:val="25C40AFC"/>
    <w:rsid w:val="25FF1B34"/>
    <w:rsid w:val="25FF7471"/>
    <w:rsid w:val="26085E59"/>
    <w:rsid w:val="26393298"/>
    <w:rsid w:val="26435EC5"/>
    <w:rsid w:val="26562D63"/>
    <w:rsid w:val="266C18D4"/>
    <w:rsid w:val="269D5A43"/>
    <w:rsid w:val="26BD31A4"/>
    <w:rsid w:val="27055676"/>
    <w:rsid w:val="2714160F"/>
    <w:rsid w:val="277F5289"/>
    <w:rsid w:val="27817875"/>
    <w:rsid w:val="279D5E50"/>
    <w:rsid w:val="27BF3329"/>
    <w:rsid w:val="27CC1EEA"/>
    <w:rsid w:val="27DA63B5"/>
    <w:rsid w:val="27DD7C53"/>
    <w:rsid w:val="27F42D1C"/>
    <w:rsid w:val="27FB6C3E"/>
    <w:rsid w:val="2810627B"/>
    <w:rsid w:val="281E4BA9"/>
    <w:rsid w:val="28695261"/>
    <w:rsid w:val="286D0FD7"/>
    <w:rsid w:val="287B7B98"/>
    <w:rsid w:val="288B76AF"/>
    <w:rsid w:val="28B51443"/>
    <w:rsid w:val="28B5297E"/>
    <w:rsid w:val="28F416F8"/>
    <w:rsid w:val="294361DC"/>
    <w:rsid w:val="29491A44"/>
    <w:rsid w:val="298F31CF"/>
    <w:rsid w:val="29A7165B"/>
    <w:rsid w:val="29AE780A"/>
    <w:rsid w:val="29D86924"/>
    <w:rsid w:val="29DF7CB3"/>
    <w:rsid w:val="29E17ECF"/>
    <w:rsid w:val="29EC0622"/>
    <w:rsid w:val="2A225DF1"/>
    <w:rsid w:val="2A48221F"/>
    <w:rsid w:val="2A5A1A2F"/>
    <w:rsid w:val="2A7E3970"/>
    <w:rsid w:val="2A994305"/>
    <w:rsid w:val="2ABD7C6A"/>
    <w:rsid w:val="2AF43C32"/>
    <w:rsid w:val="2AF973E9"/>
    <w:rsid w:val="2AFB200E"/>
    <w:rsid w:val="2B481AA5"/>
    <w:rsid w:val="2B772D87"/>
    <w:rsid w:val="2B7C5DC4"/>
    <w:rsid w:val="2B9F3B9D"/>
    <w:rsid w:val="2BAC62BA"/>
    <w:rsid w:val="2BE134E8"/>
    <w:rsid w:val="2BFB2D9E"/>
    <w:rsid w:val="2C165923"/>
    <w:rsid w:val="2C55747C"/>
    <w:rsid w:val="2C6E17C2"/>
    <w:rsid w:val="2C7F577D"/>
    <w:rsid w:val="2C8E776E"/>
    <w:rsid w:val="2C952D0F"/>
    <w:rsid w:val="2CA92052"/>
    <w:rsid w:val="2CC3566A"/>
    <w:rsid w:val="2CE657FC"/>
    <w:rsid w:val="2D1C5E8D"/>
    <w:rsid w:val="2D20215E"/>
    <w:rsid w:val="2D20584C"/>
    <w:rsid w:val="2D450775"/>
    <w:rsid w:val="2D4B565F"/>
    <w:rsid w:val="2D5664DE"/>
    <w:rsid w:val="2DBA2F11"/>
    <w:rsid w:val="2E0917A2"/>
    <w:rsid w:val="2E0D10C4"/>
    <w:rsid w:val="2E254102"/>
    <w:rsid w:val="2E280BA4"/>
    <w:rsid w:val="2E2C723F"/>
    <w:rsid w:val="2E4432E7"/>
    <w:rsid w:val="2E496043"/>
    <w:rsid w:val="2E497DF1"/>
    <w:rsid w:val="2E5853C4"/>
    <w:rsid w:val="2E9D013C"/>
    <w:rsid w:val="2ECB20BA"/>
    <w:rsid w:val="2F2443BA"/>
    <w:rsid w:val="2F287C43"/>
    <w:rsid w:val="2F2B1C35"/>
    <w:rsid w:val="2F3F11F4"/>
    <w:rsid w:val="2F6E294B"/>
    <w:rsid w:val="2F716E91"/>
    <w:rsid w:val="2F957310"/>
    <w:rsid w:val="2FAD4B84"/>
    <w:rsid w:val="2FB25651"/>
    <w:rsid w:val="2FD361A8"/>
    <w:rsid w:val="2FD47B8E"/>
    <w:rsid w:val="2FDA518C"/>
    <w:rsid w:val="2FE06533"/>
    <w:rsid w:val="306B2F75"/>
    <w:rsid w:val="306E7EBB"/>
    <w:rsid w:val="307E53EB"/>
    <w:rsid w:val="30B654E5"/>
    <w:rsid w:val="30CB13F8"/>
    <w:rsid w:val="30D51E0F"/>
    <w:rsid w:val="30D75B88"/>
    <w:rsid w:val="30DE251B"/>
    <w:rsid w:val="30EE07A4"/>
    <w:rsid w:val="30F71DDC"/>
    <w:rsid w:val="30F85705"/>
    <w:rsid w:val="31224929"/>
    <w:rsid w:val="315E3BB3"/>
    <w:rsid w:val="315F0615"/>
    <w:rsid w:val="316D41C9"/>
    <w:rsid w:val="31771119"/>
    <w:rsid w:val="318B6972"/>
    <w:rsid w:val="3196159F"/>
    <w:rsid w:val="31AE76A3"/>
    <w:rsid w:val="32326E3A"/>
    <w:rsid w:val="324522AA"/>
    <w:rsid w:val="324C4353"/>
    <w:rsid w:val="32565BFD"/>
    <w:rsid w:val="327F2033"/>
    <w:rsid w:val="329266DD"/>
    <w:rsid w:val="32B90276"/>
    <w:rsid w:val="33331E0D"/>
    <w:rsid w:val="3343038E"/>
    <w:rsid w:val="334B0167"/>
    <w:rsid w:val="336E4E08"/>
    <w:rsid w:val="33704071"/>
    <w:rsid w:val="338350C3"/>
    <w:rsid w:val="33973471"/>
    <w:rsid w:val="339925AD"/>
    <w:rsid w:val="33A90C2B"/>
    <w:rsid w:val="33EC54FB"/>
    <w:rsid w:val="34015F0C"/>
    <w:rsid w:val="340A3924"/>
    <w:rsid w:val="34147163"/>
    <w:rsid w:val="347005D3"/>
    <w:rsid w:val="347F27BE"/>
    <w:rsid w:val="34815534"/>
    <w:rsid w:val="34845575"/>
    <w:rsid w:val="34B63D06"/>
    <w:rsid w:val="34FA62E8"/>
    <w:rsid w:val="35643762"/>
    <w:rsid w:val="35697E4A"/>
    <w:rsid w:val="357D4B7F"/>
    <w:rsid w:val="3583008C"/>
    <w:rsid w:val="35D97CAC"/>
    <w:rsid w:val="36484E32"/>
    <w:rsid w:val="365612FD"/>
    <w:rsid w:val="366C0B20"/>
    <w:rsid w:val="368636C2"/>
    <w:rsid w:val="36A52284"/>
    <w:rsid w:val="36CC0A88"/>
    <w:rsid w:val="36D13079"/>
    <w:rsid w:val="36E743ED"/>
    <w:rsid w:val="370018F9"/>
    <w:rsid w:val="374970B3"/>
    <w:rsid w:val="37554894"/>
    <w:rsid w:val="3756532C"/>
    <w:rsid w:val="375872F6"/>
    <w:rsid w:val="37620175"/>
    <w:rsid w:val="37647A49"/>
    <w:rsid w:val="377203B8"/>
    <w:rsid w:val="37B3452D"/>
    <w:rsid w:val="37CA55FF"/>
    <w:rsid w:val="37DD09A1"/>
    <w:rsid w:val="37F94635"/>
    <w:rsid w:val="38DC770D"/>
    <w:rsid w:val="38DD3F57"/>
    <w:rsid w:val="38DE500E"/>
    <w:rsid w:val="38F92413"/>
    <w:rsid w:val="3905525C"/>
    <w:rsid w:val="39074B30"/>
    <w:rsid w:val="39210238"/>
    <w:rsid w:val="39290401"/>
    <w:rsid w:val="393E23F8"/>
    <w:rsid w:val="39893797"/>
    <w:rsid w:val="399F745E"/>
    <w:rsid w:val="39AE31FE"/>
    <w:rsid w:val="39B77EFC"/>
    <w:rsid w:val="39C72511"/>
    <w:rsid w:val="39F71049"/>
    <w:rsid w:val="3A25450B"/>
    <w:rsid w:val="3A3D661B"/>
    <w:rsid w:val="3A535DC2"/>
    <w:rsid w:val="3A565DAA"/>
    <w:rsid w:val="3A667F7C"/>
    <w:rsid w:val="3A7379ED"/>
    <w:rsid w:val="3A8521B0"/>
    <w:rsid w:val="3A881FA5"/>
    <w:rsid w:val="3A8F29EE"/>
    <w:rsid w:val="3AA56BF4"/>
    <w:rsid w:val="3AB74334"/>
    <w:rsid w:val="3AC76C6D"/>
    <w:rsid w:val="3B00217F"/>
    <w:rsid w:val="3B1654FE"/>
    <w:rsid w:val="3B2714BA"/>
    <w:rsid w:val="3B2C043D"/>
    <w:rsid w:val="3B583D69"/>
    <w:rsid w:val="3B630FED"/>
    <w:rsid w:val="3B7E2844"/>
    <w:rsid w:val="3B9F3746"/>
    <w:rsid w:val="3BA743A8"/>
    <w:rsid w:val="3BA937EA"/>
    <w:rsid w:val="3BD00198"/>
    <w:rsid w:val="3BD218D5"/>
    <w:rsid w:val="3BE455FD"/>
    <w:rsid w:val="3BEB239F"/>
    <w:rsid w:val="3BFF41E4"/>
    <w:rsid w:val="3C3D77CB"/>
    <w:rsid w:val="3C406CD7"/>
    <w:rsid w:val="3C814BF9"/>
    <w:rsid w:val="3CA874EC"/>
    <w:rsid w:val="3CB04B3A"/>
    <w:rsid w:val="3CD63197"/>
    <w:rsid w:val="3CDB69FF"/>
    <w:rsid w:val="3CE112D9"/>
    <w:rsid w:val="3CF17716"/>
    <w:rsid w:val="3D37175C"/>
    <w:rsid w:val="3D476E7F"/>
    <w:rsid w:val="3D556267"/>
    <w:rsid w:val="3D8A3F82"/>
    <w:rsid w:val="3D8C2DD0"/>
    <w:rsid w:val="3D9559C0"/>
    <w:rsid w:val="3DC94AAA"/>
    <w:rsid w:val="3E043D34"/>
    <w:rsid w:val="3E1B038F"/>
    <w:rsid w:val="3E3A16AB"/>
    <w:rsid w:val="3E6A003B"/>
    <w:rsid w:val="3E7C7D6E"/>
    <w:rsid w:val="3E846C23"/>
    <w:rsid w:val="3E8804C1"/>
    <w:rsid w:val="3ECA2888"/>
    <w:rsid w:val="3F161F71"/>
    <w:rsid w:val="3F1F6FC9"/>
    <w:rsid w:val="3F2752A1"/>
    <w:rsid w:val="3F2F69D0"/>
    <w:rsid w:val="3F530A4E"/>
    <w:rsid w:val="3F780536"/>
    <w:rsid w:val="3F7857D1"/>
    <w:rsid w:val="3FA26556"/>
    <w:rsid w:val="3FB02DDC"/>
    <w:rsid w:val="3FE103A4"/>
    <w:rsid w:val="40016322"/>
    <w:rsid w:val="402F67CE"/>
    <w:rsid w:val="407A6EF0"/>
    <w:rsid w:val="40AB493B"/>
    <w:rsid w:val="40B437EF"/>
    <w:rsid w:val="40CF687B"/>
    <w:rsid w:val="410F0A26"/>
    <w:rsid w:val="41314E91"/>
    <w:rsid w:val="41390D56"/>
    <w:rsid w:val="414F176A"/>
    <w:rsid w:val="419454B5"/>
    <w:rsid w:val="41970A1B"/>
    <w:rsid w:val="42010B0D"/>
    <w:rsid w:val="420C1409"/>
    <w:rsid w:val="42116A20"/>
    <w:rsid w:val="422378A4"/>
    <w:rsid w:val="423A7D24"/>
    <w:rsid w:val="427F607F"/>
    <w:rsid w:val="42C07441"/>
    <w:rsid w:val="42C07614"/>
    <w:rsid w:val="42FF0659"/>
    <w:rsid w:val="42FF2D1C"/>
    <w:rsid w:val="43040332"/>
    <w:rsid w:val="431C567C"/>
    <w:rsid w:val="433835CD"/>
    <w:rsid w:val="43397FDC"/>
    <w:rsid w:val="436A29C0"/>
    <w:rsid w:val="438A4CDB"/>
    <w:rsid w:val="43A01E09"/>
    <w:rsid w:val="43B9736F"/>
    <w:rsid w:val="442E1B0B"/>
    <w:rsid w:val="4496320C"/>
    <w:rsid w:val="44A7469E"/>
    <w:rsid w:val="44B508AD"/>
    <w:rsid w:val="44DA4136"/>
    <w:rsid w:val="45097E82"/>
    <w:rsid w:val="45140D01"/>
    <w:rsid w:val="451747E8"/>
    <w:rsid w:val="45C134FB"/>
    <w:rsid w:val="45D510A3"/>
    <w:rsid w:val="45DD5596"/>
    <w:rsid w:val="461B4D5B"/>
    <w:rsid w:val="462C3E28"/>
    <w:rsid w:val="46326F64"/>
    <w:rsid w:val="464E0242"/>
    <w:rsid w:val="46641814"/>
    <w:rsid w:val="467B6B5D"/>
    <w:rsid w:val="46830FA7"/>
    <w:rsid w:val="468C48C7"/>
    <w:rsid w:val="472114B3"/>
    <w:rsid w:val="47686708"/>
    <w:rsid w:val="477C46F4"/>
    <w:rsid w:val="47A81166"/>
    <w:rsid w:val="47B42327"/>
    <w:rsid w:val="47C47D13"/>
    <w:rsid w:val="47C87B80"/>
    <w:rsid w:val="47D41223"/>
    <w:rsid w:val="47D76015"/>
    <w:rsid w:val="483A54AA"/>
    <w:rsid w:val="483B47F6"/>
    <w:rsid w:val="484418DC"/>
    <w:rsid w:val="484F3DFE"/>
    <w:rsid w:val="487815A6"/>
    <w:rsid w:val="48846D6F"/>
    <w:rsid w:val="48855A71"/>
    <w:rsid w:val="48877A3B"/>
    <w:rsid w:val="48B64D83"/>
    <w:rsid w:val="48ED41C2"/>
    <w:rsid w:val="49207234"/>
    <w:rsid w:val="4933371F"/>
    <w:rsid w:val="4934257B"/>
    <w:rsid w:val="49351245"/>
    <w:rsid w:val="49405703"/>
    <w:rsid w:val="49995C78"/>
    <w:rsid w:val="49CC07F8"/>
    <w:rsid w:val="49D96CC7"/>
    <w:rsid w:val="4A201EF6"/>
    <w:rsid w:val="4A616AE8"/>
    <w:rsid w:val="4A653DAC"/>
    <w:rsid w:val="4A6E0EB3"/>
    <w:rsid w:val="4A8204BA"/>
    <w:rsid w:val="4A871F75"/>
    <w:rsid w:val="4A8E7C7E"/>
    <w:rsid w:val="4AA3304D"/>
    <w:rsid w:val="4AB368C6"/>
    <w:rsid w:val="4AF902DB"/>
    <w:rsid w:val="4B12556F"/>
    <w:rsid w:val="4B567755"/>
    <w:rsid w:val="4B5A4F93"/>
    <w:rsid w:val="4B6F6DF7"/>
    <w:rsid w:val="4B756271"/>
    <w:rsid w:val="4B76442C"/>
    <w:rsid w:val="4B814A86"/>
    <w:rsid w:val="4B9761E7"/>
    <w:rsid w:val="4C084CA1"/>
    <w:rsid w:val="4C1F6EEB"/>
    <w:rsid w:val="4C5145E8"/>
    <w:rsid w:val="4C5365B2"/>
    <w:rsid w:val="4C5B5467"/>
    <w:rsid w:val="4CAE010E"/>
    <w:rsid w:val="4CCC3C6F"/>
    <w:rsid w:val="4CDF7E46"/>
    <w:rsid w:val="4CF90A56"/>
    <w:rsid w:val="4D0D594B"/>
    <w:rsid w:val="4D447DD6"/>
    <w:rsid w:val="4D5D0D6B"/>
    <w:rsid w:val="4D7025C8"/>
    <w:rsid w:val="4D8602C2"/>
    <w:rsid w:val="4DA370C6"/>
    <w:rsid w:val="4DD92AE7"/>
    <w:rsid w:val="4DE648EC"/>
    <w:rsid w:val="4E1C0C26"/>
    <w:rsid w:val="4E233D34"/>
    <w:rsid w:val="4E4A5793"/>
    <w:rsid w:val="4E835793"/>
    <w:rsid w:val="4E854A1D"/>
    <w:rsid w:val="4EEC583B"/>
    <w:rsid w:val="4EF120B3"/>
    <w:rsid w:val="4F260E3D"/>
    <w:rsid w:val="4F3D70A6"/>
    <w:rsid w:val="4F4641AC"/>
    <w:rsid w:val="4F552FB6"/>
    <w:rsid w:val="4F824AB9"/>
    <w:rsid w:val="4F825DCB"/>
    <w:rsid w:val="4F9071D6"/>
    <w:rsid w:val="4FC328CB"/>
    <w:rsid w:val="4FCD667C"/>
    <w:rsid w:val="4FDD6193"/>
    <w:rsid w:val="4FED287A"/>
    <w:rsid w:val="50320027"/>
    <w:rsid w:val="50342257"/>
    <w:rsid w:val="50615016"/>
    <w:rsid w:val="506D7517"/>
    <w:rsid w:val="507A24EE"/>
    <w:rsid w:val="5099030C"/>
    <w:rsid w:val="50C23D07"/>
    <w:rsid w:val="50C52695"/>
    <w:rsid w:val="50D43A3A"/>
    <w:rsid w:val="510943E1"/>
    <w:rsid w:val="516D3D99"/>
    <w:rsid w:val="51932FAD"/>
    <w:rsid w:val="51C63383"/>
    <w:rsid w:val="51E025F9"/>
    <w:rsid w:val="51FC4FF6"/>
    <w:rsid w:val="51FE279D"/>
    <w:rsid w:val="528943B0"/>
    <w:rsid w:val="529E039B"/>
    <w:rsid w:val="52B14033"/>
    <w:rsid w:val="52DC0984"/>
    <w:rsid w:val="52DC2732"/>
    <w:rsid w:val="52E32DFB"/>
    <w:rsid w:val="52FD1026"/>
    <w:rsid w:val="530103EA"/>
    <w:rsid w:val="53236C00"/>
    <w:rsid w:val="5327235A"/>
    <w:rsid w:val="5334256E"/>
    <w:rsid w:val="53A5521A"/>
    <w:rsid w:val="53AF3411"/>
    <w:rsid w:val="53D224B3"/>
    <w:rsid w:val="542244E6"/>
    <w:rsid w:val="542919A7"/>
    <w:rsid w:val="54302D35"/>
    <w:rsid w:val="54644976"/>
    <w:rsid w:val="54717DB0"/>
    <w:rsid w:val="54754BEC"/>
    <w:rsid w:val="547A48F8"/>
    <w:rsid w:val="54B25E40"/>
    <w:rsid w:val="54BE6593"/>
    <w:rsid w:val="54CB6F02"/>
    <w:rsid w:val="55235B26"/>
    <w:rsid w:val="5527238A"/>
    <w:rsid w:val="55306D65"/>
    <w:rsid w:val="55384597"/>
    <w:rsid w:val="55562C6F"/>
    <w:rsid w:val="55761A48"/>
    <w:rsid w:val="5583158B"/>
    <w:rsid w:val="55852E44"/>
    <w:rsid w:val="558A0B6B"/>
    <w:rsid w:val="55924389"/>
    <w:rsid w:val="559D43FA"/>
    <w:rsid w:val="55A57753"/>
    <w:rsid w:val="55D342C0"/>
    <w:rsid w:val="55D3478A"/>
    <w:rsid w:val="561846BD"/>
    <w:rsid w:val="56327239"/>
    <w:rsid w:val="565F5B54"/>
    <w:rsid w:val="567B1BC0"/>
    <w:rsid w:val="56884C45"/>
    <w:rsid w:val="568D446F"/>
    <w:rsid w:val="5697055A"/>
    <w:rsid w:val="56A95021"/>
    <w:rsid w:val="56C34335"/>
    <w:rsid w:val="56CA56C3"/>
    <w:rsid w:val="56E45420"/>
    <w:rsid w:val="56FE711B"/>
    <w:rsid w:val="570606C5"/>
    <w:rsid w:val="5708376D"/>
    <w:rsid w:val="5712706A"/>
    <w:rsid w:val="57231525"/>
    <w:rsid w:val="57501B81"/>
    <w:rsid w:val="5756232F"/>
    <w:rsid w:val="579920BA"/>
    <w:rsid w:val="579D2DD8"/>
    <w:rsid w:val="57A852D8"/>
    <w:rsid w:val="57AA647A"/>
    <w:rsid w:val="58006EC2"/>
    <w:rsid w:val="58535244"/>
    <w:rsid w:val="585B1424"/>
    <w:rsid w:val="586B4C84"/>
    <w:rsid w:val="586D4B49"/>
    <w:rsid w:val="588B3251"/>
    <w:rsid w:val="589F66DB"/>
    <w:rsid w:val="58B14C64"/>
    <w:rsid w:val="58E6780D"/>
    <w:rsid w:val="58ED7447"/>
    <w:rsid w:val="58F72073"/>
    <w:rsid w:val="59034EBC"/>
    <w:rsid w:val="59905953"/>
    <w:rsid w:val="59D40607"/>
    <w:rsid w:val="5A103A80"/>
    <w:rsid w:val="5A1D0200"/>
    <w:rsid w:val="5A517EA9"/>
    <w:rsid w:val="5A673229"/>
    <w:rsid w:val="5A8913F1"/>
    <w:rsid w:val="5A8A30BB"/>
    <w:rsid w:val="5AA125E8"/>
    <w:rsid w:val="5B362ED0"/>
    <w:rsid w:val="5B411CCC"/>
    <w:rsid w:val="5B413F46"/>
    <w:rsid w:val="5BBE331C"/>
    <w:rsid w:val="5BD020A8"/>
    <w:rsid w:val="5BD8480B"/>
    <w:rsid w:val="5C074CC3"/>
    <w:rsid w:val="5C190436"/>
    <w:rsid w:val="5C1B782B"/>
    <w:rsid w:val="5C272C70"/>
    <w:rsid w:val="5C511ACD"/>
    <w:rsid w:val="5CA50ECA"/>
    <w:rsid w:val="5CAE513F"/>
    <w:rsid w:val="5CB63F06"/>
    <w:rsid w:val="5CC11316"/>
    <w:rsid w:val="5CE13766"/>
    <w:rsid w:val="5CF42225"/>
    <w:rsid w:val="5CF50FC0"/>
    <w:rsid w:val="5CF60894"/>
    <w:rsid w:val="5D7F6079"/>
    <w:rsid w:val="5D8660BC"/>
    <w:rsid w:val="5DAB2A15"/>
    <w:rsid w:val="5DB8393B"/>
    <w:rsid w:val="5DC25511"/>
    <w:rsid w:val="5DCB564F"/>
    <w:rsid w:val="5DE30E18"/>
    <w:rsid w:val="5DEA21A7"/>
    <w:rsid w:val="5DEF1EB3"/>
    <w:rsid w:val="5DFD224D"/>
    <w:rsid w:val="5E5E5C71"/>
    <w:rsid w:val="5E785A05"/>
    <w:rsid w:val="5EBC05AE"/>
    <w:rsid w:val="5EBF1885"/>
    <w:rsid w:val="5F021772"/>
    <w:rsid w:val="5F476E2D"/>
    <w:rsid w:val="5F4E6019"/>
    <w:rsid w:val="5F5F4B0A"/>
    <w:rsid w:val="5F6077C6"/>
    <w:rsid w:val="5FF4555F"/>
    <w:rsid w:val="600165D4"/>
    <w:rsid w:val="60423399"/>
    <w:rsid w:val="604E1113"/>
    <w:rsid w:val="605117FC"/>
    <w:rsid w:val="606B06AF"/>
    <w:rsid w:val="6070184B"/>
    <w:rsid w:val="60830691"/>
    <w:rsid w:val="60924A0D"/>
    <w:rsid w:val="60A056E7"/>
    <w:rsid w:val="60B55851"/>
    <w:rsid w:val="60BB42CE"/>
    <w:rsid w:val="60E23609"/>
    <w:rsid w:val="61167757"/>
    <w:rsid w:val="611834CF"/>
    <w:rsid w:val="611C2FBF"/>
    <w:rsid w:val="61314591"/>
    <w:rsid w:val="6158615C"/>
    <w:rsid w:val="62593D9F"/>
    <w:rsid w:val="625C06C7"/>
    <w:rsid w:val="629C0D4C"/>
    <w:rsid w:val="62B80AC5"/>
    <w:rsid w:val="62EC7D7C"/>
    <w:rsid w:val="633B5253"/>
    <w:rsid w:val="634618F9"/>
    <w:rsid w:val="63560C58"/>
    <w:rsid w:val="63610D4C"/>
    <w:rsid w:val="638135AD"/>
    <w:rsid w:val="638F23EB"/>
    <w:rsid w:val="63957059"/>
    <w:rsid w:val="63C244C2"/>
    <w:rsid w:val="6424218B"/>
    <w:rsid w:val="64410F8F"/>
    <w:rsid w:val="647E594B"/>
    <w:rsid w:val="64837769"/>
    <w:rsid w:val="64882719"/>
    <w:rsid w:val="648A05F8"/>
    <w:rsid w:val="64C247DE"/>
    <w:rsid w:val="64CC2606"/>
    <w:rsid w:val="64E738E4"/>
    <w:rsid w:val="64FD6C64"/>
    <w:rsid w:val="64FE29DC"/>
    <w:rsid w:val="6510287B"/>
    <w:rsid w:val="652B4DF6"/>
    <w:rsid w:val="652C53ED"/>
    <w:rsid w:val="653F727C"/>
    <w:rsid w:val="6569254B"/>
    <w:rsid w:val="65A04076"/>
    <w:rsid w:val="65B433A9"/>
    <w:rsid w:val="65C4123C"/>
    <w:rsid w:val="65E9231B"/>
    <w:rsid w:val="660677E1"/>
    <w:rsid w:val="663366B5"/>
    <w:rsid w:val="66517729"/>
    <w:rsid w:val="666C6E08"/>
    <w:rsid w:val="66915BCA"/>
    <w:rsid w:val="66B56861"/>
    <w:rsid w:val="66E5373F"/>
    <w:rsid w:val="66E77BCB"/>
    <w:rsid w:val="66E83943"/>
    <w:rsid w:val="6703077D"/>
    <w:rsid w:val="6703252B"/>
    <w:rsid w:val="672F2593"/>
    <w:rsid w:val="67332E10"/>
    <w:rsid w:val="673D5A3D"/>
    <w:rsid w:val="674A015A"/>
    <w:rsid w:val="675B4115"/>
    <w:rsid w:val="678866AA"/>
    <w:rsid w:val="67AA29A7"/>
    <w:rsid w:val="67CA4DF7"/>
    <w:rsid w:val="67D0240D"/>
    <w:rsid w:val="67D04F6F"/>
    <w:rsid w:val="67D961C0"/>
    <w:rsid w:val="682B3AE8"/>
    <w:rsid w:val="6837248C"/>
    <w:rsid w:val="685E4640"/>
    <w:rsid w:val="68660FC4"/>
    <w:rsid w:val="6870599E"/>
    <w:rsid w:val="687E455F"/>
    <w:rsid w:val="68AA7E13"/>
    <w:rsid w:val="68B43ADD"/>
    <w:rsid w:val="68BC5088"/>
    <w:rsid w:val="68E1689C"/>
    <w:rsid w:val="68FE3662"/>
    <w:rsid w:val="6979471D"/>
    <w:rsid w:val="697B0A9F"/>
    <w:rsid w:val="697F7F7D"/>
    <w:rsid w:val="69884B3C"/>
    <w:rsid w:val="698D4C81"/>
    <w:rsid w:val="698E2580"/>
    <w:rsid w:val="69BB70ED"/>
    <w:rsid w:val="6A004944"/>
    <w:rsid w:val="6A0171F6"/>
    <w:rsid w:val="6A841BD5"/>
    <w:rsid w:val="6A995F75"/>
    <w:rsid w:val="6AA2617D"/>
    <w:rsid w:val="6AB04778"/>
    <w:rsid w:val="6AB23B4B"/>
    <w:rsid w:val="6ADE7537"/>
    <w:rsid w:val="6AE54422"/>
    <w:rsid w:val="6B2976F6"/>
    <w:rsid w:val="6B2F7D93"/>
    <w:rsid w:val="6B380692"/>
    <w:rsid w:val="6B923E7E"/>
    <w:rsid w:val="6B9809FC"/>
    <w:rsid w:val="6BA51E03"/>
    <w:rsid w:val="6BB776E5"/>
    <w:rsid w:val="6BBB1626"/>
    <w:rsid w:val="6BC52AE7"/>
    <w:rsid w:val="6C875DE6"/>
    <w:rsid w:val="6CA16A6E"/>
    <w:rsid w:val="6CBD64D2"/>
    <w:rsid w:val="6CC549E0"/>
    <w:rsid w:val="6CCC042C"/>
    <w:rsid w:val="6CDB1F80"/>
    <w:rsid w:val="6CF21078"/>
    <w:rsid w:val="6D1F063B"/>
    <w:rsid w:val="6D25144D"/>
    <w:rsid w:val="6D400035"/>
    <w:rsid w:val="6D506F46"/>
    <w:rsid w:val="6D5F49E8"/>
    <w:rsid w:val="6D780CD8"/>
    <w:rsid w:val="6D97577B"/>
    <w:rsid w:val="6DA700B4"/>
    <w:rsid w:val="6DE4548A"/>
    <w:rsid w:val="6DE704B1"/>
    <w:rsid w:val="6DF34CD9"/>
    <w:rsid w:val="6DF901E4"/>
    <w:rsid w:val="6E00511C"/>
    <w:rsid w:val="6E083E59"/>
    <w:rsid w:val="6E120FDF"/>
    <w:rsid w:val="6E46167B"/>
    <w:rsid w:val="6E731652"/>
    <w:rsid w:val="6E7E0A78"/>
    <w:rsid w:val="6EA12D56"/>
    <w:rsid w:val="6EAD22D2"/>
    <w:rsid w:val="6F013FF2"/>
    <w:rsid w:val="6F13434C"/>
    <w:rsid w:val="6F136B3D"/>
    <w:rsid w:val="6F327E52"/>
    <w:rsid w:val="6F563B40"/>
    <w:rsid w:val="700F3CEF"/>
    <w:rsid w:val="701C37DC"/>
    <w:rsid w:val="701D453F"/>
    <w:rsid w:val="70682E98"/>
    <w:rsid w:val="70716A44"/>
    <w:rsid w:val="7097629B"/>
    <w:rsid w:val="70B2124A"/>
    <w:rsid w:val="70BB3E83"/>
    <w:rsid w:val="70D10D69"/>
    <w:rsid w:val="70D4750A"/>
    <w:rsid w:val="7113780F"/>
    <w:rsid w:val="71353C29"/>
    <w:rsid w:val="71551BD5"/>
    <w:rsid w:val="7169065D"/>
    <w:rsid w:val="71696088"/>
    <w:rsid w:val="71AC4CBB"/>
    <w:rsid w:val="7238655B"/>
    <w:rsid w:val="72452668"/>
    <w:rsid w:val="72686A49"/>
    <w:rsid w:val="727A5D97"/>
    <w:rsid w:val="72916C3D"/>
    <w:rsid w:val="72D30B06"/>
    <w:rsid w:val="72D405E0"/>
    <w:rsid w:val="72EA24ED"/>
    <w:rsid w:val="72F33F62"/>
    <w:rsid w:val="7314547C"/>
    <w:rsid w:val="73154050"/>
    <w:rsid w:val="731C0BFD"/>
    <w:rsid w:val="7329331A"/>
    <w:rsid w:val="733C6AD6"/>
    <w:rsid w:val="7343262D"/>
    <w:rsid w:val="73520AC2"/>
    <w:rsid w:val="73C44DF0"/>
    <w:rsid w:val="73C85B40"/>
    <w:rsid w:val="73D24D14"/>
    <w:rsid w:val="73E07E7C"/>
    <w:rsid w:val="73F41B79"/>
    <w:rsid w:val="73F97190"/>
    <w:rsid w:val="742F4960"/>
    <w:rsid w:val="746124FD"/>
    <w:rsid w:val="74982505"/>
    <w:rsid w:val="74B547F1"/>
    <w:rsid w:val="74B94320"/>
    <w:rsid w:val="74EE65C9"/>
    <w:rsid w:val="74F23177"/>
    <w:rsid w:val="74F6722B"/>
    <w:rsid w:val="74FF1B31"/>
    <w:rsid w:val="75041948"/>
    <w:rsid w:val="7516167C"/>
    <w:rsid w:val="753128FA"/>
    <w:rsid w:val="75466405"/>
    <w:rsid w:val="757F5473"/>
    <w:rsid w:val="75814EB7"/>
    <w:rsid w:val="75AA17DA"/>
    <w:rsid w:val="75AB6156"/>
    <w:rsid w:val="75BA273E"/>
    <w:rsid w:val="75C10104"/>
    <w:rsid w:val="75EF43A6"/>
    <w:rsid w:val="762E2F79"/>
    <w:rsid w:val="76397D18"/>
    <w:rsid w:val="76814353"/>
    <w:rsid w:val="76946CFC"/>
    <w:rsid w:val="7696746C"/>
    <w:rsid w:val="76A553AD"/>
    <w:rsid w:val="76C07AF1"/>
    <w:rsid w:val="76D417EE"/>
    <w:rsid w:val="773D55E5"/>
    <w:rsid w:val="77434EBB"/>
    <w:rsid w:val="775F5B79"/>
    <w:rsid w:val="77650711"/>
    <w:rsid w:val="777D4E45"/>
    <w:rsid w:val="77802537"/>
    <w:rsid w:val="779C4FAA"/>
    <w:rsid w:val="77B05291"/>
    <w:rsid w:val="77BF7A05"/>
    <w:rsid w:val="77E276FA"/>
    <w:rsid w:val="78574485"/>
    <w:rsid w:val="786F17CF"/>
    <w:rsid w:val="78755D2A"/>
    <w:rsid w:val="787B63C5"/>
    <w:rsid w:val="78D25331"/>
    <w:rsid w:val="78E41CC4"/>
    <w:rsid w:val="78F55068"/>
    <w:rsid w:val="79333A86"/>
    <w:rsid w:val="796A6496"/>
    <w:rsid w:val="79D264B9"/>
    <w:rsid w:val="79D60B70"/>
    <w:rsid w:val="79D833A4"/>
    <w:rsid w:val="79E85CDC"/>
    <w:rsid w:val="7A146AD1"/>
    <w:rsid w:val="7A25518D"/>
    <w:rsid w:val="7A574389"/>
    <w:rsid w:val="7A662082"/>
    <w:rsid w:val="7A9C2623"/>
    <w:rsid w:val="7ABC1782"/>
    <w:rsid w:val="7B045492"/>
    <w:rsid w:val="7B453D8F"/>
    <w:rsid w:val="7B583E9A"/>
    <w:rsid w:val="7B5F1FCE"/>
    <w:rsid w:val="7B771530"/>
    <w:rsid w:val="7B78035F"/>
    <w:rsid w:val="7B9003DA"/>
    <w:rsid w:val="7BC87F24"/>
    <w:rsid w:val="7BDF6C6B"/>
    <w:rsid w:val="7BFB6785"/>
    <w:rsid w:val="7C245FB3"/>
    <w:rsid w:val="7C804CED"/>
    <w:rsid w:val="7C9B6A7C"/>
    <w:rsid w:val="7CAB6CF8"/>
    <w:rsid w:val="7CDC31AB"/>
    <w:rsid w:val="7CE320CE"/>
    <w:rsid w:val="7D23174B"/>
    <w:rsid w:val="7D2E53CE"/>
    <w:rsid w:val="7D2F2AC2"/>
    <w:rsid w:val="7D91786B"/>
    <w:rsid w:val="7D943A85"/>
    <w:rsid w:val="7DA834E4"/>
    <w:rsid w:val="7DB3215D"/>
    <w:rsid w:val="7DDC2D72"/>
    <w:rsid w:val="7DFC1D56"/>
    <w:rsid w:val="7E153868"/>
    <w:rsid w:val="7E192908"/>
    <w:rsid w:val="7E1A042F"/>
    <w:rsid w:val="7E342E45"/>
    <w:rsid w:val="7E5020A2"/>
    <w:rsid w:val="7E5711ED"/>
    <w:rsid w:val="7E723DC7"/>
    <w:rsid w:val="7E9F26E2"/>
    <w:rsid w:val="7EA42C6F"/>
    <w:rsid w:val="7EBE525E"/>
    <w:rsid w:val="7EC860DC"/>
    <w:rsid w:val="7EDB5E10"/>
    <w:rsid w:val="7F022C77"/>
    <w:rsid w:val="7F0A2251"/>
    <w:rsid w:val="7F1A681E"/>
    <w:rsid w:val="7F601E71"/>
    <w:rsid w:val="7F995FB9"/>
    <w:rsid w:val="7FA378B2"/>
    <w:rsid w:val="7FA97CBC"/>
    <w:rsid w:val="7FBC6941"/>
    <w:rsid w:val="7FD665D7"/>
    <w:rsid w:val="7FD73D04"/>
    <w:rsid w:val="7FE231CE"/>
    <w:rsid w:val="7FE2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60" w:lineRule="auto"/>
      <w:ind w:firstLine="200" w:firstLineChars="200"/>
      <w:jc w:val="both"/>
    </w:pPr>
    <w:rPr>
      <w:rFonts w:ascii="Times New Roman" w:hAnsi="Times New Roman" w:eastAsia="仿宋" w:cs="Times New Roman"/>
      <w:kern w:val="2"/>
      <w:sz w:val="28"/>
      <w:lang w:val="en-US" w:eastAsia="zh-CN" w:bidi="ar-SA"/>
    </w:rPr>
  </w:style>
  <w:style w:type="paragraph" w:styleId="3">
    <w:name w:val="heading 1"/>
    <w:basedOn w:val="1"/>
    <w:next w:val="1"/>
    <w:link w:val="47"/>
    <w:qFormat/>
    <w:uiPriority w:val="0"/>
    <w:pPr>
      <w:keepNext/>
      <w:keepLines/>
      <w:widowControl/>
      <w:ind w:firstLine="0" w:firstLineChars="0"/>
      <w:jc w:val="left"/>
      <w:outlineLvl w:val="0"/>
    </w:pPr>
    <w:rPr>
      <w:rFonts w:eastAsia="宋体"/>
      <w:b/>
      <w:bCs/>
      <w:kern w:val="44"/>
      <w:sz w:val="36"/>
      <w:szCs w:val="44"/>
      <w:lang w:val="zh-CN"/>
    </w:rPr>
  </w:style>
  <w:style w:type="paragraph" w:styleId="4">
    <w:name w:val="heading 2"/>
    <w:basedOn w:val="1"/>
    <w:next w:val="1"/>
    <w:link w:val="42"/>
    <w:qFormat/>
    <w:uiPriority w:val="0"/>
    <w:pPr>
      <w:keepNext/>
      <w:keepLines/>
      <w:widowControl/>
      <w:ind w:firstLine="0" w:firstLineChars="0"/>
      <w:jc w:val="left"/>
      <w:outlineLvl w:val="1"/>
    </w:pPr>
    <w:rPr>
      <w:b/>
      <w:bCs/>
      <w:kern w:val="0"/>
      <w:sz w:val="32"/>
      <w:szCs w:val="32"/>
      <w:lang w:val="zh-CN"/>
    </w:rPr>
  </w:style>
  <w:style w:type="paragraph" w:styleId="5">
    <w:name w:val="heading 3"/>
    <w:basedOn w:val="1"/>
    <w:next w:val="1"/>
    <w:link w:val="81"/>
    <w:qFormat/>
    <w:uiPriority w:val="0"/>
    <w:pPr>
      <w:keepNext/>
      <w:keepLines/>
      <w:widowControl/>
      <w:ind w:firstLine="0" w:firstLineChars="0"/>
      <w:jc w:val="left"/>
      <w:outlineLvl w:val="2"/>
    </w:pPr>
    <w:rPr>
      <w:b/>
      <w:bCs/>
      <w:kern w:val="0"/>
      <w:sz w:val="30"/>
      <w:szCs w:val="32"/>
      <w:lang w:val="zh-CN"/>
    </w:rPr>
  </w:style>
  <w:style w:type="paragraph" w:styleId="6">
    <w:name w:val="heading 4"/>
    <w:basedOn w:val="1"/>
    <w:next w:val="1"/>
    <w:link w:val="41"/>
    <w:qFormat/>
    <w:uiPriority w:val="0"/>
    <w:pPr>
      <w:keepNext/>
      <w:keepLines/>
      <w:widowControl/>
      <w:ind w:firstLine="1044"/>
      <w:jc w:val="left"/>
      <w:outlineLvl w:val="3"/>
    </w:pPr>
    <w:rPr>
      <w:b/>
      <w:kern w:val="0"/>
      <w:szCs w:val="28"/>
      <w:lang w:val="zh-CN"/>
    </w:rPr>
  </w:style>
  <w:style w:type="paragraph" w:styleId="7">
    <w:name w:val="heading 5"/>
    <w:basedOn w:val="1"/>
    <w:next w:val="1"/>
    <w:link w:val="59"/>
    <w:qFormat/>
    <w:uiPriority w:val="0"/>
    <w:pPr>
      <w:keepNext/>
      <w:keepLines/>
      <w:widowControl/>
      <w:adjustRightInd/>
      <w:snapToGrid/>
      <w:spacing w:before="280" w:after="290" w:line="376" w:lineRule="auto"/>
      <w:ind w:firstLine="0" w:firstLineChars="0"/>
      <w:jc w:val="left"/>
      <w:outlineLvl w:val="4"/>
    </w:pPr>
    <w:rPr>
      <w:rFonts w:eastAsia="宋体"/>
      <w:b/>
      <w:bCs/>
      <w:kern w:val="0"/>
      <w:szCs w:val="28"/>
      <w:lang w:val="zh-CN"/>
    </w:rPr>
  </w:style>
  <w:style w:type="paragraph" w:styleId="8">
    <w:name w:val="heading 6"/>
    <w:basedOn w:val="1"/>
    <w:next w:val="1"/>
    <w:link w:val="84"/>
    <w:qFormat/>
    <w:uiPriority w:val="0"/>
    <w:pPr>
      <w:keepNext/>
      <w:keepLines/>
      <w:widowControl/>
      <w:spacing w:before="200" w:after="64"/>
      <w:ind w:firstLine="0" w:firstLineChars="0"/>
      <w:jc w:val="left"/>
      <w:outlineLvl w:val="5"/>
    </w:pPr>
    <w:rPr>
      <w:rFonts w:ascii="宋体" w:hAnsi="宋体" w:eastAsia="宋体"/>
      <w:b/>
      <w:bCs/>
      <w:kern w:val="0"/>
      <w:sz w:val="24"/>
      <w:szCs w:val="28"/>
      <w:lang w:val="zh-CN"/>
    </w:rPr>
  </w:style>
  <w:style w:type="paragraph" w:styleId="9">
    <w:name w:val="heading 7"/>
    <w:basedOn w:val="1"/>
    <w:next w:val="1"/>
    <w:link w:val="46"/>
    <w:qFormat/>
    <w:uiPriority w:val="0"/>
    <w:pPr>
      <w:keepNext/>
      <w:keepLines/>
      <w:widowControl/>
      <w:adjustRightInd/>
      <w:snapToGrid/>
      <w:spacing w:before="240" w:after="64" w:line="320" w:lineRule="auto"/>
      <w:ind w:firstLine="0" w:firstLineChars="0"/>
      <w:jc w:val="left"/>
      <w:outlineLvl w:val="6"/>
    </w:pPr>
    <w:rPr>
      <w:rFonts w:eastAsia="宋体"/>
      <w:b/>
      <w:bCs/>
      <w:kern w:val="0"/>
      <w:sz w:val="24"/>
      <w:szCs w:val="24"/>
      <w:lang w:val="zh-CN"/>
    </w:rPr>
  </w:style>
  <w:style w:type="paragraph" w:styleId="10">
    <w:name w:val="heading 8"/>
    <w:basedOn w:val="1"/>
    <w:next w:val="1"/>
    <w:link w:val="52"/>
    <w:qFormat/>
    <w:uiPriority w:val="0"/>
    <w:pPr>
      <w:keepNext/>
      <w:keepLines/>
      <w:widowControl/>
      <w:adjustRightInd/>
      <w:snapToGrid/>
      <w:spacing w:before="240" w:after="64" w:line="320" w:lineRule="auto"/>
      <w:ind w:firstLine="0" w:firstLineChars="0"/>
      <w:jc w:val="left"/>
      <w:outlineLvl w:val="7"/>
    </w:pPr>
    <w:rPr>
      <w:rFonts w:ascii="Arial" w:hAnsi="Arial" w:eastAsia="黑体"/>
      <w:kern w:val="0"/>
      <w:sz w:val="24"/>
      <w:szCs w:val="24"/>
      <w:lang w:val="zh-CN"/>
    </w:rPr>
  </w:style>
  <w:style w:type="paragraph" w:styleId="11">
    <w:name w:val="heading 9"/>
    <w:basedOn w:val="1"/>
    <w:next w:val="1"/>
    <w:link w:val="53"/>
    <w:qFormat/>
    <w:uiPriority w:val="0"/>
    <w:pPr>
      <w:keepNext/>
      <w:keepLines/>
      <w:widowControl/>
      <w:adjustRightInd/>
      <w:snapToGrid/>
      <w:spacing w:before="240" w:after="64" w:line="320" w:lineRule="auto"/>
      <w:ind w:firstLine="0" w:firstLineChars="0"/>
      <w:jc w:val="left"/>
      <w:outlineLvl w:val="8"/>
    </w:pPr>
    <w:rPr>
      <w:rFonts w:ascii="Arial" w:hAnsi="Arial" w:eastAsia="黑体"/>
      <w:kern w:val="0"/>
      <w:sz w:val="20"/>
      <w:szCs w:val="21"/>
      <w:lang w:val="zh-CN"/>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99"/>
    <w:pPr>
      <w:adjustRightInd/>
      <w:snapToGrid/>
      <w:spacing w:after="120" w:line="480" w:lineRule="auto"/>
      <w:ind w:left="420" w:leftChars="200" w:firstLine="0" w:firstLineChars="0"/>
    </w:pPr>
    <w:rPr>
      <w:rFonts w:eastAsia="宋体"/>
      <w:sz w:val="21"/>
      <w:szCs w:val="24"/>
    </w:rPr>
  </w:style>
  <w:style w:type="paragraph" w:styleId="12">
    <w:name w:val="toc 7"/>
    <w:basedOn w:val="1"/>
    <w:next w:val="1"/>
    <w:qFormat/>
    <w:uiPriority w:val="0"/>
    <w:pPr>
      <w:ind w:left="1680"/>
      <w:jc w:val="left"/>
    </w:pPr>
    <w:rPr>
      <w:rFonts w:ascii="Calibri" w:hAnsi="Calibri" w:cs="Calibri"/>
      <w:sz w:val="18"/>
      <w:szCs w:val="18"/>
    </w:rPr>
  </w:style>
  <w:style w:type="paragraph" w:styleId="13">
    <w:name w:val="List Bullet"/>
    <w:basedOn w:val="1"/>
    <w:qFormat/>
    <w:uiPriority w:val="0"/>
    <w:pPr>
      <w:widowControl/>
      <w:tabs>
        <w:tab w:val="left" w:pos="360"/>
      </w:tabs>
      <w:snapToGrid/>
      <w:ind w:left="360" w:hanging="360" w:hangingChars="200"/>
      <w:jc w:val="left"/>
      <w:textAlignment w:val="baseline"/>
    </w:pPr>
    <w:rPr>
      <w:rFonts w:eastAsia="宋体"/>
    </w:rPr>
  </w:style>
  <w:style w:type="paragraph" w:styleId="14">
    <w:name w:val="Document Map"/>
    <w:basedOn w:val="1"/>
    <w:link w:val="253"/>
    <w:qFormat/>
    <w:uiPriority w:val="0"/>
    <w:rPr>
      <w:rFonts w:ascii="宋体" w:eastAsia="宋体"/>
      <w:sz w:val="18"/>
      <w:szCs w:val="18"/>
    </w:rPr>
  </w:style>
  <w:style w:type="paragraph" w:styleId="15">
    <w:name w:val="annotation text"/>
    <w:basedOn w:val="1"/>
    <w:link w:val="68"/>
    <w:qFormat/>
    <w:uiPriority w:val="0"/>
    <w:pPr>
      <w:widowControl/>
      <w:adjustRightInd/>
      <w:snapToGrid/>
      <w:ind w:firstLine="0" w:firstLineChars="0"/>
      <w:jc w:val="left"/>
    </w:pPr>
    <w:rPr>
      <w:rFonts w:eastAsia="宋体"/>
      <w:kern w:val="0"/>
      <w:sz w:val="20"/>
      <w:szCs w:val="24"/>
      <w:lang w:val="zh-CN"/>
    </w:rPr>
  </w:style>
  <w:style w:type="paragraph" w:styleId="16">
    <w:name w:val="Body Text"/>
    <w:basedOn w:val="1"/>
    <w:link w:val="85"/>
    <w:qFormat/>
    <w:uiPriority w:val="0"/>
    <w:pPr>
      <w:widowControl/>
      <w:adjustRightInd/>
      <w:snapToGrid/>
      <w:spacing w:after="120"/>
      <w:ind w:firstLine="0" w:firstLineChars="0"/>
      <w:jc w:val="left"/>
    </w:pPr>
    <w:rPr>
      <w:rFonts w:eastAsia="宋体"/>
      <w:kern w:val="0"/>
      <w:sz w:val="20"/>
      <w:szCs w:val="24"/>
      <w:lang w:val="zh-CN"/>
    </w:rPr>
  </w:style>
  <w:style w:type="paragraph" w:styleId="17">
    <w:name w:val="Body Text Indent"/>
    <w:basedOn w:val="1"/>
    <w:qFormat/>
    <w:uiPriority w:val="0"/>
    <w:pPr>
      <w:tabs>
        <w:tab w:val="left" w:pos="0"/>
      </w:tabs>
      <w:spacing w:line="288" w:lineRule="auto"/>
      <w:ind w:firstLine="538" w:firstLineChars="192"/>
    </w:pPr>
  </w:style>
  <w:style w:type="paragraph" w:styleId="18">
    <w:name w:val="toc 5"/>
    <w:basedOn w:val="1"/>
    <w:next w:val="1"/>
    <w:qFormat/>
    <w:uiPriority w:val="0"/>
    <w:pPr>
      <w:ind w:left="1120"/>
      <w:jc w:val="left"/>
    </w:pPr>
    <w:rPr>
      <w:rFonts w:ascii="Calibri" w:hAnsi="Calibri" w:cs="Calibri"/>
      <w:sz w:val="18"/>
      <w:szCs w:val="18"/>
    </w:rPr>
  </w:style>
  <w:style w:type="paragraph" w:styleId="19">
    <w:name w:val="toc 3"/>
    <w:basedOn w:val="1"/>
    <w:next w:val="1"/>
    <w:qFormat/>
    <w:uiPriority w:val="39"/>
    <w:pPr>
      <w:ind w:left="560"/>
      <w:jc w:val="left"/>
    </w:pPr>
    <w:rPr>
      <w:rFonts w:ascii="Calibri" w:hAnsi="Calibri" w:cs="Calibri"/>
      <w:i/>
      <w:iCs/>
      <w:sz w:val="20"/>
    </w:rPr>
  </w:style>
  <w:style w:type="paragraph" w:styleId="20">
    <w:name w:val="toc 8"/>
    <w:basedOn w:val="1"/>
    <w:next w:val="1"/>
    <w:qFormat/>
    <w:uiPriority w:val="0"/>
    <w:pPr>
      <w:ind w:left="1960"/>
      <w:jc w:val="left"/>
    </w:pPr>
    <w:rPr>
      <w:rFonts w:ascii="Calibri" w:hAnsi="Calibri" w:cs="Calibri"/>
      <w:sz w:val="18"/>
      <w:szCs w:val="18"/>
    </w:rPr>
  </w:style>
  <w:style w:type="paragraph" w:styleId="21">
    <w:name w:val="Balloon Text"/>
    <w:basedOn w:val="1"/>
    <w:link w:val="71"/>
    <w:qFormat/>
    <w:uiPriority w:val="0"/>
    <w:pPr>
      <w:spacing w:line="240" w:lineRule="auto"/>
    </w:pPr>
    <w:rPr>
      <w:kern w:val="0"/>
      <w:sz w:val="18"/>
      <w:szCs w:val="18"/>
      <w:lang w:val="zh-CN"/>
    </w:rPr>
  </w:style>
  <w:style w:type="paragraph" w:styleId="22">
    <w:name w:val="footer"/>
    <w:basedOn w:val="1"/>
    <w:link w:val="76"/>
    <w:qFormat/>
    <w:uiPriority w:val="99"/>
    <w:pPr>
      <w:tabs>
        <w:tab w:val="center" w:pos="4153"/>
        <w:tab w:val="right" w:pos="8306"/>
      </w:tabs>
      <w:spacing w:line="240" w:lineRule="auto"/>
      <w:ind w:firstLine="0" w:firstLineChars="0"/>
      <w:jc w:val="left"/>
    </w:pPr>
    <w:rPr>
      <w:rFonts w:eastAsia="宋体"/>
      <w:kern w:val="0"/>
      <w:sz w:val="18"/>
      <w:szCs w:val="18"/>
      <w:lang w:val="zh-CN"/>
    </w:rPr>
  </w:style>
  <w:style w:type="paragraph" w:styleId="23">
    <w:name w:val="header"/>
    <w:basedOn w:val="1"/>
    <w:link w:val="69"/>
    <w:qFormat/>
    <w:uiPriority w:val="0"/>
    <w:pPr>
      <w:pBdr>
        <w:bottom w:val="single" w:color="auto" w:sz="6" w:space="1"/>
      </w:pBdr>
      <w:tabs>
        <w:tab w:val="center" w:pos="4153"/>
        <w:tab w:val="right" w:pos="8306"/>
      </w:tabs>
      <w:jc w:val="center"/>
    </w:pPr>
    <w:rPr>
      <w:rFonts w:eastAsia="宋体"/>
      <w:kern w:val="0"/>
      <w:sz w:val="18"/>
      <w:szCs w:val="18"/>
      <w:lang w:val="zh-CN"/>
    </w:rPr>
  </w:style>
  <w:style w:type="paragraph" w:styleId="24">
    <w:name w:val="toc 1"/>
    <w:basedOn w:val="1"/>
    <w:next w:val="1"/>
    <w:qFormat/>
    <w:uiPriority w:val="39"/>
    <w:pPr>
      <w:spacing w:line="400" w:lineRule="exact"/>
      <w:ind w:firstLine="0" w:firstLineChars="0"/>
      <w:jc w:val="left"/>
    </w:pPr>
    <w:rPr>
      <w:rFonts w:cs="Calibri"/>
      <w:b/>
      <w:bCs/>
      <w:caps/>
    </w:rPr>
  </w:style>
  <w:style w:type="paragraph" w:styleId="25">
    <w:name w:val="toc 4"/>
    <w:basedOn w:val="1"/>
    <w:next w:val="1"/>
    <w:qFormat/>
    <w:uiPriority w:val="0"/>
    <w:pPr>
      <w:ind w:left="840"/>
      <w:jc w:val="left"/>
    </w:pPr>
    <w:rPr>
      <w:rFonts w:ascii="Calibri" w:hAnsi="Calibri" w:cs="Calibri"/>
      <w:sz w:val="18"/>
      <w:szCs w:val="18"/>
    </w:rPr>
  </w:style>
  <w:style w:type="paragraph" w:styleId="26">
    <w:name w:val="toc 6"/>
    <w:basedOn w:val="1"/>
    <w:next w:val="1"/>
    <w:qFormat/>
    <w:uiPriority w:val="0"/>
    <w:pPr>
      <w:ind w:left="1400"/>
      <w:jc w:val="left"/>
    </w:pPr>
    <w:rPr>
      <w:rFonts w:ascii="Calibri" w:hAnsi="Calibri" w:cs="Calibri"/>
      <w:sz w:val="18"/>
      <w:szCs w:val="18"/>
    </w:rPr>
  </w:style>
  <w:style w:type="paragraph" w:styleId="27">
    <w:name w:val="toc 2"/>
    <w:basedOn w:val="1"/>
    <w:next w:val="1"/>
    <w:qFormat/>
    <w:uiPriority w:val="39"/>
    <w:pPr>
      <w:spacing w:line="400" w:lineRule="exact"/>
      <w:jc w:val="left"/>
    </w:pPr>
    <w:rPr>
      <w:rFonts w:cs="Calibri"/>
      <w:smallCaps/>
      <w:sz w:val="24"/>
    </w:rPr>
  </w:style>
  <w:style w:type="paragraph" w:styleId="28">
    <w:name w:val="toc 9"/>
    <w:basedOn w:val="1"/>
    <w:next w:val="1"/>
    <w:qFormat/>
    <w:uiPriority w:val="0"/>
    <w:pPr>
      <w:ind w:left="2240"/>
      <w:jc w:val="left"/>
    </w:pPr>
    <w:rPr>
      <w:rFonts w:ascii="Calibri" w:hAnsi="Calibri" w:cs="Calibri"/>
      <w:sz w:val="18"/>
      <w:szCs w:val="18"/>
    </w:rPr>
  </w:style>
  <w:style w:type="paragraph" w:styleId="29">
    <w:name w:val="Normal (Web)"/>
    <w:basedOn w:val="1"/>
    <w:qFormat/>
    <w:uiPriority w:val="0"/>
    <w:rPr>
      <w:sz w:val="24"/>
    </w:rPr>
  </w:style>
  <w:style w:type="paragraph" w:styleId="30">
    <w:name w:val="Title"/>
    <w:basedOn w:val="1"/>
    <w:link w:val="54"/>
    <w:qFormat/>
    <w:uiPriority w:val="0"/>
    <w:pPr>
      <w:widowControl/>
      <w:spacing w:before="1200" w:after="240"/>
      <w:jc w:val="center"/>
      <w:outlineLvl w:val="0"/>
    </w:pPr>
    <w:rPr>
      <w:rFonts w:ascii="Arial" w:hAnsi="Arial" w:eastAsia="宋体"/>
      <w:b/>
      <w:bCs/>
      <w:kern w:val="0"/>
      <w:sz w:val="52"/>
      <w:szCs w:val="32"/>
      <w:lang w:val="zh-CN"/>
    </w:rPr>
  </w:style>
  <w:style w:type="paragraph" w:styleId="31">
    <w:name w:val="annotation subject"/>
    <w:basedOn w:val="15"/>
    <w:next w:val="15"/>
    <w:link w:val="282"/>
    <w:qFormat/>
    <w:uiPriority w:val="0"/>
    <w:pPr>
      <w:widowControl w:val="0"/>
      <w:adjustRightInd w:val="0"/>
      <w:snapToGrid w:val="0"/>
      <w:ind w:firstLine="200" w:firstLineChars="200"/>
    </w:pPr>
    <w:rPr>
      <w:rFonts w:eastAsia="仿宋"/>
      <w:b/>
      <w:bCs/>
      <w:kern w:val="2"/>
      <w:sz w:val="28"/>
      <w:szCs w:val="20"/>
      <w:lang w:val="en-US"/>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rFonts w:ascii="Arial" w:hAnsi="Arial" w:eastAsia="宋体"/>
      <w:b/>
      <w:bCs/>
      <w:kern w:val="2"/>
      <w:sz w:val="24"/>
      <w:szCs w:val="24"/>
      <w:lang w:val="en-US" w:eastAsia="zh-CN"/>
    </w:rPr>
  </w:style>
  <w:style w:type="character" w:styleId="36">
    <w:name w:val="FollowedHyperlink"/>
    <w:basedOn w:val="34"/>
    <w:unhideWhenUsed/>
    <w:qFormat/>
    <w:uiPriority w:val="99"/>
    <w:rPr>
      <w:color w:val="800080"/>
      <w:u w:val="single"/>
    </w:rPr>
  </w:style>
  <w:style w:type="character" w:styleId="37">
    <w:name w:val="Hyperlink"/>
    <w:qFormat/>
    <w:uiPriority w:val="99"/>
    <w:rPr>
      <w:color w:val="0000FF"/>
      <w:u w:val="single"/>
    </w:rPr>
  </w:style>
  <w:style w:type="character" w:styleId="38">
    <w:name w:val="annotation reference"/>
    <w:semiHidden/>
    <w:qFormat/>
    <w:uiPriority w:val="0"/>
    <w:rPr>
      <w:rFonts w:cs="Times New Roman"/>
      <w:sz w:val="21"/>
    </w:rPr>
  </w:style>
  <w:style w:type="paragraph" w:customStyle="1" w:styleId="39">
    <w:name w:val="样式5"/>
    <w:basedOn w:val="23"/>
    <w:qFormat/>
    <w:uiPriority w:val="0"/>
    <w:pPr>
      <w:widowControl/>
      <w:pBdr>
        <w:bottom w:val="none" w:color="auto" w:sz="0" w:space="0"/>
      </w:pBdr>
      <w:ind w:firstLine="360"/>
    </w:pPr>
    <w:rPr>
      <w:rFonts w:ascii="宋体" w:cs="宋体"/>
    </w:rPr>
  </w:style>
  <w:style w:type="character" w:customStyle="1" w:styleId="40">
    <w:name w:val="标题 3 Char"/>
    <w:qFormat/>
    <w:uiPriority w:val="0"/>
    <w:rPr>
      <w:rFonts w:ascii="仿宋" w:hAnsi="Times New Roman" w:eastAsia="仿宋" w:cs="Times New Roman"/>
      <w:b/>
      <w:bCs/>
      <w:sz w:val="32"/>
      <w:szCs w:val="32"/>
    </w:rPr>
  </w:style>
  <w:style w:type="character" w:customStyle="1" w:styleId="41">
    <w:name w:val="标题 4 Char"/>
    <w:link w:val="6"/>
    <w:qFormat/>
    <w:uiPriority w:val="0"/>
    <w:rPr>
      <w:rFonts w:ascii="Times New Roman" w:hAnsi="Times New Roman" w:eastAsia="仿宋"/>
      <w:b/>
      <w:sz w:val="28"/>
      <w:szCs w:val="28"/>
      <w:lang w:val="zh-CN" w:eastAsia="zh-CN"/>
    </w:rPr>
  </w:style>
  <w:style w:type="character" w:customStyle="1" w:styleId="42">
    <w:name w:val="标题 2 Char"/>
    <w:link w:val="4"/>
    <w:qFormat/>
    <w:uiPriority w:val="0"/>
    <w:rPr>
      <w:rFonts w:ascii="Times New Roman" w:hAnsi="Times New Roman" w:eastAsia="仿宋"/>
      <w:b/>
      <w:bCs/>
      <w:sz w:val="32"/>
      <w:szCs w:val="32"/>
      <w:lang w:val="zh-CN" w:eastAsia="zh-CN"/>
    </w:rPr>
  </w:style>
  <w:style w:type="character" w:customStyle="1" w:styleId="43">
    <w:name w:val="正文文本缩进 3 Char"/>
    <w:link w:val="44"/>
    <w:qFormat/>
    <w:uiPriority w:val="0"/>
    <w:rPr>
      <w:rFonts w:ascii="宋体" w:hAnsi="宋体" w:eastAsia="宋体" w:cs="Times New Roman"/>
      <w:sz w:val="24"/>
      <w:szCs w:val="24"/>
    </w:rPr>
  </w:style>
  <w:style w:type="paragraph" w:customStyle="1" w:styleId="44">
    <w:name w:val="正文文本缩进 31"/>
    <w:basedOn w:val="1"/>
    <w:link w:val="43"/>
    <w:qFormat/>
    <w:uiPriority w:val="0"/>
    <w:pPr>
      <w:widowControl/>
      <w:adjustRightInd/>
      <w:snapToGrid/>
      <w:ind w:firstLine="480"/>
      <w:jc w:val="left"/>
    </w:pPr>
    <w:rPr>
      <w:rFonts w:ascii="宋体" w:hAnsi="宋体" w:eastAsia="宋体"/>
      <w:kern w:val="0"/>
      <w:sz w:val="24"/>
      <w:szCs w:val="24"/>
      <w:lang w:val="zh-CN"/>
    </w:rPr>
  </w:style>
  <w:style w:type="character" w:customStyle="1" w:styleId="45">
    <w:name w:val="正文文本 Char"/>
    <w:qFormat/>
    <w:uiPriority w:val="0"/>
    <w:rPr>
      <w:rFonts w:ascii="仿宋" w:hAnsi="Times New Roman" w:eastAsia="仿宋" w:cs="Times New Roman"/>
      <w:sz w:val="28"/>
      <w:szCs w:val="20"/>
    </w:rPr>
  </w:style>
  <w:style w:type="character" w:customStyle="1" w:styleId="46">
    <w:name w:val="标题 7 Char"/>
    <w:link w:val="9"/>
    <w:qFormat/>
    <w:uiPriority w:val="0"/>
    <w:rPr>
      <w:rFonts w:ascii="Times New Roman" w:hAnsi="Times New Roman" w:eastAsia="宋体" w:cs="Times New Roman"/>
      <w:b/>
      <w:bCs/>
      <w:sz w:val="24"/>
      <w:szCs w:val="24"/>
    </w:rPr>
  </w:style>
  <w:style w:type="character" w:customStyle="1" w:styleId="47">
    <w:name w:val="标题 1 Char"/>
    <w:link w:val="3"/>
    <w:qFormat/>
    <w:uiPriority w:val="0"/>
    <w:rPr>
      <w:rFonts w:eastAsia="宋体"/>
      <w:b/>
      <w:bCs/>
      <w:kern w:val="44"/>
      <w:sz w:val="36"/>
      <w:szCs w:val="44"/>
      <w:lang w:val="zh-CN" w:eastAsia="zh-CN"/>
    </w:rPr>
  </w:style>
  <w:style w:type="character" w:customStyle="1" w:styleId="48">
    <w:name w:val="标题 6 Char"/>
    <w:qFormat/>
    <w:uiPriority w:val="0"/>
    <w:rPr>
      <w:rFonts w:ascii="Cambria" w:hAnsi="Cambria" w:eastAsia="宋体" w:cs="黑体"/>
      <w:b/>
      <w:bCs/>
      <w:sz w:val="24"/>
      <w:szCs w:val="24"/>
    </w:rPr>
  </w:style>
  <w:style w:type="character" w:customStyle="1" w:styleId="49">
    <w:name w:val="正文文本缩进 Char"/>
    <w:link w:val="50"/>
    <w:qFormat/>
    <w:uiPriority w:val="0"/>
    <w:rPr>
      <w:rFonts w:ascii="仿宋_GB2312" w:hAnsi="Times New Roman" w:eastAsia="仿宋_GB2312" w:cs="Times New Roman"/>
      <w:sz w:val="28"/>
      <w:szCs w:val="24"/>
    </w:rPr>
  </w:style>
  <w:style w:type="paragraph" w:customStyle="1" w:styleId="50">
    <w:name w:val="正文文本缩进1"/>
    <w:basedOn w:val="1"/>
    <w:link w:val="49"/>
    <w:qFormat/>
    <w:uiPriority w:val="0"/>
    <w:pPr>
      <w:widowControl/>
      <w:adjustRightInd/>
      <w:snapToGrid/>
      <w:ind w:left="142" w:firstLine="560"/>
      <w:jc w:val="left"/>
    </w:pPr>
    <w:rPr>
      <w:rFonts w:ascii="仿宋_GB2312" w:eastAsia="仿宋_GB2312"/>
      <w:kern w:val="0"/>
      <w:szCs w:val="24"/>
      <w:lang w:val="zh-CN"/>
    </w:rPr>
  </w:style>
  <w:style w:type="character" w:customStyle="1" w:styleId="51">
    <w:name w:val="已访问的超链接1"/>
    <w:qFormat/>
    <w:uiPriority w:val="0"/>
    <w:rPr>
      <w:color w:val="800080"/>
      <w:u w:val="single"/>
    </w:rPr>
  </w:style>
  <w:style w:type="character" w:customStyle="1" w:styleId="52">
    <w:name w:val="标题 8 Char"/>
    <w:link w:val="10"/>
    <w:qFormat/>
    <w:uiPriority w:val="0"/>
    <w:rPr>
      <w:rFonts w:ascii="Arial" w:hAnsi="Arial" w:eastAsia="黑体" w:cs="Times New Roman"/>
      <w:sz w:val="24"/>
      <w:szCs w:val="24"/>
    </w:rPr>
  </w:style>
  <w:style w:type="character" w:customStyle="1" w:styleId="53">
    <w:name w:val="标题 9 Char"/>
    <w:link w:val="11"/>
    <w:qFormat/>
    <w:uiPriority w:val="0"/>
    <w:rPr>
      <w:rFonts w:ascii="Arial" w:hAnsi="Arial" w:eastAsia="黑体" w:cs="Times New Roman"/>
      <w:szCs w:val="21"/>
    </w:rPr>
  </w:style>
  <w:style w:type="character" w:customStyle="1" w:styleId="54">
    <w:name w:val="标题 Char"/>
    <w:link w:val="30"/>
    <w:qFormat/>
    <w:uiPriority w:val="0"/>
    <w:rPr>
      <w:rFonts w:ascii="Arial" w:hAnsi="Arial" w:eastAsia="宋体" w:cs="Arial"/>
      <w:b/>
      <w:bCs/>
      <w:sz w:val="52"/>
      <w:szCs w:val="32"/>
    </w:rPr>
  </w:style>
  <w:style w:type="character" w:customStyle="1" w:styleId="55">
    <w:name w:val="正文文本 2 Char"/>
    <w:link w:val="56"/>
    <w:qFormat/>
    <w:uiPriority w:val="0"/>
    <w:rPr>
      <w:rFonts w:ascii="Times New Roman" w:hAnsi="Times New Roman" w:eastAsia="宋体" w:cs="Times New Roman"/>
      <w:szCs w:val="24"/>
    </w:rPr>
  </w:style>
  <w:style w:type="paragraph" w:customStyle="1" w:styleId="56">
    <w:name w:val="正文文本 21"/>
    <w:basedOn w:val="1"/>
    <w:link w:val="55"/>
    <w:qFormat/>
    <w:uiPriority w:val="0"/>
    <w:pPr>
      <w:widowControl/>
      <w:adjustRightInd/>
      <w:snapToGrid/>
      <w:spacing w:after="120" w:line="480" w:lineRule="auto"/>
      <w:ind w:firstLine="0" w:firstLineChars="0"/>
      <w:jc w:val="left"/>
    </w:pPr>
    <w:rPr>
      <w:rFonts w:eastAsia="宋体"/>
      <w:kern w:val="0"/>
      <w:sz w:val="20"/>
      <w:szCs w:val="24"/>
      <w:lang w:val="zh-CN"/>
    </w:rPr>
  </w:style>
  <w:style w:type="character" w:customStyle="1" w:styleId="57">
    <w:name w:val="文档结构图 Char"/>
    <w:link w:val="58"/>
    <w:qFormat/>
    <w:uiPriority w:val="0"/>
    <w:rPr>
      <w:rFonts w:ascii="Times New Roman" w:hAnsi="Times New Roman" w:eastAsia="宋体" w:cs="Times New Roman"/>
      <w:szCs w:val="24"/>
      <w:shd w:val="clear" w:color="auto" w:fill="000080"/>
    </w:rPr>
  </w:style>
  <w:style w:type="paragraph" w:customStyle="1" w:styleId="58">
    <w:name w:val="文档结构图1"/>
    <w:basedOn w:val="1"/>
    <w:link w:val="57"/>
    <w:qFormat/>
    <w:uiPriority w:val="0"/>
    <w:pPr>
      <w:widowControl/>
      <w:shd w:val="clear" w:color="auto" w:fill="000080"/>
      <w:adjustRightInd/>
      <w:snapToGrid/>
      <w:ind w:firstLine="0" w:firstLineChars="0"/>
      <w:jc w:val="left"/>
    </w:pPr>
    <w:rPr>
      <w:rFonts w:eastAsia="宋体"/>
      <w:kern w:val="0"/>
      <w:sz w:val="20"/>
      <w:szCs w:val="24"/>
      <w:shd w:val="clear" w:color="auto" w:fill="000080"/>
      <w:lang w:val="zh-CN"/>
    </w:rPr>
  </w:style>
  <w:style w:type="character" w:customStyle="1" w:styleId="59">
    <w:name w:val="标题 5 Char"/>
    <w:link w:val="7"/>
    <w:qFormat/>
    <w:uiPriority w:val="0"/>
    <w:rPr>
      <w:rFonts w:ascii="Times New Roman" w:hAnsi="Times New Roman" w:eastAsia="宋体" w:cs="Times New Roman"/>
      <w:b/>
      <w:bCs/>
      <w:sz w:val="28"/>
      <w:szCs w:val="28"/>
    </w:rPr>
  </w:style>
  <w:style w:type="character" w:customStyle="1" w:styleId="60">
    <w:name w:val="批注主题 Char"/>
    <w:link w:val="61"/>
    <w:qFormat/>
    <w:uiPriority w:val="0"/>
    <w:rPr>
      <w:rFonts w:ascii="Times New Roman" w:hAnsi="Times New Roman" w:eastAsia="宋体" w:cs="Times New Roman"/>
      <w:b/>
      <w:bCs/>
      <w:szCs w:val="24"/>
    </w:rPr>
  </w:style>
  <w:style w:type="paragraph" w:customStyle="1" w:styleId="61">
    <w:name w:val="批注主题1"/>
    <w:basedOn w:val="15"/>
    <w:next w:val="15"/>
    <w:link w:val="60"/>
    <w:qFormat/>
    <w:uiPriority w:val="0"/>
    <w:rPr>
      <w:b/>
      <w:bCs/>
    </w:rPr>
  </w:style>
  <w:style w:type="character" w:customStyle="1" w:styleId="62">
    <w:name w:val="图表格式 Char Char"/>
    <w:qFormat/>
    <w:uiPriority w:val="0"/>
    <w:rPr>
      <w:rFonts w:ascii="Arial" w:hAnsi="Arial" w:eastAsia="宋体" w:cs="Verdana"/>
      <w:b/>
      <w:bCs/>
      <w:kern w:val="2"/>
      <w:sz w:val="21"/>
      <w:szCs w:val="24"/>
      <w:lang w:val="en-US" w:eastAsia="zh-CN"/>
    </w:rPr>
  </w:style>
  <w:style w:type="character" w:customStyle="1" w:styleId="63">
    <w:name w:val="文本 Char Char"/>
    <w:qFormat/>
    <w:uiPriority w:val="0"/>
    <w:rPr>
      <w:rFonts w:ascii="仿宋_GB2312" w:hAnsi="Arial" w:eastAsia="仿宋_GB2312" w:cs="Verdana"/>
      <w:b/>
      <w:bCs/>
      <w:kern w:val="28"/>
      <w:sz w:val="28"/>
      <w:szCs w:val="24"/>
      <w:lang w:val="en-US" w:eastAsia="zh-CN"/>
    </w:rPr>
  </w:style>
  <w:style w:type="character" w:customStyle="1" w:styleId="64">
    <w:name w:val="正文文本缩进 2 Char"/>
    <w:link w:val="65"/>
    <w:qFormat/>
    <w:uiPriority w:val="99"/>
    <w:rPr>
      <w:rFonts w:ascii="仿宋_GB2312" w:hAnsi="Times New Roman" w:eastAsia="仿宋_GB2312" w:cs="Times New Roman"/>
      <w:sz w:val="28"/>
      <w:szCs w:val="28"/>
    </w:rPr>
  </w:style>
  <w:style w:type="paragraph" w:customStyle="1" w:styleId="65">
    <w:name w:val="正文文本缩进 21"/>
    <w:basedOn w:val="1"/>
    <w:link w:val="64"/>
    <w:qFormat/>
    <w:uiPriority w:val="0"/>
    <w:pPr>
      <w:widowControl/>
      <w:adjustRightInd/>
      <w:snapToGrid/>
      <w:ind w:firstLine="538" w:firstLineChars="192"/>
      <w:jc w:val="left"/>
    </w:pPr>
    <w:rPr>
      <w:rFonts w:ascii="仿宋_GB2312" w:eastAsia="仿宋_GB2312"/>
      <w:kern w:val="0"/>
      <w:szCs w:val="28"/>
      <w:lang w:val="zh-CN"/>
    </w:rPr>
  </w:style>
  <w:style w:type="character" w:customStyle="1" w:styleId="66">
    <w:name w:val="HTML 预设格式 Char"/>
    <w:link w:val="67"/>
    <w:qFormat/>
    <w:uiPriority w:val="0"/>
    <w:rPr>
      <w:rFonts w:ascii="宋体" w:hAnsi="宋体" w:eastAsia="宋体" w:cs="Times New Roman"/>
      <w:color w:val="000000"/>
      <w:kern w:val="0"/>
      <w:sz w:val="24"/>
      <w:szCs w:val="24"/>
    </w:rPr>
  </w:style>
  <w:style w:type="paragraph" w:customStyle="1" w:styleId="67">
    <w:name w:val="HTML 预设格式1"/>
    <w:basedOn w:val="1"/>
    <w:link w:val="6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ind w:firstLine="0" w:firstLineChars="0"/>
      <w:jc w:val="left"/>
    </w:pPr>
    <w:rPr>
      <w:rFonts w:ascii="宋体" w:hAnsi="宋体" w:eastAsia="宋体"/>
      <w:color w:val="000000"/>
      <w:kern w:val="0"/>
      <w:sz w:val="24"/>
      <w:szCs w:val="24"/>
      <w:lang w:val="zh-CN"/>
    </w:rPr>
  </w:style>
  <w:style w:type="character" w:customStyle="1" w:styleId="68">
    <w:name w:val="批注文字 Char"/>
    <w:link w:val="15"/>
    <w:qFormat/>
    <w:uiPriority w:val="0"/>
    <w:rPr>
      <w:rFonts w:ascii="Times New Roman" w:hAnsi="Times New Roman" w:eastAsia="宋体" w:cs="Times New Roman"/>
      <w:szCs w:val="24"/>
    </w:rPr>
  </w:style>
  <w:style w:type="character" w:customStyle="1" w:styleId="69">
    <w:name w:val="页眉 Char"/>
    <w:link w:val="23"/>
    <w:qFormat/>
    <w:uiPriority w:val="0"/>
    <w:rPr>
      <w:sz w:val="18"/>
      <w:szCs w:val="18"/>
    </w:rPr>
  </w:style>
  <w:style w:type="character" w:customStyle="1" w:styleId="70">
    <w:name w:val="页码1"/>
    <w:basedOn w:val="34"/>
    <w:qFormat/>
    <w:uiPriority w:val="0"/>
  </w:style>
  <w:style w:type="character" w:customStyle="1" w:styleId="71">
    <w:name w:val="批注框文本 Char"/>
    <w:link w:val="21"/>
    <w:qFormat/>
    <w:uiPriority w:val="0"/>
    <w:rPr>
      <w:rFonts w:ascii="仿宋" w:hAnsi="Times New Roman" w:eastAsia="仿宋" w:cs="Times New Roman"/>
      <w:sz w:val="18"/>
      <w:szCs w:val="18"/>
    </w:rPr>
  </w:style>
  <w:style w:type="character" w:customStyle="1" w:styleId="72">
    <w:name w:val="纯文本 Char"/>
    <w:link w:val="73"/>
    <w:qFormat/>
    <w:uiPriority w:val="0"/>
    <w:rPr>
      <w:rFonts w:ascii="宋体" w:hAnsi="Courier New" w:eastAsia="宋体" w:cs="Courier New"/>
      <w:szCs w:val="21"/>
    </w:rPr>
  </w:style>
  <w:style w:type="paragraph" w:customStyle="1" w:styleId="73">
    <w:name w:val="纯文本1"/>
    <w:basedOn w:val="1"/>
    <w:link w:val="72"/>
    <w:qFormat/>
    <w:uiPriority w:val="0"/>
    <w:pPr>
      <w:widowControl/>
      <w:adjustRightInd/>
      <w:snapToGrid/>
      <w:ind w:firstLine="0" w:firstLineChars="0"/>
      <w:jc w:val="left"/>
    </w:pPr>
    <w:rPr>
      <w:rFonts w:ascii="宋体" w:hAnsi="Courier New" w:eastAsia="宋体"/>
      <w:kern w:val="0"/>
      <w:sz w:val="20"/>
      <w:szCs w:val="21"/>
      <w:lang w:val="zh-CN"/>
    </w:rPr>
  </w:style>
  <w:style w:type="character" w:customStyle="1" w:styleId="74">
    <w:name w:val="日期 Char"/>
    <w:link w:val="75"/>
    <w:qFormat/>
    <w:uiPriority w:val="0"/>
    <w:rPr>
      <w:rFonts w:ascii="Times New Roman" w:hAnsi="Times New Roman" w:eastAsia="宋体" w:cs="Times New Roman"/>
      <w:szCs w:val="24"/>
    </w:rPr>
  </w:style>
  <w:style w:type="paragraph" w:customStyle="1" w:styleId="75">
    <w:name w:val="日期1"/>
    <w:basedOn w:val="1"/>
    <w:next w:val="1"/>
    <w:link w:val="74"/>
    <w:qFormat/>
    <w:uiPriority w:val="0"/>
    <w:pPr>
      <w:widowControl/>
      <w:adjustRightInd/>
      <w:snapToGrid/>
      <w:ind w:left="100" w:leftChars="2500" w:firstLine="0" w:firstLineChars="0"/>
      <w:jc w:val="left"/>
    </w:pPr>
    <w:rPr>
      <w:rFonts w:eastAsia="宋体"/>
      <w:kern w:val="0"/>
      <w:sz w:val="20"/>
      <w:szCs w:val="24"/>
      <w:lang w:val="zh-CN"/>
    </w:rPr>
  </w:style>
  <w:style w:type="character" w:customStyle="1" w:styleId="76">
    <w:name w:val="页脚 Char"/>
    <w:link w:val="22"/>
    <w:qFormat/>
    <w:uiPriority w:val="99"/>
    <w:rPr>
      <w:rFonts w:ascii="Times New Roman" w:hAnsi="Times New Roman" w:eastAsia="宋体"/>
      <w:sz w:val="18"/>
      <w:szCs w:val="18"/>
    </w:rPr>
  </w:style>
  <w:style w:type="character" w:customStyle="1" w:styleId="77">
    <w:name w:val="style21"/>
    <w:qFormat/>
    <w:uiPriority w:val="0"/>
    <w:rPr>
      <w:rFonts w:ascii="Arial" w:hAnsi="Arial" w:eastAsia="宋体"/>
      <w:b/>
      <w:bCs/>
      <w:kern w:val="2"/>
      <w:sz w:val="27"/>
      <w:szCs w:val="27"/>
      <w:lang w:val="en-US" w:eastAsia="zh-CN"/>
    </w:rPr>
  </w:style>
  <w:style w:type="character" w:customStyle="1" w:styleId="78">
    <w:name w:val="z-窗体顶端 Char"/>
    <w:link w:val="79"/>
    <w:qFormat/>
    <w:uiPriority w:val="0"/>
    <w:rPr>
      <w:rFonts w:ascii="Arial" w:hAnsi="Arial" w:eastAsia="仿宋_GB2312" w:cs="Arial"/>
      <w:vanish/>
      <w:sz w:val="16"/>
      <w:szCs w:val="16"/>
    </w:rPr>
  </w:style>
  <w:style w:type="paragraph" w:customStyle="1" w:styleId="79">
    <w:name w:val="z-窗体顶端1"/>
    <w:basedOn w:val="1"/>
    <w:next w:val="1"/>
    <w:link w:val="78"/>
    <w:qFormat/>
    <w:uiPriority w:val="0"/>
    <w:pPr>
      <w:widowControl/>
      <w:pBdr>
        <w:bottom w:val="single" w:color="auto" w:sz="6" w:space="1"/>
      </w:pBdr>
      <w:adjustRightInd/>
      <w:snapToGrid/>
      <w:jc w:val="center"/>
    </w:pPr>
    <w:rPr>
      <w:rFonts w:ascii="Arial" w:hAnsi="Arial" w:eastAsia="仿宋_GB2312"/>
      <w:vanish/>
      <w:kern w:val="0"/>
      <w:sz w:val="16"/>
      <w:szCs w:val="16"/>
      <w:lang w:val="zh-CN"/>
    </w:rPr>
  </w:style>
  <w:style w:type="character" w:customStyle="1" w:styleId="80">
    <w:name w:val="批注引用1"/>
    <w:qFormat/>
    <w:uiPriority w:val="0"/>
    <w:rPr>
      <w:rFonts w:ascii="Arial" w:hAnsi="Arial" w:eastAsia="宋体"/>
      <w:b/>
      <w:bCs/>
      <w:kern w:val="2"/>
      <w:sz w:val="21"/>
      <w:szCs w:val="21"/>
      <w:lang w:val="en-US" w:eastAsia="zh-CN"/>
    </w:rPr>
  </w:style>
  <w:style w:type="character" w:customStyle="1" w:styleId="81">
    <w:name w:val="标题 3 Char1"/>
    <w:link w:val="5"/>
    <w:qFormat/>
    <w:uiPriority w:val="0"/>
    <w:rPr>
      <w:rFonts w:eastAsia="仿宋"/>
      <w:b/>
      <w:bCs/>
      <w:sz w:val="30"/>
      <w:szCs w:val="32"/>
      <w:lang w:val="zh-CN" w:eastAsia="zh-CN"/>
    </w:rPr>
  </w:style>
  <w:style w:type="character" w:customStyle="1" w:styleId="82">
    <w:name w:val="font71"/>
    <w:qFormat/>
    <w:uiPriority w:val="0"/>
    <w:rPr>
      <w:rFonts w:hint="eastAsia" w:ascii="宋体" w:hAnsi="宋体" w:eastAsia="宋体"/>
      <w:color w:val="000000"/>
      <w:sz w:val="21"/>
      <w:szCs w:val="21"/>
      <w:u w:val="none"/>
    </w:rPr>
  </w:style>
  <w:style w:type="character" w:customStyle="1" w:styleId="83">
    <w:name w:val="font81"/>
    <w:qFormat/>
    <w:uiPriority w:val="0"/>
    <w:rPr>
      <w:rFonts w:hint="eastAsia" w:ascii="宋体" w:hAnsi="宋体" w:eastAsia="宋体"/>
      <w:color w:val="000000"/>
      <w:sz w:val="21"/>
      <w:szCs w:val="21"/>
      <w:u w:val="none"/>
      <w:vertAlign w:val="superscript"/>
    </w:rPr>
  </w:style>
  <w:style w:type="character" w:customStyle="1" w:styleId="84">
    <w:name w:val="标题 6 Char1"/>
    <w:link w:val="8"/>
    <w:qFormat/>
    <w:uiPriority w:val="0"/>
    <w:rPr>
      <w:rFonts w:ascii="宋体" w:hAnsi="宋体" w:eastAsia="宋体" w:cs="Times New Roman"/>
      <w:b/>
      <w:bCs/>
      <w:sz w:val="24"/>
      <w:szCs w:val="28"/>
    </w:rPr>
  </w:style>
  <w:style w:type="character" w:customStyle="1" w:styleId="85">
    <w:name w:val="正文文本 Char1"/>
    <w:link w:val="16"/>
    <w:qFormat/>
    <w:uiPriority w:val="0"/>
    <w:rPr>
      <w:rFonts w:ascii="Times New Roman" w:hAnsi="Times New Roman" w:eastAsia="宋体" w:cs="Times New Roman"/>
      <w:szCs w:val="24"/>
    </w:rPr>
  </w:style>
  <w:style w:type="character" w:customStyle="1" w:styleId="86">
    <w:name w:val="图表正文 Char Char"/>
    <w:link w:val="87"/>
    <w:qFormat/>
    <w:uiPriority w:val="0"/>
    <w:rPr>
      <w:rFonts w:ascii="宋体" w:hAnsi="宋体" w:eastAsia="宋体" w:cs="Times New Roman"/>
      <w:kern w:val="0"/>
      <w:szCs w:val="24"/>
    </w:rPr>
  </w:style>
  <w:style w:type="paragraph" w:customStyle="1" w:styleId="87">
    <w:name w:val="图表正文"/>
    <w:basedOn w:val="1"/>
    <w:link w:val="86"/>
    <w:qFormat/>
    <w:uiPriority w:val="0"/>
    <w:pPr>
      <w:widowControl/>
      <w:adjustRightInd/>
      <w:spacing w:line="360" w:lineRule="atLeast"/>
      <w:ind w:firstLine="0" w:firstLineChars="0"/>
      <w:jc w:val="center"/>
    </w:pPr>
    <w:rPr>
      <w:rFonts w:ascii="宋体" w:hAnsi="宋体" w:eastAsia="宋体"/>
      <w:kern w:val="0"/>
      <w:sz w:val="20"/>
      <w:szCs w:val="24"/>
      <w:lang w:val="zh-CN"/>
    </w:rPr>
  </w:style>
  <w:style w:type="character" w:customStyle="1" w:styleId="88">
    <w:name w:val="图表标题 Char Char"/>
    <w:link w:val="89"/>
    <w:qFormat/>
    <w:uiPriority w:val="0"/>
    <w:rPr>
      <w:rFonts w:ascii="宋体" w:hAnsi="宋体" w:eastAsia="宋体" w:cs="Times New Roman"/>
      <w:b/>
      <w:snapToGrid w:val="0"/>
      <w:kern w:val="0"/>
      <w:szCs w:val="24"/>
    </w:rPr>
  </w:style>
  <w:style w:type="paragraph" w:customStyle="1" w:styleId="89">
    <w:name w:val="图表标题"/>
    <w:basedOn w:val="1"/>
    <w:next w:val="87"/>
    <w:link w:val="88"/>
    <w:qFormat/>
    <w:uiPriority w:val="0"/>
    <w:pPr>
      <w:widowControl/>
      <w:adjustRightInd/>
      <w:snapToGrid/>
      <w:jc w:val="center"/>
    </w:pPr>
    <w:rPr>
      <w:rFonts w:ascii="宋体" w:hAnsi="宋体" w:eastAsia="宋体"/>
      <w:b/>
      <w:snapToGrid w:val="0"/>
      <w:kern w:val="0"/>
      <w:sz w:val="20"/>
      <w:szCs w:val="24"/>
      <w:lang w:val="zh-CN"/>
    </w:rPr>
  </w:style>
  <w:style w:type="character" w:customStyle="1" w:styleId="90">
    <w:name w:val="z-窗体底端 Char"/>
    <w:link w:val="91"/>
    <w:qFormat/>
    <w:uiPriority w:val="0"/>
    <w:rPr>
      <w:rFonts w:ascii="Arial" w:hAnsi="Arial" w:eastAsia="仿宋_GB2312" w:cs="Arial"/>
      <w:vanish/>
      <w:sz w:val="16"/>
      <w:szCs w:val="16"/>
    </w:rPr>
  </w:style>
  <w:style w:type="paragraph" w:customStyle="1" w:styleId="91">
    <w:name w:val="z-窗体底端1"/>
    <w:basedOn w:val="1"/>
    <w:next w:val="1"/>
    <w:link w:val="90"/>
    <w:qFormat/>
    <w:uiPriority w:val="0"/>
    <w:pPr>
      <w:widowControl/>
      <w:pBdr>
        <w:top w:val="single" w:color="auto" w:sz="6" w:space="1"/>
      </w:pBdr>
      <w:adjustRightInd/>
      <w:snapToGrid/>
      <w:jc w:val="center"/>
    </w:pPr>
    <w:rPr>
      <w:rFonts w:ascii="Arial" w:hAnsi="Arial" w:eastAsia="仿宋_GB2312"/>
      <w:vanish/>
      <w:kern w:val="0"/>
      <w:sz w:val="16"/>
      <w:szCs w:val="16"/>
      <w:lang w:val="zh-CN"/>
    </w:rPr>
  </w:style>
  <w:style w:type="character" w:customStyle="1" w:styleId="92">
    <w:name w:val="content2"/>
    <w:qFormat/>
    <w:uiPriority w:val="0"/>
    <w:rPr>
      <w:rFonts w:ascii="Arial" w:hAnsi="Arial" w:eastAsia="宋体" w:cs="Verdana"/>
      <w:b/>
      <w:bCs/>
      <w:kern w:val="2"/>
      <w:sz w:val="24"/>
      <w:szCs w:val="24"/>
      <w:lang w:val="en-US" w:eastAsia="en-US"/>
    </w:rPr>
  </w:style>
  <w:style w:type="character" w:customStyle="1" w:styleId="93">
    <w:name w:val="content1"/>
    <w:qFormat/>
    <w:uiPriority w:val="0"/>
    <w:rPr>
      <w:rFonts w:ascii="Arial" w:hAnsi="Arial" w:eastAsia="宋体" w:cs="Verdana"/>
      <w:b/>
      <w:bCs/>
      <w:color w:val="000000"/>
      <w:kern w:val="2"/>
      <w:sz w:val="28"/>
      <w:szCs w:val="28"/>
      <w:u w:val="none"/>
      <w:lang w:val="en-US" w:eastAsia="en-US"/>
    </w:rPr>
  </w:style>
  <w:style w:type="character" w:customStyle="1" w:styleId="94">
    <w:name w:val="font241"/>
    <w:qFormat/>
    <w:uiPriority w:val="0"/>
    <w:rPr>
      <w:rFonts w:ascii="Arial" w:hAnsi="Arial" w:eastAsia="宋体" w:cs="Verdana"/>
      <w:b/>
      <w:bCs/>
      <w:kern w:val="2"/>
      <w:sz w:val="21"/>
      <w:szCs w:val="21"/>
      <w:lang w:val="en-US" w:eastAsia="en-US"/>
    </w:rPr>
  </w:style>
  <w:style w:type="character" w:customStyle="1" w:styleId="95">
    <w:name w:val="hangju1"/>
    <w:qFormat/>
    <w:uiPriority w:val="0"/>
    <w:rPr>
      <w:rFonts w:ascii="Arial" w:hAnsi="Arial" w:eastAsia="宋体" w:cs="Verdana"/>
      <w:b/>
      <w:bCs/>
      <w:kern w:val="2"/>
      <w:sz w:val="24"/>
      <w:szCs w:val="24"/>
      <w:lang w:val="en-US" w:eastAsia="en-US"/>
    </w:rPr>
  </w:style>
  <w:style w:type="character" w:customStyle="1" w:styleId="96">
    <w:name w:val="detail"/>
    <w:qFormat/>
    <w:uiPriority w:val="0"/>
    <w:rPr>
      <w:rFonts w:ascii="Arial" w:hAnsi="Arial" w:eastAsia="宋体" w:cs="Verdana"/>
      <w:b/>
      <w:bCs/>
      <w:kern w:val="2"/>
      <w:sz w:val="24"/>
      <w:szCs w:val="24"/>
      <w:lang w:val="en-US" w:eastAsia="en-US"/>
    </w:rPr>
  </w:style>
  <w:style w:type="character" w:customStyle="1" w:styleId="97">
    <w:name w:val="3zw1"/>
    <w:qFormat/>
    <w:uiPriority w:val="0"/>
    <w:rPr>
      <w:rFonts w:ascii="Arial" w:hAnsi="Arial" w:eastAsia="宋体" w:cs="Verdana"/>
      <w:b/>
      <w:bCs/>
      <w:color w:val="000000"/>
      <w:kern w:val="2"/>
      <w:sz w:val="21"/>
      <w:szCs w:val="21"/>
      <w:lang w:val="en-US" w:eastAsia="en-US"/>
    </w:rPr>
  </w:style>
  <w:style w:type="character" w:customStyle="1" w:styleId="98">
    <w:name w:val="可研-正文 Char1"/>
    <w:qFormat/>
    <w:uiPriority w:val="0"/>
    <w:rPr>
      <w:rFonts w:ascii="宋体" w:hAnsi="Arial" w:eastAsia="宋体" w:cs="Verdana"/>
      <w:b/>
      <w:bCs/>
      <w:kern w:val="2"/>
      <w:sz w:val="28"/>
      <w:szCs w:val="24"/>
      <w:lang w:val="en-US" w:eastAsia="zh-CN"/>
    </w:rPr>
  </w:style>
  <w:style w:type="character" w:customStyle="1" w:styleId="99">
    <w:name w:val="样式 标题 44号仿宋左空1格行距1倍 + (西文) Times New Roman 非加粗 Char Char"/>
    <w:link w:val="100"/>
    <w:qFormat/>
    <w:uiPriority w:val="0"/>
    <w:rPr>
      <w:rFonts w:ascii="Arial" w:hAnsi="Arial" w:eastAsia="黑体" w:cs="Times New Roman"/>
      <w:sz w:val="28"/>
      <w:szCs w:val="28"/>
    </w:rPr>
  </w:style>
  <w:style w:type="paragraph" w:customStyle="1" w:styleId="100">
    <w:name w:val="样式 标题 44号仿宋左空1格行距1倍 + (西文) Times New Roman 非加粗"/>
    <w:basedOn w:val="6"/>
    <w:link w:val="99"/>
    <w:qFormat/>
    <w:uiPriority w:val="0"/>
    <w:pPr>
      <w:spacing w:line="240" w:lineRule="auto"/>
    </w:pPr>
  </w:style>
  <w:style w:type="character" w:customStyle="1" w:styleId="101">
    <w:name w:val="font61"/>
    <w:qFormat/>
    <w:uiPriority w:val="0"/>
    <w:rPr>
      <w:rFonts w:hint="eastAsia" w:ascii="宋体" w:hAnsi="宋体" w:eastAsia="宋体" w:cs="宋体"/>
      <w:color w:val="000000"/>
      <w:sz w:val="24"/>
      <w:szCs w:val="24"/>
      <w:u w:val="none"/>
    </w:rPr>
  </w:style>
  <w:style w:type="paragraph" w:customStyle="1" w:styleId="102">
    <w:name w:val="xl7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left"/>
    </w:pPr>
    <w:rPr>
      <w:rFonts w:ascii="Arial Unicode MS" w:hAnsi="Arial Unicode MS" w:eastAsia="Arial Unicode MS" w:cs="Arial Unicode MS"/>
      <w:kern w:val="0"/>
      <w:sz w:val="24"/>
      <w:szCs w:val="24"/>
    </w:rPr>
  </w:style>
  <w:style w:type="paragraph" w:customStyle="1" w:styleId="103">
    <w:name w:val="xl24"/>
    <w:basedOn w:val="1"/>
    <w:qFormat/>
    <w:uiPriority w:val="0"/>
    <w:pPr>
      <w:widowControl/>
      <w:adjustRightInd/>
      <w:snapToGrid/>
      <w:spacing w:before="100" w:beforeAutospacing="1" w:after="100" w:afterAutospacing="1"/>
      <w:ind w:firstLine="0" w:firstLineChars="0"/>
      <w:jc w:val="center"/>
      <w:textAlignment w:val="center"/>
    </w:pPr>
    <w:rPr>
      <w:rFonts w:ascii="Arial Unicode MS" w:hAnsi="Arial Unicode MS" w:eastAsia="宋体"/>
      <w:kern w:val="0"/>
      <w:sz w:val="24"/>
      <w:szCs w:val="24"/>
    </w:rPr>
  </w:style>
  <w:style w:type="paragraph" w:customStyle="1" w:styleId="104">
    <w:name w:val="xl33"/>
    <w:basedOn w:val="1"/>
    <w:qFormat/>
    <w:uiPriority w:val="0"/>
    <w:pPr>
      <w:widowControl/>
      <w:pBdr>
        <w:top w:val="single" w:color="auto" w:sz="4" w:space="0"/>
        <w:bottom w:val="single" w:color="auto" w:sz="4" w:space="0"/>
      </w:pBdr>
      <w:adjustRightInd/>
      <w:snapToGrid/>
      <w:spacing w:before="100" w:beforeAutospacing="1" w:after="100" w:afterAutospacing="1"/>
      <w:ind w:firstLine="0" w:firstLineChars="0"/>
      <w:jc w:val="center"/>
      <w:textAlignment w:val="center"/>
    </w:pPr>
    <w:rPr>
      <w:rFonts w:ascii="Arial Unicode MS" w:hAnsi="Arial Unicode MS" w:eastAsia="宋体"/>
      <w:kern w:val="0"/>
      <w:sz w:val="20"/>
    </w:rPr>
  </w:style>
  <w:style w:type="paragraph" w:customStyle="1" w:styleId="105">
    <w:name w:val="xl3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textAlignment w:val="center"/>
    </w:pPr>
    <w:rPr>
      <w:rFonts w:ascii="Arial Unicode MS" w:hAnsi="Arial Unicode MS" w:eastAsia="宋体"/>
      <w:kern w:val="0"/>
      <w:sz w:val="20"/>
    </w:rPr>
  </w:style>
  <w:style w:type="paragraph" w:customStyle="1" w:styleId="106">
    <w:name w:val="xl83"/>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b/>
      <w:bCs/>
      <w:kern w:val="0"/>
      <w:sz w:val="18"/>
      <w:szCs w:val="18"/>
    </w:rPr>
  </w:style>
  <w:style w:type="paragraph" w:customStyle="1" w:styleId="107">
    <w:name w:val="段"/>
    <w:qFormat/>
    <w:uiPriority w:val="0"/>
    <w:pPr>
      <w:autoSpaceDE w:val="0"/>
      <w:autoSpaceDN w:val="0"/>
      <w:spacing w:line="360" w:lineRule="auto"/>
      <w:ind w:firstLine="200" w:firstLineChars="200"/>
      <w:jc w:val="both"/>
    </w:pPr>
    <w:rPr>
      <w:rFonts w:ascii="宋体" w:hAnsi="Times New Roman" w:eastAsia="宋体" w:cs="Times New Roman"/>
      <w:sz w:val="21"/>
      <w:lang w:val="en-US" w:eastAsia="zh-CN" w:bidi="ar-SA"/>
    </w:rPr>
  </w:style>
  <w:style w:type="paragraph" w:customStyle="1" w:styleId="108">
    <w:name w:val="章标题"/>
    <w:next w:val="107"/>
    <w:qFormat/>
    <w:uiPriority w:val="0"/>
    <w:pPr>
      <w:tabs>
        <w:tab w:val="left" w:pos="1280"/>
      </w:tabs>
      <w:spacing w:before="156" w:beforeLines="50" w:after="156" w:afterLines="50" w:line="360" w:lineRule="auto"/>
      <w:ind w:left="1280" w:hanging="720"/>
      <w:jc w:val="both"/>
      <w:outlineLvl w:val="1"/>
    </w:pPr>
    <w:rPr>
      <w:rFonts w:ascii="黑体" w:hAnsi="Times New Roman" w:eastAsia="黑体" w:cs="Times New Roman"/>
      <w:sz w:val="21"/>
      <w:lang w:val="en-US" w:eastAsia="zh-CN" w:bidi="ar-SA"/>
    </w:rPr>
  </w:style>
  <w:style w:type="paragraph" w:customStyle="1" w:styleId="109">
    <w:name w:val="表格"/>
    <w:basedOn w:val="110"/>
    <w:qFormat/>
    <w:uiPriority w:val="0"/>
    <w:pPr>
      <w:ind w:left="0" w:firstLine="0" w:firstLineChars="0"/>
      <w:jc w:val="center"/>
    </w:pPr>
    <w:rPr>
      <w:rFonts w:hAnsi="宋体"/>
      <w:color w:val="FF0000"/>
      <w:szCs w:val="21"/>
    </w:rPr>
  </w:style>
  <w:style w:type="paragraph" w:customStyle="1" w:styleId="110">
    <w:name w:val="列表2"/>
    <w:basedOn w:val="1"/>
    <w:qFormat/>
    <w:uiPriority w:val="0"/>
    <w:pPr>
      <w:widowControl/>
      <w:adjustRightInd/>
      <w:snapToGrid/>
      <w:ind w:left="200" w:hanging="200" w:hangingChars="200"/>
      <w:jc w:val="left"/>
    </w:pPr>
    <w:rPr>
      <w:rFonts w:eastAsia="宋体"/>
      <w:sz w:val="21"/>
      <w:szCs w:val="24"/>
    </w:rPr>
  </w:style>
  <w:style w:type="paragraph" w:customStyle="1" w:styleId="111">
    <w:name w:val="正文1"/>
    <w:basedOn w:val="1"/>
    <w:qFormat/>
    <w:uiPriority w:val="99"/>
    <w:pPr>
      <w:widowControl/>
      <w:snapToGrid/>
      <w:spacing w:after="120"/>
      <w:ind w:firstLine="0" w:firstLineChars="0"/>
      <w:jc w:val="left"/>
      <w:textAlignment w:val="baseline"/>
    </w:pPr>
    <w:rPr>
      <w:rFonts w:ascii="宋体" w:eastAsia="宋体"/>
      <w:kern w:val="0"/>
      <w:sz w:val="21"/>
    </w:rPr>
  </w:style>
  <w:style w:type="paragraph" w:customStyle="1" w:styleId="112">
    <w:name w:val="xl41"/>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ind w:firstLine="0" w:firstLineChars="0"/>
      <w:jc w:val="center"/>
      <w:textAlignment w:val="center"/>
    </w:pPr>
    <w:rPr>
      <w:rFonts w:ascii="Arial Unicode MS" w:hAnsi="Arial Unicode MS" w:eastAsia="宋体"/>
      <w:kern w:val="0"/>
      <w:sz w:val="20"/>
    </w:rPr>
  </w:style>
  <w:style w:type="paragraph" w:customStyle="1" w:styleId="113">
    <w:name w:val="font12"/>
    <w:basedOn w:val="1"/>
    <w:qFormat/>
    <w:uiPriority w:val="0"/>
    <w:pPr>
      <w:widowControl/>
      <w:adjustRightInd/>
      <w:snapToGrid/>
      <w:spacing w:before="100" w:beforeAutospacing="1" w:after="100" w:afterAutospacing="1"/>
      <w:ind w:firstLine="0" w:firstLineChars="0"/>
      <w:jc w:val="left"/>
    </w:pPr>
    <w:rPr>
      <w:rFonts w:eastAsia="宋体"/>
      <w:kern w:val="0"/>
      <w:sz w:val="24"/>
      <w:szCs w:val="24"/>
    </w:rPr>
  </w:style>
  <w:style w:type="paragraph" w:customStyle="1" w:styleId="114">
    <w:name w:val="样式2"/>
    <w:basedOn w:val="1"/>
    <w:qFormat/>
    <w:uiPriority w:val="0"/>
    <w:pPr>
      <w:widowControl/>
      <w:adjustRightInd/>
      <w:snapToGrid/>
      <w:ind w:firstLine="0" w:firstLineChars="0"/>
      <w:jc w:val="left"/>
    </w:pPr>
    <w:rPr>
      <w:rFonts w:ascii="仿宋_GB2312" w:hAnsi="仿宋_GB2312" w:eastAsia="仿宋_GB2312"/>
      <w:szCs w:val="24"/>
    </w:rPr>
  </w:style>
  <w:style w:type="paragraph" w:customStyle="1" w:styleId="115">
    <w:name w:val="列表1"/>
    <w:basedOn w:val="1"/>
    <w:qFormat/>
    <w:uiPriority w:val="0"/>
    <w:pPr>
      <w:widowControl/>
      <w:adjustRightInd/>
      <w:snapToGrid/>
      <w:ind w:firstLine="0" w:firstLineChars="0"/>
      <w:jc w:val="left"/>
    </w:pPr>
    <w:rPr>
      <w:rFonts w:eastAsia="仿宋_GB2312"/>
    </w:rPr>
  </w:style>
  <w:style w:type="paragraph" w:customStyle="1" w:styleId="116">
    <w:name w:val="xl2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textAlignment w:val="center"/>
    </w:pPr>
    <w:rPr>
      <w:rFonts w:hint="eastAsia" w:ascii="楷体_GB2312" w:hAnsi="宋体" w:eastAsia="楷体_GB2312"/>
      <w:kern w:val="0"/>
      <w:sz w:val="18"/>
      <w:szCs w:val="18"/>
    </w:rPr>
  </w:style>
  <w:style w:type="paragraph" w:customStyle="1" w:styleId="117">
    <w:name w:val="Char Char Char Char"/>
    <w:basedOn w:val="1"/>
    <w:qFormat/>
    <w:uiPriority w:val="0"/>
    <w:pPr>
      <w:widowControl/>
      <w:adjustRightInd/>
      <w:snapToGrid/>
      <w:ind w:firstLine="0" w:firstLineChars="0"/>
      <w:jc w:val="left"/>
    </w:pPr>
    <w:rPr>
      <w:rFonts w:eastAsia="宋体"/>
      <w:sz w:val="21"/>
      <w:szCs w:val="24"/>
    </w:rPr>
  </w:style>
  <w:style w:type="paragraph" w:customStyle="1" w:styleId="118">
    <w:name w:val="xl32"/>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ind w:firstLine="0" w:firstLineChars="0"/>
      <w:jc w:val="center"/>
      <w:textAlignment w:val="center"/>
    </w:pPr>
    <w:rPr>
      <w:rFonts w:ascii="Arial Unicode MS" w:hAnsi="Arial Unicode MS" w:eastAsia="宋体"/>
      <w:kern w:val="0"/>
      <w:sz w:val="20"/>
    </w:rPr>
  </w:style>
  <w:style w:type="paragraph" w:customStyle="1" w:styleId="119">
    <w:name w:val="xl5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pPr>
    <w:rPr>
      <w:rFonts w:ascii="Arial Unicode MS" w:hAnsi="Arial Unicode MS" w:eastAsia="Arial Unicode MS"/>
      <w:kern w:val="0"/>
      <w:sz w:val="20"/>
    </w:rPr>
  </w:style>
  <w:style w:type="paragraph" w:customStyle="1" w:styleId="120">
    <w:name w:val="xl57"/>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jc w:val="left"/>
      <w:textAlignment w:val="center"/>
    </w:pPr>
    <w:rPr>
      <w:rFonts w:ascii="Arial Unicode MS" w:hAnsi="Arial Unicode MS" w:eastAsia="Arial Unicode MS"/>
      <w:kern w:val="0"/>
      <w:sz w:val="24"/>
      <w:szCs w:val="24"/>
    </w:rPr>
  </w:style>
  <w:style w:type="paragraph" w:customStyle="1" w:styleId="121">
    <w:name w:val="正文缩进1"/>
    <w:basedOn w:val="1"/>
    <w:qFormat/>
    <w:uiPriority w:val="0"/>
    <w:pPr>
      <w:widowControl/>
      <w:adjustRightInd/>
      <w:snapToGrid/>
      <w:ind w:firstLine="420"/>
      <w:jc w:val="left"/>
    </w:pPr>
    <w:rPr>
      <w:rFonts w:eastAsia="宋体"/>
      <w:sz w:val="21"/>
      <w:szCs w:val="24"/>
    </w:rPr>
  </w:style>
  <w:style w:type="paragraph" w:customStyle="1" w:styleId="122">
    <w:name w:val="font11"/>
    <w:basedOn w:val="1"/>
    <w:qFormat/>
    <w:uiPriority w:val="0"/>
    <w:pPr>
      <w:widowControl/>
      <w:adjustRightInd/>
      <w:snapToGrid/>
      <w:spacing w:before="100" w:beforeAutospacing="1" w:after="100" w:afterAutospacing="1"/>
      <w:ind w:firstLine="0" w:firstLineChars="0"/>
      <w:jc w:val="left"/>
    </w:pPr>
    <w:rPr>
      <w:rFonts w:hint="eastAsia" w:ascii="宋体" w:hAnsi="宋体" w:eastAsia="宋体"/>
      <w:kern w:val="0"/>
      <w:sz w:val="32"/>
      <w:szCs w:val="32"/>
    </w:rPr>
  </w:style>
  <w:style w:type="paragraph" w:customStyle="1" w:styleId="123">
    <w:name w:val="xl22"/>
    <w:basedOn w:val="1"/>
    <w:qFormat/>
    <w:uiPriority w:val="0"/>
    <w:pPr>
      <w:widowControl/>
      <w:pBdr>
        <w:left w:val="single" w:color="auto" w:sz="6" w:space="0"/>
        <w:bottom w:val="single" w:color="auto" w:sz="6" w:space="0"/>
        <w:right w:val="single" w:color="auto" w:sz="6" w:space="0"/>
      </w:pBdr>
      <w:snapToGrid/>
      <w:spacing w:before="100" w:after="100"/>
      <w:ind w:firstLine="0" w:firstLineChars="0"/>
      <w:jc w:val="center"/>
      <w:textAlignment w:val="baseline"/>
    </w:pPr>
    <w:rPr>
      <w:rFonts w:ascii="宋体" w:hAnsi="宋体" w:eastAsia="宋体"/>
      <w:kern w:val="0"/>
      <w:sz w:val="24"/>
    </w:rPr>
  </w:style>
  <w:style w:type="paragraph" w:customStyle="1" w:styleId="124">
    <w:name w:val="普通(网站)1"/>
    <w:basedOn w:val="1"/>
    <w:qFormat/>
    <w:uiPriority w:val="0"/>
    <w:pPr>
      <w:widowControl/>
      <w:adjustRightInd/>
      <w:snapToGrid/>
      <w:spacing w:before="100" w:beforeAutospacing="1" w:after="100" w:afterAutospacing="1"/>
      <w:ind w:firstLine="0" w:firstLineChars="0"/>
      <w:jc w:val="left"/>
    </w:pPr>
    <w:rPr>
      <w:rFonts w:ascii="宋体" w:hAnsi="宋体" w:eastAsia="宋体" w:cs="宋体"/>
      <w:kern w:val="0"/>
      <w:sz w:val="24"/>
      <w:szCs w:val="24"/>
    </w:rPr>
  </w:style>
  <w:style w:type="paragraph" w:customStyle="1" w:styleId="125">
    <w:name w:val="xl63"/>
    <w:basedOn w:val="1"/>
    <w:qFormat/>
    <w:uiPriority w:val="0"/>
    <w:pPr>
      <w:widowControl/>
      <w:pBdr>
        <w:top w:val="single" w:color="auto" w:sz="4" w:space="0"/>
        <w:left w:val="single" w:color="auto" w:sz="4" w:space="0"/>
        <w:bottom w:val="single" w:color="auto" w:sz="8" w:space="0"/>
        <w:right w:val="single" w:color="auto" w:sz="4" w:space="0"/>
      </w:pBdr>
      <w:adjustRightInd/>
      <w:snapToGrid/>
      <w:spacing w:before="100" w:beforeAutospacing="1" w:after="100" w:afterAutospacing="1"/>
      <w:jc w:val="left"/>
      <w:textAlignment w:val="center"/>
    </w:pPr>
    <w:rPr>
      <w:rFonts w:ascii="Arial Unicode MS" w:hAnsi="Arial Unicode MS" w:eastAsia="Arial Unicode MS"/>
      <w:b/>
      <w:bCs/>
      <w:kern w:val="0"/>
      <w:sz w:val="24"/>
      <w:szCs w:val="24"/>
    </w:rPr>
  </w:style>
  <w:style w:type="paragraph" w:customStyle="1" w:styleId="126">
    <w:name w:val="xl76"/>
    <w:basedOn w:val="1"/>
    <w:qFormat/>
    <w:uiPriority w:val="0"/>
    <w:pPr>
      <w:widowControl/>
      <w:pBdr>
        <w:top w:val="single" w:color="auto" w:sz="4" w:space="0"/>
        <w:left w:val="single" w:color="auto" w:sz="4" w:space="0"/>
        <w:bottom w:val="single" w:color="auto" w:sz="4" w:space="0"/>
        <w:right w:val="single" w:color="auto" w:sz="8" w:space="0"/>
      </w:pBdr>
      <w:adjustRightInd/>
      <w:snapToGrid/>
      <w:spacing w:before="100" w:beforeAutospacing="1" w:after="100" w:afterAutospacing="1"/>
      <w:ind w:firstLine="0" w:firstLineChars="0"/>
      <w:jc w:val="center"/>
    </w:pPr>
    <w:rPr>
      <w:rFonts w:hint="eastAsia" w:ascii="宋体" w:hAnsi="宋体" w:eastAsia="宋体" w:cs="Arial Unicode MS"/>
      <w:color w:val="000000"/>
      <w:kern w:val="0"/>
      <w:sz w:val="24"/>
      <w:szCs w:val="24"/>
    </w:rPr>
  </w:style>
  <w:style w:type="paragraph" w:customStyle="1" w:styleId="127">
    <w:name w:val="文本"/>
    <w:basedOn w:val="1"/>
    <w:qFormat/>
    <w:uiPriority w:val="0"/>
    <w:pPr>
      <w:widowControl/>
      <w:adjustRightInd/>
      <w:snapToGrid/>
      <w:spacing w:before="120"/>
      <w:ind w:firstLine="480"/>
      <w:jc w:val="left"/>
    </w:pPr>
    <w:rPr>
      <w:rFonts w:ascii="宋体" w:hAnsi="宋体" w:eastAsia="宋体"/>
      <w:kern w:val="28"/>
      <w:sz w:val="24"/>
      <w:szCs w:val="24"/>
    </w:rPr>
  </w:style>
  <w:style w:type="paragraph" w:customStyle="1" w:styleId="128">
    <w:name w:val="1"/>
    <w:basedOn w:val="1"/>
    <w:next w:val="1"/>
    <w:qFormat/>
    <w:uiPriority w:val="0"/>
    <w:pPr>
      <w:widowControl/>
      <w:adjustRightInd/>
      <w:snapToGrid/>
      <w:ind w:firstLine="420"/>
      <w:jc w:val="left"/>
    </w:pPr>
    <w:rPr>
      <w:rFonts w:eastAsia="宋体"/>
      <w:szCs w:val="24"/>
    </w:rPr>
  </w:style>
  <w:style w:type="paragraph" w:customStyle="1" w:styleId="129">
    <w:name w:val="Char"/>
    <w:basedOn w:val="1"/>
    <w:qFormat/>
    <w:uiPriority w:val="0"/>
    <w:pPr>
      <w:widowControl/>
      <w:adjustRightInd/>
      <w:snapToGrid/>
      <w:ind w:firstLine="0" w:firstLineChars="0"/>
      <w:jc w:val="left"/>
    </w:pPr>
    <w:rPr>
      <w:rFonts w:ascii="宋体" w:hAnsi="宋体" w:eastAsia="宋体" w:cs="Courier New"/>
      <w:sz w:val="32"/>
      <w:szCs w:val="32"/>
    </w:rPr>
  </w:style>
  <w:style w:type="paragraph" w:customStyle="1" w:styleId="130">
    <w:name w:val="文本块1"/>
    <w:basedOn w:val="1"/>
    <w:qFormat/>
    <w:uiPriority w:val="0"/>
    <w:pPr>
      <w:widowControl/>
      <w:adjustRightInd/>
      <w:snapToGrid/>
      <w:ind w:left="1399" w:leftChars="666" w:right="1504" w:rightChars="716" w:firstLine="0" w:firstLineChars="0"/>
      <w:jc w:val="left"/>
    </w:pPr>
    <w:rPr>
      <w:rFonts w:eastAsia="宋体"/>
      <w:snapToGrid w:val="0"/>
      <w:sz w:val="21"/>
    </w:rPr>
  </w:style>
  <w:style w:type="paragraph" w:customStyle="1" w:styleId="131">
    <w:name w:val="索引标题1"/>
    <w:basedOn w:val="1"/>
    <w:next w:val="132"/>
    <w:qFormat/>
    <w:uiPriority w:val="0"/>
    <w:pPr>
      <w:widowControl/>
      <w:adjustRightInd/>
      <w:snapToGrid/>
      <w:ind w:firstLine="0" w:firstLineChars="0"/>
      <w:jc w:val="left"/>
    </w:pPr>
    <w:rPr>
      <w:rFonts w:eastAsia="宋体"/>
      <w:sz w:val="21"/>
      <w:szCs w:val="24"/>
    </w:rPr>
  </w:style>
  <w:style w:type="paragraph" w:customStyle="1" w:styleId="132">
    <w:name w:val="索引 11"/>
    <w:basedOn w:val="1"/>
    <w:next w:val="1"/>
    <w:qFormat/>
    <w:uiPriority w:val="0"/>
    <w:pPr>
      <w:widowControl/>
      <w:adjustRightInd/>
      <w:snapToGrid/>
      <w:ind w:firstLine="0" w:firstLineChars="0"/>
      <w:jc w:val="left"/>
    </w:pPr>
    <w:rPr>
      <w:rFonts w:eastAsia="宋体"/>
      <w:sz w:val="21"/>
      <w:szCs w:val="24"/>
    </w:rPr>
  </w:style>
  <w:style w:type="paragraph" w:customStyle="1" w:styleId="133">
    <w:name w:val="节标题"/>
    <w:basedOn w:val="1"/>
    <w:next w:val="121"/>
    <w:qFormat/>
    <w:uiPriority w:val="0"/>
    <w:pPr>
      <w:keepNext/>
      <w:keepLines/>
      <w:widowControl/>
      <w:adjustRightInd/>
      <w:snapToGrid/>
      <w:jc w:val="center"/>
      <w:textAlignment w:val="center"/>
    </w:pPr>
    <w:rPr>
      <w:rFonts w:eastAsia="宋体"/>
      <w:b/>
      <w:sz w:val="24"/>
      <w:szCs w:val="24"/>
    </w:rPr>
  </w:style>
  <w:style w:type="paragraph" w:customStyle="1" w:styleId="134">
    <w:name w:val="Char Char1 Char"/>
    <w:basedOn w:val="1"/>
    <w:qFormat/>
    <w:uiPriority w:val="0"/>
    <w:pPr>
      <w:widowControl/>
      <w:adjustRightInd/>
      <w:snapToGrid/>
      <w:jc w:val="left"/>
    </w:pPr>
    <w:rPr>
      <w:rFonts w:ascii="Tahoma" w:hAnsi="Tahoma" w:eastAsia="宋体"/>
      <w:sz w:val="21"/>
    </w:rPr>
  </w:style>
  <w:style w:type="paragraph" w:customStyle="1" w:styleId="135">
    <w:name w:val="前言、引言标题"/>
    <w:next w:val="1"/>
    <w:qFormat/>
    <w:uiPriority w:val="0"/>
    <w:pPr>
      <w:shd w:val="clear" w:color="FFFFFF" w:fill="FFFFFF"/>
      <w:tabs>
        <w:tab w:val="left" w:pos="1443"/>
      </w:tabs>
      <w:spacing w:before="640" w:after="560" w:line="360" w:lineRule="auto"/>
      <w:ind w:left="1443" w:hanging="720"/>
      <w:jc w:val="center"/>
      <w:outlineLvl w:val="0"/>
    </w:pPr>
    <w:rPr>
      <w:rFonts w:ascii="黑体" w:hAnsi="Times New Roman" w:eastAsia="黑体" w:cs="Times New Roman"/>
      <w:sz w:val="32"/>
      <w:lang w:val="en-US" w:eastAsia="zh-CN" w:bidi="ar-SA"/>
    </w:rPr>
  </w:style>
  <w:style w:type="paragraph" w:customStyle="1" w:styleId="136">
    <w:name w:val="列出段落1"/>
    <w:basedOn w:val="1"/>
    <w:qFormat/>
    <w:uiPriority w:val="0"/>
    <w:pPr>
      <w:ind w:firstLine="420"/>
    </w:pPr>
  </w:style>
  <w:style w:type="paragraph" w:customStyle="1" w:styleId="137">
    <w:name w:val="xl73"/>
    <w:basedOn w:val="1"/>
    <w:qFormat/>
    <w:uiPriority w:val="0"/>
    <w:pPr>
      <w:widowControl/>
      <w:pBdr>
        <w:top w:val="single" w:color="auto" w:sz="4" w:space="0"/>
        <w:left w:val="single" w:color="auto" w:sz="4" w:space="0"/>
        <w:bottom w:val="single" w:color="auto" w:sz="4" w:space="0"/>
        <w:right w:val="single" w:color="auto" w:sz="8" w:space="0"/>
      </w:pBdr>
      <w:adjustRightInd/>
      <w:snapToGrid/>
      <w:spacing w:before="100" w:beforeAutospacing="1" w:after="100" w:afterAutospacing="1"/>
      <w:ind w:firstLine="0" w:firstLineChars="0"/>
      <w:jc w:val="center"/>
    </w:pPr>
    <w:rPr>
      <w:rFonts w:hint="eastAsia" w:ascii="宋体" w:hAnsi="宋体" w:eastAsia="宋体" w:cs="Arial Unicode MS"/>
      <w:kern w:val="0"/>
      <w:sz w:val="24"/>
      <w:szCs w:val="24"/>
    </w:rPr>
  </w:style>
  <w:style w:type="paragraph" w:customStyle="1" w:styleId="138">
    <w:name w:val="2"/>
    <w:basedOn w:val="1"/>
    <w:next w:val="1"/>
    <w:qFormat/>
    <w:uiPriority w:val="0"/>
    <w:pPr>
      <w:widowControl/>
      <w:adjustRightInd/>
      <w:snapToGrid/>
      <w:ind w:firstLine="420"/>
      <w:jc w:val="left"/>
    </w:pPr>
    <w:rPr>
      <w:rFonts w:eastAsia="宋体"/>
      <w:szCs w:val="24"/>
    </w:rPr>
  </w:style>
  <w:style w:type="paragraph" w:customStyle="1" w:styleId="139">
    <w:name w:val="样式1"/>
    <w:basedOn w:val="16"/>
    <w:qFormat/>
    <w:uiPriority w:val="0"/>
    <w:pPr>
      <w:adjustRightInd w:val="0"/>
      <w:snapToGrid w:val="0"/>
      <w:spacing w:line="300" w:lineRule="auto"/>
      <w:ind w:firstLine="561"/>
    </w:pPr>
    <w:rPr>
      <w:rFonts w:ascii="仿宋_GB2312" w:hAnsi="仿宋_GB2312" w:eastAsia="仿宋_GB2312"/>
      <w:sz w:val="28"/>
    </w:rPr>
  </w:style>
  <w:style w:type="paragraph" w:customStyle="1" w:styleId="140">
    <w:name w:val="xl58"/>
    <w:basedOn w:val="1"/>
    <w:qFormat/>
    <w:uiPriority w:val="0"/>
    <w:pPr>
      <w:widowControl/>
      <w:pBdr>
        <w:top w:val="single" w:color="auto" w:sz="4" w:space="0"/>
        <w:left w:val="single" w:color="auto" w:sz="4" w:space="0"/>
        <w:right w:val="single" w:color="auto" w:sz="8" w:space="0"/>
      </w:pBdr>
      <w:adjustRightInd/>
      <w:snapToGrid/>
      <w:spacing w:before="100" w:beforeAutospacing="1" w:after="100" w:afterAutospacing="1"/>
      <w:jc w:val="left"/>
      <w:textAlignment w:val="center"/>
    </w:pPr>
    <w:rPr>
      <w:rFonts w:ascii="Arial Unicode MS" w:hAnsi="Arial Unicode MS" w:eastAsia="Arial Unicode MS"/>
      <w:kern w:val="0"/>
      <w:sz w:val="24"/>
      <w:szCs w:val="24"/>
    </w:rPr>
  </w:style>
  <w:style w:type="paragraph" w:customStyle="1" w:styleId="141">
    <w:name w:val="样式3"/>
    <w:basedOn w:val="16"/>
    <w:next w:val="114"/>
    <w:qFormat/>
    <w:uiPriority w:val="0"/>
    <w:rPr>
      <w:rFonts w:ascii="仿宋_GB2312" w:hAnsi="仿宋_GB2312" w:eastAsia="仿宋_GB2312"/>
      <w:sz w:val="28"/>
    </w:rPr>
  </w:style>
  <w:style w:type="paragraph" w:customStyle="1" w:styleId="142">
    <w:name w:val="font0"/>
    <w:basedOn w:val="1"/>
    <w:qFormat/>
    <w:uiPriority w:val="0"/>
    <w:pPr>
      <w:widowControl/>
      <w:adjustRightInd/>
      <w:snapToGrid/>
      <w:spacing w:before="100" w:beforeAutospacing="1" w:after="100" w:afterAutospacing="1"/>
      <w:ind w:firstLine="0" w:firstLineChars="0"/>
      <w:jc w:val="left"/>
    </w:pPr>
    <w:rPr>
      <w:rFonts w:hint="eastAsia" w:ascii="宋体" w:hAnsi="宋体" w:eastAsia="宋体"/>
      <w:kern w:val="0"/>
      <w:sz w:val="24"/>
      <w:szCs w:val="24"/>
    </w:rPr>
  </w:style>
  <w:style w:type="paragraph" w:customStyle="1" w:styleId="143">
    <w:name w:val="xl4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textAlignment w:val="bottom"/>
    </w:pPr>
    <w:rPr>
      <w:rFonts w:ascii="宋体" w:hAnsi="宋体" w:eastAsia="宋体"/>
      <w:kern w:val="0"/>
      <w:sz w:val="24"/>
      <w:szCs w:val="24"/>
    </w:rPr>
  </w:style>
  <w:style w:type="paragraph" w:customStyle="1" w:styleId="144">
    <w:name w:val="font1"/>
    <w:basedOn w:val="1"/>
    <w:qFormat/>
    <w:uiPriority w:val="0"/>
    <w:pPr>
      <w:widowControl/>
      <w:adjustRightInd/>
      <w:snapToGrid/>
      <w:spacing w:before="100" w:beforeAutospacing="1" w:after="100" w:afterAutospacing="1"/>
      <w:ind w:firstLine="0" w:firstLineChars="0"/>
      <w:jc w:val="left"/>
    </w:pPr>
    <w:rPr>
      <w:rFonts w:hint="eastAsia" w:ascii="宋体" w:hAnsi="宋体" w:eastAsia="宋体"/>
      <w:kern w:val="0"/>
      <w:sz w:val="24"/>
      <w:szCs w:val="24"/>
    </w:rPr>
  </w:style>
  <w:style w:type="paragraph" w:customStyle="1" w:styleId="145">
    <w:name w:val="xl5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left"/>
      <w:textAlignment w:val="center"/>
    </w:pPr>
    <w:rPr>
      <w:rFonts w:eastAsia="Arial Unicode MS"/>
      <w:kern w:val="0"/>
      <w:sz w:val="24"/>
      <w:szCs w:val="24"/>
    </w:rPr>
  </w:style>
  <w:style w:type="paragraph" w:customStyle="1" w:styleId="146">
    <w:name w:val="font5"/>
    <w:basedOn w:val="1"/>
    <w:qFormat/>
    <w:uiPriority w:val="0"/>
    <w:pPr>
      <w:widowControl/>
      <w:adjustRightInd/>
      <w:snapToGrid/>
      <w:spacing w:before="100" w:beforeAutospacing="1" w:after="100" w:afterAutospacing="1"/>
      <w:ind w:firstLine="0" w:firstLineChars="0"/>
      <w:jc w:val="left"/>
    </w:pPr>
    <w:rPr>
      <w:rFonts w:hint="eastAsia" w:ascii="宋体" w:hAnsi="宋体" w:eastAsia="宋体"/>
      <w:kern w:val="0"/>
      <w:sz w:val="18"/>
      <w:szCs w:val="18"/>
    </w:rPr>
  </w:style>
  <w:style w:type="paragraph" w:customStyle="1" w:styleId="147">
    <w:name w:val="font6"/>
    <w:basedOn w:val="1"/>
    <w:qFormat/>
    <w:uiPriority w:val="0"/>
    <w:pPr>
      <w:widowControl/>
      <w:adjustRightInd/>
      <w:snapToGrid/>
      <w:spacing w:before="100" w:beforeAutospacing="1" w:after="100" w:afterAutospacing="1"/>
      <w:ind w:firstLine="0" w:firstLineChars="0"/>
      <w:jc w:val="left"/>
    </w:pPr>
    <w:rPr>
      <w:rFonts w:hint="eastAsia" w:ascii="宋体" w:hAnsi="宋体" w:eastAsia="宋体"/>
      <w:kern w:val="0"/>
      <w:sz w:val="21"/>
      <w:szCs w:val="21"/>
    </w:rPr>
  </w:style>
  <w:style w:type="paragraph" w:customStyle="1" w:styleId="148">
    <w:name w:val="font7"/>
    <w:basedOn w:val="1"/>
    <w:qFormat/>
    <w:uiPriority w:val="0"/>
    <w:pPr>
      <w:widowControl/>
      <w:adjustRightInd/>
      <w:snapToGrid/>
      <w:spacing w:before="100" w:beforeAutospacing="1" w:after="100" w:afterAutospacing="1"/>
      <w:ind w:firstLine="0" w:firstLineChars="0"/>
      <w:jc w:val="left"/>
    </w:pPr>
    <w:rPr>
      <w:rFonts w:eastAsia="宋体"/>
      <w:kern w:val="0"/>
      <w:sz w:val="21"/>
      <w:szCs w:val="21"/>
    </w:rPr>
  </w:style>
  <w:style w:type="paragraph" w:customStyle="1" w:styleId="149">
    <w:name w:val="font8"/>
    <w:basedOn w:val="1"/>
    <w:qFormat/>
    <w:uiPriority w:val="0"/>
    <w:pPr>
      <w:widowControl/>
      <w:adjustRightInd/>
      <w:snapToGrid/>
      <w:spacing w:before="100" w:beforeAutospacing="1" w:after="100" w:afterAutospacing="1"/>
      <w:ind w:firstLine="0" w:firstLineChars="0"/>
      <w:jc w:val="left"/>
    </w:pPr>
    <w:rPr>
      <w:rFonts w:eastAsia="宋体"/>
      <w:kern w:val="0"/>
      <w:sz w:val="24"/>
      <w:szCs w:val="24"/>
    </w:rPr>
  </w:style>
  <w:style w:type="paragraph" w:customStyle="1" w:styleId="150">
    <w:name w:val="xl2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textAlignment w:val="center"/>
    </w:pPr>
    <w:rPr>
      <w:rFonts w:ascii="Arial Unicode MS" w:hAnsi="Arial Unicode MS" w:eastAsia="宋体"/>
      <w:kern w:val="0"/>
      <w:sz w:val="21"/>
      <w:szCs w:val="21"/>
    </w:rPr>
  </w:style>
  <w:style w:type="paragraph" w:customStyle="1" w:styleId="151">
    <w:name w:val="xl7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right"/>
    </w:pPr>
    <w:rPr>
      <w:rFonts w:hint="eastAsia" w:ascii="宋体" w:hAnsi="宋体" w:eastAsia="宋体" w:cs="Arial Unicode MS"/>
      <w:kern w:val="0"/>
      <w:sz w:val="24"/>
      <w:szCs w:val="24"/>
    </w:rPr>
  </w:style>
  <w:style w:type="paragraph" w:customStyle="1" w:styleId="152">
    <w:name w:val="xl2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textAlignment w:val="center"/>
    </w:pPr>
    <w:rPr>
      <w:rFonts w:eastAsia="宋体"/>
      <w:kern w:val="0"/>
      <w:sz w:val="24"/>
      <w:szCs w:val="24"/>
    </w:rPr>
  </w:style>
  <w:style w:type="paragraph" w:customStyle="1" w:styleId="153">
    <w:name w:val="pic-info"/>
    <w:basedOn w:val="1"/>
    <w:qFormat/>
    <w:uiPriority w:val="0"/>
    <w:pPr>
      <w:widowControl/>
      <w:adjustRightInd/>
      <w:snapToGrid/>
      <w:ind w:firstLine="0" w:firstLineChars="0"/>
      <w:jc w:val="left"/>
    </w:pPr>
    <w:rPr>
      <w:rFonts w:ascii="Arial Unicode MS" w:hAnsi="Arial Unicode MS" w:eastAsia="宋体"/>
      <w:kern w:val="0"/>
      <w:sz w:val="24"/>
      <w:szCs w:val="24"/>
    </w:rPr>
  </w:style>
  <w:style w:type="paragraph" w:customStyle="1" w:styleId="154">
    <w:name w:val="xl2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textAlignment w:val="center"/>
    </w:pPr>
    <w:rPr>
      <w:rFonts w:eastAsia="宋体"/>
      <w:kern w:val="0"/>
      <w:sz w:val="20"/>
    </w:rPr>
  </w:style>
  <w:style w:type="paragraph" w:customStyle="1" w:styleId="155">
    <w:name w:val="xl2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textAlignment w:val="center"/>
    </w:pPr>
    <w:rPr>
      <w:rFonts w:ascii="Arial Unicode MS" w:hAnsi="Arial Unicode MS" w:eastAsia="宋体"/>
      <w:kern w:val="0"/>
      <w:sz w:val="20"/>
    </w:rPr>
  </w:style>
  <w:style w:type="paragraph" w:customStyle="1" w:styleId="156">
    <w:name w:val="xl3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textAlignment w:val="center"/>
    </w:pPr>
    <w:rPr>
      <w:rFonts w:ascii="Arial Unicode MS" w:hAnsi="Arial Unicode MS" w:eastAsia="宋体"/>
      <w:kern w:val="0"/>
      <w:sz w:val="20"/>
    </w:rPr>
  </w:style>
  <w:style w:type="paragraph" w:customStyle="1" w:styleId="157">
    <w:name w:val="xl34"/>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ind w:firstLine="0" w:firstLineChars="0"/>
      <w:jc w:val="center"/>
      <w:textAlignment w:val="center"/>
    </w:pPr>
    <w:rPr>
      <w:rFonts w:ascii="Arial Unicode MS" w:hAnsi="Arial Unicode MS" w:eastAsia="宋体"/>
      <w:kern w:val="0"/>
      <w:sz w:val="20"/>
    </w:rPr>
  </w:style>
  <w:style w:type="paragraph" w:customStyle="1" w:styleId="158">
    <w:name w:val="样式 表格 + 字符缩放: 90% 行距: 固定值 12 磅"/>
    <w:basedOn w:val="109"/>
    <w:qFormat/>
    <w:uiPriority w:val="0"/>
    <w:pPr>
      <w:adjustRightInd w:val="0"/>
      <w:snapToGrid w:val="0"/>
      <w:spacing w:line="200" w:lineRule="exact"/>
    </w:pPr>
    <w:rPr>
      <w:rFonts w:ascii="宋体" w:cs="宋体"/>
      <w:color w:val="000000"/>
      <w:w w:val="90"/>
    </w:rPr>
  </w:style>
  <w:style w:type="paragraph" w:customStyle="1" w:styleId="159">
    <w:name w:val="xl35"/>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ind w:firstLine="0" w:firstLineChars="0"/>
      <w:jc w:val="center"/>
      <w:textAlignment w:val="center"/>
    </w:pPr>
    <w:rPr>
      <w:rFonts w:eastAsia="宋体"/>
      <w:kern w:val="0"/>
      <w:sz w:val="20"/>
    </w:rPr>
  </w:style>
  <w:style w:type="paragraph" w:customStyle="1" w:styleId="160">
    <w:name w:val="xl36"/>
    <w:basedOn w:val="1"/>
    <w:qFormat/>
    <w:uiPriority w:val="0"/>
    <w:pPr>
      <w:widowControl/>
      <w:pBdr>
        <w:left w:val="single" w:color="auto" w:sz="4" w:space="0"/>
        <w:right w:val="single" w:color="auto" w:sz="4" w:space="0"/>
      </w:pBdr>
      <w:adjustRightInd/>
      <w:snapToGrid/>
      <w:spacing w:before="100" w:beforeAutospacing="1" w:after="100" w:afterAutospacing="1"/>
      <w:ind w:firstLine="0" w:firstLineChars="0"/>
      <w:jc w:val="center"/>
      <w:textAlignment w:val="center"/>
    </w:pPr>
    <w:rPr>
      <w:rFonts w:ascii="Arial Unicode MS" w:hAnsi="Arial Unicode MS" w:eastAsia="宋体"/>
      <w:kern w:val="0"/>
      <w:sz w:val="20"/>
    </w:rPr>
  </w:style>
  <w:style w:type="paragraph" w:customStyle="1" w:styleId="161">
    <w:name w:val="xl80"/>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kern w:val="0"/>
      <w:sz w:val="16"/>
      <w:szCs w:val="16"/>
    </w:rPr>
  </w:style>
  <w:style w:type="paragraph" w:customStyle="1" w:styleId="162">
    <w:name w:val="xl37"/>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textAlignment w:val="center"/>
    </w:pPr>
    <w:rPr>
      <w:rFonts w:ascii="Arial Unicode MS" w:hAnsi="Arial Unicode MS" w:eastAsia="宋体"/>
      <w:kern w:val="0"/>
      <w:sz w:val="20"/>
    </w:rPr>
  </w:style>
  <w:style w:type="paragraph" w:customStyle="1" w:styleId="163">
    <w:name w:val="xl38"/>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ind w:firstLine="0" w:firstLineChars="0"/>
      <w:jc w:val="center"/>
      <w:textAlignment w:val="center"/>
    </w:pPr>
    <w:rPr>
      <w:rFonts w:ascii="Arial Unicode MS" w:hAnsi="Arial Unicode MS" w:eastAsia="宋体"/>
      <w:kern w:val="0"/>
      <w:sz w:val="20"/>
    </w:rPr>
  </w:style>
  <w:style w:type="paragraph" w:customStyle="1" w:styleId="164">
    <w:name w:val="xl39"/>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textAlignment w:val="center"/>
    </w:pPr>
    <w:rPr>
      <w:rFonts w:ascii="Arial Unicode MS" w:hAnsi="Arial Unicode MS" w:eastAsia="宋体"/>
      <w:kern w:val="0"/>
      <w:sz w:val="20"/>
    </w:rPr>
  </w:style>
  <w:style w:type="paragraph" w:customStyle="1" w:styleId="165">
    <w:name w:val="xl4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pPr>
    <w:rPr>
      <w:rFonts w:ascii="宋体" w:hAnsi="宋体" w:eastAsia="宋体"/>
      <w:kern w:val="0"/>
      <w:sz w:val="24"/>
      <w:szCs w:val="24"/>
    </w:rPr>
  </w:style>
  <w:style w:type="paragraph" w:customStyle="1" w:styleId="166">
    <w:name w:val="xl40"/>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ind w:firstLine="0" w:firstLineChars="0"/>
      <w:jc w:val="center"/>
      <w:textAlignment w:val="center"/>
    </w:pPr>
    <w:rPr>
      <w:rFonts w:ascii="Arial Unicode MS" w:hAnsi="Arial Unicode MS" w:eastAsia="宋体"/>
      <w:kern w:val="0"/>
      <w:sz w:val="20"/>
    </w:rPr>
  </w:style>
  <w:style w:type="paragraph" w:customStyle="1" w:styleId="167">
    <w:name w:val="xl42"/>
    <w:basedOn w:val="1"/>
    <w:qFormat/>
    <w:uiPriority w:val="0"/>
    <w:pPr>
      <w:widowControl/>
      <w:pBdr>
        <w:top w:val="single" w:color="auto" w:sz="4" w:space="0"/>
        <w:bottom w:val="single" w:color="auto" w:sz="4" w:space="0"/>
      </w:pBdr>
      <w:adjustRightInd/>
      <w:snapToGrid/>
      <w:spacing w:before="100" w:beforeAutospacing="1" w:after="100" w:afterAutospacing="1"/>
      <w:ind w:firstLine="0" w:firstLineChars="0"/>
      <w:jc w:val="center"/>
      <w:textAlignment w:val="center"/>
    </w:pPr>
    <w:rPr>
      <w:rFonts w:ascii="Arial Unicode MS" w:hAnsi="Arial Unicode MS" w:eastAsia="宋体"/>
      <w:kern w:val="0"/>
      <w:sz w:val="20"/>
    </w:rPr>
  </w:style>
  <w:style w:type="paragraph" w:customStyle="1" w:styleId="168">
    <w:name w:val="xl43"/>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ind w:firstLine="0" w:firstLineChars="0"/>
      <w:jc w:val="center"/>
      <w:textAlignment w:val="center"/>
    </w:pPr>
    <w:rPr>
      <w:rFonts w:ascii="Arial Unicode MS" w:hAnsi="Arial Unicode MS" w:eastAsia="宋体"/>
      <w:kern w:val="0"/>
      <w:sz w:val="20"/>
    </w:rPr>
  </w:style>
  <w:style w:type="paragraph" w:customStyle="1" w:styleId="169">
    <w:name w:val="xl4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pPr>
    <w:rPr>
      <w:rFonts w:ascii="Arial Unicode MS" w:hAnsi="Arial Unicode MS" w:eastAsia="Arial Unicode MS"/>
      <w:kern w:val="0"/>
      <w:sz w:val="20"/>
    </w:rPr>
  </w:style>
  <w:style w:type="paragraph" w:customStyle="1" w:styleId="170">
    <w:name w:val="默认段落字体 Para Char"/>
    <w:basedOn w:val="8"/>
    <w:qFormat/>
    <w:uiPriority w:val="0"/>
    <w:pPr>
      <w:tabs>
        <w:tab w:val="left" w:pos="1440"/>
      </w:tabs>
      <w:adjustRightInd/>
      <w:snapToGrid/>
      <w:spacing w:before="240" w:line="320" w:lineRule="auto"/>
    </w:pPr>
    <w:rPr>
      <w:rFonts w:ascii="Arial" w:hAnsi="Arial"/>
      <w:szCs w:val="24"/>
    </w:rPr>
  </w:style>
  <w:style w:type="paragraph" w:customStyle="1" w:styleId="171">
    <w:name w:val="font9"/>
    <w:basedOn w:val="1"/>
    <w:qFormat/>
    <w:uiPriority w:val="0"/>
    <w:pPr>
      <w:widowControl/>
      <w:adjustRightInd/>
      <w:snapToGrid/>
      <w:spacing w:before="100" w:beforeAutospacing="1" w:after="100" w:afterAutospacing="1"/>
      <w:ind w:firstLine="0" w:firstLineChars="0"/>
      <w:jc w:val="left"/>
    </w:pPr>
    <w:rPr>
      <w:rFonts w:eastAsia="宋体"/>
      <w:kern w:val="0"/>
      <w:sz w:val="20"/>
    </w:rPr>
  </w:style>
  <w:style w:type="paragraph" w:customStyle="1" w:styleId="172">
    <w:name w:val="font10"/>
    <w:basedOn w:val="1"/>
    <w:qFormat/>
    <w:uiPriority w:val="0"/>
    <w:pPr>
      <w:widowControl/>
      <w:adjustRightInd/>
      <w:snapToGrid/>
      <w:spacing w:before="100" w:beforeAutospacing="1" w:after="100" w:afterAutospacing="1"/>
      <w:ind w:firstLine="0" w:firstLineChars="0"/>
      <w:jc w:val="left"/>
    </w:pPr>
    <w:rPr>
      <w:rFonts w:eastAsia="宋体"/>
      <w:kern w:val="0"/>
      <w:sz w:val="32"/>
      <w:szCs w:val="32"/>
    </w:rPr>
  </w:style>
  <w:style w:type="paragraph" w:customStyle="1" w:styleId="173">
    <w:name w:val="xl4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textAlignment w:val="bottom"/>
    </w:pPr>
    <w:rPr>
      <w:rFonts w:ascii="宋体" w:hAnsi="宋体" w:eastAsia="宋体"/>
      <w:kern w:val="0"/>
      <w:sz w:val="24"/>
      <w:szCs w:val="24"/>
    </w:rPr>
  </w:style>
  <w:style w:type="paragraph" w:customStyle="1" w:styleId="174">
    <w:name w:val="xl47"/>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ind w:firstLine="0" w:firstLineChars="0"/>
      <w:jc w:val="center"/>
    </w:pPr>
    <w:rPr>
      <w:rFonts w:eastAsia="宋体"/>
      <w:kern w:val="0"/>
      <w:sz w:val="22"/>
      <w:szCs w:val="22"/>
    </w:rPr>
  </w:style>
  <w:style w:type="paragraph" w:customStyle="1" w:styleId="175">
    <w:name w:val="正文（首行缩进两字）"/>
    <w:basedOn w:val="1"/>
    <w:qFormat/>
    <w:uiPriority w:val="0"/>
    <w:pPr>
      <w:widowControl/>
      <w:adjustRightInd/>
      <w:snapToGrid/>
      <w:ind w:firstLine="0" w:firstLineChars="0"/>
      <w:jc w:val="left"/>
    </w:pPr>
    <w:rPr>
      <w:rFonts w:eastAsia="宋体"/>
      <w:sz w:val="21"/>
      <w:szCs w:val="21"/>
    </w:rPr>
  </w:style>
  <w:style w:type="paragraph" w:customStyle="1" w:styleId="176">
    <w:name w:val="可研-表格正文"/>
    <w:basedOn w:val="1"/>
    <w:qFormat/>
    <w:uiPriority w:val="0"/>
    <w:pPr>
      <w:widowControl/>
      <w:adjustRightInd/>
      <w:snapToGrid/>
      <w:spacing w:line="0" w:lineRule="atLeast"/>
      <w:ind w:firstLine="0" w:firstLineChars="0"/>
      <w:jc w:val="left"/>
    </w:pPr>
    <w:rPr>
      <w:rFonts w:ascii="宋体" w:eastAsia="宋体"/>
      <w:sz w:val="24"/>
      <w:szCs w:val="24"/>
    </w:rPr>
  </w:style>
  <w:style w:type="paragraph" w:customStyle="1" w:styleId="177">
    <w:name w:val="Char1 Char Char Char Char Char Char"/>
    <w:basedOn w:val="1"/>
    <w:qFormat/>
    <w:uiPriority w:val="0"/>
    <w:pPr>
      <w:widowControl/>
      <w:adjustRightInd/>
      <w:snapToGrid/>
      <w:spacing w:after="160" w:line="240" w:lineRule="exact"/>
      <w:ind w:firstLine="0" w:firstLineChars="0"/>
      <w:jc w:val="left"/>
    </w:pPr>
    <w:rPr>
      <w:rFonts w:ascii="Arial" w:hAnsi="Arial" w:eastAsia="Times New Roman" w:cs="Verdana"/>
      <w:b/>
      <w:kern w:val="0"/>
      <w:sz w:val="24"/>
      <w:szCs w:val="24"/>
      <w:lang w:eastAsia="en-US"/>
    </w:rPr>
  </w:style>
  <w:style w:type="paragraph" w:customStyle="1" w:styleId="178">
    <w:name w:val="p0"/>
    <w:basedOn w:val="1"/>
    <w:qFormat/>
    <w:uiPriority w:val="0"/>
    <w:pPr>
      <w:widowControl/>
      <w:adjustRightInd/>
      <w:snapToGrid/>
      <w:ind w:firstLine="0" w:firstLineChars="0"/>
      <w:jc w:val="left"/>
    </w:pPr>
    <w:rPr>
      <w:rFonts w:eastAsia="宋体"/>
      <w:kern w:val="0"/>
      <w:sz w:val="21"/>
      <w:szCs w:val="21"/>
    </w:rPr>
  </w:style>
  <w:style w:type="paragraph" w:customStyle="1" w:styleId="179">
    <w:name w:val="xl7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right"/>
    </w:pPr>
    <w:rPr>
      <w:rFonts w:ascii="Arial Unicode MS" w:hAnsi="Arial Unicode MS" w:eastAsia="Arial Unicode MS" w:cs="Arial Unicode MS"/>
      <w:color w:val="000000"/>
      <w:kern w:val="0"/>
      <w:sz w:val="24"/>
      <w:szCs w:val="24"/>
    </w:rPr>
  </w:style>
  <w:style w:type="paragraph" w:customStyle="1" w:styleId="180">
    <w:name w:val="Char Char Char"/>
    <w:basedOn w:val="1"/>
    <w:qFormat/>
    <w:uiPriority w:val="0"/>
    <w:pPr>
      <w:widowControl/>
      <w:adjustRightInd/>
      <w:snapToGrid/>
      <w:ind w:firstLine="0" w:firstLineChars="0"/>
      <w:jc w:val="left"/>
    </w:pPr>
    <w:rPr>
      <w:rFonts w:ascii="Tahoma" w:hAnsi="Tahoma" w:eastAsia="宋体"/>
      <w:sz w:val="24"/>
    </w:rPr>
  </w:style>
  <w:style w:type="paragraph" w:customStyle="1" w:styleId="181">
    <w:name w:val="图表格式"/>
    <w:basedOn w:val="110"/>
    <w:qFormat/>
    <w:uiPriority w:val="0"/>
    <w:pPr>
      <w:snapToGrid w:val="0"/>
      <w:ind w:left="0" w:firstLine="0" w:firstLineChars="0"/>
      <w:jc w:val="center"/>
    </w:pPr>
  </w:style>
  <w:style w:type="paragraph" w:customStyle="1" w:styleId="182">
    <w:name w:val="可研-正文"/>
    <w:basedOn w:val="1"/>
    <w:qFormat/>
    <w:uiPriority w:val="0"/>
    <w:pPr>
      <w:widowControl/>
      <w:adjustRightInd/>
      <w:snapToGrid/>
      <w:spacing w:line="520" w:lineRule="exact"/>
      <w:jc w:val="left"/>
    </w:pPr>
    <w:rPr>
      <w:rFonts w:ascii="宋体" w:eastAsia="宋体"/>
      <w:sz w:val="24"/>
      <w:szCs w:val="24"/>
    </w:rPr>
  </w:style>
  <w:style w:type="paragraph" w:customStyle="1" w:styleId="183">
    <w:name w:val="可研-节标题"/>
    <w:next w:val="182"/>
    <w:qFormat/>
    <w:uiPriority w:val="0"/>
    <w:pPr>
      <w:spacing w:line="360" w:lineRule="auto"/>
      <w:outlineLvl w:val="1"/>
    </w:pPr>
    <w:rPr>
      <w:rFonts w:ascii="Times New Roman" w:hAnsi="Times New Roman" w:eastAsia="宋体" w:cs="Times New Roman"/>
      <w:b/>
      <w:sz w:val="28"/>
      <w:szCs w:val="30"/>
      <w:lang w:val="en-US" w:eastAsia="zh-CN" w:bidi="ar-SA"/>
    </w:rPr>
  </w:style>
  <w:style w:type="paragraph" w:customStyle="1" w:styleId="184">
    <w:name w:val="陈策次目录"/>
    <w:basedOn w:val="1"/>
    <w:qFormat/>
    <w:uiPriority w:val="0"/>
    <w:pPr>
      <w:widowControl/>
      <w:ind w:firstLine="552"/>
      <w:jc w:val="left"/>
    </w:pPr>
    <w:rPr>
      <w:rFonts w:ascii="Arial Narrow" w:hAnsi="Arial Narrow" w:eastAsia="华文中宋"/>
      <w:sz w:val="24"/>
      <w:szCs w:val="24"/>
    </w:rPr>
  </w:style>
  <w:style w:type="paragraph" w:customStyle="1" w:styleId="185">
    <w:name w:val="一级条标题"/>
    <w:basedOn w:val="108"/>
    <w:next w:val="107"/>
    <w:qFormat/>
    <w:uiPriority w:val="0"/>
    <w:pPr>
      <w:tabs>
        <w:tab w:val="left" w:pos="1983"/>
        <w:tab w:val="clear" w:pos="1280"/>
      </w:tabs>
      <w:ind w:left="1983" w:hanging="420"/>
      <w:outlineLvl w:val="2"/>
    </w:pPr>
  </w:style>
  <w:style w:type="paragraph" w:customStyle="1" w:styleId="186">
    <w:name w:val="奇数页眉"/>
    <w:basedOn w:val="23"/>
    <w:qFormat/>
    <w:uiPriority w:val="0"/>
    <w:pPr>
      <w:widowControl/>
      <w:ind w:firstLine="480"/>
      <w:jc w:val="both"/>
    </w:pPr>
    <w:rPr>
      <w:rFonts w:ascii="宋体"/>
      <w:i/>
      <w:iCs/>
      <w:sz w:val="24"/>
    </w:rPr>
  </w:style>
  <w:style w:type="paragraph" w:customStyle="1" w:styleId="187">
    <w:name w:val="偶数页眉"/>
    <w:basedOn w:val="23"/>
    <w:qFormat/>
    <w:uiPriority w:val="0"/>
    <w:pPr>
      <w:widowControl/>
      <w:pBdr>
        <w:bottom w:val="none" w:color="auto" w:sz="0" w:space="0"/>
      </w:pBdr>
      <w:ind w:firstLine="480"/>
      <w:jc w:val="left"/>
    </w:pPr>
    <w:rPr>
      <w:rFonts w:ascii="宋体"/>
      <w:i/>
      <w:iCs/>
      <w:sz w:val="24"/>
    </w:rPr>
  </w:style>
  <w:style w:type="paragraph" w:customStyle="1" w:styleId="188">
    <w:name w:val="奇数页脚"/>
    <w:basedOn w:val="22"/>
    <w:qFormat/>
    <w:uiPriority w:val="0"/>
    <w:pPr>
      <w:widowControl/>
      <w:tabs>
        <w:tab w:val="center" w:pos="4320"/>
        <w:tab w:val="right" w:pos="8640"/>
        <w:tab w:val="clear" w:pos="4153"/>
        <w:tab w:val="clear" w:pos="8306"/>
      </w:tabs>
      <w:ind w:firstLine="480"/>
      <w:jc w:val="right"/>
    </w:pPr>
    <w:rPr>
      <w:rFonts w:ascii="宋体"/>
      <w:i/>
      <w:sz w:val="24"/>
    </w:rPr>
  </w:style>
  <w:style w:type="paragraph" w:customStyle="1" w:styleId="189">
    <w:name w:val="xl48"/>
    <w:basedOn w:val="1"/>
    <w:qFormat/>
    <w:uiPriority w:val="0"/>
    <w:pPr>
      <w:widowControl/>
      <w:pBdr>
        <w:top w:val="single" w:color="auto" w:sz="4" w:space="0"/>
        <w:left w:val="single" w:color="auto" w:sz="4" w:space="0"/>
        <w:bottom w:val="single" w:color="auto" w:sz="4" w:space="0"/>
        <w:right w:val="single" w:color="auto" w:sz="8" w:space="0"/>
      </w:pBdr>
      <w:adjustRightInd/>
      <w:snapToGrid/>
      <w:spacing w:before="100" w:beforeAutospacing="1" w:after="100" w:afterAutospacing="1"/>
      <w:jc w:val="left"/>
    </w:pPr>
    <w:rPr>
      <w:rFonts w:ascii="Arial Unicode MS" w:hAnsi="Arial Unicode MS" w:eastAsia="Arial Unicode MS"/>
      <w:kern w:val="0"/>
      <w:sz w:val="20"/>
    </w:rPr>
  </w:style>
  <w:style w:type="paragraph" w:customStyle="1" w:styleId="190">
    <w:name w:val="xl50"/>
    <w:basedOn w:val="1"/>
    <w:qFormat/>
    <w:uiPriority w:val="0"/>
    <w:pPr>
      <w:widowControl/>
      <w:pBdr>
        <w:left w:val="single" w:color="auto" w:sz="8" w:space="0"/>
        <w:bottom w:val="single" w:color="auto" w:sz="4" w:space="0"/>
        <w:right w:val="single" w:color="auto" w:sz="4" w:space="0"/>
      </w:pBdr>
      <w:adjustRightInd/>
      <w:snapToGrid/>
      <w:spacing w:before="100" w:beforeAutospacing="1" w:after="100" w:afterAutospacing="1"/>
      <w:jc w:val="center"/>
    </w:pPr>
    <w:rPr>
      <w:rFonts w:ascii="Arial Unicode MS" w:hAnsi="Arial Unicode MS" w:eastAsia="Arial Unicode MS"/>
      <w:kern w:val="0"/>
      <w:sz w:val="20"/>
    </w:rPr>
  </w:style>
  <w:style w:type="paragraph" w:customStyle="1" w:styleId="191">
    <w:name w:val="xl52"/>
    <w:basedOn w:val="1"/>
    <w:qFormat/>
    <w:uiPriority w:val="0"/>
    <w:pPr>
      <w:widowControl/>
      <w:pBdr>
        <w:top w:val="single" w:color="auto" w:sz="4" w:space="0"/>
        <w:left w:val="single" w:color="auto" w:sz="8" w:space="0"/>
        <w:bottom w:val="single" w:color="auto" w:sz="8" w:space="0"/>
        <w:right w:val="single" w:color="auto" w:sz="4" w:space="0"/>
      </w:pBdr>
      <w:adjustRightInd/>
      <w:snapToGrid/>
      <w:spacing w:before="100" w:beforeAutospacing="1" w:after="100" w:afterAutospacing="1"/>
      <w:jc w:val="left"/>
    </w:pPr>
    <w:rPr>
      <w:rFonts w:ascii="Arial Unicode MS" w:hAnsi="Arial Unicode MS" w:eastAsia="Arial Unicode MS"/>
      <w:kern w:val="0"/>
      <w:sz w:val="20"/>
    </w:rPr>
  </w:style>
  <w:style w:type="paragraph" w:customStyle="1" w:styleId="192">
    <w:name w:val="font13"/>
    <w:basedOn w:val="1"/>
    <w:qFormat/>
    <w:uiPriority w:val="0"/>
    <w:pPr>
      <w:widowControl/>
      <w:adjustRightInd/>
      <w:snapToGrid/>
      <w:spacing w:before="100" w:beforeAutospacing="1" w:after="100" w:afterAutospacing="1"/>
      <w:jc w:val="left"/>
    </w:pPr>
    <w:rPr>
      <w:rFonts w:eastAsia="Arial Unicode MS"/>
      <w:i/>
      <w:iCs/>
      <w:kern w:val="0"/>
      <w:sz w:val="24"/>
      <w:szCs w:val="24"/>
    </w:rPr>
  </w:style>
  <w:style w:type="paragraph" w:customStyle="1" w:styleId="193">
    <w:name w:val="xl53"/>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jc w:val="left"/>
      <w:textAlignment w:val="center"/>
    </w:pPr>
    <w:rPr>
      <w:rFonts w:eastAsia="Arial Unicode MS"/>
      <w:kern w:val="0"/>
      <w:sz w:val="24"/>
      <w:szCs w:val="24"/>
    </w:rPr>
  </w:style>
  <w:style w:type="paragraph" w:customStyle="1" w:styleId="194">
    <w:name w:val="段标题"/>
    <w:basedOn w:val="1"/>
    <w:next w:val="1"/>
    <w:qFormat/>
    <w:uiPriority w:val="0"/>
    <w:pPr>
      <w:widowControl/>
      <w:adjustRightInd/>
      <w:snapToGrid/>
      <w:jc w:val="left"/>
      <w:outlineLvl w:val="2"/>
    </w:pPr>
    <w:rPr>
      <w:rFonts w:ascii="宋体" w:hAnsi="宋体" w:eastAsia="宋体"/>
      <w:bCs/>
      <w:kern w:val="0"/>
      <w:szCs w:val="28"/>
    </w:rPr>
  </w:style>
  <w:style w:type="paragraph" w:customStyle="1" w:styleId="195">
    <w:name w:val="xl54"/>
    <w:basedOn w:val="1"/>
    <w:qFormat/>
    <w:uiPriority w:val="0"/>
    <w:pPr>
      <w:widowControl/>
      <w:pBdr>
        <w:top w:val="single" w:color="auto" w:sz="4" w:space="0"/>
        <w:left w:val="single" w:color="auto" w:sz="4" w:space="0"/>
        <w:bottom w:val="single" w:color="auto" w:sz="4" w:space="0"/>
        <w:right w:val="single" w:color="auto" w:sz="8" w:space="0"/>
      </w:pBdr>
      <w:adjustRightInd/>
      <w:snapToGrid/>
      <w:spacing w:before="100" w:beforeAutospacing="1" w:after="100" w:afterAutospacing="1"/>
      <w:jc w:val="left"/>
      <w:textAlignment w:val="center"/>
    </w:pPr>
    <w:rPr>
      <w:rFonts w:ascii="Arial Unicode MS" w:hAnsi="Arial Unicode MS" w:eastAsia="Arial Unicode MS"/>
      <w:b/>
      <w:bCs/>
      <w:kern w:val="0"/>
      <w:sz w:val="24"/>
      <w:szCs w:val="24"/>
    </w:rPr>
  </w:style>
  <w:style w:type="paragraph" w:customStyle="1" w:styleId="196">
    <w:name w:val="xl56"/>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jc w:val="left"/>
      <w:textAlignment w:val="center"/>
    </w:pPr>
    <w:rPr>
      <w:rFonts w:ascii="Arial Unicode MS" w:hAnsi="Arial Unicode MS" w:eastAsia="Arial Unicode MS"/>
      <w:kern w:val="0"/>
      <w:sz w:val="24"/>
      <w:szCs w:val="24"/>
    </w:rPr>
  </w:style>
  <w:style w:type="paragraph" w:customStyle="1" w:styleId="197">
    <w:name w:val="xl59"/>
    <w:basedOn w:val="1"/>
    <w:qFormat/>
    <w:uiPriority w:val="0"/>
    <w:pPr>
      <w:widowControl/>
      <w:pBdr>
        <w:top w:val="single" w:color="auto" w:sz="4" w:space="0"/>
        <w:left w:val="single" w:color="auto" w:sz="8" w:space="0"/>
        <w:bottom w:val="single" w:color="auto" w:sz="8" w:space="0"/>
        <w:right w:val="single" w:color="auto" w:sz="4" w:space="0"/>
      </w:pBdr>
      <w:adjustRightInd/>
      <w:snapToGrid/>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198">
    <w:name w:val="xl60"/>
    <w:basedOn w:val="1"/>
    <w:qFormat/>
    <w:uiPriority w:val="0"/>
    <w:pPr>
      <w:widowControl/>
      <w:pBdr>
        <w:top w:val="single" w:color="auto" w:sz="4" w:space="0"/>
        <w:left w:val="single" w:color="auto" w:sz="4" w:space="0"/>
        <w:bottom w:val="single" w:color="auto" w:sz="8" w:space="0"/>
        <w:right w:val="single" w:color="auto" w:sz="8" w:space="0"/>
      </w:pBdr>
      <w:adjustRightInd/>
      <w:snapToGrid/>
      <w:spacing w:before="100" w:beforeAutospacing="1" w:after="100" w:afterAutospacing="1"/>
      <w:jc w:val="left"/>
      <w:textAlignment w:val="center"/>
    </w:pPr>
    <w:rPr>
      <w:rFonts w:ascii="Arial Unicode MS" w:hAnsi="Arial Unicode MS" w:eastAsia="Arial Unicode MS"/>
      <w:kern w:val="0"/>
      <w:sz w:val="24"/>
      <w:szCs w:val="24"/>
    </w:rPr>
  </w:style>
  <w:style w:type="paragraph" w:customStyle="1" w:styleId="199">
    <w:name w:val="xl61"/>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jc w:val="left"/>
      <w:textAlignment w:val="center"/>
    </w:pPr>
    <w:rPr>
      <w:rFonts w:ascii="Arial Unicode MS" w:hAnsi="Arial Unicode MS" w:eastAsia="Arial Unicode MS"/>
      <w:kern w:val="0"/>
      <w:sz w:val="24"/>
      <w:szCs w:val="24"/>
    </w:rPr>
  </w:style>
  <w:style w:type="paragraph" w:customStyle="1" w:styleId="200">
    <w:name w:val="xl62"/>
    <w:basedOn w:val="1"/>
    <w:qFormat/>
    <w:uiPriority w:val="0"/>
    <w:pPr>
      <w:widowControl/>
      <w:pBdr>
        <w:top w:val="single" w:color="auto" w:sz="4" w:space="0"/>
        <w:left w:val="single" w:color="auto" w:sz="4" w:space="0"/>
        <w:bottom w:val="single" w:color="auto" w:sz="8" w:space="0"/>
        <w:right w:val="single" w:color="auto" w:sz="4" w:space="0"/>
      </w:pBdr>
      <w:adjustRightInd/>
      <w:snapToGrid/>
      <w:spacing w:before="100" w:beforeAutospacing="1" w:after="100" w:afterAutospacing="1"/>
      <w:jc w:val="center"/>
      <w:textAlignment w:val="center"/>
    </w:pPr>
    <w:rPr>
      <w:rFonts w:ascii="Arial Unicode MS" w:hAnsi="Arial Unicode MS" w:eastAsia="Arial Unicode MS"/>
      <w:b/>
      <w:bCs/>
      <w:kern w:val="0"/>
      <w:sz w:val="24"/>
      <w:szCs w:val="24"/>
    </w:rPr>
  </w:style>
  <w:style w:type="paragraph" w:customStyle="1" w:styleId="201">
    <w:name w:val="xl64"/>
    <w:basedOn w:val="1"/>
    <w:qFormat/>
    <w:uiPriority w:val="0"/>
    <w:pPr>
      <w:widowControl/>
      <w:pBdr>
        <w:top w:val="single" w:color="auto" w:sz="8" w:space="0"/>
        <w:left w:val="single" w:color="auto" w:sz="4" w:space="0"/>
        <w:bottom w:val="single" w:color="auto" w:sz="4" w:space="0"/>
        <w:right w:val="single" w:color="auto" w:sz="4" w:space="0"/>
      </w:pBdr>
      <w:adjustRightInd/>
      <w:snapToGrid/>
      <w:spacing w:before="100" w:beforeAutospacing="1" w:after="100" w:afterAutospacing="1"/>
      <w:jc w:val="left"/>
      <w:textAlignment w:val="center"/>
    </w:pPr>
    <w:rPr>
      <w:rFonts w:ascii="Arial Unicode MS" w:hAnsi="Arial Unicode MS" w:eastAsia="Arial Unicode MS"/>
      <w:kern w:val="0"/>
      <w:sz w:val="24"/>
      <w:szCs w:val="24"/>
    </w:rPr>
  </w:style>
  <w:style w:type="paragraph" w:customStyle="1" w:styleId="202">
    <w:name w:val="xl65"/>
    <w:basedOn w:val="1"/>
    <w:qFormat/>
    <w:uiPriority w:val="0"/>
    <w:pPr>
      <w:widowControl/>
      <w:adjustRightInd/>
      <w:snapToGrid/>
      <w:spacing w:before="100" w:beforeAutospacing="1" w:after="100" w:afterAutospacing="1"/>
      <w:jc w:val="left"/>
    </w:pPr>
    <w:rPr>
      <w:rFonts w:ascii="Arial Unicode MS" w:hAnsi="Arial Unicode MS" w:eastAsia="Arial Unicode MS"/>
      <w:kern w:val="0"/>
      <w:sz w:val="24"/>
      <w:szCs w:val="24"/>
    </w:rPr>
  </w:style>
  <w:style w:type="paragraph" w:customStyle="1" w:styleId="203">
    <w:name w:val="xl66"/>
    <w:basedOn w:val="1"/>
    <w:qFormat/>
    <w:uiPriority w:val="0"/>
    <w:pPr>
      <w:widowControl/>
      <w:pBdr>
        <w:top w:val="single" w:color="auto" w:sz="8" w:space="0"/>
        <w:left w:val="single" w:color="auto" w:sz="8" w:space="0"/>
        <w:bottom w:val="single" w:color="auto" w:sz="4" w:space="0"/>
        <w:right w:val="single" w:color="auto" w:sz="4" w:space="0"/>
      </w:pBdr>
      <w:adjustRightInd/>
      <w:snapToGrid/>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204">
    <w:name w:val="xl67"/>
    <w:basedOn w:val="1"/>
    <w:qFormat/>
    <w:uiPriority w:val="0"/>
    <w:pPr>
      <w:widowControl/>
      <w:pBdr>
        <w:top w:val="single" w:color="auto" w:sz="8" w:space="0"/>
        <w:left w:val="single" w:color="auto" w:sz="4" w:space="0"/>
        <w:bottom w:val="single" w:color="auto" w:sz="4" w:space="0"/>
        <w:right w:val="single" w:color="auto" w:sz="4" w:space="0"/>
      </w:pBdr>
      <w:adjustRightInd/>
      <w:snapToGrid/>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205">
    <w:name w:val="xl6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206">
    <w:name w:val="xl69"/>
    <w:basedOn w:val="1"/>
    <w:qFormat/>
    <w:uiPriority w:val="0"/>
    <w:pPr>
      <w:widowControl/>
      <w:pBdr>
        <w:top w:val="single" w:color="auto" w:sz="4" w:space="0"/>
        <w:left w:val="single" w:color="auto" w:sz="4" w:space="0"/>
        <w:bottom w:val="single" w:color="auto" w:sz="4" w:space="0"/>
        <w:right w:val="single" w:color="auto" w:sz="8" w:space="0"/>
      </w:pBdr>
      <w:adjustRightInd/>
      <w:snapToGrid/>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207">
    <w:name w:val="xl70"/>
    <w:basedOn w:val="1"/>
    <w:qFormat/>
    <w:uiPriority w:val="0"/>
    <w:pPr>
      <w:widowControl/>
      <w:adjustRightInd/>
      <w:snapToGrid/>
      <w:spacing w:before="100" w:beforeAutospacing="1" w:after="100" w:afterAutospacing="1"/>
      <w:jc w:val="center"/>
      <w:textAlignment w:val="center"/>
    </w:pPr>
    <w:rPr>
      <w:rFonts w:ascii="Arial Unicode MS" w:hAnsi="Arial Unicode MS" w:eastAsia="Arial Unicode MS"/>
      <w:b/>
      <w:bCs/>
      <w:kern w:val="0"/>
      <w:sz w:val="36"/>
      <w:szCs w:val="36"/>
    </w:rPr>
  </w:style>
  <w:style w:type="paragraph" w:customStyle="1" w:styleId="208">
    <w:name w:val="xl71"/>
    <w:basedOn w:val="1"/>
    <w:qFormat/>
    <w:uiPriority w:val="0"/>
    <w:pPr>
      <w:widowControl/>
      <w:pBdr>
        <w:top w:val="single" w:color="auto" w:sz="8" w:space="0"/>
        <w:left w:val="single" w:color="auto" w:sz="4" w:space="0"/>
        <w:bottom w:val="single" w:color="auto" w:sz="4" w:space="0"/>
        <w:right w:val="single" w:color="auto" w:sz="8" w:space="0"/>
      </w:pBdr>
      <w:adjustRightInd/>
      <w:snapToGrid/>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209">
    <w:name w:val="xl72"/>
    <w:basedOn w:val="1"/>
    <w:qFormat/>
    <w:uiPriority w:val="0"/>
    <w:pPr>
      <w:widowControl/>
      <w:pBdr>
        <w:top w:val="single" w:color="auto" w:sz="4" w:space="0"/>
        <w:bottom w:val="single" w:color="auto" w:sz="4" w:space="0"/>
        <w:right w:val="single" w:color="auto" w:sz="8" w:space="0"/>
      </w:pBdr>
      <w:adjustRightInd/>
      <w:snapToGrid/>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210">
    <w:name w:val="3"/>
    <w:basedOn w:val="1"/>
    <w:next w:val="1"/>
    <w:qFormat/>
    <w:uiPriority w:val="0"/>
    <w:pPr>
      <w:widowControl/>
      <w:adjustRightInd/>
      <w:snapToGrid/>
      <w:spacing w:after="120"/>
      <w:ind w:firstLine="0" w:firstLineChars="0"/>
      <w:jc w:val="left"/>
    </w:pPr>
    <w:rPr>
      <w:rFonts w:eastAsia="宋体"/>
      <w:szCs w:val="24"/>
    </w:rPr>
  </w:style>
  <w:style w:type="paragraph" w:customStyle="1" w:styleId="211">
    <w:name w:val="偶数页脚"/>
    <w:basedOn w:val="22"/>
    <w:qFormat/>
    <w:uiPriority w:val="0"/>
    <w:pPr>
      <w:widowControl/>
      <w:tabs>
        <w:tab w:val="center" w:pos="4320"/>
        <w:tab w:val="right" w:pos="8640"/>
        <w:tab w:val="clear" w:pos="4153"/>
        <w:tab w:val="clear" w:pos="8306"/>
      </w:tabs>
      <w:ind w:firstLine="360"/>
    </w:pPr>
    <w:rPr>
      <w:rFonts w:ascii="宋体"/>
      <w:sz w:val="24"/>
    </w:rPr>
  </w:style>
  <w:style w:type="paragraph" w:customStyle="1" w:styleId="212">
    <w:name w:val="Char Char Char1"/>
    <w:basedOn w:val="1"/>
    <w:qFormat/>
    <w:uiPriority w:val="0"/>
    <w:pPr>
      <w:widowControl/>
      <w:adjustRightInd/>
      <w:snapToGrid/>
      <w:spacing w:after="160" w:line="240" w:lineRule="exact"/>
      <w:ind w:firstLine="0" w:firstLineChars="0"/>
      <w:jc w:val="left"/>
    </w:pPr>
    <w:rPr>
      <w:rFonts w:ascii="Arial" w:hAnsi="Arial" w:eastAsia="宋体" w:cs="Arial"/>
      <w:b/>
      <w:bCs/>
      <w:kern w:val="0"/>
      <w:sz w:val="24"/>
      <w:szCs w:val="24"/>
      <w:lang w:eastAsia="en-US"/>
    </w:rPr>
  </w:style>
  <w:style w:type="paragraph" w:customStyle="1" w:styleId="213">
    <w:name w:val="样式 标题 1 + 隶书 小二"/>
    <w:basedOn w:val="3"/>
    <w:qFormat/>
    <w:uiPriority w:val="0"/>
    <w:pPr>
      <w:spacing w:before="100" w:beforeAutospacing="1" w:after="100" w:afterAutospacing="1"/>
    </w:pPr>
    <w:rPr>
      <w:rFonts w:ascii="黑体" w:hAnsi="隶书" w:eastAsia="黑体"/>
      <w:b w:val="0"/>
      <w:sz w:val="32"/>
      <w:szCs w:val="30"/>
    </w:rPr>
  </w:style>
  <w:style w:type="paragraph" w:customStyle="1" w:styleId="214">
    <w:name w:val="样式 标题 2节 + 隶书 小三"/>
    <w:basedOn w:val="4"/>
    <w:qFormat/>
    <w:uiPriority w:val="0"/>
    <w:pPr>
      <w:spacing w:before="100" w:beforeAutospacing="1" w:after="100" w:afterAutospacing="1"/>
      <w:ind w:firstLine="200"/>
    </w:pPr>
    <w:rPr>
      <w:rFonts w:ascii="隶书" w:hAnsi="隶书"/>
      <w:b w:val="0"/>
      <w:szCs w:val="30"/>
    </w:rPr>
  </w:style>
  <w:style w:type="paragraph" w:customStyle="1" w:styleId="215">
    <w:name w:val="表头2"/>
    <w:basedOn w:val="1"/>
    <w:qFormat/>
    <w:uiPriority w:val="0"/>
    <w:pPr>
      <w:keepNext/>
      <w:keepLines/>
      <w:widowControl/>
      <w:suppressAutoHyphens/>
      <w:autoSpaceDE w:val="0"/>
      <w:spacing w:before="120" w:after="120"/>
      <w:ind w:firstLine="0" w:firstLineChars="0"/>
      <w:jc w:val="center"/>
      <w:textAlignment w:val="center"/>
      <w:outlineLvl w:val="3"/>
    </w:pPr>
    <w:rPr>
      <w:rFonts w:eastAsia="宋体"/>
      <w:b/>
      <w:bCs/>
      <w:kern w:val="44"/>
    </w:rPr>
  </w:style>
  <w:style w:type="paragraph" w:customStyle="1" w:styleId="216">
    <w:name w:val="封面标题"/>
    <w:basedOn w:val="3"/>
    <w:qFormat/>
    <w:uiPriority w:val="0"/>
    <w:pPr>
      <w:suppressAutoHyphens/>
      <w:autoSpaceDE w:val="0"/>
      <w:spacing w:before="240" w:after="240" w:line="240" w:lineRule="auto"/>
    </w:pPr>
    <w:rPr>
      <w:b w:val="0"/>
      <w:sz w:val="52"/>
      <w:szCs w:val="20"/>
    </w:rPr>
  </w:style>
  <w:style w:type="paragraph" w:customStyle="1" w:styleId="217">
    <w:name w:val="封面日期"/>
    <w:basedOn w:val="1"/>
    <w:qFormat/>
    <w:uiPriority w:val="0"/>
    <w:pPr>
      <w:widowControl/>
      <w:adjustRightInd/>
      <w:snapToGrid/>
      <w:spacing w:line="400" w:lineRule="exact"/>
      <w:ind w:firstLine="0" w:firstLineChars="0"/>
      <w:jc w:val="center"/>
    </w:pPr>
    <w:rPr>
      <w:rFonts w:eastAsia="仿宋_GB2312"/>
      <w:sz w:val="24"/>
    </w:rPr>
  </w:style>
  <w:style w:type="paragraph" w:customStyle="1" w:styleId="218">
    <w:name w:val="表头"/>
    <w:basedOn w:val="1"/>
    <w:qFormat/>
    <w:uiPriority w:val="0"/>
    <w:pPr>
      <w:widowControl/>
      <w:adjustRightInd/>
      <w:snapToGrid/>
      <w:spacing w:line="400" w:lineRule="exact"/>
      <w:ind w:firstLine="0" w:firstLineChars="0"/>
      <w:jc w:val="left"/>
    </w:pPr>
    <w:rPr>
      <w:rFonts w:eastAsia="仿宋_GB2312"/>
      <w:b/>
    </w:rPr>
  </w:style>
  <w:style w:type="paragraph" w:customStyle="1" w:styleId="219">
    <w:name w:val="首缩"/>
    <w:basedOn w:val="1"/>
    <w:qFormat/>
    <w:uiPriority w:val="0"/>
    <w:pPr>
      <w:widowControl/>
      <w:spacing w:line="500" w:lineRule="exact"/>
      <w:ind w:firstLine="567" w:firstLineChars="0"/>
      <w:jc w:val="left"/>
    </w:pPr>
    <w:rPr>
      <w:rFonts w:ascii="仿宋_GB2312" w:eastAsia="仿宋_GB2312"/>
      <w:snapToGrid w:val="0"/>
      <w:kern w:val="0"/>
    </w:rPr>
  </w:style>
  <w:style w:type="paragraph" w:customStyle="1" w:styleId="220">
    <w:name w:val="正文2"/>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21">
    <w:name w:val="xl7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right"/>
    </w:pPr>
    <w:rPr>
      <w:rFonts w:ascii="Arial Unicode MS" w:hAnsi="Arial Unicode MS" w:eastAsia="Arial Unicode MS" w:cs="Arial Unicode MS"/>
      <w:color w:val="000000"/>
      <w:kern w:val="0"/>
      <w:sz w:val="24"/>
      <w:szCs w:val="24"/>
    </w:rPr>
  </w:style>
  <w:style w:type="paragraph" w:customStyle="1" w:styleId="222">
    <w:name w:val="xl75"/>
    <w:basedOn w:val="1"/>
    <w:qFormat/>
    <w:uiPriority w:val="0"/>
    <w:pPr>
      <w:widowControl/>
      <w:pBdr>
        <w:top w:val="single" w:color="auto" w:sz="4" w:space="0"/>
        <w:left w:val="single" w:color="auto" w:sz="4" w:space="0"/>
        <w:bottom w:val="single" w:color="auto" w:sz="4" w:space="0"/>
        <w:right w:val="single" w:color="auto" w:sz="8" w:space="0"/>
      </w:pBdr>
      <w:adjustRightInd/>
      <w:snapToGrid/>
      <w:spacing w:before="100" w:beforeAutospacing="1" w:after="100" w:afterAutospacing="1"/>
      <w:ind w:firstLine="0" w:firstLineChars="0"/>
      <w:jc w:val="center"/>
    </w:pPr>
    <w:rPr>
      <w:rFonts w:hint="eastAsia" w:ascii="宋体" w:hAnsi="宋体" w:eastAsia="宋体" w:cs="Arial Unicode MS"/>
      <w:color w:val="000000"/>
      <w:kern w:val="0"/>
      <w:sz w:val="24"/>
      <w:szCs w:val="24"/>
    </w:rPr>
  </w:style>
  <w:style w:type="paragraph" w:customStyle="1" w:styleId="223">
    <w:name w:val="可研-章标题"/>
    <w:basedOn w:val="1"/>
    <w:next w:val="183"/>
    <w:qFormat/>
    <w:uiPriority w:val="0"/>
    <w:pPr>
      <w:pageBreakBefore/>
      <w:widowControl/>
      <w:adjustRightInd/>
      <w:snapToGrid/>
      <w:spacing w:before="500" w:after="300"/>
      <w:ind w:firstLine="0" w:firstLineChars="0"/>
      <w:jc w:val="left"/>
      <w:outlineLvl w:val="0"/>
    </w:pPr>
    <w:rPr>
      <w:rFonts w:ascii="黑体" w:eastAsia="黑体"/>
      <w:kern w:val="32"/>
      <w:sz w:val="32"/>
      <w:szCs w:val="44"/>
    </w:rPr>
  </w:style>
  <w:style w:type="paragraph" w:customStyle="1" w:styleId="224">
    <w:name w:val="正文文本缩进 211"/>
    <w:basedOn w:val="1"/>
    <w:qFormat/>
    <w:uiPriority w:val="0"/>
    <w:pPr>
      <w:widowControl/>
      <w:snapToGrid/>
      <w:ind w:firstLine="590" w:firstLineChars="0"/>
      <w:jc w:val="left"/>
      <w:textAlignment w:val="baseline"/>
    </w:pPr>
    <w:rPr>
      <w:rFonts w:ascii="宋体" w:eastAsia="宋体"/>
    </w:rPr>
  </w:style>
  <w:style w:type="paragraph" w:customStyle="1" w:styleId="225">
    <w:name w:val="Char1"/>
    <w:basedOn w:val="1"/>
    <w:qFormat/>
    <w:uiPriority w:val="0"/>
    <w:pPr>
      <w:widowControl/>
      <w:adjustRightInd/>
      <w:snapToGrid/>
      <w:ind w:firstLine="0" w:firstLineChars="0"/>
      <w:jc w:val="left"/>
    </w:pPr>
    <w:rPr>
      <w:rFonts w:eastAsia="宋体"/>
      <w:sz w:val="21"/>
      <w:szCs w:val="24"/>
    </w:rPr>
  </w:style>
  <w:style w:type="paragraph" w:customStyle="1" w:styleId="226">
    <w:name w:val="样式 首行缩进:  2 字符"/>
    <w:basedOn w:val="1"/>
    <w:qFormat/>
    <w:uiPriority w:val="0"/>
    <w:pPr>
      <w:widowControl/>
      <w:jc w:val="left"/>
    </w:pPr>
    <w:rPr>
      <w:rFonts w:eastAsia="宋体" w:cs="宋体"/>
      <w:sz w:val="24"/>
    </w:rPr>
  </w:style>
  <w:style w:type="paragraph" w:customStyle="1" w:styleId="227">
    <w:name w:val="样式 宋体 小四 黑色 行距: 固定值 24 磅"/>
    <w:basedOn w:val="1"/>
    <w:qFormat/>
    <w:uiPriority w:val="0"/>
    <w:pPr>
      <w:widowControl/>
      <w:jc w:val="left"/>
    </w:pPr>
    <w:rPr>
      <w:rFonts w:ascii="宋体" w:hAnsi="宋体" w:eastAsia="宋体" w:cs="宋体"/>
      <w:color w:val="000000"/>
      <w:sz w:val="24"/>
    </w:rPr>
  </w:style>
  <w:style w:type="paragraph" w:customStyle="1" w:styleId="228">
    <w:name w:val="_Style 5"/>
    <w:basedOn w:val="8"/>
    <w:qFormat/>
    <w:uiPriority w:val="0"/>
    <w:pPr>
      <w:tabs>
        <w:tab w:val="left" w:pos="1440"/>
      </w:tabs>
      <w:adjustRightInd/>
      <w:snapToGrid/>
      <w:spacing w:before="240" w:line="317" w:lineRule="auto"/>
    </w:pPr>
    <w:rPr>
      <w:rFonts w:ascii="Arial" w:hAnsi="Arial" w:eastAsia="黑体"/>
      <w:szCs w:val="24"/>
    </w:rPr>
  </w:style>
  <w:style w:type="paragraph" w:customStyle="1" w:styleId="229">
    <w:name w:val="样式 标题 53号宋体居中行距1.5倍 +"/>
    <w:basedOn w:val="7"/>
    <w:qFormat/>
    <w:uiPriority w:val="0"/>
    <w:pPr>
      <w:spacing w:before="200" w:after="200" w:line="240" w:lineRule="auto"/>
    </w:pPr>
    <w:rPr>
      <w:sz w:val="24"/>
    </w:rPr>
  </w:style>
  <w:style w:type="paragraph" w:customStyle="1" w:styleId="230">
    <w:name w:val="样式6"/>
    <w:basedOn w:val="1"/>
    <w:qFormat/>
    <w:uiPriority w:val="0"/>
    <w:pPr>
      <w:widowControl/>
      <w:jc w:val="left"/>
    </w:pPr>
    <w:rPr>
      <w:rFonts w:ascii="宋体" w:eastAsia="宋体"/>
      <w:spacing w:val="12"/>
      <w:kern w:val="0"/>
      <w:sz w:val="24"/>
      <w:szCs w:val="26"/>
    </w:rPr>
  </w:style>
  <w:style w:type="paragraph" w:customStyle="1" w:styleId="231">
    <w:name w:val="Char Char Char Char1"/>
    <w:basedOn w:val="1"/>
    <w:qFormat/>
    <w:uiPriority w:val="0"/>
    <w:pPr>
      <w:widowControl/>
      <w:adjustRightInd/>
      <w:snapToGrid/>
      <w:ind w:left="200" w:leftChars="200" w:firstLine="0" w:firstLineChars="0"/>
      <w:jc w:val="left"/>
    </w:pPr>
    <w:rPr>
      <w:rFonts w:eastAsia="宋体"/>
      <w:sz w:val="21"/>
      <w:szCs w:val="24"/>
    </w:rPr>
  </w:style>
  <w:style w:type="paragraph" w:customStyle="1" w:styleId="232">
    <w:name w:val="Default"/>
    <w:qFormat/>
    <w:uiPriority w:val="0"/>
    <w:pPr>
      <w:widowControl w:val="0"/>
      <w:autoSpaceDE w:val="0"/>
      <w:autoSpaceDN w:val="0"/>
      <w:adjustRightInd w:val="0"/>
      <w:spacing w:line="360" w:lineRule="auto"/>
    </w:pPr>
    <w:rPr>
      <w:rFonts w:ascii="Times New Roman" w:hAnsi="Times New Roman" w:eastAsia="宋体" w:cs="Times New Roman"/>
      <w:color w:val="000000"/>
      <w:sz w:val="24"/>
      <w:szCs w:val="24"/>
      <w:lang w:val="en-US" w:eastAsia="zh-CN" w:bidi="ar-SA"/>
    </w:rPr>
  </w:style>
  <w:style w:type="paragraph" w:customStyle="1" w:styleId="233">
    <w:name w:val="xl81"/>
    <w:basedOn w:val="1"/>
    <w:qFormat/>
    <w:uiPriority w:val="0"/>
    <w:pPr>
      <w:widowControl/>
      <w:pBdr>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kern w:val="0"/>
      <w:sz w:val="16"/>
      <w:szCs w:val="16"/>
    </w:rPr>
  </w:style>
  <w:style w:type="paragraph" w:customStyle="1" w:styleId="234">
    <w:name w:val="xl82"/>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kern w:val="0"/>
      <w:sz w:val="16"/>
      <w:szCs w:val="16"/>
    </w:rPr>
  </w:style>
  <w:style w:type="paragraph" w:customStyle="1" w:styleId="235">
    <w:name w:val="xl84"/>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b/>
      <w:bCs/>
      <w:kern w:val="0"/>
      <w:sz w:val="18"/>
      <w:szCs w:val="18"/>
    </w:rPr>
  </w:style>
  <w:style w:type="paragraph" w:customStyle="1" w:styleId="236">
    <w:name w:val="xl8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b/>
      <w:bCs/>
      <w:kern w:val="0"/>
      <w:sz w:val="18"/>
      <w:szCs w:val="18"/>
    </w:rPr>
  </w:style>
  <w:style w:type="paragraph" w:customStyle="1" w:styleId="237">
    <w:name w:val="xl8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b/>
      <w:bCs/>
      <w:kern w:val="0"/>
      <w:sz w:val="18"/>
      <w:szCs w:val="18"/>
    </w:rPr>
  </w:style>
  <w:style w:type="paragraph" w:customStyle="1" w:styleId="238">
    <w:name w:val="xl87"/>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left"/>
    </w:pPr>
    <w:rPr>
      <w:rFonts w:ascii="宋体" w:hAnsi="宋体" w:eastAsia="宋体" w:cs="宋体"/>
      <w:kern w:val="0"/>
      <w:sz w:val="16"/>
      <w:szCs w:val="16"/>
    </w:rPr>
  </w:style>
  <w:style w:type="paragraph" w:customStyle="1" w:styleId="239">
    <w:name w:val="xl88"/>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left"/>
    </w:pPr>
    <w:rPr>
      <w:rFonts w:ascii="宋体" w:hAnsi="宋体" w:eastAsia="宋体" w:cs="宋体"/>
      <w:kern w:val="0"/>
      <w:sz w:val="16"/>
      <w:szCs w:val="16"/>
    </w:rPr>
  </w:style>
  <w:style w:type="paragraph" w:customStyle="1" w:styleId="240">
    <w:name w:val="xl89"/>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left"/>
    </w:pPr>
    <w:rPr>
      <w:rFonts w:ascii="宋体" w:hAnsi="宋体" w:eastAsia="宋体" w:cs="宋体"/>
      <w:kern w:val="0"/>
      <w:sz w:val="16"/>
      <w:szCs w:val="16"/>
    </w:rPr>
  </w:style>
  <w:style w:type="paragraph" w:customStyle="1" w:styleId="241">
    <w:name w:val="xl90"/>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hAnsi="宋体" w:eastAsia="宋体" w:cs="宋体"/>
      <w:kern w:val="0"/>
      <w:sz w:val="16"/>
      <w:szCs w:val="16"/>
    </w:rPr>
  </w:style>
  <w:style w:type="paragraph" w:customStyle="1" w:styleId="242">
    <w:name w:val="xl9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b/>
      <w:bCs/>
      <w:kern w:val="0"/>
      <w:sz w:val="24"/>
      <w:szCs w:val="24"/>
    </w:rPr>
  </w:style>
  <w:style w:type="paragraph" w:customStyle="1" w:styleId="243">
    <w:name w:val="Z"/>
    <w:basedOn w:val="1"/>
    <w:link w:val="264"/>
    <w:qFormat/>
    <w:uiPriority w:val="99"/>
    <w:rPr>
      <w:rFonts w:ascii="宋体" w:hAnsi="宋体"/>
      <w:szCs w:val="28"/>
    </w:rPr>
  </w:style>
  <w:style w:type="character" w:customStyle="1" w:styleId="244">
    <w:name w:val="font41"/>
    <w:qFormat/>
    <w:uiPriority w:val="0"/>
    <w:rPr>
      <w:rFonts w:hint="eastAsia" w:ascii="宋体" w:hAnsi="宋体" w:eastAsia="宋体"/>
      <w:color w:val="000000"/>
      <w:sz w:val="20"/>
      <w:szCs w:val="20"/>
      <w:u w:val="none"/>
    </w:rPr>
  </w:style>
  <w:style w:type="character" w:customStyle="1" w:styleId="245">
    <w:name w:val="font131"/>
    <w:qFormat/>
    <w:uiPriority w:val="0"/>
    <w:rPr>
      <w:rFonts w:hint="eastAsia" w:ascii="宋体" w:hAnsi="宋体" w:eastAsia="宋体"/>
      <w:color w:val="000000"/>
      <w:sz w:val="20"/>
      <w:szCs w:val="20"/>
      <w:u w:val="none"/>
      <w:vertAlign w:val="superscript"/>
    </w:rPr>
  </w:style>
  <w:style w:type="character" w:customStyle="1" w:styleId="246">
    <w:name w:val="font91"/>
    <w:qFormat/>
    <w:uiPriority w:val="0"/>
    <w:rPr>
      <w:rFonts w:hint="eastAsia" w:ascii="宋体" w:hAnsi="宋体" w:eastAsia="宋体"/>
      <w:color w:val="000000"/>
      <w:sz w:val="18"/>
      <w:szCs w:val="18"/>
      <w:u w:val="none"/>
    </w:rPr>
  </w:style>
  <w:style w:type="character" w:customStyle="1" w:styleId="247">
    <w:name w:val="font141"/>
    <w:qFormat/>
    <w:uiPriority w:val="0"/>
    <w:rPr>
      <w:rFonts w:hint="eastAsia" w:ascii="宋体" w:hAnsi="宋体" w:eastAsia="宋体"/>
      <w:color w:val="000000"/>
      <w:sz w:val="18"/>
      <w:szCs w:val="18"/>
      <w:u w:val="none"/>
      <w:vertAlign w:val="subscript"/>
    </w:rPr>
  </w:style>
  <w:style w:type="character" w:customStyle="1" w:styleId="248">
    <w:name w:val="font101"/>
    <w:qFormat/>
    <w:uiPriority w:val="0"/>
    <w:rPr>
      <w:rFonts w:hint="eastAsia" w:ascii="宋体" w:hAnsi="宋体" w:eastAsia="宋体"/>
      <w:color w:val="000000"/>
      <w:sz w:val="18"/>
      <w:szCs w:val="18"/>
      <w:u w:val="none"/>
      <w:vertAlign w:val="superscript"/>
    </w:rPr>
  </w:style>
  <w:style w:type="character" w:customStyle="1" w:styleId="249">
    <w:name w:val="font01"/>
    <w:qFormat/>
    <w:uiPriority w:val="0"/>
    <w:rPr>
      <w:rFonts w:hint="eastAsia" w:ascii="宋体" w:hAnsi="宋体" w:eastAsia="宋体"/>
      <w:color w:val="000000"/>
      <w:sz w:val="20"/>
      <w:szCs w:val="20"/>
      <w:u w:val="none"/>
      <w:vertAlign w:val="superscript"/>
    </w:rPr>
  </w:style>
  <w:style w:type="character" w:customStyle="1" w:styleId="250">
    <w:name w:val="font21"/>
    <w:qFormat/>
    <w:uiPriority w:val="0"/>
    <w:rPr>
      <w:rFonts w:hint="eastAsia" w:ascii="宋体" w:hAnsi="宋体" w:eastAsia="宋体"/>
      <w:color w:val="000000"/>
      <w:sz w:val="24"/>
      <w:szCs w:val="24"/>
      <w:u w:val="none"/>
    </w:rPr>
  </w:style>
  <w:style w:type="character" w:customStyle="1" w:styleId="251">
    <w:name w:val="font161"/>
    <w:qFormat/>
    <w:uiPriority w:val="0"/>
    <w:rPr>
      <w:rFonts w:hint="eastAsia" w:ascii="宋体" w:hAnsi="宋体" w:eastAsia="宋体"/>
      <w:color w:val="000000"/>
      <w:sz w:val="20"/>
      <w:szCs w:val="20"/>
      <w:u w:val="none"/>
      <w:vertAlign w:val="superscript"/>
    </w:rPr>
  </w:style>
  <w:style w:type="character" w:customStyle="1" w:styleId="252">
    <w:name w:val="font111"/>
    <w:qFormat/>
    <w:uiPriority w:val="0"/>
    <w:rPr>
      <w:rFonts w:hint="eastAsia" w:ascii="宋体" w:hAnsi="宋体" w:eastAsia="宋体"/>
      <w:color w:val="000000"/>
      <w:sz w:val="18"/>
      <w:szCs w:val="18"/>
      <w:u w:val="none"/>
      <w:vertAlign w:val="superscript"/>
    </w:rPr>
  </w:style>
  <w:style w:type="character" w:customStyle="1" w:styleId="253">
    <w:name w:val="文档结构图 Char1"/>
    <w:link w:val="14"/>
    <w:qFormat/>
    <w:uiPriority w:val="0"/>
    <w:rPr>
      <w:rFonts w:ascii="宋体"/>
      <w:kern w:val="2"/>
      <w:sz w:val="18"/>
      <w:szCs w:val="18"/>
    </w:rPr>
  </w:style>
  <w:style w:type="paragraph" w:customStyle="1" w:styleId="254">
    <w:name w:val="Char2"/>
    <w:basedOn w:val="1"/>
    <w:qFormat/>
    <w:uiPriority w:val="0"/>
    <w:pPr>
      <w:widowControl/>
      <w:adjustRightInd/>
      <w:snapToGrid/>
      <w:spacing w:line="240" w:lineRule="auto"/>
      <w:ind w:firstLine="0" w:firstLineChars="0"/>
    </w:pPr>
    <w:rPr>
      <w:rFonts w:ascii="Calibri" w:hAnsi="Calibri" w:eastAsia="宋体" w:cs="宋体"/>
      <w:kern w:val="0"/>
      <w:szCs w:val="28"/>
    </w:rPr>
  </w:style>
  <w:style w:type="character" w:customStyle="1" w:styleId="255">
    <w:name w:val="正文文本 (3) + Times New Roman"/>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paragraph" w:customStyle="1" w:styleId="256">
    <w:name w:val="Char Char1"/>
    <w:basedOn w:val="1"/>
    <w:qFormat/>
    <w:uiPriority w:val="0"/>
    <w:pPr>
      <w:widowControl/>
      <w:adjustRightInd/>
      <w:snapToGrid/>
      <w:spacing w:after="160" w:line="240" w:lineRule="exact"/>
      <w:ind w:firstLine="0" w:firstLineChars="0"/>
      <w:jc w:val="left"/>
    </w:pPr>
    <w:rPr>
      <w:rFonts w:ascii="Verdana" w:hAnsi="Verdana" w:eastAsia="宋体"/>
      <w:kern w:val="0"/>
      <w:sz w:val="20"/>
      <w:lang w:eastAsia="en-US"/>
    </w:rPr>
  </w:style>
  <w:style w:type="paragraph" w:customStyle="1" w:styleId="257">
    <w:name w:val="TOC 标题1"/>
    <w:basedOn w:val="3"/>
    <w:next w:val="1"/>
    <w:semiHidden/>
    <w:unhideWhenUsed/>
    <w:qFormat/>
    <w:uiPriority w:val="39"/>
    <w:pPr>
      <w:spacing w:before="480" w:line="276" w:lineRule="auto"/>
      <w:outlineLvl w:val="9"/>
    </w:pPr>
    <w:rPr>
      <w:rFonts w:ascii="Cambria" w:hAnsi="Cambria"/>
      <w:color w:val="365F91"/>
      <w:kern w:val="0"/>
      <w:sz w:val="28"/>
      <w:szCs w:val="28"/>
      <w:lang w:val="en-US"/>
    </w:rPr>
  </w:style>
  <w:style w:type="character" w:customStyle="1" w:styleId="258">
    <w:name w:val="正文文本缩进 2 Char1"/>
    <w:qFormat/>
    <w:uiPriority w:val="0"/>
    <w:rPr>
      <w:rFonts w:ascii="仿宋" w:eastAsia="仿宋"/>
      <w:kern w:val="2"/>
      <w:sz w:val="28"/>
    </w:rPr>
  </w:style>
  <w:style w:type="paragraph" w:customStyle="1" w:styleId="259">
    <w:name w:val="样式 标题 2 + 宋体 小三 段前: 10 磅 段后: 10 磅 行距: 多倍行距 1.73 字行"/>
    <w:basedOn w:val="4"/>
    <w:qFormat/>
    <w:uiPriority w:val="0"/>
    <w:pPr>
      <w:widowControl w:val="0"/>
      <w:spacing w:before="200" w:after="200" w:line="460" w:lineRule="exact"/>
      <w:jc w:val="both"/>
    </w:pPr>
    <w:rPr>
      <w:rFonts w:ascii="宋体" w:hAnsi="宋体" w:cs="宋体"/>
      <w:kern w:val="2"/>
      <w:sz w:val="28"/>
      <w:szCs w:val="20"/>
      <w:lang w:val="en-US"/>
    </w:rPr>
  </w:style>
  <w:style w:type="paragraph" w:styleId="260">
    <w:name w:val="List Paragraph"/>
    <w:basedOn w:val="1"/>
    <w:qFormat/>
    <w:uiPriority w:val="34"/>
    <w:pPr>
      <w:ind w:firstLine="420"/>
    </w:pPr>
  </w:style>
  <w:style w:type="character" w:customStyle="1" w:styleId="261">
    <w:name w:val="未处理的提及1"/>
    <w:basedOn w:val="34"/>
    <w:semiHidden/>
    <w:unhideWhenUsed/>
    <w:qFormat/>
    <w:uiPriority w:val="99"/>
    <w:rPr>
      <w:color w:val="605E5C"/>
      <w:shd w:val="clear" w:color="auto" w:fill="E1DFDD"/>
    </w:rPr>
  </w:style>
  <w:style w:type="paragraph" w:customStyle="1" w:styleId="262">
    <w:name w:val="纯文本2"/>
    <w:basedOn w:val="1"/>
    <w:qFormat/>
    <w:uiPriority w:val="0"/>
    <w:pPr>
      <w:adjustRightInd/>
      <w:snapToGrid/>
      <w:spacing w:line="240" w:lineRule="auto"/>
      <w:ind w:firstLine="0" w:firstLineChars="0"/>
    </w:pPr>
    <w:rPr>
      <w:rFonts w:ascii="宋体" w:hAnsi="Courier New" w:eastAsia="宋体"/>
      <w:kern w:val="0"/>
      <w:sz w:val="24"/>
      <w:lang w:val="zh-CN"/>
    </w:rPr>
  </w:style>
  <w:style w:type="paragraph" w:customStyle="1" w:styleId="263">
    <w:name w:val="样式 标题 1 + (中文) 仿宋_GB2312 小二 首行缩进:  2 字符 段前: 0 磅 段后: 0 磅 行距:..."/>
    <w:basedOn w:val="3"/>
    <w:qFormat/>
    <w:uiPriority w:val="0"/>
    <w:pPr>
      <w:widowControl w:val="0"/>
      <w:ind w:firstLine="200" w:firstLineChars="200"/>
      <w:jc w:val="both"/>
    </w:pPr>
    <w:rPr>
      <w:rFonts w:ascii="黑体" w:eastAsia="仿宋_GB2312" w:cs="宋体"/>
      <w:sz w:val="32"/>
      <w:szCs w:val="32"/>
      <w:lang w:val="en-US"/>
    </w:rPr>
  </w:style>
  <w:style w:type="character" w:customStyle="1" w:styleId="264">
    <w:name w:val="Z Char Char"/>
    <w:link w:val="243"/>
    <w:qFormat/>
    <w:uiPriority w:val="99"/>
    <w:rPr>
      <w:rFonts w:ascii="宋体" w:hAnsi="宋体" w:eastAsia="仿宋"/>
      <w:kern w:val="2"/>
      <w:sz w:val="28"/>
      <w:szCs w:val="28"/>
    </w:rPr>
  </w:style>
  <w:style w:type="paragraph" w:customStyle="1" w:styleId="265">
    <w:name w:val="msonormal"/>
    <w:basedOn w:val="1"/>
    <w:qFormat/>
    <w:uiPriority w:val="0"/>
    <w:pPr>
      <w:widowControl/>
      <w:adjustRightInd/>
      <w:snapToGrid/>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266">
    <w:name w:val="font14"/>
    <w:basedOn w:val="1"/>
    <w:qFormat/>
    <w:uiPriority w:val="0"/>
    <w:pPr>
      <w:widowControl/>
      <w:adjustRightInd/>
      <w:snapToGrid/>
      <w:spacing w:before="10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267">
    <w:name w:val="font15"/>
    <w:basedOn w:val="1"/>
    <w:qFormat/>
    <w:uiPriority w:val="0"/>
    <w:pPr>
      <w:widowControl/>
      <w:adjustRightInd/>
      <w:snapToGrid/>
      <w:spacing w:before="10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268">
    <w:name w:val="xl92"/>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b/>
      <w:bCs/>
      <w:kern w:val="0"/>
      <w:sz w:val="18"/>
      <w:szCs w:val="18"/>
    </w:rPr>
  </w:style>
  <w:style w:type="paragraph" w:customStyle="1" w:styleId="269">
    <w:name w:val="xl93"/>
    <w:basedOn w:val="1"/>
    <w:qFormat/>
    <w:uiPriority w:val="0"/>
    <w:pPr>
      <w:widowControl/>
      <w:adjustRightInd/>
      <w:snapToGrid/>
      <w:spacing w:before="10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270">
    <w:name w:val="xl9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b/>
      <w:bCs/>
      <w:kern w:val="0"/>
      <w:sz w:val="18"/>
      <w:szCs w:val="18"/>
    </w:rPr>
  </w:style>
  <w:style w:type="paragraph" w:customStyle="1" w:styleId="271">
    <w:name w:val="xl9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color w:val="000000"/>
      <w:kern w:val="0"/>
      <w:sz w:val="18"/>
      <w:szCs w:val="18"/>
    </w:rPr>
  </w:style>
  <w:style w:type="paragraph" w:customStyle="1" w:styleId="272">
    <w:name w:val="xl9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b/>
      <w:bCs/>
      <w:color w:val="000000"/>
      <w:kern w:val="0"/>
      <w:sz w:val="18"/>
      <w:szCs w:val="18"/>
    </w:rPr>
  </w:style>
  <w:style w:type="paragraph" w:customStyle="1" w:styleId="273">
    <w:name w:val="xl9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b/>
      <w:bCs/>
      <w:kern w:val="0"/>
      <w:sz w:val="18"/>
      <w:szCs w:val="18"/>
    </w:rPr>
  </w:style>
  <w:style w:type="paragraph" w:customStyle="1" w:styleId="274">
    <w:name w:val="xl98"/>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kern w:val="0"/>
      <w:sz w:val="18"/>
      <w:szCs w:val="18"/>
    </w:rPr>
  </w:style>
  <w:style w:type="paragraph" w:customStyle="1" w:styleId="275">
    <w:name w:val="xl99"/>
    <w:basedOn w:val="1"/>
    <w:qFormat/>
    <w:uiPriority w:val="0"/>
    <w:pPr>
      <w:widowControl/>
      <w:pBdr>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kern w:val="0"/>
      <w:sz w:val="18"/>
      <w:szCs w:val="18"/>
    </w:rPr>
  </w:style>
  <w:style w:type="paragraph" w:customStyle="1" w:styleId="276">
    <w:name w:val="xl100"/>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kern w:val="0"/>
      <w:sz w:val="18"/>
      <w:szCs w:val="18"/>
    </w:rPr>
  </w:style>
  <w:style w:type="paragraph" w:customStyle="1" w:styleId="277">
    <w:name w:val="xl101"/>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kern w:val="0"/>
      <w:sz w:val="18"/>
      <w:szCs w:val="18"/>
    </w:rPr>
  </w:style>
  <w:style w:type="paragraph" w:customStyle="1" w:styleId="278">
    <w:name w:val="xl102"/>
    <w:basedOn w:val="1"/>
    <w:qFormat/>
    <w:uiPriority w:val="0"/>
    <w:pPr>
      <w:widowControl/>
      <w:pBdr>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kern w:val="0"/>
      <w:sz w:val="18"/>
      <w:szCs w:val="18"/>
    </w:rPr>
  </w:style>
  <w:style w:type="paragraph" w:customStyle="1" w:styleId="279">
    <w:name w:val="xl103"/>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kern w:val="0"/>
      <w:sz w:val="18"/>
      <w:szCs w:val="18"/>
    </w:rPr>
  </w:style>
  <w:style w:type="paragraph" w:customStyle="1" w:styleId="280">
    <w:name w:val="font16"/>
    <w:basedOn w:val="1"/>
    <w:qFormat/>
    <w:uiPriority w:val="0"/>
    <w:pPr>
      <w:widowControl/>
      <w:adjustRightInd/>
      <w:snapToGrid/>
      <w:spacing w:before="10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281">
    <w:name w:val="xl104"/>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eastAsia="宋体" w:cs="宋体"/>
      <w:color w:val="000000"/>
      <w:kern w:val="0"/>
      <w:sz w:val="18"/>
      <w:szCs w:val="18"/>
    </w:rPr>
  </w:style>
  <w:style w:type="character" w:customStyle="1" w:styleId="282">
    <w:name w:val="批注主题 Char1"/>
    <w:basedOn w:val="68"/>
    <w:link w:val="31"/>
    <w:qFormat/>
    <w:uiPriority w:val="0"/>
    <w:rPr>
      <w:rFonts w:ascii="Times New Roman" w:hAnsi="Times New Roman" w:eastAsia="仿宋" w:cs="Times New Roman"/>
      <w:b/>
      <w:bCs/>
      <w:kern w:val="2"/>
      <w:sz w:val="28"/>
      <w:szCs w:val="24"/>
    </w:rPr>
  </w:style>
  <w:style w:type="character" w:customStyle="1" w:styleId="283">
    <w:name w:val="font171"/>
    <w:basedOn w:val="34"/>
    <w:qFormat/>
    <w:uiPriority w:val="0"/>
    <w:rPr>
      <w:rFonts w:hint="eastAsia" w:ascii="宋体" w:hAnsi="宋体" w:eastAsia="宋体" w:cs="宋体"/>
      <w:b/>
      <w:bCs/>
      <w:color w:val="000000"/>
      <w:sz w:val="20"/>
      <w:szCs w:val="20"/>
      <w:u w:val="none"/>
    </w:rPr>
  </w:style>
  <w:style w:type="character" w:customStyle="1" w:styleId="284">
    <w:name w:val="font51"/>
    <w:basedOn w:val="34"/>
    <w:qFormat/>
    <w:uiPriority w:val="0"/>
    <w:rPr>
      <w:rFonts w:hint="default" w:ascii="Times New Roman" w:hAnsi="Times New Roman" w:cs="Times New Roman"/>
      <w:b/>
      <w:bCs/>
      <w:color w:val="000000"/>
      <w:sz w:val="20"/>
      <w:szCs w:val="20"/>
      <w:u w:val="none"/>
    </w:rPr>
  </w:style>
  <w:style w:type="character" w:customStyle="1" w:styleId="285">
    <w:name w:val="font181"/>
    <w:basedOn w:val="34"/>
    <w:qFormat/>
    <w:uiPriority w:val="0"/>
    <w:rPr>
      <w:rFonts w:hint="eastAsia" w:ascii="宋体" w:hAnsi="宋体" w:eastAsia="宋体" w:cs="宋体"/>
      <w:color w:val="000000"/>
      <w:sz w:val="20"/>
      <w:szCs w:val="20"/>
      <w:u w:val="none"/>
    </w:rPr>
  </w:style>
  <w:style w:type="character" w:customStyle="1" w:styleId="286">
    <w:name w:val="font151"/>
    <w:basedOn w:val="34"/>
    <w:qFormat/>
    <w:uiPriority w:val="0"/>
    <w:rPr>
      <w:rFonts w:hint="eastAsia" w:ascii="宋体" w:hAnsi="宋体" w:eastAsia="宋体" w:cs="宋体"/>
      <w:color w:val="000000"/>
      <w:sz w:val="18"/>
      <w:szCs w:val="18"/>
      <w:u w:val="none"/>
    </w:rPr>
  </w:style>
  <w:style w:type="character" w:customStyle="1" w:styleId="287">
    <w:name w:val="font191"/>
    <w:basedOn w:val="34"/>
    <w:qFormat/>
    <w:uiPriority w:val="0"/>
    <w:rPr>
      <w:rFonts w:hint="default" w:ascii="Times New Roman" w:hAnsi="Times New Roman" w:cs="Times New Roman"/>
      <w:color w:val="000000"/>
      <w:sz w:val="20"/>
      <w:szCs w:val="20"/>
      <w:u w:val="none"/>
      <w:vertAlign w:val="superscript"/>
    </w:rPr>
  </w:style>
  <w:style w:type="character" w:customStyle="1" w:styleId="288">
    <w:name w:val="font112"/>
    <w:basedOn w:val="34"/>
    <w:qFormat/>
    <w:uiPriority w:val="0"/>
    <w:rPr>
      <w:rFonts w:hint="eastAsia" w:ascii="宋体" w:hAnsi="宋体" w:eastAsia="宋体" w:cs="宋体"/>
      <w:color w:val="FF0000"/>
      <w:sz w:val="20"/>
      <w:szCs w:val="20"/>
      <w:u w:val="none"/>
    </w:rPr>
  </w:style>
  <w:style w:type="character" w:customStyle="1" w:styleId="289">
    <w:name w:val="font201"/>
    <w:basedOn w:val="34"/>
    <w:qFormat/>
    <w:uiPriority w:val="0"/>
    <w:rPr>
      <w:rFonts w:hint="default" w:ascii="Times New Roman" w:hAnsi="Times New Roman" w:cs="Times New Roman"/>
      <w:color w:val="FF0000"/>
      <w:sz w:val="20"/>
      <w:szCs w:val="20"/>
      <w:u w:val="none"/>
      <w:vertAlign w:val="superscript"/>
    </w:rPr>
  </w:style>
  <w:style w:type="character" w:customStyle="1" w:styleId="290">
    <w:name w:val="font121"/>
    <w:basedOn w:val="34"/>
    <w:qFormat/>
    <w:uiPriority w:val="0"/>
    <w:rPr>
      <w:rFonts w:hint="eastAsia" w:ascii="宋体" w:hAnsi="宋体" w:eastAsia="宋体" w:cs="宋体"/>
      <w:color w:val="FF0000"/>
      <w:sz w:val="18"/>
      <w:szCs w:val="18"/>
      <w:u w:val="none"/>
    </w:rPr>
  </w:style>
  <w:style w:type="character" w:customStyle="1" w:styleId="291">
    <w:name w:val="font211"/>
    <w:basedOn w:val="34"/>
    <w:qFormat/>
    <w:uiPriority w:val="0"/>
    <w:rPr>
      <w:rFonts w:hint="eastAsia" w:ascii="宋体" w:hAnsi="宋体" w:eastAsia="宋体" w:cs="宋体"/>
      <w:b/>
      <w:bCs/>
      <w:color w:val="000000"/>
      <w:sz w:val="18"/>
      <w:szCs w:val="18"/>
      <w:u w:val="none"/>
    </w:rPr>
  </w:style>
  <w:style w:type="character" w:customStyle="1" w:styleId="292">
    <w:name w:val="font222"/>
    <w:basedOn w:val="34"/>
    <w:qFormat/>
    <w:uiPriority w:val="0"/>
    <w:rPr>
      <w:rFonts w:hint="default" w:ascii="Times New Roman" w:hAnsi="Times New Roman" w:cs="Times New Roman"/>
      <w:color w:val="000000"/>
      <w:sz w:val="18"/>
      <w:szCs w:val="18"/>
      <w:u w:val="none"/>
      <w:vertAlign w:val="superscript"/>
    </w:rPr>
  </w:style>
  <w:style w:type="character" w:customStyle="1" w:styleId="293">
    <w:name w:val="font231"/>
    <w:basedOn w:val="34"/>
    <w:qFormat/>
    <w:uiPriority w:val="0"/>
    <w:rPr>
      <w:rFonts w:hint="default" w:ascii="Times New Roman" w:hAnsi="Times New Roman" w:cs="Times New Roman"/>
      <w:color w:val="000000"/>
      <w:sz w:val="18"/>
      <w:szCs w:val="18"/>
      <w:u w:val="none"/>
      <w:vertAlign w:val="subscript"/>
    </w:rPr>
  </w:style>
  <w:style w:type="character" w:customStyle="1" w:styleId="294">
    <w:name w:val="font251"/>
    <w:basedOn w:val="34"/>
    <w:qFormat/>
    <w:uiPriority w:val="0"/>
    <w:rPr>
      <w:rFonts w:hint="default" w:ascii="Times New Roman" w:hAnsi="Times New Roman" w:cs="Times New Roman"/>
      <w:color w:val="FF0000"/>
      <w:sz w:val="18"/>
      <w:szCs w:val="18"/>
      <w:u w:val="none"/>
      <w:vertAlign w:val="subscript"/>
    </w:rPr>
  </w:style>
  <w:style w:type="character" w:customStyle="1" w:styleId="295">
    <w:name w:val="font122"/>
    <w:basedOn w:val="34"/>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5" Type="http://schemas.openxmlformats.org/officeDocument/2006/relationships/fontTable" Target="fontTable.xml"/><Relationship Id="rId84" Type="http://schemas.openxmlformats.org/officeDocument/2006/relationships/customXml" Target="../customXml/item2.xml"/><Relationship Id="rId83" Type="http://schemas.openxmlformats.org/officeDocument/2006/relationships/customXml" Target="../customXml/item1.xml"/><Relationship Id="rId82" Type="http://schemas.openxmlformats.org/officeDocument/2006/relationships/image" Target="media/image60.jpeg"/><Relationship Id="rId81" Type="http://schemas.openxmlformats.org/officeDocument/2006/relationships/image" Target="media/image59.jpeg"/><Relationship Id="rId80" Type="http://schemas.openxmlformats.org/officeDocument/2006/relationships/image" Target="media/image58.jpeg"/><Relationship Id="rId8" Type="http://schemas.openxmlformats.org/officeDocument/2006/relationships/footer" Target="footer2.xml"/><Relationship Id="rId79" Type="http://schemas.openxmlformats.org/officeDocument/2006/relationships/image" Target="media/image57.jpeg"/><Relationship Id="rId78" Type="http://schemas.openxmlformats.org/officeDocument/2006/relationships/image" Target="media/image56.jpeg"/><Relationship Id="rId77" Type="http://schemas.openxmlformats.org/officeDocument/2006/relationships/image" Target="media/image55.jpeg"/><Relationship Id="rId76" Type="http://schemas.openxmlformats.org/officeDocument/2006/relationships/image" Target="media/image54.jpeg"/><Relationship Id="rId75" Type="http://schemas.openxmlformats.org/officeDocument/2006/relationships/image" Target="media/image53.jpeg"/><Relationship Id="rId74" Type="http://schemas.openxmlformats.org/officeDocument/2006/relationships/image" Target="media/image52.jpeg"/><Relationship Id="rId73" Type="http://schemas.openxmlformats.org/officeDocument/2006/relationships/image" Target="media/image51.jpeg"/><Relationship Id="rId72" Type="http://schemas.openxmlformats.org/officeDocument/2006/relationships/image" Target="media/image50.jpeg"/><Relationship Id="rId71" Type="http://schemas.openxmlformats.org/officeDocument/2006/relationships/image" Target="media/image49.jpeg"/><Relationship Id="rId70" Type="http://schemas.openxmlformats.org/officeDocument/2006/relationships/image" Target="media/image48.jpeg"/><Relationship Id="rId7" Type="http://schemas.openxmlformats.org/officeDocument/2006/relationships/footer" Target="footer1.xml"/><Relationship Id="rId69" Type="http://schemas.openxmlformats.org/officeDocument/2006/relationships/image" Target="media/image47.jpeg"/><Relationship Id="rId68" Type="http://schemas.openxmlformats.org/officeDocument/2006/relationships/image" Target="media/image46.jpeg"/><Relationship Id="rId67" Type="http://schemas.openxmlformats.org/officeDocument/2006/relationships/image" Target="media/image45.jpeg"/><Relationship Id="rId66" Type="http://schemas.openxmlformats.org/officeDocument/2006/relationships/image" Target="media/image44.jpeg"/><Relationship Id="rId65" Type="http://schemas.openxmlformats.org/officeDocument/2006/relationships/image" Target="media/image43.jpeg"/><Relationship Id="rId64" Type="http://schemas.openxmlformats.org/officeDocument/2006/relationships/image" Target="media/image42.jpeg"/><Relationship Id="rId63" Type="http://schemas.openxmlformats.org/officeDocument/2006/relationships/image" Target="media/image41.jpeg"/><Relationship Id="rId62" Type="http://schemas.openxmlformats.org/officeDocument/2006/relationships/image" Target="media/image40.jpeg"/><Relationship Id="rId61" Type="http://schemas.openxmlformats.org/officeDocument/2006/relationships/image" Target="media/image39.jpeg"/><Relationship Id="rId60" Type="http://schemas.openxmlformats.org/officeDocument/2006/relationships/image" Target="media/image38.jpeg"/><Relationship Id="rId6" Type="http://schemas.openxmlformats.org/officeDocument/2006/relationships/header" Target="header2.xml"/><Relationship Id="rId59" Type="http://schemas.openxmlformats.org/officeDocument/2006/relationships/image" Target="media/image37.jpeg"/><Relationship Id="rId58" Type="http://schemas.openxmlformats.org/officeDocument/2006/relationships/image" Target="media/image36.jpeg"/><Relationship Id="rId57" Type="http://schemas.openxmlformats.org/officeDocument/2006/relationships/image" Target="media/image35.jpeg"/><Relationship Id="rId56" Type="http://schemas.openxmlformats.org/officeDocument/2006/relationships/image" Target="media/image34.jpeg"/><Relationship Id="rId55" Type="http://schemas.openxmlformats.org/officeDocument/2006/relationships/image" Target="media/image33.jpeg"/><Relationship Id="rId54" Type="http://schemas.openxmlformats.org/officeDocument/2006/relationships/image" Target="media/image32.jpeg"/><Relationship Id="rId53" Type="http://schemas.openxmlformats.org/officeDocument/2006/relationships/image" Target="media/image31.jpeg"/><Relationship Id="rId52" Type="http://schemas.openxmlformats.org/officeDocument/2006/relationships/image" Target="media/image30.jpeg"/><Relationship Id="rId51" Type="http://schemas.openxmlformats.org/officeDocument/2006/relationships/image" Target="media/image29.jpeg"/><Relationship Id="rId50" Type="http://schemas.openxmlformats.org/officeDocument/2006/relationships/image" Target="media/image28.jpeg"/><Relationship Id="rId5" Type="http://schemas.openxmlformats.org/officeDocument/2006/relationships/header" Target="header1.xml"/><Relationship Id="rId49" Type="http://schemas.openxmlformats.org/officeDocument/2006/relationships/image" Target="media/image27.jpeg"/><Relationship Id="rId48" Type="http://schemas.openxmlformats.org/officeDocument/2006/relationships/image" Target="media/image26.jpeg"/><Relationship Id="rId47" Type="http://schemas.openxmlformats.org/officeDocument/2006/relationships/image" Target="media/image25.jpeg"/><Relationship Id="rId46" Type="http://schemas.openxmlformats.org/officeDocument/2006/relationships/image" Target="media/image24.jpeg"/><Relationship Id="rId45" Type="http://schemas.openxmlformats.org/officeDocument/2006/relationships/image" Target="media/image23.jpeg"/><Relationship Id="rId44" Type="http://schemas.openxmlformats.org/officeDocument/2006/relationships/image" Target="media/image22.jpeg"/><Relationship Id="rId43" Type="http://schemas.openxmlformats.org/officeDocument/2006/relationships/image" Target="media/image21.jpeg"/><Relationship Id="rId42" Type="http://schemas.openxmlformats.org/officeDocument/2006/relationships/image" Target="media/image20.jpeg"/><Relationship Id="rId41" Type="http://schemas.openxmlformats.org/officeDocument/2006/relationships/image" Target="media/image19.jpeg"/><Relationship Id="rId40" Type="http://schemas.openxmlformats.org/officeDocument/2006/relationships/image" Target="media/image18.jpeg"/><Relationship Id="rId4" Type="http://schemas.openxmlformats.org/officeDocument/2006/relationships/endnotes" Target="endnotes.xml"/><Relationship Id="rId39" Type="http://schemas.openxmlformats.org/officeDocument/2006/relationships/image" Target="media/image17.jpeg"/><Relationship Id="rId38" Type="http://schemas.openxmlformats.org/officeDocument/2006/relationships/image" Target="media/image16.jpeg"/><Relationship Id="rId37" Type="http://schemas.openxmlformats.org/officeDocument/2006/relationships/image" Target="media/image15.jpeg"/><Relationship Id="rId36" Type="http://schemas.openxmlformats.org/officeDocument/2006/relationships/image" Target="media/image14.jpeg"/><Relationship Id="rId35" Type="http://schemas.openxmlformats.org/officeDocument/2006/relationships/image" Target="media/image13.jpeg"/><Relationship Id="rId34" Type="http://schemas.openxmlformats.org/officeDocument/2006/relationships/image" Target="media/image12.jpeg"/><Relationship Id="rId33" Type="http://schemas.openxmlformats.org/officeDocument/2006/relationships/image" Target="media/image11.jpeg"/><Relationship Id="rId32" Type="http://schemas.openxmlformats.org/officeDocument/2006/relationships/image" Target="media/image10.png"/><Relationship Id="rId31" Type="http://schemas.openxmlformats.org/officeDocument/2006/relationships/image" Target="media/image9.png"/><Relationship Id="rId30" Type="http://schemas.openxmlformats.org/officeDocument/2006/relationships/image" Target="media/image8.png"/><Relationship Id="rId3" Type="http://schemas.openxmlformats.org/officeDocument/2006/relationships/footnotes" Target="footnotes.xml"/><Relationship Id="rId29" Type="http://schemas.openxmlformats.org/officeDocument/2006/relationships/oleObject" Target="embeddings/oleObject10.bin"/><Relationship Id="rId28" Type="http://schemas.openxmlformats.org/officeDocument/2006/relationships/oleObject" Target="embeddings/oleObject9.bin"/><Relationship Id="rId27" Type="http://schemas.openxmlformats.org/officeDocument/2006/relationships/oleObject" Target="embeddings/oleObject8.bin"/><Relationship Id="rId26" Type="http://schemas.openxmlformats.org/officeDocument/2006/relationships/oleObject" Target="embeddings/oleObject7.bin"/><Relationship Id="rId25" Type="http://schemas.openxmlformats.org/officeDocument/2006/relationships/oleObject" Target="embeddings/oleObject6.bin"/><Relationship Id="rId24" Type="http://schemas.openxmlformats.org/officeDocument/2006/relationships/oleObject" Target="embeddings/oleObject5.bin"/><Relationship Id="rId23" Type="http://schemas.openxmlformats.org/officeDocument/2006/relationships/oleObject" Target="embeddings/oleObject4.bin"/><Relationship Id="rId22" Type="http://schemas.openxmlformats.org/officeDocument/2006/relationships/oleObject" Target="embeddings/oleObject3.bin"/><Relationship Id="rId21" Type="http://schemas.openxmlformats.org/officeDocument/2006/relationships/image" Target="media/image7.w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6.wmf"/><Relationship Id="rId18" Type="http://schemas.openxmlformats.org/officeDocument/2006/relationships/oleObject" Target="embeddings/oleObject1.bin"/><Relationship Id="rId17" Type="http://schemas.openxmlformats.org/officeDocument/2006/relationships/image" Target="media/image5.jpeg"/><Relationship Id="rId16" Type="http://schemas.openxmlformats.org/officeDocument/2006/relationships/image" Target="media/image4.jpeg"/><Relationship Id="rId15" Type="http://schemas.openxmlformats.org/officeDocument/2006/relationships/image" Target="media/image3.png"/><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04A68D-0188-49BF-85D5-D01A299BBC19}">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170</Pages>
  <Words>4279</Words>
  <Characters>6214</Characters>
  <Lines>572</Lines>
  <Paragraphs>161</Paragraphs>
  <TotalTime>0</TotalTime>
  <ScaleCrop>false</ScaleCrop>
  <LinksUpToDate>false</LinksUpToDate>
  <CharactersWithSpaces>6508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2026-07-27T16:23:00Z</dcterms:created>
  <dc:creator>PC</dc:creator>
  <cp:lastModifiedBy>Luio</cp:lastModifiedBy>
  <cp:lastPrinted>2026-04-26T17:53:00Z</cp:lastPrinted>
  <dcterms:modified xsi:type="dcterms:W3CDTF">2026-07-31T02:09:05Z</dcterms:modified>
  <dc:title>Administrator</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833B6A4D57084A1F98863143C9514C6B_13</vt:lpwstr>
  </property>
  <property fmtid="{D5CDD505-2E9C-101B-9397-08002B2CF9AE}" pid="4" name="KSOTemplateDocerSaveRecord">
    <vt:lpwstr>eyJoZGlkIjoiYTIxYzg0NTc3NWJhOTRkYWY4MGE1MTk4YzZiZjljZDEiLCJ1c2VySWQiOiI0NDY5NDMwMjUifQ==</vt:lpwstr>
  </property>
</Properties>
</file>