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rFonts w:ascii="宋体" w:hAnsi="宋体" w:eastAsia="宋体"/>
          <w:b/>
          <w:bCs/>
          <w:color w:val="000000"/>
          <w:sz w:val="32"/>
          <w:szCs w:val="32"/>
        </w:rPr>
      </w:pPr>
      <w:r>
        <w:rPr>
          <w:rFonts w:hint="eastAsia" w:ascii="宋体" w:hAnsi="宋体" w:eastAsia="宋体"/>
          <w:b/>
          <w:bCs/>
          <w:color w:val="000000"/>
          <w:sz w:val="32"/>
          <w:szCs w:val="32"/>
        </w:rPr>
        <w:t>钦州市交通运输局202</w:t>
      </w:r>
      <w:r>
        <w:rPr>
          <w:rFonts w:hint="eastAsia" w:ascii="宋体" w:hAnsi="宋体" w:eastAsia="宋体"/>
          <w:b/>
          <w:bCs/>
          <w:color w:val="000000"/>
          <w:sz w:val="32"/>
          <w:szCs w:val="32"/>
          <w:lang w:val="en-US" w:eastAsia="zh-CN"/>
        </w:rPr>
        <w:t>6</w:t>
      </w:r>
      <w:r>
        <w:rPr>
          <w:rFonts w:hint="eastAsia" w:ascii="宋体" w:hAnsi="宋体" w:eastAsia="宋体"/>
          <w:b/>
          <w:bCs/>
          <w:color w:val="000000"/>
          <w:sz w:val="32"/>
          <w:szCs w:val="32"/>
        </w:rPr>
        <w:t>年</w:t>
      </w:r>
      <w:r>
        <w:rPr>
          <w:rFonts w:hint="eastAsia" w:ascii="宋体" w:hAnsi="宋体" w:eastAsia="宋体"/>
          <w:b/>
          <w:bCs/>
          <w:color w:val="000000"/>
          <w:sz w:val="32"/>
          <w:szCs w:val="32"/>
          <w:lang w:val="en-US" w:eastAsia="zh-CN"/>
        </w:rPr>
        <w:t>8月（至）9</w:t>
      </w:r>
      <w:r>
        <w:rPr>
          <w:rFonts w:hint="eastAsia" w:ascii="宋体" w:hAnsi="宋体" w:eastAsia="宋体"/>
          <w:b/>
          <w:bCs/>
          <w:color w:val="000000"/>
          <w:sz w:val="32"/>
          <w:szCs w:val="32"/>
        </w:rPr>
        <w:t>月政府采购意向</w:t>
      </w:r>
    </w:p>
    <w:p>
      <w:pPr>
        <w:ind w:firstLine="480" w:firstLineChars="200"/>
        <w:rPr>
          <w:rFonts w:ascii="宋体" w:hAnsi="宋体" w:eastAsia="宋体"/>
          <w:sz w:val="24"/>
          <w:szCs w:val="24"/>
        </w:rPr>
      </w:pPr>
    </w:p>
    <w:p>
      <w:pPr>
        <w:spacing w:line="600" w:lineRule="exact"/>
        <w:ind w:firstLine="480" w:firstLineChars="200"/>
        <w:rPr>
          <w:rFonts w:ascii="宋体" w:hAnsi="宋体" w:eastAsia="宋体"/>
          <w:sz w:val="24"/>
          <w:szCs w:val="24"/>
        </w:rPr>
      </w:pPr>
      <w:r>
        <w:rPr>
          <w:rFonts w:hint="eastAsia" w:ascii="宋体" w:hAnsi="宋体" w:eastAsia="宋体"/>
          <w:sz w:val="24"/>
          <w:szCs w:val="24"/>
        </w:rPr>
        <w:t>为便于供应商及时了解政府采购信息，根据《财政部关于开展政府采购意向公开工作的通知》（财库〔</w:t>
      </w:r>
      <w:r>
        <w:rPr>
          <w:rFonts w:ascii="宋体" w:hAnsi="宋体" w:eastAsia="宋体"/>
          <w:sz w:val="24"/>
          <w:szCs w:val="24"/>
        </w:rPr>
        <w:t>2020〕10号）和《广西壮族自治区财政厅关于进一步规范政府采购意向公开工作的通知》（桂财采〔2022〕84号）等有关规定，现将钦州市交通运输局202</w:t>
      </w:r>
      <w:r>
        <w:rPr>
          <w:rFonts w:hint="eastAsia" w:ascii="宋体" w:hAnsi="宋体" w:eastAsia="宋体"/>
          <w:sz w:val="24"/>
          <w:szCs w:val="24"/>
          <w:lang w:val="en-US" w:eastAsia="zh-CN"/>
        </w:rPr>
        <w:t>6</w:t>
      </w:r>
      <w:r>
        <w:rPr>
          <w:rFonts w:ascii="宋体" w:hAnsi="宋体" w:eastAsia="宋体"/>
          <w:sz w:val="24"/>
          <w:szCs w:val="24"/>
        </w:rPr>
        <w:t>年</w:t>
      </w:r>
      <w:r>
        <w:rPr>
          <w:rFonts w:hint="eastAsia" w:ascii="宋体" w:hAnsi="宋体" w:eastAsia="宋体"/>
          <w:sz w:val="24"/>
          <w:szCs w:val="24"/>
          <w:lang w:val="en-US" w:eastAsia="zh-CN"/>
        </w:rPr>
        <w:t>8</w:t>
      </w:r>
      <w:r>
        <w:rPr>
          <w:rFonts w:ascii="宋体" w:hAnsi="宋体" w:eastAsia="宋体"/>
          <w:sz w:val="24"/>
          <w:szCs w:val="24"/>
        </w:rPr>
        <w:t>月</w:t>
      </w:r>
      <w:r>
        <w:rPr>
          <w:rFonts w:hint="eastAsia" w:ascii="宋体" w:hAnsi="宋体" w:eastAsia="宋体"/>
          <w:sz w:val="24"/>
          <w:szCs w:val="24"/>
          <w:lang w:val="en-US" w:eastAsia="zh-CN"/>
        </w:rPr>
        <w:t>至9月</w:t>
      </w:r>
      <w:r>
        <w:rPr>
          <w:rFonts w:ascii="宋体" w:hAnsi="宋体" w:eastAsia="宋体"/>
          <w:sz w:val="24"/>
          <w:szCs w:val="24"/>
        </w:rPr>
        <w:t xml:space="preserve">采购意向公开如下：  </w:t>
      </w:r>
    </w:p>
    <w:tbl>
      <w:tblPr>
        <w:tblStyle w:val="6"/>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843"/>
        <w:gridCol w:w="2268"/>
        <w:gridCol w:w="1134"/>
        <w:gridCol w:w="1559"/>
        <w:gridCol w:w="1276"/>
        <w:gridCol w:w="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pacing w:line="600" w:lineRule="exact"/>
              <w:jc w:val="center"/>
              <w:rPr>
                <w:rFonts w:ascii="宋体" w:hAnsi="宋体" w:eastAsia="宋体"/>
                <w:sz w:val="24"/>
                <w:szCs w:val="24"/>
              </w:rPr>
            </w:pPr>
            <w:r>
              <w:rPr>
                <w:rStyle w:val="8"/>
                <w:rFonts w:hint="eastAsia" w:ascii="宋体" w:hAnsi="宋体" w:eastAsia="宋体"/>
                <w:sz w:val="24"/>
                <w:szCs w:val="24"/>
              </w:rPr>
              <w:t>序号</w:t>
            </w:r>
          </w:p>
        </w:tc>
        <w:tc>
          <w:tcPr>
            <w:tcW w:w="1843" w:type="dxa"/>
            <w:vAlign w:val="center"/>
          </w:tcPr>
          <w:p>
            <w:pPr>
              <w:spacing w:line="600" w:lineRule="exact"/>
              <w:jc w:val="center"/>
              <w:rPr>
                <w:rFonts w:ascii="宋体" w:hAnsi="宋体" w:eastAsia="宋体"/>
                <w:sz w:val="24"/>
                <w:szCs w:val="24"/>
              </w:rPr>
            </w:pPr>
            <w:r>
              <w:rPr>
                <w:rStyle w:val="8"/>
                <w:rFonts w:hint="eastAsia" w:ascii="宋体" w:hAnsi="宋体" w:eastAsia="宋体"/>
                <w:sz w:val="24"/>
                <w:szCs w:val="24"/>
              </w:rPr>
              <w:t>采购项目名称</w:t>
            </w:r>
          </w:p>
        </w:tc>
        <w:tc>
          <w:tcPr>
            <w:tcW w:w="2268" w:type="dxa"/>
            <w:vAlign w:val="center"/>
          </w:tcPr>
          <w:p>
            <w:pPr>
              <w:spacing w:line="600" w:lineRule="exact"/>
              <w:jc w:val="center"/>
              <w:rPr>
                <w:rFonts w:ascii="宋体" w:hAnsi="宋体" w:eastAsia="宋体"/>
                <w:sz w:val="24"/>
                <w:szCs w:val="24"/>
              </w:rPr>
            </w:pPr>
            <w:r>
              <w:rPr>
                <w:rStyle w:val="8"/>
                <w:rFonts w:hint="eastAsia" w:ascii="宋体" w:hAnsi="宋体" w:eastAsia="宋体"/>
                <w:sz w:val="24"/>
                <w:szCs w:val="24"/>
              </w:rPr>
              <w:t>采购需求概况</w:t>
            </w:r>
          </w:p>
        </w:tc>
        <w:tc>
          <w:tcPr>
            <w:tcW w:w="1134" w:type="dxa"/>
            <w:vAlign w:val="center"/>
          </w:tcPr>
          <w:p>
            <w:pPr>
              <w:spacing w:line="600" w:lineRule="exact"/>
              <w:jc w:val="center"/>
              <w:rPr>
                <w:rFonts w:ascii="宋体" w:hAnsi="宋体" w:eastAsia="宋体"/>
                <w:sz w:val="24"/>
                <w:szCs w:val="24"/>
              </w:rPr>
            </w:pPr>
            <w:r>
              <w:rPr>
                <w:rStyle w:val="8"/>
                <w:rFonts w:hint="eastAsia" w:ascii="宋体" w:hAnsi="宋体" w:eastAsia="宋体"/>
                <w:sz w:val="24"/>
                <w:szCs w:val="24"/>
              </w:rPr>
              <w:t>预算金额（万元）</w:t>
            </w:r>
          </w:p>
        </w:tc>
        <w:tc>
          <w:tcPr>
            <w:tcW w:w="1559" w:type="dxa"/>
            <w:vAlign w:val="center"/>
          </w:tcPr>
          <w:p>
            <w:pPr>
              <w:spacing w:line="600" w:lineRule="exact"/>
              <w:jc w:val="center"/>
              <w:rPr>
                <w:rFonts w:ascii="宋体" w:hAnsi="宋体" w:eastAsia="宋体"/>
                <w:sz w:val="24"/>
                <w:szCs w:val="24"/>
              </w:rPr>
            </w:pPr>
            <w:r>
              <w:rPr>
                <w:rStyle w:val="8"/>
                <w:rFonts w:hint="eastAsia" w:ascii="宋体" w:hAnsi="宋体" w:eastAsia="宋体"/>
                <w:sz w:val="24"/>
                <w:szCs w:val="24"/>
              </w:rPr>
              <w:t>预计采购时间（填写到月）</w:t>
            </w:r>
          </w:p>
        </w:tc>
        <w:tc>
          <w:tcPr>
            <w:tcW w:w="1276" w:type="dxa"/>
            <w:vAlign w:val="center"/>
          </w:tcPr>
          <w:p>
            <w:pPr>
              <w:spacing w:line="600" w:lineRule="exact"/>
              <w:jc w:val="center"/>
              <w:rPr>
                <w:rFonts w:ascii="宋体" w:hAnsi="宋体" w:eastAsia="宋体"/>
                <w:sz w:val="24"/>
                <w:szCs w:val="24"/>
              </w:rPr>
            </w:pPr>
            <w:r>
              <w:rPr>
                <w:rStyle w:val="8"/>
                <w:rFonts w:hint="eastAsia" w:ascii="宋体" w:hAnsi="宋体" w:eastAsia="宋体"/>
                <w:sz w:val="24"/>
                <w:szCs w:val="24"/>
              </w:rPr>
              <w:t>落实政府采购政策功能情况</w:t>
            </w:r>
          </w:p>
        </w:tc>
        <w:tc>
          <w:tcPr>
            <w:tcW w:w="844" w:type="dxa"/>
            <w:vAlign w:val="center"/>
          </w:tcPr>
          <w:p>
            <w:pPr>
              <w:spacing w:line="600" w:lineRule="exact"/>
              <w:jc w:val="center"/>
              <w:rPr>
                <w:rFonts w:ascii="宋体" w:hAnsi="宋体" w:eastAsia="宋体"/>
                <w:sz w:val="24"/>
                <w:szCs w:val="24"/>
              </w:rPr>
            </w:pPr>
            <w:r>
              <w:rPr>
                <w:rStyle w:val="8"/>
                <w:rFonts w:hint="eastAsia" w:ascii="宋体" w:hAnsi="宋体" w:eastAsia="宋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pacing w:line="600" w:lineRule="exact"/>
              <w:jc w:val="center"/>
              <w:rPr>
                <w:rFonts w:ascii="宋体" w:hAnsi="宋体" w:eastAsia="宋体"/>
                <w:sz w:val="24"/>
                <w:szCs w:val="24"/>
              </w:rPr>
            </w:pPr>
            <w:r>
              <w:rPr>
                <w:rFonts w:hint="eastAsia" w:ascii="宋体" w:hAnsi="宋体" w:eastAsia="宋体"/>
                <w:sz w:val="24"/>
                <w:szCs w:val="24"/>
              </w:rPr>
              <w:t>1</w:t>
            </w:r>
          </w:p>
        </w:tc>
        <w:tc>
          <w:tcPr>
            <w:tcW w:w="1843" w:type="dxa"/>
            <w:vAlign w:val="center"/>
          </w:tcPr>
          <w:p>
            <w:pPr>
              <w:spacing w:line="320" w:lineRule="exact"/>
              <w:jc w:val="left"/>
              <w:rPr>
                <w:rFonts w:hint="eastAsia" w:ascii="宋体" w:hAnsi="宋体" w:eastAsia="宋体" w:cs="宋体"/>
                <w:kern w:val="0"/>
                <w:sz w:val="24"/>
                <w:szCs w:val="24"/>
              </w:rPr>
            </w:pPr>
            <w:bookmarkStart w:id="0" w:name="_Hlk207187206"/>
            <w:r>
              <w:rPr>
                <w:rFonts w:hint="eastAsia" w:ascii="宋体" w:hAnsi="宋体" w:eastAsia="宋体" w:cs="宋体"/>
                <w:kern w:val="0"/>
                <w:sz w:val="24"/>
                <w:szCs w:val="24"/>
              </w:rPr>
              <w:t>《完善钦州地区重点铁路规划布局研究》</w:t>
            </w:r>
            <w:bookmarkEnd w:id="0"/>
          </w:p>
        </w:tc>
        <w:tc>
          <w:tcPr>
            <w:tcW w:w="2268" w:type="dxa"/>
            <w:vAlign w:val="center"/>
          </w:tcPr>
          <w:p>
            <w:pPr>
              <w:adjustRightInd/>
              <w:snapToGrid/>
              <w:spacing w:line="260" w:lineRule="exact"/>
              <w:ind w:firstLine="0" w:firstLineChars="0"/>
              <w:rPr>
                <w:rFonts w:hint="eastAsia" w:ascii="宋体" w:hAnsi="宋体" w:eastAsia="宋体" w:cs="宋体"/>
                <w:kern w:val="0"/>
                <w:sz w:val="24"/>
                <w:szCs w:val="24"/>
              </w:rPr>
            </w:pPr>
            <w:r>
              <w:rPr>
                <w:rFonts w:hint="eastAsia" w:ascii="宋体" w:hAnsi="宋体" w:eastAsia="宋体" w:cs="宋体"/>
                <w:kern w:val="0"/>
                <w:sz w:val="24"/>
                <w:szCs w:val="24"/>
              </w:rPr>
              <w:t>结合钦州铁路现状及在区域铁路网中的运输定位，分析运输需求，重点对区域内钦州至玉林和钦州至合浦至湛江铁路、云桂沿边铁路（引入钦州地区）</w:t>
            </w:r>
            <w:r>
              <w:rPr>
                <w:rFonts w:hint="eastAsia" w:ascii="宋体" w:hAnsi="宋体" w:eastAsia="宋体" w:cs="宋体"/>
                <w:kern w:val="0"/>
                <w:sz w:val="24"/>
                <w:szCs w:val="24"/>
                <w:lang w:eastAsia="zh-CN"/>
              </w:rPr>
              <w:t>以及</w:t>
            </w:r>
            <w:r>
              <w:rPr>
                <w:rFonts w:hint="eastAsia" w:ascii="宋体" w:hAnsi="宋体" w:eastAsia="宋体" w:cs="宋体"/>
                <w:kern w:val="0"/>
                <w:sz w:val="24"/>
                <w:szCs w:val="24"/>
              </w:rPr>
              <w:t>钦州市铁路</w:t>
            </w:r>
            <w:r>
              <w:rPr>
                <w:rFonts w:hint="eastAsia" w:ascii="宋体" w:hAnsi="宋体" w:eastAsia="宋体" w:cs="宋体"/>
                <w:kern w:val="0"/>
                <w:sz w:val="24"/>
                <w:szCs w:val="24"/>
                <w:lang w:eastAsia="zh-CN"/>
              </w:rPr>
              <w:t>支</w:t>
            </w:r>
            <w:r>
              <w:rPr>
                <w:rFonts w:hint="eastAsia" w:ascii="宋体" w:hAnsi="宋体" w:eastAsia="宋体" w:cs="宋体"/>
                <w:kern w:val="0"/>
                <w:sz w:val="24"/>
                <w:szCs w:val="24"/>
              </w:rPr>
              <w:t>专线</w:t>
            </w:r>
            <w:r>
              <w:rPr>
                <w:rFonts w:hint="eastAsia" w:ascii="宋体" w:hAnsi="宋体" w:eastAsia="宋体" w:cs="宋体"/>
                <w:kern w:val="0"/>
                <w:sz w:val="24"/>
                <w:szCs w:val="24"/>
                <w:lang w:eastAsia="zh-CN"/>
              </w:rPr>
              <w:t>和利用既有钦州东至钦州港铁路开行客运</w:t>
            </w:r>
            <w:r>
              <w:rPr>
                <w:rFonts w:hint="eastAsia" w:ascii="宋体" w:hAnsi="宋体" w:eastAsia="宋体" w:cs="宋体"/>
                <w:kern w:val="0"/>
                <w:sz w:val="24"/>
                <w:szCs w:val="24"/>
              </w:rPr>
              <w:t>进行方案研究</w:t>
            </w:r>
            <w:r>
              <w:rPr>
                <w:rFonts w:hint="eastAsia" w:ascii="宋体" w:hAnsi="宋体" w:eastAsia="宋体" w:cs="宋体"/>
                <w:kern w:val="0"/>
                <w:sz w:val="24"/>
                <w:szCs w:val="24"/>
                <w:lang w:eastAsia="zh-CN"/>
              </w:rPr>
              <w:t>（达到预可研深度）</w:t>
            </w:r>
            <w:r>
              <w:rPr>
                <w:rFonts w:hint="eastAsia" w:ascii="宋体" w:hAnsi="宋体" w:eastAsia="宋体" w:cs="宋体"/>
                <w:kern w:val="0"/>
                <w:sz w:val="24"/>
                <w:szCs w:val="24"/>
              </w:rPr>
              <w:t>，为后续完善钦州区域铁路网及集疏运系统，争取项目纳规实施创造条件。</w:t>
            </w:r>
          </w:p>
          <w:p>
            <w:pPr>
              <w:spacing w:line="260" w:lineRule="exact"/>
              <w:ind w:firstLine="0" w:firstLineChars="0"/>
              <w:rPr>
                <w:rFonts w:hint="eastAsia" w:ascii="宋体" w:hAnsi="宋体" w:eastAsia="宋体" w:cs="宋体"/>
                <w:kern w:val="0"/>
                <w:sz w:val="24"/>
                <w:szCs w:val="24"/>
              </w:rPr>
            </w:pPr>
            <w:r>
              <w:rPr>
                <w:rFonts w:hint="eastAsia" w:ascii="宋体" w:hAnsi="宋体" w:eastAsia="宋体" w:cs="宋体"/>
                <w:kern w:val="0"/>
                <w:sz w:val="24"/>
                <w:szCs w:val="24"/>
                <w:lang w:eastAsia="zh-CN"/>
              </w:rPr>
              <w:t>（一）</w:t>
            </w:r>
            <w:r>
              <w:rPr>
                <w:rFonts w:hint="eastAsia" w:ascii="宋体" w:hAnsi="宋体" w:eastAsia="宋体" w:cs="宋体"/>
                <w:kern w:val="0"/>
                <w:sz w:val="24"/>
                <w:szCs w:val="24"/>
                <w:lang w:val="en-US" w:eastAsia="zh-CN"/>
              </w:rPr>
              <w:t>钦州至玉林和钦州至合浦至湛江铁路。</w:t>
            </w:r>
            <w:r>
              <w:rPr>
                <w:rFonts w:hint="eastAsia" w:ascii="宋体" w:hAnsi="宋体" w:eastAsia="宋体" w:cs="宋体"/>
                <w:kern w:val="0"/>
                <w:sz w:val="24"/>
                <w:szCs w:val="24"/>
              </w:rPr>
              <w:t>研究钦州至玉林和钦州至合浦至湛江两个铁路项目目的在于完善北部湾港后方集疏运通道，加强玉林及益湛铁路沿线、粤港</w:t>
            </w:r>
            <w:r>
              <w:rPr>
                <w:rFonts w:hint="eastAsia" w:ascii="宋体" w:hAnsi="宋体" w:eastAsia="宋体" w:cs="宋体"/>
                <w:kern w:val="0"/>
                <w:sz w:val="24"/>
                <w:szCs w:val="24"/>
                <w:lang w:eastAsia="zh-CN"/>
              </w:rPr>
              <w:t>澳</w:t>
            </w:r>
            <w:r>
              <w:rPr>
                <w:rFonts w:hint="eastAsia" w:ascii="宋体" w:hAnsi="宋体" w:eastAsia="宋体" w:cs="宋体"/>
                <w:kern w:val="0"/>
                <w:sz w:val="24"/>
                <w:szCs w:val="24"/>
              </w:rPr>
              <w:t>地区与钦州交流，深入研究项目功能定位、建设必要性、建设方案和工程投资等，为项目进入自治区级、国家级铁路规划提供必要的支撑依据。重点包含项目在路网中的功能定位，分析必要性和可行性，分析客货运输需求，研究铁路合理技术标准和建设方案，估算工程投资进行效益分析等。</w:t>
            </w:r>
          </w:p>
          <w:p>
            <w:pPr>
              <w:spacing w:line="260" w:lineRule="exact"/>
              <w:ind w:firstLine="0" w:firstLineChars="0"/>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eastAsia="zh-CN"/>
              </w:rPr>
              <w:t>（二）</w:t>
            </w:r>
            <w:r>
              <w:rPr>
                <w:rFonts w:hint="eastAsia" w:ascii="宋体" w:hAnsi="宋体" w:eastAsia="宋体" w:cs="宋体"/>
                <w:kern w:val="0"/>
                <w:sz w:val="24"/>
                <w:szCs w:val="24"/>
              </w:rPr>
              <w:t>云桂沿边铁路引入钦州地区方案</w:t>
            </w:r>
            <w:r>
              <w:rPr>
                <w:rFonts w:hint="eastAsia" w:ascii="宋体" w:hAnsi="宋体" w:eastAsia="宋体" w:cs="宋体"/>
                <w:kern w:val="0"/>
                <w:sz w:val="24"/>
                <w:szCs w:val="24"/>
                <w:lang w:val="en-US" w:eastAsia="zh-CN"/>
              </w:rPr>
              <w:t>研究</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从提升地区铁路运输效能、促进地区铁路高质量发展的角度出发，紧密结合国家和地方铁路发展规划以及国土空间规划等，对云桂沿边铁路引入钦州地区方案，包括铁路在钦州地区范围内的线路走向、站点及功能设置、联络线衔接方案、接轨站改扩建方案、地区后方铁路通道适应性分析暨改造方案等方面进行系统深入地分析论证，初步提出最优、最符合钦州市发展利益的云桂沿边铁路引入钦州地区的解决方案。</w:t>
            </w:r>
            <w:r>
              <w:rPr>
                <w:rFonts w:hint="eastAsia" w:ascii="宋体" w:hAnsi="宋体" w:eastAsia="宋体" w:cs="宋体"/>
                <w:kern w:val="0"/>
                <w:sz w:val="24"/>
                <w:szCs w:val="24"/>
                <w:lang w:val="en-US" w:eastAsia="zh-CN"/>
              </w:rPr>
              <w:t>重点包含</w:t>
            </w:r>
            <w:r>
              <w:rPr>
                <w:rFonts w:hint="eastAsia" w:ascii="宋体" w:hAnsi="宋体" w:eastAsia="宋体" w:cs="宋体"/>
                <w:kern w:val="0"/>
                <w:sz w:val="24"/>
                <w:szCs w:val="24"/>
              </w:rPr>
              <w:t>现状分析</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规划解读</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必要性论证</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运量预测</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接轨方案研究</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线路走向方案研究</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地区后方铁路通道适应性分析暨改造方案研究</w:t>
            </w:r>
            <w:r>
              <w:rPr>
                <w:rFonts w:hint="eastAsia" w:ascii="宋体" w:hAnsi="宋体" w:eastAsia="宋体" w:cs="宋体"/>
                <w:kern w:val="0"/>
                <w:sz w:val="24"/>
                <w:szCs w:val="24"/>
                <w:lang w:val="en-US" w:eastAsia="zh-CN"/>
              </w:rPr>
              <w:t>等。</w:t>
            </w:r>
          </w:p>
          <w:p>
            <w:pPr>
              <w:adjustRightInd/>
              <w:snapToGrid/>
              <w:spacing w:line="260" w:lineRule="exact"/>
              <w:ind w:firstLine="0" w:firstLineChars="0"/>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（三）钦州市铁路支专线规划布局研究</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结合钦州市既有铁路网及</w:t>
            </w:r>
            <w:r>
              <w:rPr>
                <w:rFonts w:hint="eastAsia" w:ascii="宋体" w:hAnsi="宋体" w:eastAsia="宋体" w:cs="宋体"/>
                <w:kern w:val="0"/>
                <w:sz w:val="24"/>
                <w:szCs w:val="24"/>
              </w:rPr>
              <w:t>集疏运</w:t>
            </w:r>
            <w:r>
              <w:rPr>
                <w:rFonts w:hint="eastAsia" w:ascii="宋体" w:hAnsi="宋体" w:eastAsia="宋体" w:cs="宋体"/>
                <w:kern w:val="0"/>
                <w:sz w:val="24"/>
                <w:szCs w:val="24"/>
                <w:lang w:val="en-US" w:eastAsia="zh-CN"/>
              </w:rPr>
              <w:t>现状，</w:t>
            </w:r>
            <w:r>
              <w:rPr>
                <w:rFonts w:hint="eastAsia" w:ascii="宋体" w:hAnsi="宋体" w:eastAsia="宋体" w:cs="宋体"/>
                <w:kern w:val="0"/>
                <w:sz w:val="24"/>
                <w:szCs w:val="24"/>
              </w:rPr>
              <w:t>统筹铁路</w:t>
            </w:r>
            <w:r>
              <w:rPr>
                <w:rFonts w:hint="eastAsia" w:ascii="宋体" w:hAnsi="宋体" w:eastAsia="宋体" w:cs="宋体"/>
                <w:kern w:val="0"/>
                <w:sz w:val="24"/>
                <w:szCs w:val="24"/>
                <w:lang w:eastAsia="zh-CN"/>
              </w:rPr>
              <w:t>支</w:t>
            </w:r>
            <w:r>
              <w:rPr>
                <w:rFonts w:hint="eastAsia" w:ascii="宋体" w:hAnsi="宋体" w:eastAsia="宋体" w:cs="宋体"/>
                <w:kern w:val="0"/>
                <w:sz w:val="24"/>
                <w:szCs w:val="24"/>
              </w:rPr>
              <w:t>专线与干线铁路、港口、产业园区及城市空间协同发展。系统梳理钦州市经济社会、产业发展、港口运营、物流需求及铁路网现状，全面评估既有铁路</w:t>
            </w:r>
            <w:r>
              <w:rPr>
                <w:rFonts w:hint="eastAsia" w:ascii="宋体" w:hAnsi="宋体" w:eastAsia="宋体" w:cs="宋体"/>
                <w:kern w:val="0"/>
                <w:sz w:val="24"/>
                <w:szCs w:val="24"/>
                <w:lang w:eastAsia="zh-CN"/>
              </w:rPr>
              <w:t>支</w:t>
            </w:r>
            <w:r>
              <w:rPr>
                <w:rFonts w:hint="eastAsia" w:ascii="宋体" w:hAnsi="宋体" w:eastAsia="宋体" w:cs="宋体"/>
                <w:kern w:val="0"/>
                <w:sz w:val="24"/>
                <w:szCs w:val="24"/>
              </w:rPr>
              <w:t>专线运营情况与存在问题，结合国家、自治区及地方相关规划政策，研判未来发展趋势与运输需求。在此基础上开展铁路货运需求与运量预测，确定规划总体思路、功能定位、技术标准与空间布局，形成覆盖全市、层次清晰、衔接高效的铁路</w:t>
            </w:r>
            <w:r>
              <w:rPr>
                <w:rFonts w:hint="eastAsia" w:ascii="宋体" w:hAnsi="宋体" w:eastAsia="宋体" w:cs="宋体"/>
                <w:kern w:val="0"/>
                <w:sz w:val="24"/>
                <w:szCs w:val="24"/>
                <w:lang w:eastAsia="zh-CN"/>
              </w:rPr>
              <w:t>支</w:t>
            </w:r>
            <w:r>
              <w:rPr>
                <w:rFonts w:hint="eastAsia" w:ascii="宋体" w:hAnsi="宋体" w:eastAsia="宋体" w:cs="宋体"/>
                <w:kern w:val="0"/>
                <w:sz w:val="24"/>
                <w:szCs w:val="24"/>
              </w:rPr>
              <w:t>专线规划方案，并筛选确定近期实施的重点项目，研究重点项目的线路走向、站位选址、接轨方案、工程技术条件及运输组织模式，</w:t>
            </w:r>
            <w:bookmarkStart w:id="1" w:name="OLE_LINK1"/>
            <w:r>
              <w:rPr>
                <w:rFonts w:hint="eastAsia" w:ascii="宋体" w:hAnsi="宋体" w:eastAsia="宋体" w:cs="宋体"/>
                <w:kern w:val="0"/>
                <w:sz w:val="24"/>
                <w:szCs w:val="24"/>
              </w:rPr>
              <w:t>同步开展投资估算、效益评价与实施保障措施研究</w:t>
            </w:r>
            <w:bookmarkEnd w:id="1"/>
            <w:r>
              <w:rPr>
                <w:rFonts w:hint="eastAsia" w:ascii="宋体" w:hAnsi="宋体" w:eastAsia="宋体" w:cs="宋体"/>
                <w:kern w:val="0"/>
                <w:sz w:val="24"/>
                <w:szCs w:val="24"/>
              </w:rPr>
              <w:t>，形成完整的规划研究成果。</w:t>
            </w:r>
            <w:r>
              <w:rPr>
                <w:rFonts w:hint="eastAsia" w:ascii="宋体" w:hAnsi="宋体" w:eastAsia="宋体" w:cs="宋体"/>
                <w:kern w:val="0"/>
                <w:sz w:val="24"/>
                <w:szCs w:val="24"/>
                <w:lang w:val="en-US" w:eastAsia="zh-CN"/>
              </w:rPr>
              <w:t>主要包含</w:t>
            </w:r>
            <w:r>
              <w:rPr>
                <w:rFonts w:hint="eastAsia" w:ascii="宋体" w:hAnsi="宋体" w:eastAsia="宋体" w:cs="宋体"/>
                <w:kern w:val="0"/>
                <w:sz w:val="24"/>
                <w:szCs w:val="24"/>
              </w:rPr>
              <w:t>研究总则</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运输需求预测与运量分析</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规划总体方案</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重点项目方案研究</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投资估算与效益评价</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建设时序与实施保障</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结论与建议</w:t>
            </w:r>
            <w:r>
              <w:rPr>
                <w:rFonts w:hint="eastAsia" w:ascii="宋体" w:hAnsi="宋体" w:eastAsia="宋体" w:cs="宋体"/>
                <w:kern w:val="0"/>
                <w:sz w:val="24"/>
                <w:szCs w:val="24"/>
                <w:lang w:eastAsia="zh-CN"/>
              </w:rPr>
              <w:t>。</w:t>
            </w:r>
          </w:p>
          <w:p>
            <w:pPr>
              <w:spacing w:line="260" w:lineRule="exact"/>
              <w:jc w:val="both"/>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（四）研究利用既有钦州东至钦州港铁路开行客运。</w:t>
            </w:r>
            <w:r>
              <w:rPr>
                <w:rFonts w:hint="eastAsia" w:ascii="宋体" w:hAnsi="宋体" w:eastAsia="宋体" w:cs="宋体"/>
                <w:kern w:val="0"/>
                <w:sz w:val="24"/>
                <w:szCs w:val="24"/>
              </w:rPr>
              <w:t>深入研究项目建设必要性、建设方案等</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同步开展投资估算、效益评价与实施保障措施研究</w:t>
            </w:r>
            <w:r>
              <w:rPr>
                <w:rFonts w:hint="eastAsia" w:ascii="宋体" w:hAnsi="宋体" w:eastAsia="宋体" w:cs="宋体"/>
                <w:kern w:val="0"/>
                <w:sz w:val="24"/>
                <w:szCs w:val="24"/>
                <w:lang w:eastAsia="zh-CN"/>
              </w:rPr>
              <w:t>。</w:t>
            </w:r>
          </w:p>
        </w:tc>
        <w:tc>
          <w:tcPr>
            <w:tcW w:w="1134" w:type="dxa"/>
            <w:vAlign w:val="center"/>
          </w:tcPr>
          <w:p>
            <w:pPr>
              <w:spacing w:line="600" w:lineRule="exact"/>
              <w:jc w:val="center"/>
              <w:rPr>
                <w:rFonts w:hint="eastAsia" w:ascii="宋体" w:hAnsi="宋体" w:eastAsia="宋体"/>
                <w:sz w:val="24"/>
                <w:szCs w:val="24"/>
              </w:rPr>
            </w:pPr>
            <w:r>
              <w:rPr>
                <w:rFonts w:hint="eastAsia" w:ascii="宋体" w:hAnsi="宋体" w:eastAsia="宋体" w:cstheme="minorBidi"/>
                <w:sz w:val="24"/>
                <w:szCs w:val="24"/>
                <w:lang w:val="en-US" w:eastAsia="zh-CN"/>
              </w:rPr>
              <w:t>187</w:t>
            </w:r>
          </w:p>
        </w:tc>
        <w:tc>
          <w:tcPr>
            <w:tcW w:w="1559" w:type="dxa"/>
            <w:vAlign w:val="center"/>
          </w:tcPr>
          <w:p>
            <w:pPr>
              <w:spacing w:line="600" w:lineRule="exact"/>
              <w:jc w:val="center"/>
              <w:rPr>
                <w:rFonts w:ascii="宋体" w:hAnsi="宋体" w:eastAsia="宋体"/>
                <w:sz w:val="24"/>
                <w:szCs w:val="24"/>
              </w:rPr>
            </w:pPr>
            <w:r>
              <w:rPr>
                <w:rFonts w:ascii="宋体" w:hAnsi="宋体" w:eastAsia="宋体"/>
                <w:sz w:val="24"/>
                <w:szCs w:val="24"/>
              </w:rPr>
              <w:t>202</w:t>
            </w:r>
            <w:r>
              <w:rPr>
                <w:rFonts w:hint="eastAsia" w:ascii="宋体" w:hAnsi="宋体" w:eastAsia="宋体"/>
                <w:sz w:val="24"/>
                <w:szCs w:val="24"/>
                <w:lang w:val="en-US" w:eastAsia="zh-CN"/>
              </w:rPr>
              <w:t>6</w:t>
            </w:r>
            <w:r>
              <w:rPr>
                <w:rFonts w:ascii="宋体" w:hAnsi="宋体" w:eastAsia="宋体"/>
                <w:sz w:val="24"/>
                <w:szCs w:val="24"/>
              </w:rPr>
              <w:t>年</w:t>
            </w:r>
            <w:r>
              <w:rPr>
                <w:rFonts w:hint="eastAsia" w:ascii="宋体" w:hAnsi="宋体" w:eastAsia="宋体"/>
                <w:sz w:val="24"/>
                <w:szCs w:val="24"/>
                <w:lang w:val="en-US" w:eastAsia="zh-CN"/>
              </w:rPr>
              <w:t>9</w:t>
            </w:r>
            <w:r>
              <w:rPr>
                <w:rFonts w:ascii="宋体" w:hAnsi="宋体" w:eastAsia="宋体"/>
                <w:sz w:val="24"/>
                <w:szCs w:val="24"/>
              </w:rPr>
              <w:t>月</w:t>
            </w:r>
          </w:p>
        </w:tc>
        <w:tc>
          <w:tcPr>
            <w:tcW w:w="1276" w:type="dxa"/>
            <w:vAlign w:val="center"/>
          </w:tcPr>
          <w:p>
            <w:pPr>
              <w:spacing w:line="600" w:lineRule="exact"/>
              <w:jc w:val="center"/>
              <w:rPr>
                <w:rFonts w:hint="eastAsia" w:ascii="宋体" w:hAnsi="宋体" w:eastAsia="宋体"/>
                <w:sz w:val="24"/>
                <w:szCs w:val="24"/>
                <w:lang w:eastAsia="zh-CN"/>
              </w:rPr>
            </w:pPr>
            <w:r>
              <w:rPr>
                <w:rFonts w:hint="eastAsia" w:ascii="宋体" w:hAnsi="宋体" w:eastAsia="宋体" w:cs="宋体"/>
                <w:kern w:val="0"/>
                <w:sz w:val="24"/>
                <w:szCs w:val="24"/>
                <w:lang w:eastAsia="zh-CN"/>
              </w:rPr>
              <w:t>无</w:t>
            </w:r>
          </w:p>
        </w:tc>
        <w:tc>
          <w:tcPr>
            <w:tcW w:w="844" w:type="dxa"/>
            <w:vAlign w:val="center"/>
          </w:tcPr>
          <w:p>
            <w:pPr>
              <w:spacing w:line="600" w:lineRule="exact"/>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pacing w:line="600" w:lineRule="exact"/>
              <w:jc w:val="center"/>
              <w:rPr>
                <w:rFonts w:hint="eastAsia" w:ascii="宋体" w:hAnsi="宋体" w:eastAsia="宋体"/>
                <w:sz w:val="24"/>
                <w:szCs w:val="24"/>
                <w:lang w:val="en-US" w:eastAsia="zh-CN"/>
              </w:rPr>
            </w:pPr>
            <w:r>
              <w:rPr>
                <w:rFonts w:hint="eastAsia" w:ascii="宋体" w:hAnsi="宋体" w:eastAsia="宋体"/>
                <w:sz w:val="24"/>
                <w:szCs w:val="24"/>
                <w:lang w:val="en-US" w:eastAsia="zh-CN"/>
              </w:rPr>
              <w:t>2</w:t>
            </w:r>
          </w:p>
        </w:tc>
        <w:tc>
          <w:tcPr>
            <w:tcW w:w="1843" w:type="dxa"/>
            <w:vAlign w:val="center"/>
          </w:tcPr>
          <w:p>
            <w:pPr>
              <w:spacing w:line="320" w:lineRule="exact"/>
              <w:jc w:val="center"/>
              <w:rPr>
                <w:rFonts w:hint="eastAsia" w:ascii="宋体" w:hAnsi="宋体" w:eastAsia="宋体" w:cs="宋体"/>
                <w:kern w:val="0"/>
                <w:sz w:val="24"/>
                <w:szCs w:val="24"/>
              </w:rPr>
            </w:pPr>
            <w:r>
              <w:rPr>
                <w:rFonts w:hint="eastAsia" w:ascii="宋体" w:hAnsi="宋体" w:eastAsia="宋体" w:cs="宋体"/>
                <w:kern w:val="0"/>
                <w:sz w:val="24"/>
                <w:szCs w:val="24"/>
              </w:rPr>
              <w:t>《成渝经济圈至北部湾（经重庆涪陵、柳州（河池）、南宁至钦州）双层集装箱战略通道研究》</w:t>
            </w:r>
          </w:p>
        </w:tc>
        <w:tc>
          <w:tcPr>
            <w:tcW w:w="2268" w:type="dxa"/>
            <w:vAlign w:val="center"/>
          </w:tcPr>
          <w:p>
            <w:pPr>
              <w:spacing w:line="320" w:lineRule="exact"/>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系统开展成渝经济圈至北部湾（经重庆涪陵、柳州（河池）、南宁至钦州）双层集装箱战略通道的方案顶层设计，聚焦于依托涪陵、柳州（河池）、南宁至钦州的铁路通道，探索通过优先利用既有铁路升级改造和新建相结合的方法实现双层集装箱运输的可行性，着力破解沿线关键节点的限高、限界瓶颈，提升通道的通过能力与运输效益。</w:t>
            </w:r>
            <w:r>
              <w:rPr>
                <w:rFonts w:hint="eastAsia" w:ascii="宋体" w:hAnsi="宋体" w:eastAsia="宋体" w:cs="宋体"/>
                <w:kern w:val="0"/>
                <w:sz w:val="24"/>
                <w:szCs w:val="24"/>
                <w:lang w:val="en-US" w:eastAsia="zh-CN"/>
              </w:rPr>
              <w:t>重点研究内容包含区域经济社会发展与运输需求分析、既有通道现状及存在问题、功能定位及建设必要性、建设方案总体框架与技术标准、重点工程与关键节点技术研究、投资估算与效益评价、实施建议与结论等。</w:t>
            </w:r>
          </w:p>
          <w:p>
            <w:pPr>
              <w:spacing w:line="320" w:lineRule="exact"/>
              <w:ind w:firstLine="0" w:firstLineChars="0"/>
              <w:rPr>
                <w:rFonts w:hint="eastAsia" w:ascii="宋体" w:hAnsi="宋体" w:eastAsia="宋体" w:cs="宋体"/>
                <w:kern w:val="0"/>
                <w:sz w:val="24"/>
                <w:szCs w:val="24"/>
              </w:rPr>
            </w:pPr>
            <w:r>
              <w:rPr>
                <w:rFonts w:hint="eastAsia" w:ascii="宋体" w:hAnsi="宋体" w:eastAsia="宋体" w:cs="宋体"/>
                <w:kern w:val="0"/>
                <w:sz w:val="24"/>
                <w:szCs w:val="24"/>
                <w:lang w:eastAsia="zh-CN"/>
              </w:rPr>
              <w:t>（一）</w:t>
            </w:r>
            <w:r>
              <w:rPr>
                <w:rFonts w:hint="eastAsia" w:ascii="宋体" w:hAnsi="宋体" w:eastAsia="宋体" w:cs="宋体"/>
                <w:kern w:val="0"/>
                <w:sz w:val="24"/>
                <w:szCs w:val="24"/>
              </w:rPr>
              <w:t>开展成渝经济圈至北部湾双层集装箱战略通道的方案设计</w:t>
            </w:r>
            <w:r>
              <w:rPr>
                <w:rFonts w:hint="eastAsia" w:ascii="宋体" w:hAnsi="宋体" w:eastAsia="宋体" w:cs="宋体"/>
                <w:kern w:val="0"/>
                <w:sz w:val="24"/>
                <w:szCs w:val="24"/>
                <w:lang w:eastAsia="zh-CN"/>
              </w:rPr>
              <w:t>研究。</w:t>
            </w:r>
            <w:r>
              <w:rPr>
                <w:rFonts w:hint="eastAsia" w:ascii="宋体" w:hAnsi="宋体" w:eastAsia="宋体" w:cs="宋体"/>
                <w:kern w:val="0"/>
                <w:sz w:val="24"/>
                <w:szCs w:val="24"/>
              </w:rPr>
              <w:t>重点研究内容</w:t>
            </w:r>
            <w:r>
              <w:rPr>
                <w:rFonts w:hint="eastAsia" w:ascii="宋体" w:hAnsi="宋体" w:eastAsia="宋体" w:cs="宋体"/>
                <w:kern w:val="0"/>
                <w:sz w:val="24"/>
                <w:szCs w:val="24"/>
                <w:lang w:eastAsia="zh-CN"/>
              </w:rPr>
              <w:t>包括</w:t>
            </w:r>
            <w:r>
              <w:rPr>
                <w:rFonts w:hint="eastAsia" w:ascii="宋体" w:hAnsi="宋体" w:eastAsia="宋体" w:cs="宋体"/>
                <w:kern w:val="0"/>
                <w:sz w:val="24"/>
                <w:szCs w:val="24"/>
              </w:rPr>
              <w:t>区域经济社会发展与运输需求分析、既有通道现状及存在问题、投资估算与效益评价</w:t>
            </w:r>
            <w:r>
              <w:rPr>
                <w:rFonts w:hint="eastAsia" w:ascii="宋体" w:hAnsi="宋体" w:eastAsia="宋体" w:cs="宋体"/>
                <w:kern w:val="0"/>
                <w:sz w:val="24"/>
                <w:szCs w:val="24"/>
                <w:lang w:eastAsia="zh-CN"/>
              </w:rPr>
              <w:t>通道</w:t>
            </w:r>
            <w:r>
              <w:rPr>
                <w:rFonts w:hint="eastAsia" w:ascii="宋体" w:hAnsi="宋体" w:eastAsia="宋体" w:cs="宋体"/>
                <w:kern w:val="0"/>
                <w:sz w:val="24"/>
                <w:szCs w:val="24"/>
              </w:rPr>
              <w:t>功能定位及建设必要性、建设方案总体框架与技术标准、重点工程与关键节点技术研究、实施</w:t>
            </w:r>
            <w:bookmarkStart w:id="3" w:name="_GoBack"/>
            <w:bookmarkEnd w:id="3"/>
            <w:r>
              <w:rPr>
                <w:rFonts w:hint="eastAsia" w:ascii="宋体" w:hAnsi="宋体" w:eastAsia="宋体" w:cs="宋体"/>
                <w:kern w:val="0"/>
                <w:sz w:val="24"/>
                <w:szCs w:val="24"/>
              </w:rPr>
              <w:t>建议与结论等。</w:t>
            </w:r>
          </w:p>
          <w:p>
            <w:pPr>
              <w:spacing w:line="320" w:lineRule="exact"/>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（二）</w:t>
            </w:r>
            <w:r>
              <w:rPr>
                <w:rFonts w:hint="eastAsia" w:ascii="宋体" w:hAnsi="宋体" w:eastAsia="宋体" w:cs="宋体"/>
                <w:kern w:val="0"/>
                <w:sz w:val="24"/>
                <w:szCs w:val="24"/>
                <w:lang w:eastAsia="zh-CN"/>
              </w:rPr>
              <w:t>研究</w:t>
            </w:r>
            <w:r>
              <w:rPr>
                <w:rFonts w:hint="eastAsia" w:ascii="宋体" w:hAnsi="宋体" w:eastAsia="宋体" w:cs="宋体"/>
                <w:kern w:val="0"/>
                <w:sz w:val="24"/>
                <w:szCs w:val="24"/>
              </w:rPr>
              <w:t>成渝经济圈至北部湾（经重庆涪陵、柳州（河池）、南宁至钦州）双层集装箱战略通道近期需要突破的事项，促进后续完善衔接钦州枢纽相关铁路通道，争取项目纳规</w:t>
            </w:r>
            <w:r>
              <w:rPr>
                <w:rFonts w:hint="eastAsia" w:ascii="宋体" w:hAnsi="宋体" w:eastAsia="宋体" w:cs="宋体"/>
                <w:kern w:val="0"/>
                <w:sz w:val="24"/>
                <w:szCs w:val="24"/>
                <w:lang w:eastAsia="zh-CN"/>
              </w:rPr>
              <w:t>的</w:t>
            </w:r>
            <w:r>
              <w:rPr>
                <w:rFonts w:hint="eastAsia" w:ascii="宋体" w:hAnsi="宋体" w:eastAsia="宋体" w:cs="宋体"/>
                <w:kern w:val="0"/>
                <w:sz w:val="24"/>
                <w:szCs w:val="24"/>
              </w:rPr>
              <w:t>建议和举措。</w:t>
            </w:r>
          </w:p>
        </w:tc>
        <w:tc>
          <w:tcPr>
            <w:tcW w:w="1134" w:type="dxa"/>
            <w:vAlign w:val="center"/>
          </w:tcPr>
          <w:p>
            <w:pPr>
              <w:spacing w:line="600" w:lineRule="exact"/>
              <w:jc w:val="center"/>
              <w:rPr>
                <w:rFonts w:hint="default" w:ascii="宋体" w:hAnsi="宋体" w:eastAsia="宋体"/>
                <w:sz w:val="24"/>
                <w:szCs w:val="24"/>
                <w:lang w:val="en-US" w:eastAsia="zh-CN"/>
              </w:rPr>
            </w:pPr>
            <w:r>
              <w:rPr>
                <w:rFonts w:hint="eastAsia" w:ascii="宋体" w:hAnsi="宋体" w:eastAsia="宋体"/>
                <w:sz w:val="24"/>
                <w:szCs w:val="24"/>
                <w:lang w:val="en-US" w:eastAsia="zh-CN"/>
              </w:rPr>
              <w:t>176</w:t>
            </w:r>
          </w:p>
        </w:tc>
        <w:tc>
          <w:tcPr>
            <w:tcW w:w="1559" w:type="dxa"/>
            <w:vAlign w:val="center"/>
          </w:tcPr>
          <w:p>
            <w:pPr>
              <w:spacing w:line="600" w:lineRule="exact"/>
              <w:jc w:val="center"/>
              <w:rPr>
                <w:rFonts w:ascii="宋体" w:hAnsi="宋体" w:eastAsia="宋体"/>
                <w:sz w:val="24"/>
                <w:szCs w:val="24"/>
              </w:rPr>
            </w:pPr>
            <w:r>
              <w:rPr>
                <w:rFonts w:ascii="宋体" w:hAnsi="宋体" w:eastAsia="宋体"/>
                <w:sz w:val="24"/>
                <w:szCs w:val="24"/>
              </w:rPr>
              <w:t>202</w:t>
            </w:r>
            <w:r>
              <w:rPr>
                <w:rFonts w:hint="eastAsia" w:ascii="宋体" w:hAnsi="宋体" w:eastAsia="宋体"/>
                <w:sz w:val="24"/>
                <w:szCs w:val="24"/>
                <w:lang w:val="en-US" w:eastAsia="zh-CN"/>
              </w:rPr>
              <w:t>6</w:t>
            </w:r>
            <w:r>
              <w:rPr>
                <w:rFonts w:ascii="宋体" w:hAnsi="宋体" w:eastAsia="宋体"/>
                <w:sz w:val="24"/>
                <w:szCs w:val="24"/>
              </w:rPr>
              <w:t>年</w:t>
            </w:r>
            <w:r>
              <w:rPr>
                <w:rFonts w:hint="eastAsia" w:ascii="宋体" w:hAnsi="宋体" w:eastAsia="宋体"/>
                <w:sz w:val="24"/>
                <w:szCs w:val="24"/>
                <w:lang w:val="en-US" w:eastAsia="zh-CN"/>
              </w:rPr>
              <w:t>9</w:t>
            </w:r>
            <w:r>
              <w:rPr>
                <w:rFonts w:ascii="宋体" w:hAnsi="宋体" w:eastAsia="宋体"/>
                <w:sz w:val="24"/>
                <w:szCs w:val="24"/>
              </w:rPr>
              <w:t>月</w:t>
            </w:r>
          </w:p>
        </w:tc>
        <w:tc>
          <w:tcPr>
            <w:tcW w:w="1276" w:type="dxa"/>
            <w:vAlign w:val="center"/>
          </w:tcPr>
          <w:p>
            <w:pPr>
              <w:spacing w:line="600" w:lineRule="exact"/>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无</w:t>
            </w:r>
          </w:p>
        </w:tc>
        <w:tc>
          <w:tcPr>
            <w:tcW w:w="844" w:type="dxa"/>
            <w:vAlign w:val="center"/>
          </w:tcPr>
          <w:p>
            <w:pPr>
              <w:spacing w:line="600" w:lineRule="exact"/>
              <w:jc w:val="center"/>
              <w:rPr>
                <w:rFonts w:ascii="宋体" w:hAnsi="宋体" w:eastAsia="宋体"/>
                <w:sz w:val="24"/>
                <w:szCs w:val="24"/>
              </w:rPr>
            </w:pPr>
          </w:p>
        </w:tc>
      </w:tr>
    </w:tbl>
    <w:p>
      <w:pPr>
        <w:widowControl/>
        <w:spacing w:before="75" w:after="75" w:line="600" w:lineRule="exact"/>
        <w:ind w:firstLine="480"/>
        <w:jc w:val="left"/>
        <w:rPr>
          <w:rFonts w:ascii="宋体" w:hAnsi="宋体" w:eastAsia="宋体"/>
          <w:sz w:val="24"/>
          <w:szCs w:val="24"/>
        </w:rPr>
      </w:pPr>
      <w:r>
        <w:rPr>
          <w:rFonts w:hint="eastAsia" w:ascii="宋体" w:hAnsi="宋体" w:eastAsia="宋体"/>
          <w:sz w:val="24"/>
          <w:szCs w:val="24"/>
        </w:rPr>
        <w:t>本次公开的采购意向是本单位政府采购工作的初步安排，具体采购项目情况以相关采购公告和采购文件为准。</w:t>
      </w:r>
    </w:p>
    <w:p>
      <w:pPr>
        <w:widowControl/>
        <w:spacing w:line="600" w:lineRule="exact"/>
        <w:jc w:val="center"/>
        <w:rPr>
          <w:rFonts w:ascii="宋体" w:hAnsi="宋体" w:eastAsia="宋体"/>
          <w:sz w:val="24"/>
          <w:szCs w:val="24"/>
        </w:rPr>
      </w:pPr>
      <w:bookmarkStart w:id="2" w:name="_Hlk207187213"/>
      <w:r>
        <w:rPr>
          <w:rFonts w:hint="eastAsia" w:ascii="宋体" w:hAnsi="宋体" w:eastAsia="宋体"/>
          <w:sz w:val="24"/>
          <w:szCs w:val="24"/>
          <w:lang w:val="en-US" w:eastAsia="zh-CN"/>
        </w:rPr>
        <w:t xml:space="preserve">                                          </w:t>
      </w:r>
      <w:r>
        <w:rPr>
          <w:rFonts w:ascii="宋体" w:hAnsi="宋体" w:eastAsia="宋体"/>
          <w:sz w:val="24"/>
          <w:szCs w:val="24"/>
        </w:rPr>
        <w:t>钦州市交通运输局</w:t>
      </w:r>
      <w:bookmarkEnd w:id="2"/>
    </w:p>
    <w:p>
      <w:pPr>
        <w:widowControl/>
        <w:spacing w:before="75" w:after="75" w:line="600" w:lineRule="exact"/>
        <w:ind w:right="1290"/>
        <w:jc w:val="right"/>
        <w:rPr>
          <w:rFonts w:ascii="微软雅黑" w:hAnsi="微软雅黑" w:eastAsia="微软雅黑" w:cs="宋体"/>
          <w:color w:val="000000"/>
          <w:kern w:val="0"/>
          <w:sz w:val="27"/>
          <w:szCs w:val="27"/>
        </w:rPr>
      </w:pPr>
      <w:r>
        <w:rPr>
          <w:rFonts w:ascii="宋体" w:hAnsi="宋体" w:eastAsia="宋体"/>
          <w:sz w:val="24"/>
          <w:szCs w:val="24"/>
        </w:rPr>
        <w:t>202</w:t>
      </w:r>
      <w:r>
        <w:rPr>
          <w:rFonts w:hint="eastAsia" w:ascii="宋体" w:hAnsi="宋体" w:eastAsia="宋体"/>
          <w:sz w:val="24"/>
          <w:szCs w:val="24"/>
          <w:lang w:val="en-US" w:eastAsia="zh-CN"/>
        </w:rPr>
        <w:t>6</w:t>
      </w:r>
      <w:r>
        <w:rPr>
          <w:rFonts w:ascii="宋体" w:hAnsi="宋体" w:eastAsia="宋体"/>
          <w:sz w:val="24"/>
          <w:szCs w:val="24"/>
        </w:rPr>
        <w:t>年</w:t>
      </w:r>
      <w:r>
        <w:rPr>
          <w:rFonts w:hint="eastAsia" w:ascii="宋体" w:hAnsi="宋体" w:eastAsia="宋体"/>
          <w:sz w:val="24"/>
          <w:szCs w:val="24"/>
          <w:lang w:val="en-US" w:eastAsia="zh-CN"/>
        </w:rPr>
        <w:t>8</w:t>
      </w:r>
      <w:r>
        <w:rPr>
          <w:rFonts w:ascii="宋体" w:hAnsi="宋体" w:eastAsia="宋体"/>
          <w:sz w:val="24"/>
          <w:szCs w:val="24"/>
        </w:rPr>
        <w:t>月</w:t>
      </w:r>
      <w:r>
        <w:rPr>
          <w:rFonts w:hint="eastAsia" w:ascii="宋体" w:hAnsi="宋体" w:eastAsia="宋体"/>
          <w:sz w:val="24"/>
          <w:szCs w:val="24"/>
          <w:lang w:val="en-US" w:eastAsia="zh-CN"/>
        </w:rPr>
        <w:t>17</w:t>
      </w:r>
      <w:r>
        <w:rPr>
          <w:rFonts w:ascii="宋体" w:hAnsi="宋体" w:eastAsia="宋体"/>
          <w:sz w:val="24"/>
          <w:szCs w:val="24"/>
        </w:rPr>
        <w:t>日</w:t>
      </w:r>
    </w:p>
    <w:p>
      <w:pPr>
        <w:spacing w:line="600" w:lineRule="exact"/>
        <w:rPr>
          <w:rFonts w:ascii="宋体" w:hAnsi="宋体" w:eastAsia="宋体"/>
          <w:sz w:val="24"/>
          <w:szCs w:val="24"/>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F76"/>
    <w:rsid w:val="001D2F76"/>
    <w:rsid w:val="00DD2BCC"/>
    <w:rsid w:val="0B475972"/>
    <w:rsid w:val="184418CF"/>
    <w:rsid w:val="1FBD27CC"/>
    <w:rsid w:val="2D1E3D47"/>
    <w:rsid w:val="32D14FA0"/>
    <w:rsid w:val="34726429"/>
    <w:rsid w:val="35174F23"/>
    <w:rsid w:val="3E615C4B"/>
    <w:rsid w:val="3FAB2430"/>
    <w:rsid w:val="480D2E6B"/>
    <w:rsid w:val="59002219"/>
    <w:rsid w:val="5B8C4C71"/>
    <w:rsid w:val="6BCE12AD"/>
    <w:rsid w:val="7AF201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22"/>
    <w:rPr>
      <w:b/>
      <w:bCs/>
    </w:rPr>
  </w:style>
  <w:style w:type="character" w:styleId="9">
    <w:name w:val="HTML Sample"/>
    <w:basedOn w:val="7"/>
    <w:semiHidden/>
    <w:unhideWhenUsed/>
    <w:qFormat/>
    <w:uiPriority w:val="99"/>
    <w:rPr>
      <w:rFonts w:ascii="宋体" w:hAnsi="宋体" w:eastAsia="宋体" w:cs="宋体"/>
    </w:rPr>
  </w:style>
  <w:style w:type="character" w:customStyle="1" w:styleId="10">
    <w:name w:val="页眉 字符"/>
    <w:basedOn w:val="7"/>
    <w:link w:val="3"/>
    <w:qFormat/>
    <w:uiPriority w:val="99"/>
    <w:rPr>
      <w:sz w:val="18"/>
      <w:szCs w:val="18"/>
    </w:rPr>
  </w:style>
  <w:style w:type="character" w:customStyle="1" w:styleId="11">
    <w:name w:val="页脚 字符"/>
    <w:basedOn w:val="7"/>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EF61BC-4DC8-4873-ABB4-5DE3A7668658}">
  <ds:schemaRefs/>
</ds:datastoreItem>
</file>

<file path=docProps/app.xml><?xml version="1.0" encoding="utf-8"?>
<Properties xmlns="http://schemas.openxmlformats.org/officeDocument/2006/extended-properties" xmlns:vt="http://schemas.openxmlformats.org/officeDocument/2006/docPropsVTypes">
  <Template>Normal</Template>
  <Pages>4</Pages>
  <Words>2620</Words>
  <Characters>2672</Characters>
  <Lines>2</Lines>
  <Paragraphs>1</Paragraphs>
  <TotalTime>9</TotalTime>
  <ScaleCrop>false</ScaleCrop>
  <LinksUpToDate>false</LinksUpToDate>
  <CharactersWithSpaces>2741</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2025-08-27T03:09:00Z</dcterms:created>
  <dc:creator>Administrator</dc:creator>
  <cp:lastModifiedBy>陈 诚</cp:lastModifiedBy>
  <dcterms:modified xsi:type="dcterms:W3CDTF">2026-08-19T07:46:38Z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eyJoZGlkIjoiOTA3ZDVkOWI0ZmM5NDBiMmZlODZlY2Y3ZjI0MWVkM2YiLCJ1c2VySWQiOiI0MzE1NDY5MDUifQ==</vt:lpwstr>
  </property>
  <property fmtid="{D5CDD505-2E9C-101B-9397-08002B2CF9AE}" pid="3" name="KSOProductBuildVer">
    <vt:lpwstr>2052-11.1.0.10009</vt:lpwstr>
  </property>
  <property fmtid="{D5CDD505-2E9C-101B-9397-08002B2CF9AE}" pid="4" name="ICV">
    <vt:lpwstr>07AB64CEE85D4B33B80BA55EA0F57432_12</vt:lpwstr>
  </property>
</Properties>
</file>