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19B62">
      <w:pPr>
        <w:spacing w:before="165" w:beforeLines="50" w:line="360" w:lineRule="auto"/>
        <w:jc w:val="center"/>
        <w:rPr>
          <w:rFonts w:ascii="宋体" w:hAnsi="宋体" w:eastAsia="宋体" w:cs="Times New Roman"/>
          <w:color w:val="auto"/>
          <w:sz w:val="52"/>
          <w:szCs w:val="52"/>
          <w:highlight w:val="none"/>
        </w:rPr>
      </w:pPr>
      <w:r>
        <w:rPr>
          <w:rFonts w:hint="eastAsia" w:asciiTheme="minorEastAsia" w:hAnsiTheme="minorEastAsia" w:eastAsiaTheme="minorEastAsia" w:cstheme="minorEastAsia"/>
          <w:color w:val="auto"/>
          <w:sz w:val="52"/>
          <w:highlight w:val="none"/>
          <w:lang w:val="en-US" w:eastAsia="zh-CN"/>
        </w:rPr>
        <w:t xml:space="preserve"> </w:t>
      </w:r>
      <w:r>
        <w:rPr>
          <w:rFonts w:hint="eastAsia" w:asciiTheme="minorEastAsia" w:hAnsiTheme="minorEastAsia" w:eastAsiaTheme="minorEastAsia" w:cstheme="minorEastAsia"/>
          <w:color w:val="auto"/>
          <w:sz w:val="52"/>
          <w:highlight w:val="none"/>
        </w:rPr>
        <w:drawing>
          <wp:inline distT="0" distB="0" distL="114300" distR="114300">
            <wp:extent cx="3783965" cy="1962150"/>
            <wp:effectExtent l="0" t="0" r="6985" b="0"/>
            <wp:docPr id="3" name="图片 1" descr="微信图片_20231113173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微信图片_20231113173430"/>
                    <pic:cNvPicPr>
                      <a:picLocks noChangeAspect="1"/>
                    </pic:cNvPicPr>
                  </pic:nvPicPr>
                  <pic:blipFill>
                    <a:blip r:embed="rId12"/>
                    <a:stretch>
                      <a:fillRect/>
                    </a:stretch>
                  </pic:blipFill>
                  <pic:spPr>
                    <a:xfrm>
                      <a:off x="0" y="0"/>
                      <a:ext cx="3783965" cy="1962150"/>
                    </a:xfrm>
                    <a:prstGeom prst="rect">
                      <a:avLst/>
                    </a:prstGeom>
                    <a:noFill/>
                    <a:ln>
                      <a:noFill/>
                    </a:ln>
                  </pic:spPr>
                </pic:pic>
              </a:graphicData>
            </a:graphic>
          </wp:inline>
        </w:drawing>
      </w:r>
    </w:p>
    <w:p w14:paraId="58ADD918">
      <w:pPr>
        <w:spacing w:before="0" w:beforeLines="-2147483648" w:line="240" w:lineRule="auto"/>
        <w:jc w:val="left"/>
        <w:rPr>
          <w:rFonts w:hint="default" w:ascii="Times New Roman" w:hAnsi="Times New Roman" w:eastAsia="宋体" w:cs="Times New Roman"/>
          <w:b w:val="0"/>
          <w:color w:val="auto"/>
          <w:sz w:val="48"/>
          <w:szCs w:val="56"/>
          <w:highlight w:val="none"/>
        </w:rPr>
      </w:pPr>
    </w:p>
    <w:p w14:paraId="3D371D97">
      <w:pPr>
        <w:snapToGrid w:val="0"/>
        <w:spacing w:before="165" w:beforeLines="50" w:line="360" w:lineRule="auto"/>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招 标 文 件</w:t>
      </w:r>
    </w:p>
    <w:p w14:paraId="6A919759">
      <w:pPr>
        <w:snapToGrid w:val="0"/>
        <w:spacing w:before="165" w:beforeLines="50" w:line="360" w:lineRule="auto"/>
        <w:jc w:val="center"/>
        <w:rPr>
          <w:rFonts w:hint="eastAsia" w:ascii="仿宋_GB2312" w:hAnsi="宋体" w:eastAsia="仿宋_GB2312" w:cs="Times New Roman"/>
          <w:b/>
          <w:bCs/>
          <w:color w:val="auto"/>
          <w:sz w:val="30"/>
          <w:szCs w:val="72"/>
          <w:highlight w:val="none"/>
        </w:rPr>
      </w:pPr>
      <w:r>
        <w:rPr>
          <w:rFonts w:hint="eastAsia" w:ascii="仿宋_GB2312" w:hAnsi="宋体" w:eastAsia="仿宋_GB2312" w:cs="Times New Roman"/>
          <w:b/>
          <w:bCs/>
          <w:color w:val="auto"/>
          <w:sz w:val="30"/>
          <w:szCs w:val="72"/>
          <w:highlight w:val="none"/>
        </w:rPr>
        <w:t>（全流程电子化评标）</w:t>
      </w:r>
    </w:p>
    <w:p w14:paraId="4D0E79C0">
      <w:pPr>
        <w:pStyle w:val="17"/>
        <w:snapToGrid w:val="0"/>
        <w:spacing w:before="50" w:after="120" w:line="360" w:lineRule="auto"/>
        <w:ind w:firstLine="2711" w:firstLineChars="900"/>
        <w:jc w:val="both"/>
        <w:rPr>
          <w:rFonts w:hint="eastAsia" w:ascii="宋体" w:hAnsi="宋体" w:eastAsia="宋体" w:cs="宋体"/>
          <w:b/>
          <w:bCs/>
          <w:color w:val="auto"/>
          <w:sz w:val="30"/>
          <w:szCs w:val="30"/>
          <w:highlight w:val="none"/>
        </w:rPr>
      </w:pPr>
    </w:p>
    <w:p w14:paraId="3F1EA915">
      <w:pPr>
        <w:pStyle w:val="17"/>
        <w:snapToGrid w:val="0"/>
        <w:spacing w:before="50" w:after="120" w:line="360" w:lineRule="auto"/>
        <w:jc w:val="center"/>
        <w:rPr>
          <w:rFonts w:hint="eastAsia" w:ascii="宋体" w:hAnsi="宋体" w:eastAsia="宋体" w:cs="宋体"/>
          <w:b w:val="0"/>
          <w:bCs w:val="0"/>
          <w:color w:val="auto"/>
          <w:sz w:val="30"/>
          <w:szCs w:val="30"/>
          <w:highlight w:val="none"/>
          <w:lang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r>
        <w:rPr>
          <w:rFonts w:hint="eastAsia" w:hAnsi="宋体" w:cs="宋体"/>
          <w:b/>
          <w:bCs/>
          <w:color w:val="auto"/>
          <w:sz w:val="30"/>
          <w:szCs w:val="30"/>
          <w:highlight w:val="none"/>
          <w:lang w:eastAsia="zh-CN"/>
        </w:rPr>
        <w:t>贵港市江南中学食堂和小卖部部分大宗食品采购项目（重）</w:t>
      </w:r>
    </w:p>
    <w:p w14:paraId="4F2E53AF">
      <w:pPr>
        <w:pStyle w:val="17"/>
        <w:snapToGrid w:val="0"/>
        <w:spacing w:before="50" w:after="120" w:line="360" w:lineRule="auto"/>
        <w:ind w:left="0" w:leftChars="0" w:firstLine="2108" w:firstLineChars="700"/>
        <w:jc w:val="both"/>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100"/>
          <w:sz w:val="30"/>
          <w:szCs w:val="30"/>
          <w:highlight w:val="none"/>
          <w:lang w:eastAsia="zh-CN"/>
        </w:rPr>
        <w:t>项目编号：GGZC2026-G3-990133-YLFG</w:t>
      </w:r>
      <w:r>
        <w:rPr>
          <w:rFonts w:hint="eastAsia" w:cs="宋体"/>
          <w:b/>
          <w:color w:val="auto"/>
          <w:sz w:val="30"/>
          <w:szCs w:val="30"/>
          <w:highlight w:val="none"/>
          <w:lang w:val="en-US" w:eastAsia="zh-CN"/>
        </w:rPr>
        <w:t xml:space="preserve"> </w:t>
      </w:r>
    </w:p>
    <w:p w14:paraId="6AEB1A91">
      <w:pPr>
        <w:widowControl w:val="0"/>
        <w:snapToGrid w:val="0"/>
        <w:spacing w:before="50" w:after="120" w:line="360" w:lineRule="auto"/>
        <w:jc w:val="both"/>
        <w:rPr>
          <w:rFonts w:hint="eastAsia" w:ascii="宋体" w:hAnsi="宋体" w:eastAsia="宋体" w:cs="宋体"/>
          <w:b/>
          <w:bCs/>
          <w:color w:val="auto"/>
          <w:w w:val="95"/>
          <w:kern w:val="2"/>
          <w:sz w:val="30"/>
          <w:szCs w:val="30"/>
          <w:highlight w:val="none"/>
          <w:lang w:val="en-US" w:eastAsia="zh-CN" w:bidi="ar-SA"/>
        </w:rPr>
      </w:pPr>
    </w:p>
    <w:p w14:paraId="1554D9A4">
      <w:pPr>
        <w:pStyle w:val="19"/>
        <w:rPr>
          <w:rFonts w:hint="eastAsia" w:ascii="宋体" w:hAnsi="宋体" w:eastAsia="宋体" w:cs="宋体"/>
          <w:b/>
          <w:bCs/>
          <w:color w:val="auto"/>
          <w:w w:val="95"/>
          <w:kern w:val="2"/>
          <w:sz w:val="30"/>
          <w:szCs w:val="30"/>
          <w:highlight w:val="none"/>
          <w:lang w:val="en-US" w:eastAsia="zh-CN" w:bidi="ar-SA"/>
        </w:rPr>
      </w:pPr>
    </w:p>
    <w:p w14:paraId="12D01DB6">
      <w:pPr>
        <w:rPr>
          <w:rFonts w:hint="eastAsia"/>
          <w:color w:val="auto"/>
          <w:highlight w:val="none"/>
          <w:lang w:val="en-US" w:eastAsia="zh-CN"/>
        </w:rPr>
      </w:pPr>
    </w:p>
    <w:p w14:paraId="4CC2D8A5">
      <w:pPr>
        <w:widowControl w:val="0"/>
        <w:snapToGrid w:val="0"/>
        <w:spacing w:before="50" w:after="120" w:line="360" w:lineRule="auto"/>
        <w:ind w:left="0" w:leftChars="0" w:firstLine="2106" w:firstLineChars="736"/>
        <w:jc w:val="both"/>
        <w:rPr>
          <w:rFonts w:hint="eastAsia" w:ascii="宋体" w:hAnsi="宋体" w:eastAsia="宋体" w:cs="宋体"/>
          <w:b/>
          <w:bCs/>
          <w:color w:val="auto"/>
          <w:w w:val="95"/>
          <w:kern w:val="2"/>
          <w:sz w:val="30"/>
          <w:szCs w:val="30"/>
          <w:highlight w:val="none"/>
          <w:lang w:val="en-US" w:eastAsia="zh-CN" w:bidi="ar-SA"/>
        </w:rPr>
      </w:pPr>
      <w:r>
        <w:rPr>
          <w:rFonts w:hint="eastAsia" w:ascii="宋体" w:hAnsi="宋体" w:eastAsia="宋体" w:cs="宋体"/>
          <w:b/>
          <w:bCs/>
          <w:color w:val="auto"/>
          <w:w w:val="95"/>
          <w:kern w:val="2"/>
          <w:sz w:val="30"/>
          <w:szCs w:val="30"/>
          <w:highlight w:val="none"/>
          <w:lang w:val="en-US" w:eastAsia="zh-CN" w:bidi="ar-SA"/>
        </w:rPr>
        <w:t>采购人：</w:t>
      </w:r>
      <w:r>
        <w:rPr>
          <w:rFonts w:hint="eastAsia" w:cs="宋体"/>
          <w:b/>
          <w:color w:val="auto"/>
          <w:sz w:val="32"/>
          <w:szCs w:val="32"/>
          <w:highlight w:val="none"/>
          <w:lang w:eastAsia="zh-CN"/>
        </w:rPr>
        <w:t>贵港市江南中学</w:t>
      </w:r>
    </w:p>
    <w:p w14:paraId="09906DDC">
      <w:pPr>
        <w:widowControl w:val="0"/>
        <w:snapToGrid w:val="0"/>
        <w:spacing w:before="50" w:after="120" w:line="360" w:lineRule="auto"/>
        <w:ind w:left="0" w:leftChars="0" w:firstLine="2106" w:firstLineChars="736"/>
        <w:jc w:val="both"/>
        <w:rPr>
          <w:rFonts w:hint="eastAsia" w:ascii="宋体" w:hAnsi="宋体" w:eastAsia="宋体" w:cs="宋体"/>
          <w:b/>
          <w:bCs/>
          <w:color w:val="auto"/>
          <w:w w:val="95"/>
          <w:kern w:val="2"/>
          <w:sz w:val="30"/>
          <w:szCs w:val="30"/>
          <w:highlight w:val="none"/>
          <w:lang w:val="en-US" w:eastAsia="zh-CN" w:bidi="ar-SA"/>
        </w:rPr>
      </w:pPr>
      <w:r>
        <w:rPr>
          <w:rFonts w:hint="eastAsia" w:ascii="宋体" w:hAnsi="宋体" w:eastAsia="宋体" w:cs="宋体"/>
          <w:b/>
          <w:bCs/>
          <w:color w:val="auto"/>
          <w:w w:val="95"/>
          <w:kern w:val="2"/>
          <w:sz w:val="30"/>
          <w:szCs w:val="30"/>
          <w:highlight w:val="none"/>
          <w:lang w:val="en-US" w:eastAsia="zh-CN" w:bidi="ar-SA"/>
        </w:rPr>
        <w:t>采购代理机构：广西云立方工程管理有限公司</w:t>
      </w:r>
    </w:p>
    <w:p w14:paraId="6B340827">
      <w:pPr>
        <w:rPr>
          <w:rFonts w:hint="default" w:ascii="宋体" w:hAnsi="Courier New" w:eastAsia="宋体" w:cs="Times New Roman"/>
          <w:b w:val="0"/>
          <w:bCs w:val="0"/>
          <w:color w:val="auto"/>
          <w:w w:val="100"/>
          <w:kern w:val="2"/>
          <w:sz w:val="21"/>
          <w:szCs w:val="20"/>
          <w:highlight w:val="none"/>
          <w:lang w:val="en-US" w:eastAsia="zh-CN" w:bidi="ar-SA"/>
        </w:rPr>
      </w:pPr>
    </w:p>
    <w:p w14:paraId="15457DE9">
      <w:pPr>
        <w:pStyle w:val="17"/>
        <w:snapToGrid w:val="0"/>
        <w:spacing w:before="50" w:after="120" w:line="360" w:lineRule="auto"/>
        <w:ind w:firstLine="4006" w:firstLineChars="1400"/>
        <w:jc w:val="both"/>
        <w:rPr>
          <w:rFonts w:hint="eastAsia" w:ascii="宋体" w:hAnsi="宋体" w:eastAsia="宋体" w:cs="宋体"/>
          <w:b/>
          <w:bCs/>
          <w:color w:val="auto"/>
          <w:w w:val="95"/>
          <w:sz w:val="30"/>
          <w:szCs w:val="30"/>
          <w:highlight w:val="none"/>
        </w:rPr>
      </w:pPr>
      <w:r>
        <w:rPr>
          <w:rFonts w:hint="eastAsia" w:hAnsi="宋体" w:cs="宋体"/>
          <w:b/>
          <w:bCs/>
          <w:color w:val="auto"/>
          <w:w w:val="95"/>
          <w:kern w:val="2"/>
          <w:sz w:val="30"/>
          <w:szCs w:val="30"/>
          <w:highlight w:val="none"/>
          <w:lang w:val="en-US" w:eastAsia="zh-CN" w:bidi="ar-SA"/>
        </w:rPr>
        <w:t>2026</w:t>
      </w:r>
      <w:r>
        <w:rPr>
          <w:rFonts w:hint="eastAsia" w:ascii="宋体" w:hAnsi="宋体" w:eastAsia="宋体" w:cs="宋体"/>
          <w:b/>
          <w:bCs/>
          <w:color w:val="auto"/>
          <w:w w:val="95"/>
          <w:kern w:val="2"/>
          <w:sz w:val="30"/>
          <w:szCs w:val="30"/>
          <w:highlight w:val="none"/>
          <w:lang w:val="en-US" w:eastAsia="zh-CN" w:bidi="ar-SA"/>
        </w:rPr>
        <w:t>年</w:t>
      </w:r>
      <w:r>
        <w:rPr>
          <w:rFonts w:hint="eastAsia" w:hAnsi="宋体" w:cs="宋体"/>
          <w:b/>
          <w:bCs/>
          <w:color w:val="auto"/>
          <w:w w:val="95"/>
          <w:kern w:val="2"/>
          <w:sz w:val="30"/>
          <w:szCs w:val="30"/>
          <w:highlight w:val="none"/>
          <w:lang w:val="en-US" w:eastAsia="zh-CN" w:bidi="ar-SA"/>
        </w:rPr>
        <w:t>5</w:t>
      </w:r>
      <w:r>
        <w:rPr>
          <w:rFonts w:hint="eastAsia" w:ascii="宋体" w:hAnsi="宋体" w:eastAsia="宋体" w:cs="宋体"/>
          <w:b/>
          <w:bCs/>
          <w:color w:val="auto"/>
          <w:w w:val="95"/>
          <w:kern w:val="2"/>
          <w:sz w:val="30"/>
          <w:szCs w:val="30"/>
          <w:highlight w:val="none"/>
          <w:lang w:val="en-US" w:eastAsia="zh-CN" w:bidi="ar-SA"/>
        </w:rPr>
        <w:t>月</w:t>
      </w:r>
    </w:p>
    <w:p w14:paraId="03666CAB">
      <w:pPr>
        <w:widowControl/>
        <w:spacing w:line="360" w:lineRule="auto"/>
        <w:jc w:val="both"/>
        <w:rPr>
          <w:rFonts w:hint="eastAsia" w:ascii="宋体" w:hAnsi="宋体" w:eastAsia="宋体" w:cs="宋体"/>
          <w:b/>
          <w:bCs/>
          <w:color w:val="auto"/>
          <w:w w:val="95"/>
          <w:sz w:val="30"/>
          <w:szCs w:val="30"/>
          <w:highlight w:val="none"/>
        </w:rPr>
      </w:pPr>
    </w:p>
    <w:p w14:paraId="24281664">
      <w:pPr>
        <w:pStyle w:val="19"/>
        <w:rPr>
          <w:rFonts w:hint="eastAsia"/>
          <w:color w:val="auto"/>
          <w:highlight w:val="none"/>
        </w:rPr>
        <w:sectPr>
          <w:headerReference r:id="rId3" w:type="default"/>
          <w:pgSz w:w="11905" w:h="16838"/>
          <w:pgMar w:top="1134" w:right="1134" w:bottom="1134" w:left="1134" w:header="850" w:footer="850" w:gutter="0"/>
          <w:pgNumType w:fmt="decimal" w:start="1"/>
          <w:cols w:space="0" w:num="1"/>
          <w:titlePg/>
          <w:rtlGutter w:val="0"/>
          <w:docGrid w:linePitch="331" w:charSpace="0"/>
        </w:sectPr>
      </w:pPr>
    </w:p>
    <w:p w14:paraId="6EAC7B87">
      <w:pPr>
        <w:pStyle w:val="17"/>
        <w:jc w:val="center"/>
        <w:rPr>
          <w:rFonts w:ascii="Times New Roman" w:hAnsi="Times New Roman" w:eastAsia="宋体" w:cs="Times New Roman"/>
          <w:b/>
          <w:color w:val="auto"/>
          <w:sz w:val="48"/>
          <w:szCs w:val="48"/>
          <w:highlight w:val="none"/>
        </w:rPr>
      </w:pPr>
      <w:r>
        <w:rPr>
          <w:rFonts w:hint="eastAsia" w:ascii="Times New Roman" w:hAnsi="Times New Roman" w:eastAsia="宋体" w:cs="Times New Roman"/>
          <w:b/>
          <w:color w:val="auto"/>
          <w:sz w:val="48"/>
          <w:szCs w:val="48"/>
          <w:highlight w:val="none"/>
        </w:rPr>
        <w:t>目</w:t>
      </w:r>
      <w:r>
        <w:rPr>
          <w:rFonts w:ascii="Times New Roman" w:hAnsi="Times New Roman" w:eastAsia="宋体" w:cs="Times New Roman"/>
          <w:b/>
          <w:color w:val="auto"/>
          <w:sz w:val="48"/>
          <w:szCs w:val="48"/>
          <w:highlight w:val="none"/>
        </w:rPr>
        <w:t xml:space="preserve">   </w:t>
      </w:r>
      <w:r>
        <w:rPr>
          <w:rFonts w:hint="eastAsia" w:ascii="Times New Roman" w:hAnsi="Times New Roman" w:eastAsia="宋体" w:cs="Times New Roman"/>
          <w:b/>
          <w:color w:val="auto"/>
          <w:sz w:val="48"/>
          <w:szCs w:val="48"/>
          <w:highlight w:val="none"/>
        </w:rPr>
        <w:t>录</w:t>
      </w:r>
    </w:p>
    <w:p w14:paraId="23AB1D48">
      <w:pPr>
        <w:pStyle w:val="21"/>
        <w:tabs>
          <w:tab w:val="right" w:leader="dot" w:pos="9637"/>
        </w:tabs>
        <w:rPr>
          <w:color w:val="auto"/>
          <w:highlight w:val="none"/>
        </w:rPr>
      </w:pPr>
    </w:p>
    <w:p w14:paraId="4234A6AC">
      <w:pPr>
        <w:pStyle w:val="21"/>
        <w:tabs>
          <w:tab w:val="right" w:leader="dot" w:pos="9637"/>
        </w:tabs>
        <w:rPr>
          <w:rFonts w:hint="eastAsia" w:ascii="宋体" w:hAnsi="宋体" w:eastAsia="宋体" w:cs="宋体"/>
          <w:color w:val="auto"/>
          <w:sz w:val="24"/>
          <w:szCs w:val="24"/>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_Toc16222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第一章  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_Toc16222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15BEE2D">
      <w:pPr>
        <w:pStyle w:val="21"/>
        <w:tabs>
          <w:tab w:val="right" w:leader="dot" w:pos="9637"/>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_Toc8382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_Toc8382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C72E9CF">
      <w:pPr>
        <w:pStyle w:val="21"/>
        <w:tabs>
          <w:tab w:val="right" w:leader="dot" w:pos="9637"/>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_Toc15364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第三章  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_Toc15364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C7C8456">
      <w:pPr>
        <w:pStyle w:val="21"/>
        <w:tabs>
          <w:tab w:val="right" w:leader="dot" w:pos="9637"/>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_Toc10034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第四章  </w:t>
      </w:r>
      <w:r>
        <w:rPr>
          <w:rFonts w:hint="eastAsia" w:ascii="宋体" w:hAnsi="宋体" w:eastAsia="宋体" w:cs="宋体"/>
          <w:color w:val="auto"/>
          <w:sz w:val="24"/>
          <w:szCs w:val="24"/>
          <w:highlight w:val="none"/>
          <w:lang w:eastAsia="zh-CN"/>
        </w:rPr>
        <w:t>评标方法和评标标准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_Toc10034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3003F98">
      <w:pPr>
        <w:pStyle w:val="21"/>
        <w:tabs>
          <w:tab w:val="right" w:leader="dot" w:pos="9637"/>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_Toc32021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第五章 拟签订的合同文本</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_Toc32021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9D975E4">
      <w:pPr>
        <w:pStyle w:val="21"/>
        <w:tabs>
          <w:tab w:val="right" w:leader="dot" w:pos="9637"/>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_Toc2517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第六章 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_Toc2517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1BF45E8">
      <w:pPr>
        <w:pStyle w:val="21"/>
        <w:tabs>
          <w:tab w:val="right" w:leader="dot" w:pos="9637"/>
        </w:tabs>
        <w:rPr>
          <w:color w:val="auto"/>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_Toc31310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第七章 质疑、投诉材料格式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_Toc31310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B98A118">
      <w:pPr>
        <w:pStyle w:val="17"/>
        <w:jc w:val="center"/>
        <w:rPr>
          <w:rFonts w:hint="eastAsia" w:eastAsia="宋体" w:cs="Times New Roman"/>
          <w:color w:val="auto"/>
          <w:highlight w:val="none"/>
        </w:rPr>
      </w:pPr>
      <w:r>
        <w:rPr>
          <w:color w:val="auto"/>
          <w:highlight w:val="none"/>
        </w:rPr>
        <w:fldChar w:fldCharType="end"/>
      </w:r>
      <w:bookmarkStart w:id="0" w:name="_Toc532545041"/>
    </w:p>
    <w:p w14:paraId="0BB28184">
      <w:pPr>
        <w:rPr>
          <w:rFonts w:hint="eastAsia" w:eastAsia="宋体" w:cs="Times New Roman"/>
          <w:color w:val="auto"/>
          <w:highlight w:val="none"/>
        </w:rPr>
      </w:pPr>
      <w:r>
        <w:rPr>
          <w:rFonts w:hint="eastAsia" w:eastAsia="宋体" w:cs="Times New Roman"/>
          <w:color w:val="auto"/>
          <w:highlight w:val="none"/>
        </w:rPr>
        <w:br w:type="page"/>
      </w:r>
    </w:p>
    <w:p w14:paraId="64669D8B">
      <w:pPr>
        <w:pStyle w:val="17"/>
        <w:jc w:val="center"/>
        <w:outlineLvl w:val="0"/>
        <w:rPr>
          <w:rFonts w:hint="eastAsia" w:ascii="Times New Roman" w:hAnsi="Times New Roman" w:eastAsia="宋体" w:cs="Times New Roman"/>
          <w:b/>
          <w:color w:val="auto"/>
          <w:sz w:val="36"/>
          <w:szCs w:val="20"/>
          <w:highlight w:val="none"/>
        </w:rPr>
      </w:pPr>
      <w:bookmarkStart w:id="1" w:name="_Toc19537"/>
      <w:bookmarkStart w:id="2" w:name="_Toc9949"/>
      <w:bookmarkStart w:id="3" w:name="_Toc16576"/>
      <w:bookmarkStart w:id="4" w:name="_Toc11500"/>
      <w:bookmarkStart w:id="5" w:name="_Toc18459"/>
      <w:bookmarkStart w:id="6" w:name="_Toc20258"/>
      <w:bookmarkStart w:id="7" w:name="_Toc8345"/>
      <w:bookmarkStart w:id="8" w:name="_Toc18707"/>
      <w:bookmarkStart w:id="9" w:name="_Toc184"/>
      <w:bookmarkStart w:id="10" w:name="_Toc16222"/>
      <w:bookmarkStart w:id="11" w:name="_Toc12228"/>
      <w:r>
        <w:rPr>
          <w:rFonts w:hint="eastAsia" w:ascii="Times New Roman" w:hAnsi="Times New Roman" w:eastAsia="宋体" w:cs="Times New Roman"/>
          <w:b/>
          <w:color w:val="auto"/>
          <w:sz w:val="36"/>
          <w:highlight w:val="none"/>
        </w:rPr>
        <w:t>第一章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招标公告</w:t>
      </w:r>
      <w:bookmarkEnd w:id="0"/>
      <w:bookmarkEnd w:id="1"/>
      <w:bookmarkEnd w:id="2"/>
      <w:bookmarkEnd w:id="3"/>
      <w:bookmarkEnd w:id="4"/>
      <w:bookmarkEnd w:id="5"/>
      <w:bookmarkEnd w:id="6"/>
      <w:bookmarkEnd w:id="7"/>
      <w:bookmarkEnd w:id="8"/>
      <w:bookmarkEnd w:id="9"/>
      <w:bookmarkEnd w:id="10"/>
      <w:bookmarkEnd w:id="11"/>
    </w:p>
    <w:p w14:paraId="0AE600AE">
      <w:pPr>
        <w:rPr>
          <w:rFonts w:hint="eastAsia"/>
          <w:color w:val="auto"/>
          <w:highlight w:val="none"/>
        </w:rPr>
      </w:pPr>
    </w:p>
    <w:p w14:paraId="0EBDCE46">
      <w:pPr>
        <w:pStyle w:val="17"/>
        <w:jc w:val="center"/>
        <w:rPr>
          <w:rFonts w:hint="eastAsia" w:ascii="Times New Roman" w:hAnsi="Times New Roman" w:eastAsia="宋体" w:cs="Times New Roman"/>
          <w:b/>
          <w:color w:val="auto"/>
          <w:sz w:val="30"/>
          <w:szCs w:val="30"/>
          <w:highlight w:val="none"/>
        </w:rPr>
      </w:pPr>
      <w:r>
        <w:rPr>
          <w:rFonts w:hint="eastAsia" w:ascii="Times New Roman" w:hAnsi="Times New Roman" w:cs="Times New Roman"/>
          <w:b/>
          <w:color w:val="auto"/>
          <w:sz w:val="30"/>
          <w:szCs w:val="30"/>
          <w:highlight w:val="none"/>
          <w:lang w:eastAsia="zh-CN"/>
        </w:rPr>
        <w:t>贵港市江南中学食堂和小卖部部分大宗食品采购项目（重）</w:t>
      </w:r>
      <w:r>
        <w:rPr>
          <w:rFonts w:hint="eastAsia" w:ascii="Times New Roman" w:hAnsi="Times New Roman" w:eastAsia="宋体" w:cs="Times New Roman"/>
          <w:b/>
          <w:color w:val="auto"/>
          <w:sz w:val="30"/>
          <w:szCs w:val="30"/>
          <w:highlight w:val="none"/>
        </w:rPr>
        <w:t>招标公告</w:t>
      </w:r>
    </w:p>
    <w:p w14:paraId="32943128">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0EDE4D64">
      <w:pPr>
        <w:pBdr>
          <w:top w:val="single" w:color="auto" w:sz="4" w:space="1"/>
          <w:left w:val="single" w:color="auto" w:sz="4" w:space="4"/>
          <w:bottom w:val="single" w:color="auto" w:sz="4" w:space="1"/>
          <w:right w:val="single" w:color="auto" w:sz="4" w:space="4"/>
        </w:pBdr>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cs="宋体"/>
          <w:color w:val="auto"/>
          <w:kern w:val="0"/>
          <w:szCs w:val="21"/>
          <w:highlight w:val="none"/>
          <w:u w:val="single"/>
          <w:lang w:eastAsia="zh-CN"/>
        </w:rPr>
        <w:t>贵港市江南中学食堂和小卖部部分大宗食品采购项目（重）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招标项目的潜在投标人应在</w:t>
      </w:r>
      <w:r>
        <w:rPr>
          <w:rFonts w:hint="eastAsia" w:ascii="宋体" w:hAnsi="宋体" w:cs="宋体"/>
          <w:color w:val="auto"/>
          <w:kern w:val="0"/>
          <w:szCs w:val="21"/>
          <w:highlight w:val="none"/>
          <w:u w:val="single"/>
          <w:lang w:val="en-US" w:eastAsia="zh-CN"/>
        </w:rPr>
        <w:t>广西政府采购云平台</w:t>
      </w:r>
      <w:r>
        <w:rPr>
          <w:rFonts w:hint="eastAsia" w:ascii="宋体" w:hAnsi="宋体" w:cs="宋体"/>
          <w:color w:val="auto"/>
          <w:kern w:val="0"/>
          <w:szCs w:val="21"/>
          <w:highlight w:val="none"/>
          <w:u w:val="single"/>
          <w:lang w:eastAsia="zh-CN"/>
        </w:rPr>
        <w:t>（https://www.gcy.zfcg.gxzf.gov.cn/）</w:t>
      </w:r>
      <w:r>
        <w:rPr>
          <w:rFonts w:hint="eastAsia" w:ascii="宋体" w:hAnsi="宋体" w:eastAsia="宋体" w:cs="宋体"/>
          <w:color w:val="auto"/>
          <w:sz w:val="21"/>
          <w:szCs w:val="21"/>
          <w:highlight w:val="none"/>
        </w:rPr>
        <w:t>获取招标文件，并于</w:t>
      </w:r>
      <w:bookmarkStart w:id="12" w:name="PO_3000001867_PM015"/>
      <w:bookmarkStart w:id="13" w:name="PO_3000001866_PM015"/>
      <w:r>
        <w:rPr>
          <w:rFonts w:hint="eastAsia" w:ascii="宋体" w:hAnsi="宋体" w:cs="宋体"/>
          <w:color w:val="auto"/>
          <w:szCs w:val="21"/>
          <w:highlight w:val="none"/>
          <w:u w:val="single"/>
          <w:lang w:val="en-US" w:eastAsia="zh-CN"/>
        </w:rPr>
        <w:t xml:space="preserve"> </w:t>
      </w:r>
      <w:bookmarkEnd w:id="12"/>
      <w:bookmarkEnd w:id="13"/>
      <w:r>
        <w:rPr>
          <w:rFonts w:hint="eastAsia" w:ascii="宋体" w:hAnsi="宋体" w:cs="宋体"/>
          <w:color w:val="auto"/>
          <w:szCs w:val="21"/>
          <w:highlight w:val="none"/>
          <w:u w:val="single"/>
          <w:lang w:val="en-US" w:eastAsia="zh-CN"/>
        </w:rPr>
        <w:t xml:space="preserve">2026年  月  日9点00分 </w:t>
      </w:r>
      <w:r>
        <w:rPr>
          <w:rFonts w:hint="eastAsia" w:ascii="宋体" w:hAnsi="宋体" w:eastAsia="宋体" w:cs="宋体"/>
          <w:bCs/>
          <w:color w:val="auto"/>
          <w:sz w:val="21"/>
          <w:szCs w:val="21"/>
          <w:highlight w:val="none"/>
        </w:rPr>
        <w:t>（北京时间）前</w:t>
      </w:r>
      <w:r>
        <w:rPr>
          <w:rFonts w:hint="eastAsia" w:ascii="宋体" w:hAnsi="宋体" w:eastAsia="宋体" w:cs="宋体"/>
          <w:color w:val="auto"/>
          <w:sz w:val="21"/>
          <w:szCs w:val="21"/>
          <w:highlight w:val="none"/>
        </w:rPr>
        <w:t>递交投标文件。</w:t>
      </w:r>
    </w:p>
    <w:p w14:paraId="1FB691A9">
      <w:pPr>
        <w:spacing w:line="360" w:lineRule="auto"/>
        <w:rPr>
          <w:rFonts w:hint="eastAsia" w:ascii="黑体" w:hAnsi="黑体" w:eastAsia="黑体" w:cs="Times New Roman"/>
          <w:b/>
          <w:bCs/>
          <w:color w:val="auto"/>
          <w:sz w:val="24"/>
          <w:highlight w:val="none"/>
        </w:rPr>
      </w:pPr>
      <w:bookmarkStart w:id="14" w:name="_Toc35393790"/>
      <w:bookmarkStart w:id="15" w:name="_Toc28359002"/>
      <w:bookmarkStart w:id="16" w:name="_Toc28359079"/>
      <w:bookmarkStart w:id="17" w:name="_Toc35393621"/>
      <w:bookmarkStart w:id="18" w:name="_Hlk24379207"/>
      <w:r>
        <w:rPr>
          <w:rFonts w:hint="eastAsia" w:ascii="黑体" w:hAnsi="黑体" w:eastAsia="黑体" w:cs="Times New Roman"/>
          <w:b/>
          <w:bCs/>
          <w:color w:val="auto"/>
          <w:sz w:val="24"/>
          <w:highlight w:val="none"/>
        </w:rPr>
        <w:t>一、项目基本情况</w:t>
      </w:r>
      <w:bookmarkEnd w:id="14"/>
      <w:bookmarkEnd w:id="15"/>
      <w:bookmarkEnd w:id="16"/>
      <w:bookmarkEnd w:id="17"/>
    </w:p>
    <w:p w14:paraId="19D97EAA">
      <w:pPr>
        <w:spacing w:line="360" w:lineRule="auto"/>
        <w:ind w:firstLine="420" w:firstLineChars="200"/>
        <w:rPr>
          <w:rFonts w:hint="eastAsia" w:ascii="宋体" w:hAnsi="宋体" w:cs="Times New Roman"/>
          <w:color w:val="auto"/>
          <w:szCs w:val="21"/>
          <w:highlight w:val="none"/>
          <w:lang w:val="en-US" w:eastAsia="zh-CN"/>
        </w:rPr>
      </w:pPr>
      <w:r>
        <w:rPr>
          <w:rFonts w:hint="eastAsia" w:ascii="宋体" w:hAnsi="宋体" w:eastAsia="宋体" w:cs="Times New Roman"/>
          <w:b w:val="0"/>
          <w:bCs w:val="0"/>
          <w:color w:val="auto"/>
          <w:szCs w:val="21"/>
          <w:highlight w:val="none"/>
        </w:rPr>
        <w:t>项目编号：</w:t>
      </w:r>
      <w:r>
        <w:rPr>
          <w:rFonts w:hint="eastAsia" w:ascii="宋体" w:hAnsi="宋体" w:cs="Times New Roman"/>
          <w:b w:val="0"/>
          <w:bCs w:val="0"/>
          <w:color w:val="auto"/>
          <w:szCs w:val="21"/>
          <w:highlight w:val="none"/>
          <w:lang w:val="en-US" w:eastAsia="zh-CN"/>
        </w:rPr>
        <w:t>GGZC2026-G3-990133-YLFG</w:t>
      </w:r>
    </w:p>
    <w:p w14:paraId="5092DEA6">
      <w:pPr>
        <w:spacing w:line="360" w:lineRule="auto"/>
        <w:ind w:firstLine="420" w:firstLineChars="200"/>
        <w:rPr>
          <w:rFonts w:hint="eastAsia" w:ascii="宋体" w:hAnsi="宋体" w:cs="Times New Roman"/>
          <w:color w:val="auto"/>
          <w:szCs w:val="21"/>
          <w:highlight w:val="none"/>
          <w:u w:val="none"/>
          <w:lang w:val="en-US" w:eastAsia="zh-CN"/>
        </w:rPr>
      </w:pPr>
      <w:r>
        <w:rPr>
          <w:rFonts w:hint="eastAsia" w:ascii="宋体" w:hAnsi="宋体" w:eastAsia="宋体" w:cs="Times New Roman"/>
          <w:b w:val="0"/>
          <w:bCs w:val="0"/>
          <w:color w:val="auto"/>
          <w:szCs w:val="21"/>
          <w:highlight w:val="none"/>
        </w:rPr>
        <w:t>项目名称：</w:t>
      </w:r>
      <w:bookmarkEnd w:id="18"/>
      <w:r>
        <w:rPr>
          <w:rFonts w:hint="eastAsia" w:ascii="宋体" w:hAnsi="宋体" w:cs="宋体"/>
          <w:color w:val="auto"/>
          <w:kern w:val="0"/>
          <w:szCs w:val="21"/>
          <w:highlight w:val="none"/>
          <w:u w:val="none"/>
          <w:lang w:eastAsia="zh-CN"/>
        </w:rPr>
        <w:t>贵港市江南中学食堂和小卖部部分大宗食品采购项目（重）</w:t>
      </w:r>
    </w:p>
    <w:p w14:paraId="046CE9E8">
      <w:pPr>
        <w:spacing w:line="360" w:lineRule="auto"/>
        <w:ind w:firstLine="420" w:firstLineChars="200"/>
        <w:rPr>
          <w:rFonts w:hint="eastAsia" w:ascii="宋体" w:hAnsi="宋体" w:cs="宋体"/>
          <w:color w:val="auto"/>
          <w:szCs w:val="21"/>
          <w:highlight w:val="none"/>
          <w:u w:val="none"/>
          <w:lang w:eastAsia="zh-CN"/>
        </w:rPr>
      </w:pPr>
      <w:r>
        <w:rPr>
          <w:rFonts w:hint="eastAsia" w:ascii="宋体" w:hAnsi="宋体" w:eastAsia="宋体" w:cs="Times New Roman"/>
          <w:b w:val="0"/>
          <w:bCs w:val="0"/>
          <w:color w:val="auto"/>
          <w:szCs w:val="21"/>
          <w:highlight w:val="none"/>
          <w:u w:val="none"/>
        </w:rPr>
        <w:t>预算金额：</w:t>
      </w:r>
      <w:bookmarkStart w:id="19" w:name="PO_3000001867_PM001392"/>
      <w:r>
        <w:rPr>
          <w:rFonts w:hint="eastAsia" w:ascii="宋体" w:hAnsi="宋体" w:cs="宋体"/>
          <w:color w:val="auto"/>
          <w:szCs w:val="21"/>
          <w:highlight w:val="none"/>
          <w:u w:val="none"/>
          <w:lang w:eastAsia="zh-CN"/>
        </w:rPr>
        <w:t>人民币</w:t>
      </w:r>
      <w:r>
        <w:rPr>
          <w:rFonts w:hint="eastAsia" w:ascii="宋体" w:hAnsi="宋体" w:cs="宋体"/>
          <w:color w:val="auto"/>
          <w:szCs w:val="21"/>
          <w:highlight w:val="none"/>
          <w:u w:val="none"/>
          <w:lang w:val="en-US" w:eastAsia="zh-CN"/>
        </w:rPr>
        <w:t>肆佰万元整</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none"/>
          <w:lang w:val="en-US" w:eastAsia="zh-CN"/>
        </w:rPr>
        <w:t>4000000</w:t>
      </w:r>
      <w:r>
        <w:rPr>
          <w:rFonts w:hint="eastAsia" w:ascii="宋体" w:hAnsi="宋体" w:cs="宋体"/>
          <w:color w:val="auto"/>
          <w:szCs w:val="21"/>
          <w:highlight w:val="none"/>
          <w:u w:val="none"/>
          <w:lang w:eastAsia="zh-CN"/>
        </w:rPr>
        <w:t>.00）。</w:t>
      </w:r>
      <w:bookmarkEnd w:id="19"/>
    </w:p>
    <w:p w14:paraId="750C4F36">
      <w:pPr>
        <w:spacing w:line="360" w:lineRule="auto"/>
        <w:ind w:firstLine="420" w:firstLineChars="200"/>
        <w:rPr>
          <w:rFonts w:hint="default" w:ascii="宋体" w:hAnsi="宋体" w:eastAsia="宋体" w:cs="Times New Roman"/>
          <w:color w:val="auto"/>
          <w:szCs w:val="21"/>
          <w:highlight w:val="none"/>
          <w:u w:val="single"/>
          <w:lang w:val="en-US" w:eastAsia="zh-CN"/>
        </w:rPr>
      </w:pPr>
      <w:r>
        <w:rPr>
          <w:rFonts w:hint="eastAsia" w:ascii="宋体" w:hAnsi="宋体" w:eastAsia="宋体" w:cs="Times New Roman"/>
          <w:b w:val="0"/>
          <w:bCs w:val="0"/>
          <w:color w:val="auto"/>
          <w:szCs w:val="21"/>
          <w:highlight w:val="none"/>
          <w:lang w:eastAsia="zh-CN"/>
        </w:rPr>
        <w:t>最高限价（如有）：</w:t>
      </w:r>
      <w:r>
        <w:rPr>
          <w:rFonts w:hint="eastAsia" w:ascii="宋体" w:hAnsi="宋体" w:cs="Times New Roman"/>
          <w:b w:val="0"/>
          <w:bCs w:val="0"/>
          <w:color w:val="auto"/>
          <w:szCs w:val="21"/>
          <w:highlight w:val="none"/>
          <w:lang w:val="en-US" w:eastAsia="zh-CN"/>
        </w:rPr>
        <w:t>/</w:t>
      </w:r>
    </w:p>
    <w:p w14:paraId="028438E6">
      <w:pPr>
        <w:spacing w:line="360" w:lineRule="auto"/>
        <w:ind w:firstLine="420" w:firstLineChars="200"/>
        <w:rPr>
          <w:rFonts w:hint="eastAsia" w:ascii="宋体" w:hAnsi="宋体" w:cs="宋体"/>
          <w:color w:val="auto"/>
          <w:szCs w:val="21"/>
          <w:highlight w:val="none"/>
        </w:rPr>
      </w:pPr>
      <w:r>
        <w:rPr>
          <w:rFonts w:hint="eastAsia" w:ascii="宋体" w:hAnsi="宋体" w:eastAsia="宋体" w:cs="Times New Roman"/>
          <w:b w:val="0"/>
          <w:bCs w:val="0"/>
          <w:color w:val="auto"/>
          <w:szCs w:val="21"/>
          <w:highlight w:val="none"/>
        </w:rPr>
        <w:t>采购需求：</w:t>
      </w:r>
      <w:bookmarkStart w:id="20" w:name="PO_3000001867_PM004"/>
      <w:r>
        <w:rPr>
          <w:rFonts w:hint="eastAsia" w:cs="Times New Roman"/>
          <w:color w:val="auto"/>
          <w:szCs w:val="21"/>
          <w:highlight w:val="none"/>
          <w:lang w:eastAsia="zh-CN"/>
        </w:rPr>
        <w:t>贵港市江南中学食堂和小卖部部分大宗食品采购项目（重）</w:t>
      </w:r>
      <w:r>
        <w:rPr>
          <w:rFonts w:hint="eastAsia" w:cs="Times New Roman"/>
          <w:color w:val="auto"/>
          <w:szCs w:val="21"/>
          <w:highlight w:val="none"/>
          <w:lang w:val="en-US" w:eastAsia="zh-CN"/>
        </w:rPr>
        <w:t>，</w:t>
      </w:r>
      <w:r>
        <w:rPr>
          <w:rFonts w:hint="eastAsia" w:ascii="Times New Roman" w:hAnsi="Times New Roman" w:eastAsia="宋体" w:cs="Times New Roman"/>
          <w:color w:val="auto"/>
          <w:szCs w:val="21"/>
          <w:highlight w:val="none"/>
          <w:lang w:eastAsia="zh-CN"/>
        </w:rPr>
        <w:t>包含</w:t>
      </w:r>
      <w:r>
        <w:rPr>
          <w:rFonts w:hint="eastAsia"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lang w:val="en-US" w:eastAsia="zh-CN"/>
        </w:rPr>
        <w:t>1</w:t>
      </w:r>
      <w:r>
        <w:rPr>
          <w:rFonts w:hint="eastAsia" w:ascii="Times New Roman" w:hAnsi="Times New Roman" w:eastAsia="宋体" w:cs="Times New Roman"/>
          <w:color w:val="auto"/>
          <w:szCs w:val="21"/>
          <w:highlight w:val="none"/>
          <w:lang w:eastAsia="zh-CN"/>
        </w:rPr>
        <w:t>）部分调味品、部分副食品</w:t>
      </w:r>
      <w:r>
        <w:rPr>
          <w:rFonts w:hint="eastAsia" w:cs="Times New Roman"/>
          <w:color w:val="auto"/>
          <w:szCs w:val="21"/>
          <w:highlight w:val="none"/>
          <w:lang w:eastAsia="zh-CN"/>
        </w:rPr>
        <w:t>，</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lang w:val="en-US" w:eastAsia="zh-CN"/>
        </w:rPr>
        <w:t>2</w:t>
      </w:r>
      <w:r>
        <w:rPr>
          <w:rFonts w:hint="eastAsia" w:ascii="Times New Roman" w:hAnsi="Times New Roman" w:eastAsia="宋体" w:cs="Times New Roman"/>
          <w:color w:val="auto"/>
          <w:szCs w:val="21"/>
          <w:highlight w:val="none"/>
          <w:lang w:eastAsia="zh-CN"/>
        </w:rPr>
        <w:t>）学习用品、日用品</w:t>
      </w:r>
      <w:r>
        <w:rPr>
          <w:rFonts w:hint="eastAsia" w:cs="Times New Roman"/>
          <w:color w:val="auto"/>
          <w:szCs w:val="21"/>
          <w:highlight w:val="none"/>
          <w:lang w:eastAsia="zh-CN"/>
        </w:rPr>
        <w:t>，</w:t>
      </w:r>
      <w:r>
        <w:rPr>
          <w:rFonts w:hint="eastAsia" w:ascii="Times New Roman" w:hAnsi="Times New Roman" w:eastAsia="宋体" w:cs="Times New Roman"/>
          <w:color w:val="auto"/>
          <w:szCs w:val="21"/>
          <w:highlight w:val="none"/>
          <w:lang w:eastAsia="zh-CN"/>
        </w:rPr>
        <w:t>（</w:t>
      </w:r>
      <w:r>
        <w:rPr>
          <w:rFonts w:hint="eastAsia" w:ascii="Times New Roman" w:hAnsi="Times New Roman" w:eastAsia="宋体" w:cs="Times New Roman"/>
          <w:color w:val="auto"/>
          <w:szCs w:val="21"/>
          <w:highlight w:val="none"/>
          <w:lang w:val="en-US" w:eastAsia="zh-CN"/>
        </w:rPr>
        <w:t>3</w:t>
      </w:r>
      <w:r>
        <w:rPr>
          <w:rFonts w:hint="eastAsia" w:ascii="Times New Roman" w:hAnsi="Times New Roman" w:eastAsia="宋体" w:cs="Times New Roman"/>
          <w:color w:val="auto"/>
          <w:szCs w:val="21"/>
          <w:highlight w:val="none"/>
          <w:lang w:eastAsia="zh-CN"/>
        </w:rPr>
        <w:t>）矿泉水、饮料、牛奶</w:t>
      </w:r>
      <w:r>
        <w:rPr>
          <w:rFonts w:hint="eastAsia" w:cs="Times New Roman"/>
          <w:color w:val="auto"/>
          <w:szCs w:val="21"/>
          <w:highlight w:val="none"/>
          <w:lang w:eastAsia="zh-CN"/>
        </w:rPr>
        <w:t>，</w:t>
      </w:r>
      <w:r>
        <w:rPr>
          <w:rFonts w:hint="eastAsia" w:ascii="Times New Roman" w:hAnsi="Times New Roman" w:eastAsia="宋体" w:cs="Times New Roman"/>
          <w:color w:val="auto"/>
          <w:szCs w:val="21"/>
          <w:highlight w:val="none"/>
          <w:lang w:eastAsia="zh-CN"/>
        </w:rPr>
        <w:t>（</w:t>
      </w:r>
      <w:r>
        <w:rPr>
          <w:rFonts w:hint="eastAsia" w:cs="Times New Roman"/>
          <w:color w:val="auto"/>
          <w:szCs w:val="21"/>
          <w:highlight w:val="none"/>
          <w:lang w:val="en-US" w:eastAsia="zh-CN"/>
        </w:rPr>
        <w:t>4</w:t>
      </w:r>
      <w:r>
        <w:rPr>
          <w:rFonts w:hint="eastAsia" w:ascii="Times New Roman" w:hAnsi="Times New Roman" w:eastAsia="宋体" w:cs="Times New Roman"/>
          <w:color w:val="auto"/>
          <w:szCs w:val="21"/>
          <w:highlight w:val="none"/>
          <w:lang w:eastAsia="zh-CN"/>
        </w:rPr>
        <w:t>）面包、蛋糕</w:t>
      </w:r>
      <w:r>
        <w:rPr>
          <w:rFonts w:hint="eastAsia" w:cs="Times New Roman"/>
          <w:color w:val="auto"/>
          <w:szCs w:val="21"/>
          <w:highlight w:val="none"/>
          <w:lang w:eastAsia="zh-CN"/>
        </w:rPr>
        <w:t>，</w:t>
      </w:r>
      <w:r>
        <w:rPr>
          <w:rFonts w:hint="eastAsia" w:ascii="Times New Roman" w:hAnsi="Times New Roman" w:eastAsia="宋体" w:cs="Times New Roman"/>
          <w:color w:val="auto"/>
          <w:szCs w:val="21"/>
          <w:highlight w:val="none"/>
          <w:lang w:eastAsia="zh-CN"/>
        </w:rPr>
        <w:t>（</w:t>
      </w:r>
      <w:r>
        <w:rPr>
          <w:rFonts w:hint="eastAsia" w:cs="Times New Roman"/>
          <w:color w:val="auto"/>
          <w:szCs w:val="21"/>
          <w:highlight w:val="none"/>
          <w:lang w:val="en-US" w:eastAsia="zh-CN"/>
        </w:rPr>
        <w:t>5</w:t>
      </w:r>
      <w:r>
        <w:rPr>
          <w:rFonts w:hint="eastAsia" w:ascii="Times New Roman" w:hAnsi="Times New Roman" w:eastAsia="宋体" w:cs="Times New Roman"/>
          <w:color w:val="auto"/>
          <w:szCs w:val="21"/>
          <w:highlight w:val="none"/>
          <w:lang w:eastAsia="zh-CN"/>
        </w:rPr>
        <w:t>）零食（八宝粥、饼干、雪糕等）、方便面的</w:t>
      </w:r>
      <w:r>
        <w:rPr>
          <w:rFonts w:hint="eastAsia" w:ascii="Times New Roman" w:hAnsi="Times New Roman" w:eastAsia="宋体" w:cs="Times New Roman"/>
          <w:color w:val="auto"/>
          <w:szCs w:val="21"/>
          <w:highlight w:val="none"/>
        </w:rPr>
        <w:t>配送服务</w:t>
      </w:r>
      <w:r>
        <w:rPr>
          <w:rFonts w:hint="eastAsia" w:ascii="Times New Roman" w:hAnsi="Times New Roman" w:eastAsia="宋体" w:cs="Times New Roman"/>
          <w:color w:val="auto"/>
          <w:szCs w:val="21"/>
          <w:highlight w:val="none"/>
          <w:lang w:eastAsia="zh-CN"/>
        </w:rPr>
        <w:t>。如需进一步了解详细内容，详见招标文件</w:t>
      </w:r>
      <w:r>
        <w:rPr>
          <w:rFonts w:hint="eastAsia" w:cs="Times New Roman"/>
          <w:color w:val="auto"/>
          <w:szCs w:val="21"/>
          <w:highlight w:val="none"/>
          <w:lang w:eastAsia="zh-CN"/>
        </w:rPr>
        <w:t>《</w:t>
      </w:r>
      <w:r>
        <w:rPr>
          <w:rFonts w:hint="eastAsia" w:cs="Times New Roman"/>
          <w:color w:val="auto"/>
          <w:szCs w:val="21"/>
          <w:highlight w:val="none"/>
          <w:lang w:val="en-US" w:eastAsia="zh-CN"/>
        </w:rPr>
        <w:t xml:space="preserve">第二章 </w:t>
      </w:r>
      <w:r>
        <w:rPr>
          <w:rFonts w:hint="eastAsia" w:ascii="Times New Roman" w:hAnsi="Times New Roman" w:eastAsia="宋体" w:cs="Times New Roman"/>
          <w:color w:val="auto"/>
          <w:szCs w:val="21"/>
          <w:highlight w:val="none"/>
          <w:lang w:eastAsia="zh-CN"/>
        </w:rPr>
        <w:t>采购需求</w:t>
      </w:r>
      <w:r>
        <w:rPr>
          <w:rFonts w:hint="eastAsia" w:cs="Times New Roman"/>
          <w:color w:val="auto"/>
          <w:szCs w:val="21"/>
          <w:highlight w:val="none"/>
          <w:lang w:eastAsia="zh-CN"/>
        </w:rPr>
        <w:t>》</w:t>
      </w:r>
      <w:r>
        <w:rPr>
          <w:rFonts w:hint="eastAsia" w:ascii="Times New Roman" w:hAnsi="Times New Roman" w:eastAsia="宋体" w:cs="Times New Roman"/>
          <w:color w:val="auto"/>
          <w:szCs w:val="21"/>
          <w:highlight w:val="none"/>
          <w:lang w:eastAsia="zh-CN"/>
        </w:rPr>
        <w:t>。</w:t>
      </w:r>
    </w:p>
    <w:bookmarkEnd w:id="20"/>
    <w:tbl>
      <w:tblPr>
        <w:tblStyle w:val="39"/>
        <w:tblW w:w="94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7"/>
        <w:gridCol w:w="3409"/>
        <w:gridCol w:w="2409"/>
        <w:gridCol w:w="2443"/>
      </w:tblGrid>
      <w:tr w14:paraId="3DFE6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jc w:val="center"/>
        </w:trPr>
        <w:tc>
          <w:tcPr>
            <w:tcW w:w="1197" w:type="dxa"/>
            <w:noWrap w:val="0"/>
            <w:vAlign w:val="center"/>
          </w:tcPr>
          <w:p w14:paraId="0B332CA0">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pacing w:val="-3"/>
                <w:sz w:val="21"/>
                <w:szCs w:val="21"/>
                <w:highlight w:val="none"/>
                <w:lang w:val="en-US" w:eastAsia="zh-CN"/>
              </w:rPr>
            </w:pPr>
            <w:r>
              <w:rPr>
                <w:rFonts w:hint="eastAsia" w:ascii="Times New Roman" w:hAnsi="Times New Roman" w:eastAsia="宋体" w:cs="Times New Roman"/>
                <w:b/>
                <w:bCs/>
                <w:color w:val="auto"/>
                <w:spacing w:val="-3"/>
                <w:sz w:val="21"/>
                <w:szCs w:val="21"/>
                <w:highlight w:val="none"/>
                <w:lang w:val="en-US" w:eastAsia="zh-CN"/>
              </w:rPr>
              <w:t>分标号</w:t>
            </w:r>
          </w:p>
        </w:tc>
        <w:tc>
          <w:tcPr>
            <w:tcW w:w="3409" w:type="dxa"/>
            <w:noWrap w:val="0"/>
            <w:vAlign w:val="center"/>
          </w:tcPr>
          <w:p w14:paraId="37FC51C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宋体" w:cs="Times New Roman"/>
                <w:b/>
                <w:bCs/>
                <w:color w:val="auto"/>
                <w:spacing w:val="-3"/>
                <w:sz w:val="21"/>
                <w:szCs w:val="21"/>
                <w:highlight w:val="none"/>
                <w:lang w:val="en-US" w:eastAsia="zh-CN"/>
              </w:rPr>
            </w:pPr>
            <w:r>
              <w:rPr>
                <w:rFonts w:hint="eastAsia" w:ascii="Times New Roman" w:hAnsi="Times New Roman" w:eastAsia="宋体" w:cs="Times New Roman"/>
                <w:b/>
                <w:bCs/>
                <w:color w:val="auto"/>
                <w:spacing w:val="-3"/>
                <w:sz w:val="21"/>
                <w:szCs w:val="21"/>
                <w:highlight w:val="none"/>
                <w:lang w:val="en-US" w:eastAsia="zh-CN"/>
              </w:rPr>
              <w:t>标的名称</w:t>
            </w:r>
          </w:p>
        </w:tc>
        <w:tc>
          <w:tcPr>
            <w:tcW w:w="2409" w:type="dxa"/>
            <w:noWrap w:val="0"/>
            <w:vAlign w:val="center"/>
          </w:tcPr>
          <w:p w14:paraId="591F63B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bCs/>
                <w:color w:val="auto"/>
                <w:spacing w:val="-3"/>
                <w:kern w:val="2"/>
                <w:sz w:val="21"/>
                <w:szCs w:val="21"/>
                <w:highlight w:val="none"/>
                <w:lang w:val="en-US" w:eastAsia="zh-CN" w:bidi="ar-SA"/>
              </w:rPr>
            </w:pPr>
            <w:r>
              <w:rPr>
                <w:rFonts w:hint="eastAsia" w:cs="Times New Roman"/>
                <w:b/>
                <w:bCs/>
                <w:color w:val="auto"/>
                <w:spacing w:val="-3"/>
                <w:sz w:val="21"/>
                <w:szCs w:val="21"/>
                <w:highlight w:val="none"/>
                <w:lang w:val="en-US" w:eastAsia="zh-CN"/>
              </w:rPr>
              <w:t>预算金额（元）</w:t>
            </w:r>
          </w:p>
        </w:tc>
        <w:tc>
          <w:tcPr>
            <w:tcW w:w="2443" w:type="dxa"/>
            <w:noWrap w:val="0"/>
            <w:vAlign w:val="center"/>
          </w:tcPr>
          <w:p w14:paraId="5EF5FD6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bCs/>
                <w:color w:val="auto"/>
                <w:spacing w:val="-3"/>
                <w:sz w:val="21"/>
                <w:szCs w:val="21"/>
                <w:highlight w:val="none"/>
                <w:lang w:val="en-US" w:eastAsia="zh-CN"/>
              </w:rPr>
            </w:pPr>
            <w:r>
              <w:rPr>
                <w:rFonts w:hint="eastAsia" w:ascii="Times New Roman" w:hAnsi="Times New Roman" w:eastAsia="宋体" w:cs="Times New Roman"/>
                <w:b/>
                <w:bCs/>
                <w:color w:val="auto"/>
                <w:spacing w:val="-3"/>
                <w:sz w:val="21"/>
                <w:szCs w:val="21"/>
                <w:highlight w:val="none"/>
                <w:lang w:val="en-US" w:eastAsia="zh-CN"/>
              </w:rPr>
              <w:t>选定供应商数量（家）</w:t>
            </w:r>
          </w:p>
        </w:tc>
      </w:tr>
      <w:tr w14:paraId="43166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jc w:val="center"/>
        </w:trPr>
        <w:tc>
          <w:tcPr>
            <w:tcW w:w="1197" w:type="dxa"/>
            <w:noWrap w:val="0"/>
            <w:vAlign w:val="center"/>
          </w:tcPr>
          <w:p w14:paraId="1FB409E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3"/>
                <w:sz w:val="21"/>
                <w:szCs w:val="21"/>
                <w:highlight w:val="none"/>
                <w:lang w:val="en-US" w:eastAsia="zh-CN"/>
              </w:rPr>
            </w:pPr>
            <w:r>
              <w:rPr>
                <w:rFonts w:hint="eastAsia" w:ascii="Times New Roman" w:hAnsi="Times New Roman" w:eastAsia="宋体" w:cs="Times New Roman"/>
                <w:color w:val="auto"/>
                <w:spacing w:val="-3"/>
                <w:sz w:val="21"/>
                <w:szCs w:val="21"/>
                <w:highlight w:val="none"/>
                <w:lang w:val="en-US" w:eastAsia="zh-CN"/>
              </w:rPr>
              <w:t>分标</w:t>
            </w:r>
            <w:r>
              <w:rPr>
                <w:rFonts w:hint="eastAsia" w:cs="Times New Roman"/>
                <w:color w:val="auto"/>
                <w:spacing w:val="-3"/>
                <w:sz w:val="21"/>
                <w:szCs w:val="21"/>
                <w:highlight w:val="none"/>
                <w:lang w:val="en-US" w:eastAsia="zh-CN"/>
              </w:rPr>
              <w:t>1</w:t>
            </w:r>
          </w:p>
        </w:tc>
        <w:tc>
          <w:tcPr>
            <w:tcW w:w="3409" w:type="dxa"/>
            <w:noWrap w:val="0"/>
            <w:vAlign w:val="center"/>
          </w:tcPr>
          <w:p w14:paraId="5CA3044D">
            <w:pPr>
              <w:pStyle w:val="4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color w:val="auto"/>
                <w:spacing w:val="-3"/>
                <w:sz w:val="21"/>
                <w:szCs w:val="21"/>
                <w:highlight w:val="none"/>
                <w:lang w:val="en-US" w:eastAsia="zh-CN"/>
              </w:rPr>
            </w:pPr>
            <w:r>
              <w:rPr>
                <w:rFonts w:hint="eastAsia" w:ascii="仿宋_GB2312" w:hAnsi="仿宋_GB2312" w:eastAsia="仿宋_GB2312" w:cs="仿宋_GB2312"/>
                <w:color w:val="auto"/>
                <w:kern w:val="2"/>
                <w:sz w:val="24"/>
                <w:szCs w:val="24"/>
                <w:highlight w:val="none"/>
                <w:lang w:val="en-US" w:eastAsia="zh-CN" w:bidi="ar-SA"/>
              </w:rPr>
              <w:t>部分调味品、部分副食品</w:t>
            </w:r>
          </w:p>
        </w:tc>
        <w:tc>
          <w:tcPr>
            <w:tcW w:w="2409" w:type="dxa"/>
            <w:noWrap w:val="0"/>
            <w:vAlign w:val="center"/>
          </w:tcPr>
          <w:p w14:paraId="0AD59A40">
            <w:pPr>
              <w:autoSpaceDE w:val="0"/>
              <w:autoSpaceDN w:val="0"/>
              <w:spacing w:after="0" w:line="240" w:lineRule="auto"/>
              <w:jc w:val="center"/>
              <w:rPr>
                <w:rFonts w:hint="default" w:ascii="Times New Roman" w:hAnsi="Times New Roman" w:eastAsia="宋体" w:cs="Times New Roman"/>
                <w:color w:val="auto"/>
                <w:spacing w:val="-3"/>
                <w:kern w:val="2"/>
                <w:sz w:val="21"/>
                <w:szCs w:val="21"/>
                <w:highlight w:val="none"/>
                <w:lang w:val="en-US" w:eastAsia="zh-CN" w:bidi="ar-SA"/>
              </w:rPr>
            </w:pPr>
            <w:r>
              <w:rPr>
                <w:rFonts w:hint="eastAsia" w:cs="Times New Roman"/>
                <w:color w:val="auto"/>
                <w:spacing w:val="-3"/>
                <w:kern w:val="2"/>
                <w:sz w:val="21"/>
                <w:szCs w:val="21"/>
                <w:highlight w:val="none"/>
                <w:lang w:val="en-US" w:eastAsia="zh-CN" w:bidi="ar-SA"/>
              </w:rPr>
              <w:t>300000.00</w:t>
            </w:r>
          </w:p>
        </w:tc>
        <w:tc>
          <w:tcPr>
            <w:tcW w:w="2443" w:type="dxa"/>
            <w:noWrap w:val="0"/>
            <w:vAlign w:val="center"/>
          </w:tcPr>
          <w:p w14:paraId="21D1EA86">
            <w:pPr>
              <w:autoSpaceDE w:val="0"/>
              <w:autoSpaceDN w:val="0"/>
              <w:spacing w:after="0" w:line="240" w:lineRule="auto"/>
              <w:jc w:val="center"/>
              <w:rPr>
                <w:rFonts w:hint="eastAsia" w:ascii="Times New Roman" w:hAnsi="Times New Roman" w:eastAsia="宋体" w:cs="Times New Roman"/>
                <w:color w:val="auto"/>
                <w:spacing w:val="-3"/>
                <w:kern w:val="2"/>
                <w:sz w:val="21"/>
                <w:szCs w:val="21"/>
                <w:highlight w:val="none"/>
                <w:lang w:val="en-US" w:eastAsia="zh-CN" w:bidi="ar-SA"/>
              </w:rPr>
            </w:pPr>
            <w:r>
              <w:rPr>
                <w:rFonts w:hint="eastAsia" w:ascii="宋体" w:hAnsi="宋体" w:eastAsia="宋体" w:cs="宋体"/>
                <w:bCs/>
                <w:color w:val="auto"/>
                <w:sz w:val="24"/>
                <w:szCs w:val="24"/>
                <w:highlight w:val="none"/>
                <w:shd w:val="clear" w:color="auto" w:fill="auto"/>
                <w:lang w:val="en-US" w:eastAsia="zh-CN"/>
              </w:rPr>
              <w:t>1</w:t>
            </w:r>
          </w:p>
        </w:tc>
      </w:tr>
      <w:tr w14:paraId="20956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jc w:val="center"/>
        </w:trPr>
        <w:tc>
          <w:tcPr>
            <w:tcW w:w="1197" w:type="dxa"/>
            <w:noWrap w:val="0"/>
            <w:vAlign w:val="center"/>
          </w:tcPr>
          <w:p w14:paraId="1E4F8CD9">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val="0"/>
                <w:bCs w:val="0"/>
                <w:color w:val="auto"/>
                <w:spacing w:val="-3"/>
                <w:sz w:val="21"/>
                <w:szCs w:val="21"/>
                <w:highlight w:val="none"/>
                <w:lang w:val="en-US" w:eastAsia="zh-CN"/>
              </w:rPr>
            </w:pPr>
            <w:r>
              <w:rPr>
                <w:rFonts w:hint="eastAsia" w:ascii="Times New Roman" w:hAnsi="Times New Roman" w:eastAsia="宋体" w:cs="Times New Roman"/>
                <w:b w:val="0"/>
                <w:bCs w:val="0"/>
                <w:color w:val="auto"/>
                <w:spacing w:val="-3"/>
                <w:sz w:val="21"/>
                <w:szCs w:val="21"/>
                <w:highlight w:val="none"/>
                <w:lang w:val="en-US" w:eastAsia="zh-CN"/>
              </w:rPr>
              <w:t>分标</w:t>
            </w:r>
            <w:r>
              <w:rPr>
                <w:rFonts w:hint="eastAsia" w:cs="Times New Roman"/>
                <w:b w:val="0"/>
                <w:bCs w:val="0"/>
                <w:color w:val="auto"/>
                <w:spacing w:val="-3"/>
                <w:sz w:val="21"/>
                <w:szCs w:val="21"/>
                <w:highlight w:val="none"/>
                <w:lang w:val="en-US" w:eastAsia="zh-CN"/>
              </w:rPr>
              <w:t>2</w:t>
            </w:r>
          </w:p>
        </w:tc>
        <w:tc>
          <w:tcPr>
            <w:tcW w:w="3409" w:type="dxa"/>
            <w:noWrap w:val="0"/>
            <w:vAlign w:val="center"/>
          </w:tcPr>
          <w:p w14:paraId="43691479">
            <w:pPr>
              <w:pStyle w:val="4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b w:val="0"/>
                <w:bCs w:val="0"/>
                <w:color w:val="auto"/>
                <w:spacing w:val="-3"/>
                <w:sz w:val="21"/>
                <w:szCs w:val="21"/>
                <w:highlight w:val="none"/>
                <w:lang w:val="en-US" w:eastAsia="zh-CN"/>
              </w:rPr>
            </w:pPr>
            <w:r>
              <w:rPr>
                <w:rFonts w:hint="eastAsia" w:ascii="仿宋_GB2312" w:hAnsi="仿宋_GB2312" w:eastAsia="仿宋_GB2312" w:cs="仿宋_GB2312"/>
                <w:color w:val="auto"/>
                <w:sz w:val="24"/>
                <w:szCs w:val="24"/>
                <w:highlight w:val="none"/>
                <w:lang w:val="en-US" w:eastAsia="zh-CN"/>
              </w:rPr>
              <w:t>学习用品、日用品</w:t>
            </w:r>
          </w:p>
        </w:tc>
        <w:tc>
          <w:tcPr>
            <w:tcW w:w="2409" w:type="dxa"/>
            <w:noWrap w:val="0"/>
            <w:vAlign w:val="center"/>
          </w:tcPr>
          <w:p w14:paraId="5BFE0C51">
            <w:pPr>
              <w:autoSpaceDE w:val="0"/>
              <w:autoSpaceDN w:val="0"/>
              <w:spacing w:after="0" w:line="240" w:lineRule="auto"/>
              <w:jc w:val="center"/>
              <w:rPr>
                <w:rFonts w:hint="eastAsia" w:ascii="Times New Roman" w:hAnsi="Times New Roman" w:eastAsia="宋体" w:cs="Times New Roman"/>
                <w:color w:val="auto"/>
                <w:spacing w:val="-3"/>
                <w:kern w:val="2"/>
                <w:sz w:val="21"/>
                <w:szCs w:val="21"/>
                <w:highlight w:val="none"/>
                <w:lang w:val="en-US" w:eastAsia="zh-CN" w:bidi="ar-SA"/>
              </w:rPr>
            </w:pPr>
            <w:r>
              <w:rPr>
                <w:rFonts w:hint="eastAsia" w:cs="Times New Roman"/>
                <w:color w:val="auto"/>
                <w:spacing w:val="-3"/>
                <w:kern w:val="2"/>
                <w:sz w:val="21"/>
                <w:szCs w:val="21"/>
                <w:highlight w:val="none"/>
                <w:lang w:val="en-US" w:eastAsia="zh-CN" w:bidi="ar-SA"/>
              </w:rPr>
              <w:t>300000.00</w:t>
            </w:r>
          </w:p>
        </w:tc>
        <w:tc>
          <w:tcPr>
            <w:tcW w:w="2443" w:type="dxa"/>
            <w:noWrap w:val="0"/>
            <w:vAlign w:val="center"/>
          </w:tcPr>
          <w:p w14:paraId="44BF8218">
            <w:pPr>
              <w:autoSpaceDE w:val="0"/>
              <w:autoSpaceDN w:val="0"/>
              <w:spacing w:after="0" w:line="240" w:lineRule="auto"/>
              <w:jc w:val="center"/>
              <w:rPr>
                <w:rFonts w:hint="eastAsia" w:ascii="Times New Roman" w:hAnsi="Times New Roman" w:eastAsia="宋体" w:cs="Times New Roman"/>
                <w:b w:val="0"/>
                <w:bCs w:val="0"/>
                <w:color w:val="auto"/>
                <w:spacing w:val="-3"/>
                <w:kern w:val="2"/>
                <w:sz w:val="21"/>
                <w:szCs w:val="21"/>
                <w:highlight w:val="none"/>
                <w:lang w:val="en-US" w:eastAsia="zh-CN" w:bidi="ar-SA"/>
              </w:rPr>
            </w:pPr>
            <w:r>
              <w:rPr>
                <w:rFonts w:hint="eastAsia" w:ascii="宋体" w:hAnsi="宋体" w:cs="宋体"/>
                <w:b w:val="0"/>
                <w:bCs w:val="0"/>
                <w:color w:val="auto"/>
                <w:sz w:val="24"/>
                <w:szCs w:val="24"/>
                <w:highlight w:val="none"/>
                <w:shd w:val="clear" w:color="auto" w:fill="auto"/>
                <w:lang w:val="en-US" w:eastAsia="zh-CN"/>
              </w:rPr>
              <w:t>1</w:t>
            </w:r>
          </w:p>
        </w:tc>
      </w:tr>
      <w:tr w14:paraId="34ADA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jc w:val="center"/>
        </w:trPr>
        <w:tc>
          <w:tcPr>
            <w:tcW w:w="1197" w:type="dxa"/>
            <w:noWrap w:val="0"/>
            <w:vAlign w:val="center"/>
          </w:tcPr>
          <w:p w14:paraId="69E3413D">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val="0"/>
                <w:bCs w:val="0"/>
                <w:color w:val="auto"/>
                <w:spacing w:val="-3"/>
                <w:sz w:val="21"/>
                <w:szCs w:val="21"/>
                <w:highlight w:val="none"/>
                <w:lang w:val="en-US" w:eastAsia="zh-CN"/>
              </w:rPr>
            </w:pPr>
            <w:r>
              <w:rPr>
                <w:rFonts w:hint="eastAsia" w:ascii="Times New Roman" w:hAnsi="Times New Roman" w:eastAsia="宋体" w:cs="Times New Roman"/>
                <w:b w:val="0"/>
                <w:bCs w:val="0"/>
                <w:color w:val="auto"/>
                <w:spacing w:val="-3"/>
                <w:sz w:val="21"/>
                <w:szCs w:val="21"/>
                <w:highlight w:val="none"/>
                <w:lang w:val="en-US" w:eastAsia="zh-CN"/>
              </w:rPr>
              <w:t>分标</w:t>
            </w:r>
            <w:r>
              <w:rPr>
                <w:rFonts w:hint="eastAsia" w:cs="Times New Roman"/>
                <w:b w:val="0"/>
                <w:bCs w:val="0"/>
                <w:color w:val="auto"/>
                <w:spacing w:val="-3"/>
                <w:sz w:val="21"/>
                <w:szCs w:val="21"/>
                <w:highlight w:val="none"/>
                <w:lang w:val="en-US" w:eastAsia="zh-CN"/>
              </w:rPr>
              <w:t>3</w:t>
            </w:r>
          </w:p>
        </w:tc>
        <w:tc>
          <w:tcPr>
            <w:tcW w:w="3409" w:type="dxa"/>
            <w:noWrap w:val="0"/>
            <w:vAlign w:val="center"/>
          </w:tcPr>
          <w:p w14:paraId="4243D039">
            <w:pPr>
              <w:pStyle w:val="4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b w:val="0"/>
                <w:bCs w:val="0"/>
                <w:color w:val="auto"/>
                <w:spacing w:val="-3"/>
                <w:sz w:val="21"/>
                <w:szCs w:val="21"/>
                <w:highlight w:val="none"/>
                <w:lang w:val="en-US" w:eastAsia="zh-CN"/>
              </w:rPr>
            </w:pPr>
            <w:r>
              <w:rPr>
                <w:rFonts w:hint="eastAsia" w:ascii="仿宋_GB2312" w:hAnsi="仿宋_GB2312" w:eastAsia="仿宋_GB2312" w:cs="仿宋_GB2312"/>
                <w:color w:val="auto"/>
                <w:sz w:val="24"/>
                <w:szCs w:val="24"/>
                <w:highlight w:val="none"/>
                <w:lang w:eastAsia="zh-CN"/>
              </w:rPr>
              <w:t>矿泉水、饮料、牛奶</w:t>
            </w:r>
          </w:p>
        </w:tc>
        <w:tc>
          <w:tcPr>
            <w:tcW w:w="2409" w:type="dxa"/>
            <w:noWrap w:val="0"/>
            <w:vAlign w:val="center"/>
          </w:tcPr>
          <w:p w14:paraId="45589916">
            <w:pPr>
              <w:autoSpaceDE w:val="0"/>
              <w:autoSpaceDN w:val="0"/>
              <w:spacing w:after="0" w:line="240" w:lineRule="auto"/>
              <w:jc w:val="center"/>
              <w:rPr>
                <w:rFonts w:hint="eastAsia" w:ascii="Times New Roman" w:hAnsi="Times New Roman" w:eastAsia="宋体" w:cs="Times New Roman"/>
                <w:color w:val="auto"/>
                <w:spacing w:val="-3"/>
                <w:kern w:val="2"/>
                <w:sz w:val="21"/>
                <w:szCs w:val="21"/>
                <w:highlight w:val="none"/>
                <w:lang w:val="en-US" w:eastAsia="zh-CN" w:bidi="ar-SA"/>
              </w:rPr>
            </w:pPr>
            <w:r>
              <w:rPr>
                <w:rFonts w:hint="eastAsia" w:cs="Times New Roman"/>
                <w:color w:val="auto"/>
                <w:spacing w:val="-3"/>
                <w:kern w:val="2"/>
                <w:sz w:val="21"/>
                <w:szCs w:val="21"/>
                <w:highlight w:val="none"/>
                <w:lang w:val="en-US" w:eastAsia="zh-CN" w:bidi="ar-SA"/>
              </w:rPr>
              <w:t>1000000.00</w:t>
            </w:r>
          </w:p>
        </w:tc>
        <w:tc>
          <w:tcPr>
            <w:tcW w:w="2443" w:type="dxa"/>
            <w:noWrap w:val="0"/>
            <w:vAlign w:val="center"/>
          </w:tcPr>
          <w:p w14:paraId="0CA41FED">
            <w:pPr>
              <w:autoSpaceDE w:val="0"/>
              <w:autoSpaceDN w:val="0"/>
              <w:spacing w:after="0" w:line="240" w:lineRule="auto"/>
              <w:jc w:val="center"/>
              <w:rPr>
                <w:rFonts w:hint="eastAsia" w:ascii="Times New Roman" w:hAnsi="Times New Roman" w:eastAsia="宋体" w:cs="Times New Roman"/>
                <w:b w:val="0"/>
                <w:bCs w:val="0"/>
                <w:color w:val="auto"/>
                <w:spacing w:val="-3"/>
                <w:kern w:val="2"/>
                <w:sz w:val="21"/>
                <w:szCs w:val="21"/>
                <w:highlight w:val="none"/>
                <w:lang w:val="en-US" w:eastAsia="zh-CN" w:bidi="ar-SA"/>
              </w:rPr>
            </w:pPr>
            <w:r>
              <w:rPr>
                <w:rFonts w:hint="eastAsia" w:ascii="宋体" w:hAnsi="宋体" w:cs="宋体"/>
                <w:b w:val="0"/>
                <w:bCs w:val="0"/>
                <w:color w:val="auto"/>
                <w:sz w:val="24"/>
                <w:szCs w:val="24"/>
                <w:highlight w:val="none"/>
                <w:shd w:val="clear" w:color="auto" w:fill="auto"/>
                <w:lang w:val="en-US" w:eastAsia="zh-CN"/>
              </w:rPr>
              <w:t>1</w:t>
            </w:r>
          </w:p>
        </w:tc>
      </w:tr>
      <w:tr w14:paraId="08EB8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jc w:val="center"/>
        </w:trPr>
        <w:tc>
          <w:tcPr>
            <w:tcW w:w="1197" w:type="dxa"/>
            <w:noWrap w:val="0"/>
            <w:vAlign w:val="center"/>
          </w:tcPr>
          <w:p w14:paraId="09E1DD6F">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val="0"/>
                <w:bCs w:val="0"/>
                <w:color w:val="auto"/>
                <w:spacing w:val="-3"/>
                <w:sz w:val="21"/>
                <w:szCs w:val="21"/>
                <w:highlight w:val="none"/>
                <w:lang w:val="en-US" w:eastAsia="zh-CN"/>
              </w:rPr>
            </w:pPr>
            <w:r>
              <w:rPr>
                <w:rFonts w:hint="eastAsia" w:ascii="Times New Roman" w:hAnsi="Times New Roman" w:eastAsia="宋体" w:cs="Times New Roman"/>
                <w:b w:val="0"/>
                <w:bCs w:val="0"/>
                <w:color w:val="auto"/>
                <w:spacing w:val="-3"/>
                <w:sz w:val="21"/>
                <w:szCs w:val="21"/>
                <w:highlight w:val="none"/>
                <w:lang w:val="en-US" w:eastAsia="zh-CN"/>
              </w:rPr>
              <w:t>分标</w:t>
            </w:r>
            <w:r>
              <w:rPr>
                <w:rFonts w:hint="eastAsia" w:cs="Times New Roman"/>
                <w:b w:val="0"/>
                <w:bCs w:val="0"/>
                <w:color w:val="auto"/>
                <w:spacing w:val="-3"/>
                <w:sz w:val="21"/>
                <w:szCs w:val="21"/>
                <w:highlight w:val="none"/>
                <w:lang w:val="en-US" w:eastAsia="zh-CN"/>
              </w:rPr>
              <w:t>4</w:t>
            </w:r>
          </w:p>
        </w:tc>
        <w:tc>
          <w:tcPr>
            <w:tcW w:w="3409" w:type="dxa"/>
            <w:noWrap w:val="0"/>
            <w:vAlign w:val="center"/>
          </w:tcPr>
          <w:p w14:paraId="239A038F">
            <w:pPr>
              <w:pStyle w:val="4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val="0"/>
                <w:color w:val="auto"/>
                <w:spacing w:val="-3"/>
                <w:sz w:val="21"/>
                <w:szCs w:val="21"/>
                <w:highlight w:val="none"/>
                <w:lang w:val="en-US" w:eastAsia="zh-CN"/>
              </w:rPr>
            </w:pPr>
            <w:r>
              <w:rPr>
                <w:rFonts w:hint="eastAsia" w:ascii="仿宋_GB2312" w:hAnsi="仿宋_GB2312" w:eastAsia="仿宋_GB2312" w:cs="仿宋_GB2312"/>
                <w:color w:val="auto"/>
                <w:sz w:val="24"/>
                <w:szCs w:val="24"/>
                <w:highlight w:val="none"/>
                <w:lang w:eastAsia="zh-CN"/>
              </w:rPr>
              <w:t>面包、蛋糕</w:t>
            </w:r>
          </w:p>
        </w:tc>
        <w:tc>
          <w:tcPr>
            <w:tcW w:w="2409" w:type="dxa"/>
            <w:noWrap w:val="0"/>
            <w:vAlign w:val="center"/>
          </w:tcPr>
          <w:p w14:paraId="4677468E">
            <w:pPr>
              <w:autoSpaceDE w:val="0"/>
              <w:autoSpaceDN w:val="0"/>
              <w:spacing w:after="0" w:line="240" w:lineRule="auto"/>
              <w:jc w:val="center"/>
              <w:rPr>
                <w:rFonts w:hint="eastAsia" w:ascii="Times New Roman" w:hAnsi="Times New Roman" w:eastAsia="宋体" w:cs="Times New Roman"/>
                <w:color w:val="auto"/>
                <w:spacing w:val="-3"/>
                <w:kern w:val="2"/>
                <w:sz w:val="21"/>
                <w:szCs w:val="21"/>
                <w:highlight w:val="none"/>
                <w:lang w:val="en-US" w:eastAsia="zh-CN" w:bidi="ar-SA"/>
              </w:rPr>
            </w:pPr>
            <w:r>
              <w:rPr>
                <w:rFonts w:hint="eastAsia" w:cs="Times New Roman"/>
                <w:color w:val="auto"/>
                <w:spacing w:val="-3"/>
                <w:kern w:val="2"/>
                <w:sz w:val="21"/>
                <w:szCs w:val="21"/>
                <w:highlight w:val="none"/>
                <w:lang w:val="en-US" w:eastAsia="zh-CN" w:bidi="ar-SA"/>
              </w:rPr>
              <w:t>400000.00</w:t>
            </w:r>
          </w:p>
        </w:tc>
        <w:tc>
          <w:tcPr>
            <w:tcW w:w="2443" w:type="dxa"/>
            <w:noWrap w:val="0"/>
            <w:vAlign w:val="center"/>
          </w:tcPr>
          <w:p w14:paraId="06F3EC9E">
            <w:pPr>
              <w:autoSpaceDE w:val="0"/>
              <w:autoSpaceDN w:val="0"/>
              <w:spacing w:after="0" w:line="240" w:lineRule="auto"/>
              <w:jc w:val="center"/>
              <w:rPr>
                <w:rFonts w:hint="eastAsia" w:ascii="Times New Roman" w:hAnsi="Times New Roman" w:eastAsia="宋体" w:cs="Times New Roman"/>
                <w:b w:val="0"/>
                <w:bCs w:val="0"/>
                <w:color w:val="auto"/>
                <w:spacing w:val="-3"/>
                <w:kern w:val="2"/>
                <w:sz w:val="21"/>
                <w:szCs w:val="21"/>
                <w:highlight w:val="none"/>
                <w:lang w:val="en-US" w:eastAsia="zh-CN" w:bidi="ar-SA"/>
              </w:rPr>
            </w:pPr>
            <w:r>
              <w:rPr>
                <w:rFonts w:hint="eastAsia" w:ascii="宋体" w:hAnsi="宋体" w:cs="宋体"/>
                <w:b w:val="0"/>
                <w:bCs w:val="0"/>
                <w:color w:val="auto"/>
                <w:sz w:val="24"/>
                <w:szCs w:val="24"/>
                <w:highlight w:val="none"/>
                <w:shd w:val="clear" w:color="auto" w:fill="auto"/>
                <w:lang w:val="en-US" w:eastAsia="zh-CN"/>
              </w:rPr>
              <w:t>1</w:t>
            </w:r>
          </w:p>
        </w:tc>
      </w:tr>
      <w:tr w14:paraId="36C84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jc w:val="center"/>
        </w:trPr>
        <w:tc>
          <w:tcPr>
            <w:tcW w:w="1197" w:type="dxa"/>
            <w:noWrap w:val="0"/>
            <w:vAlign w:val="center"/>
          </w:tcPr>
          <w:p w14:paraId="33E4290D">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宋体" w:cs="Times New Roman"/>
                <w:b w:val="0"/>
                <w:bCs w:val="0"/>
                <w:color w:val="auto"/>
                <w:spacing w:val="-3"/>
                <w:sz w:val="21"/>
                <w:szCs w:val="21"/>
                <w:highlight w:val="none"/>
                <w:lang w:val="en-US" w:eastAsia="zh-CN"/>
              </w:rPr>
            </w:pPr>
            <w:r>
              <w:rPr>
                <w:rFonts w:hint="eastAsia" w:ascii="Times New Roman" w:hAnsi="Times New Roman" w:eastAsia="宋体" w:cs="Times New Roman"/>
                <w:b w:val="0"/>
                <w:bCs w:val="0"/>
                <w:color w:val="auto"/>
                <w:spacing w:val="-3"/>
                <w:sz w:val="21"/>
                <w:szCs w:val="21"/>
                <w:highlight w:val="none"/>
                <w:lang w:val="en-US" w:eastAsia="zh-CN"/>
              </w:rPr>
              <w:t>分标</w:t>
            </w:r>
            <w:r>
              <w:rPr>
                <w:rFonts w:hint="eastAsia" w:cs="Times New Roman"/>
                <w:b w:val="0"/>
                <w:bCs w:val="0"/>
                <w:color w:val="auto"/>
                <w:spacing w:val="-3"/>
                <w:sz w:val="21"/>
                <w:szCs w:val="21"/>
                <w:highlight w:val="none"/>
                <w:lang w:val="en-US" w:eastAsia="zh-CN"/>
              </w:rPr>
              <w:t>5</w:t>
            </w:r>
          </w:p>
        </w:tc>
        <w:tc>
          <w:tcPr>
            <w:tcW w:w="3409" w:type="dxa"/>
            <w:noWrap w:val="0"/>
            <w:vAlign w:val="center"/>
          </w:tcPr>
          <w:p w14:paraId="1260E646">
            <w:pPr>
              <w:pStyle w:val="4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零食（八宝粥、饼干、雪糕等）、方便面</w:t>
            </w:r>
          </w:p>
        </w:tc>
        <w:tc>
          <w:tcPr>
            <w:tcW w:w="2409" w:type="dxa"/>
            <w:noWrap w:val="0"/>
            <w:vAlign w:val="center"/>
          </w:tcPr>
          <w:p w14:paraId="4F84BEDB">
            <w:pPr>
              <w:autoSpaceDE w:val="0"/>
              <w:autoSpaceDN w:val="0"/>
              <w:spacing w:after="0" w:line="240" w:lineRule="auto"/>
              <w:jc w:val="center"/>
              <w:rPr>
                <w:rFonts w:hint="eastAsia" w:cs="Times New Roman"/>
                <w:color w:val="auto"/>
                <w:spacing w:val="-3"/>
                <w:kern w:val="2"/>
                <w:sz w:val="21"/>
                <w:szCs w:val="21"/>
                <w:highlight w:val="none"/>
                <w:lang w:val="en-US" w:eastAsia="zh-CN" w:bidi="ar-SA"/>
              </w:rPr>
            </w:pPr>
            <w:r>
              <w:rPr>
                <w:rFonts w:hint="eastAsia" w:cs="Times New Roman"/>
                <w:color w:val="auto"/>
                <w:spacing w:val="-3"/>
                <w:kern w:val="2"/>
                <w:sz w:val="21"/>
                <w:szCs w:val="21"/>
                <w:highlight w:val="none"/>
                <w:lang w:val="en-US" w:eastAsia="zh-CN" w:bidi="ar-SA"/>
              </w:rPr>
              <w:t>2000000.00</w:t>
            </w:r>
          </w:p>
        </w:tc>
        <w:tc>
          <w:tcPr>
            <w:tcW w:w="2443" w:type="dxa"/>
            <w:noWrap w:val="0"/>
            <w:vAlign w:val="center"/>
          </w:tcPr>
          <w:p w14:paraId="01C0BA3A">
            <w:pPr>
              <w:autoSpaceDE w:val="0"/>
              <w:autoSpaceDN w:val="0"/>
              <w:spacing w:after="0" w:line="240" w:lineRule="auto"/>
              <w:jc w:val="center"/>
              <w:rPr>
                <w:rFonts w:hint="eastAsia" w:ascii="宋体" w:hAnsi="宋体" w:cs="宋体"/>
                <w:b w:val="0"/>
                <w:bCs w:val="0"/>
                <w:color w:val="auto"/>
                <w:sz w:val="24"/>
                <w:szCs w:val="24"/>
                <w:highlight w:val="none"/>
                <w:shd w:val="clear" w:color="auto" w:fill="auto"/>
                <w:lang w:val="en-US" w:eastAsia="zh-CN"/>
              </w:rPr>
            </w:pPr>
            <w:r>
              <w:rPr>
                <w:rFonts w:hint="eastAsia" w:ascii="宋体" w:hAnsi="宋体" w:eastAsia="宋体" w:cs="宋体"/>
                <w:b w:val="0"/>
                <w:bCs w:val="0"/>
                <w:color w:val="auto"/>
                <w:sz w:val="24"/>
                <w:szCs w:val="24"/>
                <w:highlight w:val="none"/>
                <w:shd w:val="clear" w:color="auto" w:fill="auto"/>
                <w:lang w:val="en-US" w:eastAsia="zh-CN"/>
              </w:rPr>
              <w:t>1</w:t>
            </w:r>
          </w:p>
        </w:tc>
      </w:tr>
      <w:tr w14:paraId="1FA56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jc w:val="center"/>
        </w:trPr>
        <w:tc>
          <w:tcPr>
            <w:tcW w:w="9458" w:type="dxa"/>
            <w:gridSpan w:val="4"/>
            <w:noWrap w:val="0"/>
            <w:vAlign w:val="center"/>
          </w:tcPr>
          <w:p w14:paraId="1DE89939">
            <w:pPr>
              <w:shd w:val="clear"/>
              <w:autoSpaceDE w:val="0"/>
              <w:autoSpaceDN w:val="0"/>
              <w:spacing w:after="0" w:line="240" w:lineRule="auto"/>
              <w:jc w:val="left"/>
              <w:rPr>
                <w:rFonts w:hint="eastAsia" w:ascii="宋体" w:hAnsi="宋体" w:cs="宋体"/>
                <w:b/>
                <w:bCs/>
                <w:color w:val="auto"/>
                <w:szCs w:val="21"/>
                <w:highlight w:val="none"/>
                <w:u w:val="none"/>
                <w:lang w:eastAsia="zh-CN"/>
              </w:rPr>
            </w:pPr>
            <w:r>
              <w:rPr>
                <w:rFonts w:hint="eastAsia" w:ascii="宋体" w:hAnsi="宋体" w:cs="宋体"/>
                <w:bCs/>
                <w:color w:val="auto"/>
                <w:sz w:val="24"/>
                <w:szCs w:val="24"/>
                <w:highlight w:val="none"/>
                <w:shd w:val="clear" w:color="auto" w:fill="auto"/>
                <w:lang w:val="en-US" w:eastAsia="zh-CN"/>
              </w:rPr>
              <w:t>备注：</w:t>
            </w:r>
            <w:r>
              <w:rPr>
                <w:rFonts w:hint="eastAsia" w:ascii="宋体" w:hAnsi="宋体" w:eastAsia="宋体" w:cs="宋体"/>
                <w:b/>
                <w:bCs/>
                <w:color w:val="auto"/>
                <w:szCs w:val="21"/>
                <w:highlight w:val="none"/>
                <w:u w:val="none"/>
                <w:lang w:val="en-US" w:eastAsia="zh-CN"/>
              </w:rPr>
              <w:t>1、</w:t>
            </w:r>
            <w:r>
              <w:rPr>
                <w:rFonts w:hint="eastAsia" w:ascii="宋体" w:hAnsi="宋体" w:cs="宋体"/>
                <w:b/>
                <w:bCs/>
                <w:color w:val="auto"/>
                <w:szCs w:val="21"/>
                <w:highlight w:val="none"/>
                <w:u w:val="none"/>
                <w:lang w:eastAsia="zh-CN"/>
              </w:rPr>
              <w:t>学校能自主采购的商品种类及数量，由学校的实际需要决定，同时受上级的有关政策影响，因此本表的预估数量仅供参考，不能作为学校承诺的最低采购数量看待。</w:t>
            </w:r>
          </w:p>
          <w:p w14:paraId="53A1F604">
            <w:pPr>
              <w:shd w:val="clear"/>
              <w:autoSpaceDE w:val="0"/>
              <w:autoSpaceDN w:val="0"/>
              <w:spacing w:after="0" w:line="240" w:lineRule="auto"/>
              <w:jc w:val="left"/>
              <w:rPr>
                <w:rFonts w:hint="default" w:ascii="宋体" w:hAnsi="宋体" w:cs="宋体"/>
                <w:b/>
                <w:bCs/>
                <w:color w:val="auto"/>
                <w:szCs w:val="21"/>
                <w:highlight w:val="none"/>
                <w:u w:val="none"/>
                <w:lang w:val="en-US" w:eastAsia="zh-CN"/>
              </w:rPr>
            </w:pPr>
            <w:r>
              <w:rPr>
                <w:rFonts w:hint="eastAsia" w:ascii="宋体" w:hAnsi="宋体" w:cs="宋体"/>
                <w:b/>
                <w:bCs/>
                <w:color w:val="auto"/>
                <w:szCs w:val="21"/>
                <w:highlight w:val="none"/>
                <w:u w:val="none"/>
                <w:lang w:val="en-US" w:eastAsia="zh-CN"/>
              </w:rPr>
              <w:t>2、一个投标供应商在本次招标活动中，最多可连续中得两个分段。</w:t>
            </w:r>
          </w:p>
        </w:tc>
      </w:tr>
    </w:tbl>
    <w:p w14:paraId="1F3EB604">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合同履</w:t>
      </w:r>
      <w:r>
        <w:rPr>
          <w:rFonts w:hint="eastAsia" w:ascii="宋体" w:hAnsi="宋体" w:cs="Times New Roman"/>
          <w:color w:val="auto"/>
          <w:szCs w:val="21"/>
          <w:highlight w:val="none"/>
          <w:lang w:eastAsia="zh-CN"/>
        </w:rPr>
        <w:t>行</w:t>
      </w:r>
      <w:r>
        <w:rPr>
          <w:rFonts w:hint="eastAsia" w:ascii="宋体" w:hAnsi="宋体" w:eastAsia="宋体" w:cs="Times New Roman"/>
          <w:color w:val="auto"/>
          <w:szCs w:val="21"/>
          <w:highlight w:val="none"/>
          <w:lang w:eastAsia="zh-CN"/>
        </w:rPr>
        <w:t>期限：14个月</w:t>
      </w:r>
      <w:r>
        <w:rPr>
          <w:rFonts w:hint="eastAsia" w:ascii="宋体" w:hAnsi="宋体" w:cs="宋体"/>
          <w:bCs/>
          <w:color w:val="auto"/>
          <w:szCs w:val="21"/>
          <w:highlight w:val="none"/>
          <w:lang w:eastAsia="zh-CN"/>
        </w:rPr>
        <w:t>（具体起止时间以签订合同为准）</w:t>
      </w:r>
      <w:r>
        <w:rPr>
          <w:rFonts w:hint="eastAsia" w:ascii="宋体" w:hAnsi="宋体" w:cs="宋体"/>
          <w:bCs/>
          <w:color w:val="auto"/>
          <w:szCs w:val="21"/>
          <w:highlight w:val="none"/>
        </w:rPr>
        <w:t>。</w:t>
      </w:r>
    </w:p>
    <w:p w14:paraId="062F9FA2">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本</w:t>
      </w:r>
      <w:r>
        <w:rPr>
          <w:rFonts w:hint="eastAsia" w:ascii="宋体" w:hAnsi="宋体" w:cs="Times New Roman"/>
          <w:color w:val="auto"/>
          <w:szCs w:val="21"/>
          <w:highlight w:val="none"/>
          <w:lang w:eastAsia="zh-CN"/>
        </w:rPr>
        <w:t>项目（</w:t>
      </w:r>
      <w:r>
        <w:rPr>
          <w:rFonts w:hint="eastAsia" w:ascii="宋体" w:hAnsi="宋体" w:cs="宋体"/>
          <w:color w:val="auto"/>
          <w:szCs w:val="21"/>
          <w:highlight w:val="none"/>
        </w:rPr>
        <w:t>否</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lang w:eastAsia="zh-CN"/>
        </w:rPr>
        <w:t>接受联合体投标</w:t>
      </w:r>
      <w:r>
        <w:rPr>
          <w:rFonts w:hint="eastAsia" w:ascii="宋体" w:hAnsi="宋体" w:cs="宋体"/>
          <w:color w:val="auto"/>
          <w:szCs w:val="21"/>
          <w:highlight w:val="none"/>
        </w:rPr>
        <w:t>。</w:t>
      </w:r>
    </w:p>
    <w:p w14:paraId="5E50BD64">
      <w:pPr>
        <w:spacing w:line="360" w:lineRule="auto"/>
        <w:rPr>
          <w:rFonts w:hint="eastAsia" w:ascii="黑体" w:hAnsi="黑体" w:eastAsia="黑体" w:cs="Times New Roman"/>
          <w:b/>
          <w:bCs/>
          <w:color w:val="auto"/>
          <w:sz w:val="24"/>
          <w:highlight w:val="none"/>
        </w:rPr>
      </w:pPr>
      <w:bookmarkStart w:id="21" w:name="_Toc28359003"/>
      <w:bookmarkStart w:id="22" w:name="_Toc35393791"/>
      <w:bookmarkStart w:id="23" w:name="_Toc28359080"/>
      <w:bookmarkStart w:id="24" w:name="_Toc35393622"/>
      <w:r>
        <w:rPr>
          <w:rFonts w:hint="eastAsia" w:ascii="黑体" w:hAnsi="黑体" w:eastAsia="黑体" w:cs="Times New Roman"/>
          <w:b/>
          <w:bCs/>
          <w:color w:val="auto"/>
          <w:sz w:val="24"/>
          <w:highlight w:val="none"/>
        </w:rPr>
        <w:t>二、</w:t>
      </w:r>
      <w:r>
        <w:rPr>
          <w:rFonts w:hint="eastAsia" w:ascii="黑体" w:hAnsi="黑体" w:eastAsia="黑体" w:cs="Times New Roman"/>
          <w:b/>
          <w:bCs/>
          <w:color w:val="auto"/>
          <w:sz w:val="24"/>
          <w:highlight w:val="none"/>
          <w:lang w:eastAsia="zh-CN"/>
        </w:rPr>
        <w:t>申请</w:t>
      </w:r>
      <w:r>
        <w:rPr>
          <w:rFonts w:hint="eastAsia" w:ascii="黑体" w:hAnsi="黑体" w:eastAsia="黑体" w:cs="Times New Roman"/>
          <w:b/>
          <w:bCs/>
          <w:color w:val="auto"/>
          <w:sz w:val="24"/>
          <w:highlight w:val="none"/>
        </w:rPr>
        <w:t>人的资格要求：</w:t>
      </w:r>
      <w:bookmarkEnd w:id="21"/>
      <w:bookmarkEnd w:id="22"/>
      <w:bookmarkEnd w:id="23"/>
      <w:bookmarkEnd w:id="24"/>
    </w:p>
    <w:p w14:paraId="1040723B">
      <w:pPr>
        <w:spacing w:line="360" w:lineRule="auto"/>
        <w:ind w:firstLine="420" w:firstLineChars="200"/>
        <w:rPr>
          <w:rFonts w:hint="eastAsia" w:ascii="宋体" w:hAnsi="宋体" w:eastAsia="宋体" w:cs="Times New Roman"/>
          <w:color w:val="auto"/>
          <w:szCs w:val="21"/>
          <w:highlight w:val="none"/>
          <w:lang w:eastAsia="zh-CN"/>
        </w:rPr>
      </w:pPr>
      <w:bookmarkStart w:id="25" w:name="_Toc28359081"/>
      <w:bookmarkStart w:id="26" w:name="_Toc28359004"/>
      <w:r>
        <w:rPr>
          <w:rFonts w:hint="eastAsia" w:ascii="宋体" w:hAnsi="宋体" w:eastAsia="宋体" w:cs="Times New Roman"/>
          <w:color w:val="auto"/>
          <w:szCs w:val="21"/>
          <w:highlight w:val="none"/>
        </w:rPr>
        <w:t>1.满足《中华人民共和国政府采购法》第二十二条规定</w:t>
      </w:r>
      <w:r>
        <w:rPr>
          <w:rFonts w:hint="eastAsia" w:ascii="宋体" w:hAnsi="宋体" w:cs="Times New Roman"/>
          <w:color w:val="auto"/>
          <w:szCs w:val="21"/>
          <w:highlight w:val="none"/>
          <w:lang w:eastAsia="zh-CN"/>
        </w:rPr>
        <w:t>；</w:t>
      </w:r>
    </w:p>
    <w:p w14:paraId="2BFBA295">
      <w:pPr>
        <w:spacing w:line="360" w:lineRule="auto"/>
        <w:ind w:firstLine="420" w:firstLineChars="200"/>
        <w:rPr>
          <w:rFonts w:hint="eastAsia" w:ascii="宋体" w:hAnsi="宋体" w:eastAsia="宋体" w:cs="宋体"/>
          <w:i w:val="0"/>
          <w:iCs w:val="0"/>
          <w:color w:val="auto"/>
          <w:szCs w:val="21"/>
          <w:highlight w:val="none"/>
          <w:u w:val="single"/>
        </w:rPr>
      </w:pPr>
      <w:r>
        <w:rPr>
          <w:rFonts w:hint="eastAsia" w:ascii="宋体" w:hAnsi="宋体" w:eastAsia="宋体" w:cs="Times New Roman"/>
          <w:color w:val="auto"/>
          <w:szCs w:val="21"/>
          <w:highlight w:val="none"/>
        </w:rPr>
        <w:t>2.落实政府采购政策需满足的资格要求：</w:t>
      </w:r>
      <w:r>
        <w:rPr>
          <w:rFonts w:hint="eastAsia" w:ascii="宋体" w:hAnsi="宋体" w:cs="宋体"/>
          <w:i w:val="0"/>
          <w:iCs w:val="0"/>
          <w:color w:val="auto"/>
          <w:szCs w:val="21"/>
          <w:highlight w:val="none"/>
          <w:u w:val="single"/>
          <w:lang w:val="en-US" w:eastAsia="zh-CN"/>
        </w:rPr>
        <w:t>本项目为专门面向小微企业采购的项目。投标人必须提供中小企业声明函或者残疾人福利性单位声明函（格式后附）或者供应商属于监狱企业的需提供由省级以上监狱管理局、戒毒管理局（含新疆生产建设兵团）出具的属于监狱企业的证明文件。</w:t>
      </w:r>
    </w:p>
    <w:p w14:paraId="4EEC51D3">
      <w:pPr>
        <w:keepNext w:val="0"/>
        <w:keepLines w:val="0"/>
        <w:widowControl/>
        <w:suppressLineNumbers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3.本项目的特定资格要求：</w:t>
      </w:r>
      <w:r>
        <w:rPr>
          <w:rFonts w:hint="eastAsia" w:ascii="宋体" w:hAnsi="宋体" w:eastAsia="宋体" w:cs="Times New Roman"/>
          <w:color w:val="auto"/>
          <w:szCs w:val="21"/>
          <w:highlight w:val="none"/>
          <w:lang w:val="en-US" w:eastAsia="zh-CN"/>
        </w:rPr>
        <w:t>具备有效的《食品经营许可证》</w:t>
      </w:r>
      <w:r>
        <w:rPr>
          <w:rFonts w:hint="eastAsia" w:ascii="宋体" w:hAnsi="宋体" w:cs="Times New Roman"/>
          <w:color w:val="auto"/>
          <w:szCs w:val="21"/>
          <w:highlight w:val="none"/>
          <w:lang w:val="en-US" w:eastAsia="zh-CN"/>
        </w:rPr>
        <w:t>或</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食品生产许可证</w:t>
      </w:r>
      <w:r>
        <w:rPr>
          <w:rFonts w:hint="eastAsia" w:ascii="宋体" w:hAnsi="宋体" w:eastAsia="宋体" w:cs="Times New Roman"/>
          <w:color w:val="auto"/>
          <w:szCs w:val="21"/>
          <w:highlight w:val="none"/>
          <w:lang w:eastAsia="zh-CN"/>
        </w:rPr>
        <w:t>》或《仅销售预包装食品经营者备案信息采集表》</w:t>
      </w:r>
      <w:r>
        <w:rPr>
          <w:rFonts w:hint="eastAsia" w:ascii="宋体" w:hAnsi="宋体" w:eastAsia="宋体" w:cs="Times New Roman"/>
          <w:color w:val="auto"/>
          <w:szCs w:val="21"/>
          <w:highlight w:val="none"/>
        </w:rPr>
        <w:t>（提供有效期内的证书复印件）</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分标2除外</w:t>
      </w:r>
      <w:r>
        <w:rPr>
          <w:rFonts w:hint="eastAsia" w:ascii="宋体" w:hAnsi="宋体" w:cs="宋体"/>
          <w:color w:val="auto"/>
          <w:szCs w:val="21"/>
          <w:highlight w:val="none"/>
          <w:lang w:eastAsia="zh-CN"/>
        </w:rPr>
        <w:t>）</w:t>
      </w:r>
      <w:r>
        <w:rPr>
          <w:rFonts w:hint="eastAsia" w:ascii="宋体" w:hAnsi="宋体" w:eastAsia="宋体" w:cs="Times New Roman"/>
          <w:color w:val="auto"/>
          <w:szCs w:val="21"/>
          <w:highlight w:val="none"/>
          <w:lang w:eastAsia="zh-CN"/>
        </w:rPr>
        <w:t>。</w:t>
      </w:r>
    </w:p>
    <w:p w14:paraId="2321D9DC">
      <w:pPr>
        <w:spacing w:line="360" w:lineRule="auto"/>
        <w:rPr>
          <w:rFonts w:hint="eastAsia" w:ascii="黑体" w:hAnsi="黑体" w:eastAsia="黑体" w:cs="Times New Roman"/>
          <w:b/>
          <w:bCs/>
          <w:color w:val="auto"/>
          <w:sz w:val="24"/>
          <w:highlight w:val="none"/>
        </w:rPr>
      </w:pPr>
      <w:bookmarkStart w:id="27" w:name="_Toc35393623"/>
      <w:bookmarkStart w:id="28" w:name="_Toc35393792"/>
      <w:r>
        <w:rPr>
          <w:rFonts w:hint="eastAsia" w:ascii="黑体" w:hAnsi="黑体" w:eastAsia="黑体" w:cs="Times New Roman"/>
          <w:b/>
          <w:bCs/>
          <w:color w:val="auto"/>
          <w:sz w:val="24"/>
          <w:highlight w:val="none"/>
        </w:rPr>
        <w:t>三、获取招标文件</w:t>
      </w:r>
      <w:bookmarkEnd w:id="25"/>
      <w:bookmarkEnd w:id="26"/>
      <w:bookmarkEnd w:id="27"/>
      <w:bookmarkEnd w:id="28"/>
    </w:p>
    <w:p w14:paraId="111A9E4A">
      <w:pPr>
        <w:snapToGrid w:val="0"/>
        <w:spacing w:line="360" w:lineRule="auto"/>
        <w:ind w:firstLine="472" w:firstLineChars="225"/>
        <w:rPr>
          <w:rFonts w:hint="eastAsia" w:ascii="宋体" w:hAnsi="宋体" w:eastAsia="宋体" w:cs="Times New Roman"/>
          <w:color w:val="auto"/>
          <w:szCs w:val="21"/>
          <w:highlight w:val="none"/>
        </w:rPr>
      </w:pPr>
      <w:bookmarkStart w:id="29" w:name="_Toc28359005"/>
      <w:bookmarkStart w:id="30" w:name="_Toc28359082"/>
      <w:bookmarkStart w:id="31" w:name="_Toc35393793"/>
      <w:bookmarkStart w:id="32" w:name="_Toc35393624"/>
      <w:r>
        <w:rPr>
          <w:rFonts w:hint="eastAsia" w:ascii="宋体" w:hAnsi="宋体" w:eastAsia="宋体" w:cs="Times New Roman"/>
          <w:color w:val="auto"/>
          <w:szCs w:val="21"/>
          <w:highlight w:val="none"/>
        </w:rPr>
        <w:t>时间：</w:t>
      </w:r>
      <w:r>
        <w:rPr>
          <w:rFonts w:hint="eastAsia" w:ascii="宋体" w:hAnsi="宋体" w:cs="宋体"/>
          <w:bCs/>
          <w:color w:val="auto"/>
          <w:kern w:val="0"/>
          <w:szCs w:val="21"/>
          <w:highlight w:val="none"/>
          <w:u w:val="single"/>
          <w:lang w:val="en-US" w:eastAsia="zh-CN"/>
        </w:rPr>
        <w:t>2026</w:t>
      </w:r>
      <w:r>
        <w:rPr>
          <w:rFonts w:hint="eastAsia" w:ascii="宋体" w:hAnsi="宋体" w:cs="宋体"/>
          <w:bCs/>
          <w:color w:val="auto"/>
          <w:kern w:val="0"/>
          <w:szCs w:val="21"/>
          <w:highlight w:val="none"/>
          <w:u w:val="single"/>
        </w:rPr>
        <w:t>年</w:t>
      </w:r>
      <w:r>
        <w:rPr>
          <w:rFonts w:hint="eastAsia" w:ascii="宋体" w:hAnsi="宋体" w:cs="宋体"/>
          <w:bCs/>
          <w:color w:val="auto"/>
          <w:kern w:val="0"/>
          <w:szCs w:val="21"/>
          <w:highlight w:val="none"/>
          <w:u w:val="single"/>
          <w:lang w:val="en-US" w:eastAsia="zh-CN"/>
        </w:rPr>
        <w:t xml:space="preserve"> </w:t>
      </w:r>
      <w:r>
        <w:rPr>
          <w:rFonts w:hint="eastAsia" w:ascii="宋体" w:hAnsi="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 xml:space="preserve">  </w:t>
      </w:r>
      <w:r>
        <w:rPr>
          <w:rFonts w:hint="eastAsia" w:ascii="宋体" w:hAnsi="宋体" w:cs="宋体"/>
          <w:bCs/>
          <w:color w:val="auto"/>
          <w:kern w:val="0"/>
          <w:szCs w:val="21"/>
          <w:highlight w:val="none"/>
          <w:u w:val="single"/>
        </w:rPr>
        <w:t>日</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lang w:val="en-US" w:eastAsia="zh-CN"/>
        </w:rPr>
        <w:t>2026</w:t>
      </w:r>
      <w:r>
        <w:rPr>
          <w:rFonts w:hint="eastAsia" w:ascii="宋体" w:hAnsi="宋体" w:cs="宋体"/>
          <w:bCs/>
          <w:color w:val="auto"/>
          <w:kern w:val="0"/>
          <w:szCs w:val="21"/>
          <w:highlight w:val="none"/>
          <w:u w:val="single"/>
        </w:rPr>
        <w:t>年</w:t>
      </w:r>
      <w:r>
        <w:rPr>
          <w:rFonts w:hint="eastAsia" w:ascii="宋体" w:hAnsi="宋体" w:cs="宋体"/>
          <w:bCs/>
          <w:color w:val="auto"/>
          <w:kern w:val="0"/>
          <w:szCs w:val="21"/>
          <w:highlight w:val="none"/>
          <w:u w:val="single"/>
          <w:lang w:val="en-US" w:eastAsia="zh-CN"/>
        </w:rPr>
        <w:t xml:space="preserve">  月  日</w:t>
      </w:r>
      <w:r>
        <w:rPr>
          <w:rFonts w:hint="eastAsia" w:ascii="宋体" w:hAnsi="宋体" w:cs="宋体"/>
          <w:bCs/>
          <w:color w:val="auto"/>
          <w:kern w:val="0"/>
          <w:szCs w:val="21"/>
          <w:highlight w:val="none"/>
        </w:rPr>
        <w:t>，</w:t>
      </w:r>
      <w:r>
        <w:rPr>
          <w:rFonts w:hint="eastAsia" w:ascii="宋体" w:hAnsi="宋体" w:eastAsia="宋体" w:cs="宋体"/>
          <w:color w:val="auto"/>
          <w:szCs w:val="21"/>
          <w:highlight w:val="none"/>
          <w:lang w:eastAsia="zh-CN"/>
        </w:rPr>
        <w:t>每天上午00:00至12:00，下午12:00至23:59（北京时间，法定节假日除外）</w:t>
      </w:r>
      <w:r>
        <w:rPr>
          <w:rFonts w:hint="eastAsia" w:ascii="宋体" w:hAnsi="宋体" w:eastAsia="宋体" w:cs="Times New Roman"/>
          <w:color w:val="auto"/>
          <w:szCs w:val="21"/>
          <w:highlight w:val="none"/>
        </w:rPr>
        <w:t>。</w:t>
      </w:r>
    </w:p>
    <w:p w14:paraId="5AE4B95E">
      <w:pPr>
        <w:snapToGrid w:val="0"/>
        <w:spacing w:line="360" w:lineRule="auto"/>
        <w:ind w:firstLine="472" w:firstLineChars="225"/>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地点</w:t>
      </w:r>
      <w:r>
        <w:rPr>
          <w:rFonts w:hint="eastAsia" w:ascii="宋体" w:hAnsi="宋体" w:cs="Times New Roman"/>
          <w:color w:val="auto"/>
          <w:szCs w:val="21"/>
          <w:highlight w:val="none"/>
          <w:lang w:eastAsia="zh-CN"/>
        </w:rPr>
        <w:t>：</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宋体"/>
          <w:color w:val="auto"/>
          <w:szCs w:val="21"/>
          <w:highlight w:val="none"/>
        </w:rPr>
        <w:t>（</w:t>
      </w:r>
      <w:r>
        <w:rPr>
          <w:rStyle w:val="28"/>
          <w:rFonts w:hint="eastAsia" w:ascii="宋体" w:hAnsi="宋体" w:eastAsia="宋体" w:cs="宋体"/>
          <w:b w:val="0"/>
          <w:bCs/>
          <w:i w:val="0"/>
          <w:caps w:val="0"/>
          <w:color w:val="auto"/>
          <w:spacing w:val="0"/>
          <w:sz w:val="21"/>
          <w:szCs w:val="21"/>
          <w:highlight w:val="none"/>
        </w:rPr>
        <w:t>https://www.gcy.zfcg.gxzf.gov.cn/</w:t>
      </w:r>
      <w:r>
        <w:rPr>
          <w:rFonts w:hint="eastAsia" w:ascii="宋体" w:hAnsi="宋体" w:cs="宋体"/>
          <w:color w:val="auto"/>
          <w:szCs w:val="21"/>
          <w:highlight w:val="none"/>
        </w:rPr>
        <w:t>）</w:t>
      </w:r>
    </w:p>
    <w:p w14:paraId="71AAD6F5">
      <w:pPr>
        <w:snapToGrid w:val="0"/>
        <w:spacing w:line="360" w:lineRule="auto"/>
        <w:ind w:firstLine="472" w:firstLineChars="225"/>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方式</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网上下载。本项目不发放纸质文件，</w:t>
      </w:r>
      <w:r>
        <w:rPr>
          <w:rFonts w:hint="eastAsia" w:ascii="宋体" w:hAnsi="宋体" w:cs="宋体"/>
          <w:color w:val="auto"/>
          <w:szCs w:val="21"/>
          <w:highlight w:val="none"/>
          <w:lang w:eastAsia="zh-CN"/>
        </w:rPr>
        <w:t>潜在投标人</w:t>
      </w:r>
      <w:r>
        <w:rPr>
          <w:rFonts w:hint="eastAsia" w:ascii="宋体" w:hAnsi="宋体" w:eastAsia="宋体" w:cs="Times New Roman"/>
          <w:color w:val="auto"/>
          <w:szCs w:val="21"/>
          <w:highlight w:val="none"/>
        </w:rPr>
        <w:t>可自行在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宋体"/>
          <w:color w:val="auto"/>
          <w:szCs w:val="21"/>
          <w:highlight w:val="none"/>
        </w:rPr>
        <w:t>（</w:t>
      </w:r>
      <w:r>
        <w:rPr>
          <w:rStyle w:val="28"/>
          <w:rFonts w:hint="eastAsia" w:ascii="宋体" w:hAnsi="宋体" w:eastAsia="宋体" w:cs="宋体"/>
          <w:b w:val="0"/>
          <w:bCs/>
          <w:i w:val="0"/>
          <w:caps w:val="0"/>
          <w:color w:val="auto"/>
          <w:spacing w:val="0"/>
          <w:sz w:val="21"/>
          <w:szCs w:val="21"/>
          <w:highlight w:val="none"/>
        </w:rPr>
        <w:t>https://www.gcy.zfcg.gxzf.gov.cn/</w:t>
      </w:r>
      <w:r>
        <w:rPr>
          <w:rFonts w:hint="eastAsia" w:ascii="宋体" w:hAnsi="宋体" w:cs="宋体"/>
          <w:color w:val="auto"/>
          <w:szCs w:val="21"/>
          <w:highlight w:val="none"/>
        </w:rPr>
        <w:t>）</w:t>
      </w:r>
      <w:r>
        <w:rPr>
          <w:rFonts w:hint="eastAsia" w:ascii="宋体" w:hAnsi="宋体" w:eastAsia="宋体" w:cs="Times New Roman"/>
          <w:color w:val="auto"/>
          <w:szCs w:val="21"/>
          <w:highlight w:val="none"/>
        </w:rPr>
        <w:t>下载招标文件（操作路径：登录</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color w:val="auto"/>
          <w:szCs w:val="21"/>
          <w:highlight w:val="none"/>
        </w:rPr>
        <w:t>-项目采购-获取采购文件-找到本项目-点击“申请获取采购文件”），电子投标文件制作需要基于</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color w:val="auto"/>
          <w:szCs w:val="21"/>
          <w:highlight w:val="none"/>
        </w:rPr>
        <w:t>获取的招标文件编制。</w:t>
      </w:r>
    </w:p>
    <w:p w14:paraId="21C1DB4A">
      <w:pPr>
        <w:snapToGrid w:val="0"/>
        <w:spacing w:line="360" w:lineRule="auto"/>
        <w:ind w:firstLine="472" w:firstLineChars="225"/>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售价：</w:t>
      </w:r>
      <w:r>
        <w:rPr>
          <w:rFonts w:hint="eastAsia" w:ascii="宋体" w:hAnsi="宋体" w:cs="宋体"/>
          <w:color w:val="auto"/>
          <w:szCs w:val="21"/>
          <w:highlight w:val="none"/>
          <w:lang w:eastAsia="zh-CN"/>
        </w:rPr>
        <w:t>人民币</w:t>
      </w:r>
      <w:r>
        <w:rPr>
          <w:rFonts w:hint="eastAsia" w:ascii="宋体" w:hAnsi="宋体" w:cs="宋体"/>
          <w:color w:val="auto"/>
          <w:szCs w:val="21"/>
          <w:highlight w:val="none"/>
        </w:rPr>
        <w:t>0元</w:t>
      </w:r>
    </w:p>
    <w:p w14:paraId="4BC10AB4">
      <w:pPr>
        <w:spacing w:line="360" w:lineRule="auto"/>
        <w:rPr>
          <w:rFonts w:hint="eastAsia" w:ascii="黑体" w:hAnsi="黑体" w:eastAsia="黑体" w:cs="Times New Roman"/>
          <w:b/>
          <w:bCs/>
          <w:color w:val="auto"/>
          <w:sz w:val="24"/>
          <w:highlight w:val="none"/>
        </w:rPr>
      </w:pPr>
      <w:r>
        <w:rPr>
          <w:rFonts w:hint="eastAsia" w:ascii="黑体" w:hAnsi="黑体" w:eastAsia="黑体" w:cs="Times New Roman"/>
          <w:b/>
          <w:bCs/>
          <w:color w:val="auto"/>
          <w:sz w:val="24"/>
          <w:highlight w:val="none"/>
        </w:rPr>
        <w:t>四、提交投标文件</w:t>
      </w:r>
      <w:bookmarkEnd w:id="29"/>
      <w:bookmarkEnd w:id="30"/>
      <w:r>
        <w:rPr>
          <w:rFonts w:hint="eastAsia" w:ascii="黑体" w:hAnsi="黑体" w:eastAsia="黑体" w:cs="Times New Roman"/>
          <w:b/>
          <w:bCs/>
          <w:color w:val="auto"/>
          <w:sz w:val="24"/>
          <w:highlight w:val="none"/>
        </w:rPr>
        <w:t>截止时间、开标时间和地点</w:t>
      </w:r>
      <w:bookmarkEnd w:id="31"/>
      <w:bookmarkEnd w:id="32"/>
    </w:p>
    <w:p w14:paraId="1D5527F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1、提交投标文件截止时间和开标时间：</w:t>
      </w:r>
      <w:bookmarkStart w:id="33" w:name="PO_3000001867_PM015_1"/>
      <w:r>
        <w:rPr>
          <w:rFonts w:hint="eastAsia" w:ascii="宋体" w:hAnsi="宋体" w:cs="宋体"/>
          <w:color w:val="auto"/>
          <w:szCs w:val="21"/>
          <w:highlight w:val="none"/>
          <w:u w:val="none"/>
          <w:lang w:val="en-US" w:eastAsia="zh-CN"/>
        </w:rPr>
        <w:t>2026年  月  日9点00分</w:t>
      </w:r>
      <w:r>
        <w:rPr>
          <w:rFonts w:hint="eastAsia" w:ascii="宋体" w:hAnsi="宋体" w:cs="宋体"/>
          <w:bCs/>
          <w:color w:val="auto"/>
          <w:szCs w:val="21"/>
          <w:highlight w:val="none"/>
        </w:rPr>
        <w:t>（北京时间）</w:t>
      </w:r>
      <w:bookmarkEnd w:id="33"/>
    </w:p>
    <w:p w14:paraId="7F9A87C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提交投标文件</w:t>
      </w:r>
      <w:r>
        <w:rPr>
          <w:rFonts w:hint="eastAsia" w:ascii="宋体" w:hAnsi="宋体" w:cs="宋体"/>
          <w:color w:val="auto"/>
          <w:szCs w:val="21"/>
          <w:highlight w:val="none"/>
        </w:rPr>
        <w:t>和开标地点：</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宋体"/>
          <w:color w:val="auto"/>
          <w:szCs w:val="21"/>
          <w:highlight w:val="none"/>
        </w:rPr>
        <w:t>（</w:t>
      </w:r>
      <w:r>
        <w:rPr>
          <w:rStyle w:val="28"/>
          <w:rFonts w:hint="eastAsia" w:ascii="宋体" w:hAnsi="宋体" w:eastAsia="宋体" w:cs="宋体"/>
          <w:b w:val="0"/>
          <w:bCs/>
          <w:i w:val="0"/>
          <w:caps w:val="0"/>
          <w:color w:val="auto"/>
          <w:spacing w:val="0"/>
          <w:sz w:val="21"/>
          <w:szCs w:val="21"/>
          <w:highlight w:val="none"/>
        </w:rPr>
        <w:t>https://www.gcy.zfcg.gxzf.gov.cn/</w:t>
      </w:r>
      <w:r>
        <w:rPr>
          <w:rFonts w:hint="eastAsia" w:ascii="宋体" w:hAnsi="宋体" w:cs="宋体"/>
          <w:color w:val="auto"/>
          <w:szCs w:val="21"/>
          <w:highlight w:val="none"/>
        </w:rPr>
        <w:t>）</w:t>
      </w:r>
    </w:p>
    <w:p w14:paraId="7C7219D2">
      <w:pPr>
        <w:spacing w:line="360" w:lineRule="auto"/>
        <w:rPr>
          <w:rFonts w:hint="eastAsia" w:ascii="黑体" w:hAnsi="黑体" w:eastAsia="黑体" w:cs="Times New Roman"/>
          <w:b/>
          <w:bCs/>
          <w:color w:val="auto"/>
          <w:sz w:val="24"/>
          <w:highlight w:val="none"/>
        </w:rPr>
      </w:pPr>
      <w:bookmarkStart w:id="34" w:name="_Toc35393625"/>
      <w:bookmarkStart w:id="35" w:name="_Toc28359007"/>
      <w:bookmarkStart w:id="36" w:name="_Toc35393794"/>
      <w:bookmarkStart w:id="37" w:name="_Toc28359084"/>
      <w:r>
        <w:rPr>
          <w:rFonts w:hint="eastAsia" w:ascii="黑体" w:hAnsi="黑体" w:eastAsia="黑体" w:cs="Times New Roman"/>
          <w:b/>
          <w:bCs/>
          <w:color w:val="auto"/>
          <w:sz w:val="24"/>
          <w:highlight w:val="none"/>
        </w:rPr>
        <w:t>五、公告期限</w:t>
      </w:r>
      <w:bookmarkEnd w:id="34"/>
      <w:bookmarkEnd w:id="35"/>
      <w:bookmarkEnd w:id="36"/>
      <w:bookmarkEnd w:id="37"/>
    </w:p>
    <w:p w14:paraId="29C9FD34">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07935D8C">
      <w:pPr>
        <w:spacing w:line="360" w:lineRule="auto"/>
        <w:rPr>
          <w:rFonts w:hint="eastAsia" w:ascii="黑体" w:hAnsi="黑体" w:eastAsia="黑体" w:cs="Times New Roman"/>
          <w:b/>
          <w:bCs/>
          <w:color w:val="auto"/>
          <w:sz w:val="24"/>
          <w:highlight w:val="none"/>
        </w:rPr>
      </w:pPr>
      <w:bookmarkStart w:id="38" w:name="_Toc35393626"/>
      <w:bookmarkStart w:id="39" w:name="_Toc35393795"/>
      <w:r>
        <w:rPr>
          <w:rFonts w:hint="eastAsia" w:ascii="黑体" w:hAnsi="黑体" w:eastAsia="黑体" w:cs="Times New Roman"/>
          <w:b/>
          <w:bCs/>
          <w:color w:val="auto"/>
          <w:sz w:val="24"/>
          <w:highlight w:val="none"/>
        </w:rPr>
        <w:t>六、其他补充事宜</w:t>
      </w:r>
      <w:bookmarkEnd w:id="38"/>
      <w:bookmarkEnd w:id="39"/>
    </w:p>
    <w:p w14:paraId="17D1E7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szCs w:val="21"/>
          <w:highlight w:val="none"/>
          <w:lang w:eastAsia="zh-CN"/>
        </w:rPr>
      </w:pPr>
      <w:r>
        <w:rPr>
          <w:rFonts w:hint="eastAsia" w:ascii="宋体" w:hAnsi="宋体" w:eastAsia="宋体" w:cs="宋体"/>
          <w:b w:val="0"/>
          <w:bCs w:val="0"/>
          <w:color w:val="auto"/>
          <w:kern w:val="0"/>
          <w:szCs w:val="21"/>
          <w:highlight w:val="none"/>
        </w:rPr>
        <w:t>1.投标保证金：</w:t>
      </w:r>
      <w:r>
        <w:rPr>
          <w:rFonts w:hint="eastAsia" w:ascii="宋体" w:hAnsi="宋体" w:cs="宋体"/>
          <w:b w:val="0"/>
          <w:bCs w:val="0"/>
          <w:color w:val="auto"/>
          <w:szCs w:val="21"/>
          <w:highlight w:val="none"/>
          <w:lang w:eastAsia="zh-CN"/>
        </w:rPr>
        <w:t>本项目不需要缴</w:t>
      </w:r>
      <w:r>
        <w:rPr>
          <w:rFonts w:hint="eastAsia" w:ascii="宋体" w:hAnsi="宋体" w:cs="宋体"/>
          <w:b w:val="0"/>
          <w:bCs w:val="0"/>
          <w:color w:val="auto"/>
          <w:kern w:val="0"/>
          <w:szCs w:val="21"/>
          <w:highlight w:val="none"/>
        </w:rPr>
        <w:t>纳</w:t>
      </w:r>
      <w:r>
        <w:rPr>
          <w:rFonts w:hint="eastAsia" w:ascii="宋体" w:hAnsi="宋体" w:cs="宋体"/>
          <w:b w:val="0"/>
          <w:bCs w:val="0"/>
          <w:color w:val="auto"/>
          <w:szCs w:val="21"/>
          <w:highlight w:val="none"/>
          <w:lang w:eastAsia="zh-CN"/>
        </w:rPr>
        <w:t>投标保证金。</w:t>
      </w:r>
    </w:p>
    <w:p w14:paraId="51F466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2</w:t>
      </w:r>
      <w:r>
        <w:rPr>
          <w:rFonts w:hint="eastAsia" w:ascii="宋体" w:hAnsi="宋体" w:eastAsia="宋体" w:cs="宋体"/>
          <w:b w:val="0"/>
          <w:bCs w:val="0"/>
          <w:color w:val="auto"/>
          <w:kern w:val="0"/>
          <w:szCs w:val="21"/>
          <w:highlight w:val="none"/>
          <w:lang w:val="en-US" w:eastAsia="zh-CN"/>
        </w:rPr>
        <w:t>.网上查询地址</w:t>
      </w:r>
      <w:r>
        <w:rPr>
          <w:rFonts w:hint="eastAsia" w:ascii="宋体" w:hAnsi="宋体" w:cs="宋体"/>
          <w:b w:val="0"/>
          <w:bCs w:val="0"/>
          <w:color w:val="auto"/>
          <w:kern w:val="0"/>
          <w:szCs w:val="21"/>
          <w:highlight w:val="none"/>
          <w:lang w:val="en-US" w:eastAsia="zh-CN"/>
        </w:rPr>
        <w:t>：</w:t>
      </w:r>
    </w:p>
    <w:p w14:paraId="0060B3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http://www.ccgp.gov.cn/（中国政府采购网）、</w:t>
      </w:r>
      <w:r>
        <w:rPr>
          <w:rFonts w:hint="eastAsia" w:ascii="宋体" w:hAnsi="宋体" w:eastAsia="宋体" w:cs="宋体"/>
          <w:i w:val="0"/>
          <w:caps w:val="0"/>
          <w:color w:val="auto"/>
          <w:spacing w:val="0"/>
          <w:sz w:val="21"/>
          <w:szCs w:val="21"/>
          <w:highlight w:val="none"/>
        </w:rPr>
        <w:t>http://zfcg.gxzf.gov.cn/</w:t>
      </w:r>
      <w:r>
        <w:rPr>
          <w:rFonts w:hint="eastAsia" w:ascii="宋体" w:hAnsi="宋体" w:eastAsia="宋体" w:cs="宋体"/>
          <w:color w:val="auto"/>
          <w:kern w:val="0"/>
          <w:szCs w:val="21"/>
          <w:highlight w:val="none"/>
          <w:lang w:val="en-US" w:eastAsia="zh-CN"/>
        </w:rPr>
        <w:t>(广西政府采购网)</w:t>
      </w:r>
      <w:r>
        <w:rPr>
          <w:rFonts w:hint="eastAsia" w:ascii="宋体" w:hAnsi="宋体" w:cs="宋体"/>
          <w:color w:val="auto"/>
          <w:highlight w:val="none"/>
        </w:rPr>
        <w:t>、http：//zfcg.czj.gxgg.gov.cn/（贵港市政府采购网）、http：//ggzy.jgswj.gxzf.gov.cn/ggggzy/[全国公共资源交易平台（广西·贵港）]。</w:t>
      </w:r>
    </w:p>
    <w:p w14:paraId="266339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.本项目需要落实的政府采购政策：</w:t>
      </w:r>
    </w:p>
    <w:p w14:paraId="481019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3A72B7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5AAFE2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（3）强制采购节能产品；优先采购节能产品、环境标志产品。</w:t>
      </w:r>
    </w:p>
    <w:p w14:paraId="3D3C3C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（4）政府采购促进残疾人就业政策。</w:t>
      </w:r>
    </w:p>
    <w:p w14:paraId="563E59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（5）政府采购支持监狱企业发展。</w:t>
      </w:r>
    </w:p>
    <w:p w14:paraId="119CA7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lang w:val="en-US" w:eastAsia="zh-CN"/>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B4606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lang w:val="en-US" w:eastAsia="zh-CN"/>
        </w:rPr>
        <w:t>.对在“信用中国”网站(www.creditchina.gov.cn) 、中国政府采购网(www.ccgp.gov.cn)被列入失信被执行人、</w:t>
      </w:r>
      <w:r>
        <w:rPr>
          <w:rFonts w:hint="eastAsia" w:ascii="宋体" w:hAnsi="宋体" w:cs="宋体"/>
          <w:color w:val="auto"/>
          <w:szCs w:val="21"/>
          <w:highlight w:val="none"/>
          <w:lang w:eastAsia="zh-CN"/>
        </w:rPr>
        <w:t>重大税收违法失信主体</w:t>
      </w:r>
      <w:r>
        <w:rPr>
          <w:rFonts w:hint="eastAsia" w:ascii="宋体" w:hAnsi="宋体" w:eastAsia="宋体" w:cs="宋体"/>
          <w:color w:val="auto"/>
          <w:kern w:val="0"/>
          <w:szCs w:val="21"/>
          <w:highlight w:val="none"/>
          <w:lang w:val="en-US" w:eastAsia="zh-CN"/>
        </w:rPr>
        <w:t>、政府采购严重违法失信行为记录名单及其他不符合《中华人民共和国政府采购法》第二十二条规定条件的供应商，不得参与政府采购活动。</w:t>
      </w:r>
    </w:p>
    <w:p w14:paraId="4605218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kern w:val="0"/>
          <w:szCs w:val="21"/>
          <w:highlight w:val="none"/>
        </w:rPr>
      </w:pP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lang w:eastAsia="zh-CN"/>
        </w:rPr>
        <w:t>.</w:t>
      </w:r>
      <w:r>
        <w:rPr>
          <w:rFonts w:hint="eastAsia" w:ascii="宋体" w:hAnsi="宋体" w:cs="宋体"/>
          <w:b/>
          <w:bCs/>
          <w:color w:val="auto"/>
          <w:szCs w:val="21"/>
          <w:highlight w:val="none"/>
        </w:rPr>
        <w:t>在线投标</w:t>
      </w:r>
      <w:r>
        <w:rPr>
          <w:rFonts w:hint="eastAsia" w:ascii="宋体" w:hAnsi="宋体" w:cs="宋体"/>
          <w:b/>
          <w:bCs/>
          <w:color w:val="auto"/>
          <w:szCs w:val="21"/>
          <w:highlight w:val="none"/>
          <w:lang w:eastAsia="zh-CN"/>
        </w:rPr>
        <w:t>的有关</w:t>
      </w:r>
      <w:r>
        <w:rPr>
          <w:rFonts w:hint="eastAsia" w:ascii="宋体" w:hAnsi="宋体" w:cs="宋体"/>
          <w:b/>
          <w:bCs/>
          <w:color w:val="auto"/>
          <w:szCs w:val="21"/>
          <w:highlight w:val="none"/>
        </w:rPr>
        <w:t>说明</w:t>
      </w:r>
      <w:r>
        <w:rPr>
          <w:rFonts w:hint="eastAsia" w:ascii="宋体" w:hAnsi="宋体" w:eastAsia="宋体" w:cs="宋体"/>
          <w:b/>
          <w:bCs/>
          <w:color w:val="auto"/>
          <w:kern w:val="0"/>
          <w:szCs w:val="21"/>
          <w:highlight w:val="none"/>
        </w:rPr>
        <w:t>：</w:t>
      </w:r>
    </w:p>
    <w:p w14:paraId="5FF6785C">
      <w:pPr>
        <w:widowControl/>
        <w:spacing w:line="360" w:lineRule="auto"/>
        <w:ind w:firstLine="420" w:firstLineChars="200"/>
        <w:jc w:val="left"/>
        <w:rPr>
          <w:rFonts w:hint="eastAsia" w:ascii="宋体" w:hAnsi="宋体" w:eastAsia="宋体" w:cs="Times New Roman"/>
          <w:b w:val="0"/>
          <w:bCs w:val="0"/>
          <w:color w:val="auto"/>
          <w:szCs w:val="21"/>
          <w:highlight w:val="none"/>
          <w:u w:val="none"/>
        </w:rPr>
      </w:pPr>
      <w:r>
        <w:rPr>
          <w:rFonts w:hint="eastAsia" w:ascii="宋体" w:hAnsi="宋体" w:eastAsia="宋体" w:cs="Times New Roman"/>
          <w:color w:val="auto"/>
          <w:szCs w:val="21"/>
          <w:highlight w:val="none"/>
        </w:rPr>
        <w:t>（1）投标文件提交方式：本项目为全流程电子化项目，通过</w:t>
      </w:r>
      <w:r>
        <w:rPr>
          <w:rFonts w:hint="eastAsia" w:ascii="宋体" w:hAnsi="宋体" w:cs="宋体"/>
          <w:b w:val="0"/>
          <w:bCs w:val="0"/>
          <w:color w:val="auto"/>
          <w:sz w:val="21"/>
          <w:szCs w:val="21"/>
          <w:highlight w:val="none"/>
          <w:lang w:val="en-US" w:eastAsia="zh-CN"/>
        </w:rPr>
        <w:t>广西政府采购云平台（https://www.gcy.zfcg.gxzf.gov.cn/）</w:t>
      </w:r>
      <w:r>
        <w:rPr>
          <w:rFonts w:hint="eastAsia" w:ascii="宋体" w:hAnsi="宋体" w:eastAsia="宋体" w:cs="Times New Roman"/>
          <w:b w:val="0"/>
          <w:bCs w:val="0"/>
          <w:color w:val="auto"/>
          <w:szCs w:val="21"/>
          <w:highlight w:val="none"/>
          <w:u w:val="none"/>
        </w:rPr>
        <w:t>实行在线电子投标，供应商应先安装</w:t>
      </w:r>
      <w:r>
        <w:rPr>
          <w:rFonts w:hint="eastAsia" w:ascii="宋体" w:hAnsi="宋体" w:cs="宋体"/>
          <w:b w:val="0"/>
          <w:bCs w:val="0"/>
          <w:color w:val="auto"/>
          <w:sz w:val="21"/>
          <w:szCs w:val="21"/>
          <w:highlight w:val="none"/>
          <w:lang w:val="en-US" w:eastAsia="zh-CN"/>
        </w:rPr>
        <w:t>广西政府采购云平台新版客户端</w:t>
      </w:r>
      <w:r>
        <w:rPr>
          <w:rFonts w:hint="eastAsia" w:ascii="宋体" w:hAnsi="宋体" w:cs="宋体"/>
          <w:color w:val="auto"/>
          <w:szCs w:val="21"/>
          <w:highlight w:val="none"/>
        </w:rPr>
        <w:t>（新版</w:t>
      </w:r>
      <w:r>
        <w:rPr>
          <w:rFonts w:hint="eastAsia" w:ascii="宋体" w:hAnsi="宋体" w:eastAsia="宋体" w:cs="宋体"/>
          <w:i w:val="0"/>
          <w:caps w:val="0"/>
          <w:color w:val="auto"/>
          <w:spacing w:val="0"/>
          <w:sz w:val="21"/>
          <w:szCs w:val="21"/>
          <w:highlight w:val="none"/>
        </w:rPr>
        <w:t>客户端下载路径：广西政府采购网（访问地址http://zfcg.gxzf.gov.cn/）—办事服务—下载专区</w:t>
      </w:r>
      <w:r>
        <w:rPr>
          <w:rFonts w:hint="eastAsia" w:ascii="宋体" w:hAnsi="宋体" w:cs="宋体"/>
          <w:color w:val="auto"/>
          <w:szCs w:val="21"/>
          <w:highlight w:val="none"/>
        </w:rPr>
        <w:t>）</w:t>
      </w:r>
      <w:r>
        <w:rPr>
          <w:rFonts w:hint="eastAsia" w:ascii="宋体" w:hAnsi="宋体" w:eastAsia="宋体" w:cs="Times New Roman"/>
          <w:b w:val="0"/>
          <w:bCs w:val="0"/>
          <w:color w:val="auto"/>
          <w:szCs w:val="21"/>
          <w:highlight w:val="none"/>
          <w:u w:val="none"/>
        </w:rPr>
        <w:t>，并按照本项目招标文件和</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b w:val="0"/>
          <w:bCs w:val="0"/>
          <w:color w:val="auto"/>
          <w:szCs w:val="21"/>
          <w:highlight w:val="none"/>
          <w:u w:val="none"/>
        </w:rPr>
        <w:t>的要求编制、加密后在投标截止时间前通过网络上传至</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b w:val="0"/>
          <w:bCs w:val="0"/>
          <w:color w:val="auto"/>
          <w:szCs w:val="21"/>
          <w:highlight w:val="none"/>
          <w:u w:val="none"/>
        </w:rPr>
        <w:t>，</w:t>
      </w:r>
      <w:r>
        <w:rPr>
          <w:rFonts w:hint="eastAsia" w:ascii="宋体" w:hAnsi="宋体" w:cs="Times New Roman"/>
          <w:b/>
          <w:bCs/>
          <w:color w:val="auto"/>
          <w:szCs w:val="21"/>
          <w:highlight w:val="none"/>
          <w:u w:val="none"/>
          <w:lang w:eastAsia="zh-CN"/>
        </w:rPr>
        <w:t>投标人</w:t>
      </w:r>
      <w:r>
        <w:rPr>
          <w:rFonts w:hint="eastAsia" w:ascii="宋体" w:hAnsi="宋体" w:eastAsia="宋体" w:cs="Times New Roman"/>
          <w:b/>
          <w:bCs/>
          <w:color w:val="auto"/>
          <w:szCs w:val="21"/>
          <w:highlight w:val="none"/>
          <w:u w:val="none"/>
        </w:rPr>
        <w:t>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b/>
          <w:bCs/>
          <w:color w:val="auto"/>
          <w:szCs w:val="21"/>
          <w:highlight w:val="none"/>
          <w:u w:val="none"/>
        </w:rPr>
        <w:t>提交电子版投标文件时，请填写参加远程开标活动经办人联系方式</w:t>
      </w:r>
      <w:r>
        <w:rPr>
          <w:rFonts w:hint="eastAsia" w:ascii="宋体" w:hAnsi="宋体" w:eastAsia="宋体" w:cs="Times New Roman"/>
          <w:b w:val="0"/>
          <w:bCs w:val="0"/>
          <w:color w:val="auto"/>
          <w:szCs w:val="21"/>
          <w:highlight w:val="none"/>
          <w:u w:val="none"/>
        </w:rPr>
        <w:t>。</w:t>
      </w:r>
    </w:p>
    <w:p w14:paraId="60FCB355">
      <w:pPr>
        <w:widowControl/>
        <w:spacing w:line="360" w:lineRule="auto"/>
        <w:ind w:firstLine="420" w:firstLineChars="200"/>
        <w:jc w:val="left"/>
        <w:rPr>
          <w:rFonts w:hint="eastAsia" w:ascii="宋体" w:hAnsi="宋体" w:eastAsia="宋体" w:cs="Times New Roman"/>
          <w:b w:val="0"/>
          <w:bCs w:val="0"/>
          <w:color w:val="auto"/>
          <w:szCs w:val="21"/>
          <w:highlight w:val="none"/>
          <w:u w:val="none"/>
        </w:rPr>
      </w:pPr>
      <w:r>
        <w:rPr>
          <w:rFonts w:hint="eastAsia" w:ascii="宋体" w:hAnsi="宋体" w:eastAsia="宋体" w:cs="Times New Roman"/>
          <w:b w:val="0"/>
          <w:bCs w:val="0"/>
          <w:color w:val="auto"/>
          <w:szCs w:val="21"/>
          <w:highlight w:val="none"/>
          <w:u w:val="none"/>
        </w:rPr>
        <w:t>（2）未进行网上注册并办理数字证书（CA认证）的供应商将无法参与本项目政府采购活动，潜在</w:t>
      </w:r>
      <w:r>
        <w:rPr>
          <w:rFonts w:hint="eastAsia" w:ascii="宋体" w:hAnsi="宋体" w:cs="Times New Roman"/>
          <w:b w:val="0"/>
          <w:bCs w:val="0"/>
          <w:color w:val="auto"/>
          <w:szCs w:val="21"/>
          <w:highlight w:val="none"/>
          <w:u w:val="none"/>
          <w:lang w:eastAsia="zh-CN"/>
        </w:rPr>
        <w:t>投标人</w:t>
      </w:r>
      <w:r>
        <w:rPr>
          <w:rFonts w:hint="eastAsia" w:ascii="宋体" w:hAnsi="宋体" w:eastAsia="宋体" w:cs="Times New Roman"/>
          <w:b w:val="0"/>
          <w:bCs w:val="0"/>
          <w:color w:val="auto"/>
          <w:szCs w:val="21"/>
          <w:highlight w:val="none"/>
          <w:u w:val="none"/>
        </w:rPr>
        <w:t>应当在投标截止时间前，完成电子交易平台上的CA数字证书办理及投标文件的提交。</w:t>
      </w:r>
    </w:p>
    <w:p w14:paraId="1BEF50F2">
      <w:pPr>
        <w:widowControl/>
        <w:spacing w:line="360" w:lineRule="auto"/>
        <w:ind w:firstLine="420" w:firstLineChars="200"/>
        <w:jc w:val="left"/>
        <w:rPr>
          <w:rFonts w:hint="eastAsia" w:ascii="宋体" w:hAnsi="宋体" w:eastAsia="宋体" w:cs="Times New Roman"/>
          <w:b w:val="0"/>
          <w:bCs w:val="0"/>
          <w:color w:val="auto"/>
          <w:szCs w:val="21"/>
          <w:highlight w:val="none"/>
          <w:u w:val="none"/>
        </w:rPr>
      </w:pPr>
      <w:r>
        <w:rPr>
          <w:rFonts w:hint="eastAsia" w:ascii="宋体" w:hAnsi="宋体" w:eastAsia="宋体" w:cs="Times New Roman"/>
          <w:b w:val="0"/>
          <w:bCs w:val="0"/>
          <w:color w:val="auto"/>
          <w:szCs w:val="21"/>
          <w:highlight w:val="none"/>
          <w:u w:val="none"/>
        </w:rPr>
        <w:t>（3）为确保网上操作合法、有效和安全，请投标</w:t>
      </w:r>
      <w:r>
        <w:rPr>
          <w:rFonts w:hint="eastAsia" w:ascii="宋体" w:hAnsi="宋体" w:cs="Times New Roman"/>
          <w:b w:val="0"/>
          <w:bCs w:val="0"/>
          <w:color w:val="auto"/>
          <w:szCs w:val="21"/>
          <w:highlight w:val="none"/>
          <w:u w:val="none"/>
          <w:lang w:eastAsia="zh-CN"/>
        </w:rPr>
        <w:t>人</w:t>
      </w:r>
      <w:r>
        <w:rPr>
          <w:rFonts w:hint="eastAsia" w:ascii="宋体" w:hAnsi="宋体" w:eastAsia="宋体" w:cs="Times New Roman"/>
          <w:b w:val="0"/>
          <w:bCs w:val="0"/>
          <w:color w:val="auto"/>
          <w:szCs w:val="21"/>
          <w:highlight w:val="none"/>
          <w:u w:val="none"/>
        </w:rPr>
        <w:t>确保在电子投标过程中能够对相关数据电文进行加密和使用电子签章，妥善保管CA数字证书并使用有效的CA数字证书参与整个招标活动。</w:t>
      </w:r>
    </w:p>
    <w:p w14:paraId="3443C710">
      <w:pPr>
        <w:spacing w:line="360" w:lineRule="auto"/>
        <w:ind w:firstLine="422" w:firstLineChars="200"/>
        <w:rPr>
          <w:rFonts w:hint="eastAsia" w:ascii="宋体" w:hAnsi="宋体" w:eastAsia="宋体" w:cs="Times New Roman"/>
          <w:b/>
          <w:bCs/>
          <w:color w:val="auto"/>
          <w:szCs w:val="21"/>
          <w:highlight w:val="none"/>
          <w:u w:val="none"/>
        </w:rPr>
      </w:pPr>
      <w:r>
        <w:rPr>
          <w:rFonts w:hint="eastAsia" w:ascii="宋体" w:hAnsi="宋体" w:eastAsia="宋体" w:cs="Times New Roman"/>
          <w:b/>
          <w:bCs/>
          <w:color w:val="auto"/>
          <w:szCs w:val="21"/>
          <w:highlight w:val="none"/>
          <w:u w:val="non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ascii="宋体" w:hAnsi="宋体" w:cs="Times New Roman"/>
          <w:b/>
          <w:bCs/>
          <w:color w:val="auto"/>
          <w:sz w:val="21"/>
          <w:szCs w:val="21"/>
          <w:highlight w:val="none"/>
          <w:u w:val="none"/>
          <w:lang w:val="en-US" w:eastAsia="zh-CN"/>
        </w:rPr>
        <w:t>广西政府采购云平台</w:t>
      </w:r>
      <w:r>
        <w:rPr>
          <w:rFonts w:hint="eastAsia" w:ascii="宋体" w:hAnsi="宋体" w:eastAsia="宋体" w:cs="Times New Roman"/>
          <w:b/>
          <w:bCs/>
          <w:color w:val="auto"/>
          <w:szCs w:val="21"/>
          <w:highlight w:val="none"/>
          <w:u w:val="none"/>
        </w:rPr>
        <w:t>将予以拒收。</w:t>
      </w:r>
    </w:p>
    <w:p w14:paraId="65B324D1">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）CA证书在线解密：</w:t>
      </w:r>
      <w:r>
        <w:rPr>
          <w:rFonts w:hint="eastAsia" w:ascii="宋体" w:hAnsi="宋体" w:cs="宋体"/>
          <w:color w:val="auto"/>
          <w:kern w:val="0"/>
          <w:szCs w:val="21"/>
          <w:highlight w:val="none"/>
          <w:lang w:eastAsia="zh-CN"/>
        </w:rPr>
        <w:t>投标人</w:t>
      </w:r>
      <w:r>
        <w:rPr>
          <w:rFonts w:hint="eastAsia" w:ascii="宋体" w:hAnsi="宋体" w:eastAsia="宋体" w:cs="宋体"/>
          <w:color w:val="auto"/>
          <w:kern w:val="0"/>
          <w:szCs w:val="21"/>
          <w:highlight w:val="none"/>
        </w:rPr>
        <w:t>投标时，需携带制作投标文件时用来加密的有效数字证书（CA认证）登录</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kern w:val="0"/>
          <w:szCs w:val="21"/>
          <w:highlight w:val="none"/>
        </w:rPr>
        <w:t>电子开标大厅现场按规定时间对加密的投标文件进行解密。</w:t>
      </w:r>
    </w:p>
    <w:p w14:paraId="5FF7E0E1">
      <w:pPr>
        <w:snapToGrid w:val="0"/>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）若对项目采购电子交易系统操作有疑问，可登录</w:t>
      </w:r>
      <w:r>
        <w:rPr>
          <w:rFonts w:hint="eastAsia" w:ascii="宋体" w:hAnsi="宋体" w:cs="宋体"/>
          <w:b w:val="0"/>
          <w:bCs w:val="0"/>
          <w:color w:val="auto"/>
          <w:sz w:val="21"/>
          <w:szCs w:val="21"/>
          <w:highlight w:val="none"/>
          <w:lang w:val="en-US" w:eastAsia="zh-CN"/>
        </w:rPr>
        <w:t>广西政府采购云平台（https://www.gcy.zfcg.gxzf.gov.cn/）</w:t>
      </w:r>
      <w:r>
        <w:rPr>
          <w:rFonts w:hint="eastAsia" w:ascii="宋体" w:hAnsi="宋体" w:eastAsia="宋体" w:cs="宋体"/>
          <w:color w:val="auto"/>
          <w:kern w:val="0"/>
          <w:szCs w:val="21"/>
          <w:highlight w:val="none"/>
          <w:lang w:eastAsia="zh-CN"/>
        </w:rPr>
        <w:t>，点击右侧咨询小采，获取采小蜜智能服务管家帮助，或拨打</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kern w:val="0"/>
          <w:szCs w:val="21"/>
          <w:highlight w:val="none"/>
          <w:lang w:eastAsia="zh-CN"/>
        </w:rPr>
        <w:t>服务热线</w:t>
      </w:r>
      <w:r>
        <w:rPr>
          <w:rFonts w:hint="eastAsia" w:ascii="宋体" w:hAnsi="宋体" w:eastAsia="宋体" w:cs="宋体"/>
          <w:color w:val="auto"/>
          <w:kern w:val="0"/>
          <w:szCs w:val="21"/>
          <w:highlight w:val="none"/>
          <w:lang w:val="en-US" w:eastAsia="zh-CN"/>
        </w:rPr>
        <w:t>95763</w:t>
      </w:r>
      <w:r>
        <w:rPr>
          <w:rFonts w:hint="eastAsia" w:ascii="宋体" w:hAnsi="宋体" w:eastAsia="宋体" w:cs="宋体"/>
          <w:color w:val="auto"/>
          <w:kern w:val="0"/>
          <w:szCs w:val="21"/>
          <w:highlight w:val="none"/>
          <w:lang w:eastAsia="zh-CN"/>
        </w:rPr>
        <w:t>获取热线服务帮助。</w:t>
      </w:r>
    </w:p>
    <w:p w14:paraId="45EDD6CA">
      <w:pPr>
        <w:shd w:val="clear" w:color="auto" w:fill="auto"/>
        <w:wordWrap w:val="0"/>
        <w:spacing w:line="440" w:lineRule="exact"/>
        <w:ind w:firstLine="422" w:firstLineChars="20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lang w:val="en-US" w:eastAsia="zh-CN"/>
        </w:rPr>
        <w:t>7.</w:t>
      </w:r>
      <w:r>
        <w:rPr>
          <w:rFonts w:hint="eastAsia" w:ascii="宋体" w:hAnsi="宋体" w:cs="宋体"/>
          <w:b/>
          <w:color w:val="auto"/>
          <w:kern w:val="0"/>
          <w:szCs w:val="21"/>
          <w:highlight w:val="none"/>
        </w:rPr>
        <w:t>监督部门：</w:t>
      </w:r>
    </w:p>
    <w:p w14:paraId="1D669BEF">
      <w:pPr>
        <w:shd w:val="clear" w:color="auto" w:fill="auto"/>
        <w:wordWrap w:val="0"/>
        <w:spacing w:line="440" w:lineRule="exact"/>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贵港市财政局政府采购监督管理</w:t>
      </w:r>
      <w:r>
        <w:rPr>
          <w:rFonts w:hint="eastAsia" w:ascii="宋体" w:hAnsi="宋体" w:cs="宋体"/>
          <w:bCs/>
          <w:color w:val="auto"/>
          <w:kern w:val="0"/>
          <w:szCs w:val="21"/>
          <w:highlight w:val="none"/>
          <w:lang w:eastAsia="zh-CN"/>
        </w:rPr>
        <w:t>科</w:t>
      </w:r>
      <w:r>
        <w:rPr>
          <w:rFonts w:hint="eastAsia" w:ascii="宋体" w:hAnsi="宋体" w:cs="宋体"/>
          <w:bCs/>
          <w:color w:val="auto"/>
          <w:kern w:val="0"/>
          <w:szCs w:val="21"/>
          <w:highlight w:val="none"/>
        </w:rPr>
        <w:t xml:space="preserve">   联系电话：0775-4555290</w:t>
      </w:r>
    </w:p>
    <w:p w14:paraId="13064377">
      <w:pPr>
        <w:spacing w:line="360" w:lineRule="auto"/>
        <w:rPr>
          <w:rFonts w:hint="eastAsia" w:ascii="黑体" w:hAnsi="黑体" w:eastAsia="黑体" w:cs="Times New Roman"/>
          <w:b/>
          <w:bCs/>
          <w:color w:val="auto"/>
          <w:sz w:val="24"/>
          <w:highlight w:val="none"/>
        </w:rPr>
      </w:pPr>
      <w:bookmarkStart w:id="40" w:name="_Toc35393796"/>
      <w:bookmarkStart w:id="41" w:name="_Toc28359085"/>
      <w:bookmarkStart w:id="42" w:name="_Toc28359008"/>
      <w:bookmarkStart w:id="43" w:name="_Toc35393627"/>
      <w:r>
        <w:rPr>
          <w:rFonts w:hint="eastAsia" w:ascii="黑体" w:hAnsi="黑体" w:eastAsia="黑体" w:cs="Times New Roman"/>
          <w:b/>
          <w:bCs/>
          <w:color w:val="auto"/>
          <w:sz w:val="24"/>
          <w:highlight w:val="none"/>
        </w:rPr>
        <w:t>七、对本次招标提出询问，请按以下方式联系。</w:t>
      </w:r>
      <w:bookmarkEnd w:id="40"/>
      <w:bookmarkEnd w:id="41"/>
      <w:bookmarkEnd w:id="42"/>
      <w:bookmarkEnd w:id="43"/>
    </w:p>
    <w:p w14:paraId="1738051F">
      <w:pPr>
        <w:keepNext w:val="0"/>
        <w:keepLines w:val="0"/>
        <w:pageBreakBefore w:val="0"/>
        <w:widowControl w:val="0"/>
        <w:shd w:val="clear" w:color="auto" w:fill="auto"/>
        <w:kinsoku/>
        <w:wordWrap w:val="0"/>
        <w:overflowPunct/>
        <w:topLinePunct w:val="0"/>
        <w:autoSpaceDE/>
        <w:autoSpaceDN/>
        <w:bidi w:val="0"/>
        <w:adjustRightInd/>
        <w:snapToGrid/>
        <w:spacing w:line="3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人信息</w:t>
      </w:r>
    </w:p>
    <w:p w14:paraId="646CBEFF">
      <w:pPr>
        <w:keepNext w:val="0"/>
        <w:keepLines w:val="0"/>
        <w:pageBreakBefore w:val="0"/>
        <w:widowControl w:val="0"/>
        <w:shd w:val="clear" w:color="auto" w:fill="auto"/>
        <w:kinsoku/>
        <w:wordWrap w:val="0"/>
        <w:overflowPunct/>
        <w:topLinePunct w:val="0"/>
        <w:autoSpaceDE/>
        <w:autoSpaceDN/>
        <w:bidi w:val="0"/>
        <w:adjustRightInd/>
        <w:snapToGrid/>
        <w:spacing w:line="34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lang w:eastAsia="zh-CN"/>
        </w:rPr>
        <w:t>贵港市江南中学</w:t>
      </w:r>
    </w:p>
    <w:p w14:paraId="2E1AFF2E">
      <w:pPr>
        <w:keepNext w:val="0"/>
        <w:keepLines w:val="0"/>
        <w:pageBreakBefore w:val="0"/>
        <w:widowControl w:val="0"/>
        <w:shd w:val="clear" w:color="auto" w:fill="auto"/>
        <w:kinsoku/>
        <w:wordWrap w:val="0"/>
        <w:overflowPunct/>
        <w:topLinePunct w:val="0"/>
        <w:autoSpaceDE/>
        <w:autoSpaceDN/>
        <w:bidi w:val="0"/>
        <w:adjustRightInd/>
        <w:snapToGrid/>
        <w:spacing w:line="340" w:lineRule="exact"/>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地    址：贵港市港南区江南大道207号</w:t>
      </w:r>
    </w:p>
    <w:p w14:paraId="31DC037B">
      <w:pPr>
        <w:keepNext w:val="0"/>
        <w:keepLines w:val="0"/>
        <w:pageBreakBefore w:val="0"/>
        <w:widowControl w:val="0"/>
        <w:shd w:val="clear" w:color="auto" w:fill="auto"/>
        <w:kinsoku/>
        <w:wordWrap w:val="0"/>
        <w:overflowPunct/>
        <w:topLinePunct w:val="0"/>
        <w:autoSpaceDE/>
        <w:autoSpaceDN/>
        <w:bidi w:val="0"/>
        <w:adjustRightInd/>
        <w:snapToGrid/>
        <w:spacing w:line="340" w:lineRule="exact"/>
        <w:ind w:firstLine="420" w:firstLineChars="200"/>
        <w:jc w:val="left"/>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rPr>
        <w:t>联系方式：</w:t>
      </w:r>
      <w:r>
        <w:rPr>
          <w:rFonts w:hint="eastAsia" w:ascii="宋体" w:hAnsi="宋体" w:cs="宋体"/>
          <w:color w:val="auto"/>
          <w:szCs w:val="21"/>
          <w:highlight w:val="none"/>
          <w:lang w:eastAsia="zh-CN"/>
        </w:rPr>
        <w:t>梁品炎</w:t>
      </w:r>
    </w:p>
    <w:p w14:paraId="336A179A">
      <w:pPr>
        <w:keepNext w:val="0"/>
        <w:keepLines w:val="0"/>
        <w:pageBreakBefore w:val="0"/>
        <w:widowControl w:val="0"/>
        <w:shd w:val="clear" w:color="auto" w:fill="auto"/>
        <w:kinsoku/>
        <w:wordWrap w:val="0"/>
        <w:overflowPunct/>
        <w:topLinePunct w:val="0"/>
        <w:autoSpaceDE/>
        <w:autoSpaceDN/>
        <w:bidi w:val="0"/>
        <w:adjustRightInd/>
        <w:snapToGrid/>
        <w:spacing w:line="340" w:lineRule="exact"/>
        <w:ind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eastAsia="zh-CN"/>
        </w:rPr>
        <w:t>电</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话：</w:t>
      </w:r>
      <w:r>
        <w:rPr>
          <w:rFonts w:hint="eastAsia" w:ascii="宋体" w:hAnsi="宋体" w:cs="宋体"/>
          <w:color w:val="auto"/>
          <w:szCs w:val="21"/>
          <w:highlight w:val="none"/>
          <w:lang w:val="en-US" w:eastAsia="zh-CN"/>
        </w:rPr>
        <w:t>0775-4332645</w:t>
      </w:r>
    </w:p>
    <w:p w14:paraId="29939762">
      <w:pPr>
        <w:keepNext w:val="0"/>
        <w:keepLines w:val="0"/>
        <w:pageBreakBefore w:val="0"/>
        <w:widowControl w:val="0"/>
        <w:shd w:val="clear" w:color="auto" w:fill="auto"/>
        <w:kinsoku/>
        <w:wordWrap w:val="0"/>
        <w:overflowPunct/>
        <w:topLinePunct w:val="0"/>
        <w:autoSpaceDE/>
        <w:autoSpaceDN/>
        <w:bidi w:val="0"/>
        <w:adjustRightInd/>
        <w:snapToGrid/>
        <w:spacing w:line="3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2.采购代理机构信息</w:t>
      </w:r>
    </w:p>
    <w:p w14:paraId="0AE493B1">
      <w:pPr>
        <w:keepNext w:val="0"/>
        <w:keepLines w:val="0"/>
        <w:pageBreakBefore w:val="0"/>
        <w:widowControl w:val="0"/>
        <w:shd w:val="clear" w:color="auto" w:fill="auto"/>
        <w:kinsoku/>
        <w:wordWrap w:val="0"/>
        <w:overflowPunct/>
        <w:topLinePunct w:val="0"/>
        <w:autoSpaceDE/>
        <w:autoSpaceDN/>
        <w:bidi w:val="0"/>
        <w:adjustRightInd/>
        <w:snapToGrid/>
        <w:spacing w:line="34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lang w:eastAsia="zh-CN"/>
        </w:rPr>
        <w:t>广西云立方工程管理有限公司</w:t>
      </w:r>
    </w:p>
    <w:p w14:paraId="411EC6BE">
      <w:pPr>
        <w:keepNext w:val="0"/>
        <w:keepLines w:val="0"/>
        <w:pageBreakBefore w:val="0"/>
        <w:widowControl w:val="0"/>
        <w:shd w:val="clear" w:color="auto" w:fill="auto"/>
        <w:kinsoku/>
        <w:wordWrap w:val="0"/>
        <w:overflowPunct/>
        <w:topLinePunct w:val="0"/>
        <w:autoSpaceDE/>
        <w:autoSpaceDN/>
        <w:bidi w:val="0"/>
        <w:adjustRightInd/>
        <w:snapToGrid/>
        <w:spacing w:line="34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　　址：</w:t>
      </w:r>
      <w:r>
        <w:rPr>
          <w:rFonts w:hint="eastAsia" w:ascii="宋体" w:hAnsi="宋体" w:cs="宋体"/>
          <w:color w:val="auto"/>
          <w:szCs w:val="21"/>
          <w:highlight w:val="none"/>
          <w:lang w:eastAsia="zh-CN"/>
        </w:rPr>
        <w:t>贵港市港北区金港大道935号（财富中心）1幢1725号</w:t>
      </w:r>
    </w:p>
    <w:p w14:paraId="1F629CF0">
      <w:pPr>
        <w:keepNext w:val="0"/>
        <w:keepLines w:val="0"/>
        <w:pageBreakBefore w:val="0"/>
        <w:widowControl w:val="0"/>
        <w:shd w:val="clear" w:color="auto" w:fill="auto"/>
        <w:kinsoku/>
        <w:wordWrap w:val="0"/>
        <w:overflowPunct/>
        <w:topLinePunct w:val="0"/>
        <w:autoSpaceDE/>
        <w:autoSpaceDN/>
        <w:bidi w:val="0"/>
        <w:adjustRightInd/>
        <w:snapToGrid/>
        <w:spacing w:line="3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联系方式：</w:t>
      </w:r>
      <w:r>
        <w:rPr>
          <w:rFonts w:hint="eastAsia" w:ascii="宋体" w:hAnsi="宋体" w:cs="宋体"/>
          <w:color w:val="auto"/>
          <w:szCs w:val="21"/>
          <w:highlight w:val="none"/>
          <w:lang w:eastAsia="zh-CN"/>
        </w:rPr>
        <w:t>韦世纪</w:t>
      </w:r>
      <w:r>
        <w:rPr>
          <w:rFonts w:hint="eastAsia" w:eastAsia="宋体" w:cs="宋体"/>
          <w:color w:val="auto"/>
          <w:szCs w:val="21"/>
          <w:highlight w:val="none"/>
          <w:lang w:val="en-US" w:eastAsia="zh-CN"/>
        </w:rPr>
        <w:t>，</w:t>
      </w:r>
      <w:r>
        <w:rPr>
          <w:rFonts w:hint="eastAsia" w:ascii="宋体" w:hAnsi="宋体" w:eastAsia="宋体" w:cs="宋体"/>
          <w:color w:val="auto"/>
          <w:szCs w:val="21"/>
          <w:highlight w:val="none"/>
          <w:lang w:eastAsia="zh-CN"/>
        </w:rPr>
        <w:t>0775-4338136</w:t>
      </w:r>
    </w:p>
    <w:p w14:paraId="5708B928">
      <w:pPr>
        <w:keepNext w:val="0"/>
        <w:keepLines w:val="0"/>
        <w:pageBreakBefore w:val="0"/>
        <w:widowControl w:val="0"/>
        <w:shd w:val="clear" w:color="auto" w:fill="auto"/>
        <w:kinsoku/>
        <w:wordWrap w:val="0"/>
        <w:overflowPunct/>
        <w:topLinePunct w:val="0"/>
        <w:autoSpaceDE/>
        <w:autoSpaceDN/>
        <w:bidi w:val="0"/>
        <w:adjustRightInd/>
        <w:snapToGrid/>
        <w:spacing w:line="3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3.项目联系方式</w:t>
      </w:r>
    </w:p>
    <w:p w14:paraId="716F9268">
      <w:pPr>
        <w:keepNext w:val="0"/>
        <w:keepLines w:val="0"/>
        <w:pageBreakBefore w:val="0"/>
        <w:widowControl w:val="0"/>
        <w:shd w:val="clear" w:color="auto" w:fill="auto"/>
        <w:kinsoku/>
        <w:wordWrap w:val="0"/>
        <w:overflowPunct/>
        <w:topLinePunct w:val="0"/>
        <w:autoSpaceDE/>
        <w:autoSpaceDN/>
        <w:bidi w:val="0"/>
        <w:adjustRightInd/>
        <w:snapToGrid/>
        <w:spacing w:line="34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韦世纪</w:t>
      </w:r>
    </w:p>
    <w:p w14:paraId="077316CC">
      <w:pPr>
        <w:keepNext w:val="0"/>
        <w:keepLines w:val="0"/>
        <w:pageBreakBefore w:val="0"/>
        <w:widowControl w:val="0"/>
        <w:shd w:val="clear" w:color="auto" w:fill="auto"/>
        <w:kinsoku/>
        <w:wordWrap w:val="0"/>
        <w:overflowPunct/>
        <w:topLinePunct w:val="0"/>
        <w:autoSpaceDE/>
        <w:autoSpaceDN/>
        <w:bidi w:val="0"/>
        <w:adjustRightInd/>
        <w:snapToGrid/>
        <w:spacing w:line="340" w:lineRule="exact"/>
        <w:ind w:firstLine="420" w:firstLineChars="200"/>
        <w:jc w:val="left"/>
        <w:textAlignment w:val="auto"/>
        <w:rPr>
          <w:rFonts w:hint="eastAsia"/>
          <w:color w:val="auto"/>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lang w:eastAsia="zh-CN"/>
        </w:rPr>
        <w:t>0775-4338136</w:t>
      </w:r>
    </w:p>
    <w:p w14:paraId="1F567371">
      <w:pPr>
        <w:widowControl/>
        <w:spacing w:line="360" w:lineRule="auto"/>
        <w:jc w:val="left"/>
        <w:rPr>
          <w:rFonts w:ascii="宋体" w:hAnsi="宋体" w:cs="宋体"/>
          <w:color w:val="auto"/>
          <w:sz w:val="24"/>
          <w:highlight w:val="none"/>
          <w:lang w:val="zh-CN"/>
        </w:rPr>
      </w:pPr>
    </w:p>
    <w:p w14:paraId="520699EF">
      <w:pPr>
        <w:widowControl/>
        <w:spacing w:line="360" w:lineRule="auto"/>
        <w:jc w:val="left"/>
        <w:rPr>
          <w:rFonts w:ascii="宋体" w:hAnsi="宋体" w:cs="宋体"/>
          <w:color w:val="auto"/>
          <w:sz w:val="24"/>
          <w:highlight w:val="none"/>
          <w:lang w:val="zh-CN"/>
        </w:rPr>
      </w:pPr>
    </w:p>
    <w:p w14:paraId="7B381725">
      <w:pPr>
        <w:widowControl/>
        <w:spacing w:line="360" w:lineRule="auto"/>
        <w:jc w:val="righ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广西云立方工程管理有限公司</w:t>
      </w:r>
    </w:p>
    <w:p w14:paraId="0BE29D58">
      <w:pPr>
        <w:widowControl/>
        <w:spacing w:line="360" w:lineRule="auto"/>
        <w:jc w:val="righ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2026年  月  日</w:t>
      </w:r>
    </w:p>
    <w:p w14:paraId="59949853">
      <w:pPr>
        <w:widowControl/>
        <w:spacing w:line="360" w:lineRule="auto"/>
        <w:jc w:val="left"/>
        <w:rPr>
          <w:rFonts w:hint="default" w:ascii="宋体" w:hAnsi="宋体" w:cs="宋体"/>
          <w:color w:val="auto"/>
          <w:szCs w:val="21"/>
          <w:highlight w:val="none"/>
          <w:lang w:val="en-US" w:eastAsia="zh-CN"/>
        </w:rPr>
      </w:pPr>
    </w:p>
    <w:p w14:paraId="5EBD5E71">
      <w:pPr>
        <w:widowControl/>
        <w:spacing w:line="360" w:lineRule="auto"/>
        <w:jc w:val="left"/>
        <w:rPr>
          <w:rFonts w:ascii="宋体" w:hAnsi="宋体" w:cs="宋体"/>
          <w:color w:val="auto"/>
          <w:sz w:val="24"/>
          <w:highlight w:val="none"/>
          <w:lang w:val="zh-CN"/>
        </w:rPr>
        <w:sectPr>
          <w:footerReference r:id="rId5" w:type="first"/>
          <w:footerReference r:id="rId4" w:type="default"/>
          <w:pgSz w:w="11905" w:h="16838"/>
          <w:pgMar w:top="1134" w:right="1134" w:bottom="1134" w:left="1134" w:header="850" w:footer="850" w:gutter="0"/>
          <w:pgNumType w:fmt="decimal" w:start="1"/>
          <w:cols w:space="0" w:num="1"/>
          <w:titlePg/>
          <w:rtlGutter w:val="0"/>
          <w:docGrid w:linePitch="331" w:charSpace="0"/>
        </w:sectPr>
      </w:pPr>
    </w:p>
    <w:p w14:paraId="0A3022A6">
      <w:pPr>
        <w:pStyle w:val="17"/>
        <w:jc w:val="center"/>
        <w:outlineLvl w:val="0"/>
        <w:rPr>
          <w:rFonts w:hint="eastAsia" w:ascii="Times New Roman" w:hAnsi="Times New Roman" w:eastAsia="宋体" w:cs="Times New Roman"/>
          <w:b/>
          <w:color w:val="auto"/>
          <w:sz w:val="36"/>
          <w:highlight w:val="none"/>
        </w:rPr>
      </w:pPr>
      <w:bookmarkStart w:id="44" w:name="_Toc532545042"/>
      <w:bookmarkStart w:id="45" w:name="_Toc7337"/>
      <w:bookmarkStart w:id="46" w:name="_Toc21081"/>
      <w:bookmarkStart w:id="47" w:name="_Toc17621"/>
      <w:bookmarkStart w:id="48" w:name="_Toc22408"/>
      <w:bookmarkStart w:id="49" w:name="_Toc8382"/>
      <w:bookmarkStart w:id="50" w:name="_Toc4483"/>
      <w:bookmarkStart w:id="51" w:name="_Toc2299"/>
      <w:bookmarkStart w:id="52" w:name="_Toc937"/>
      <w:bookmarkStart w:id="53" w:name="_Toc13449"/>
      <w:bookmarkStart w:id="54" w:name="_Toc7686"/>
      <w:bookmarkStart w:id="55" w:name="_Toc24210"/>
      <w:bookmarkStart w:id="56" w:name="_Toc28689"/>
      <w:bookmarkStart w:id="57" w:name="_Toc32573"/>
      <w:r>
        <w:rPr>
          <w:rFonts w:hint="eastAsia" w:ascii="Times New Roman" w:hAnsi="Times New Roman" w:eastAsia="宋体" w:cs="Times New Roman"/>
          <w:b/>
          <w:color w:val="auto"/>
          <w:sz w:val="36"/>
          <w:highlight w:val="none"/>
        </w:rPr>
        <w:t>第二章</w:t>
      </w:r>
      <w:r>
        <w:rPr>
          <w:rFonts w:ascii="Times New Roman" w:hAnsi="Times New Roman" w:eastAsia="宋体" w:cs="Times New Roman"/>
          <w:b/>
          <w:color w:val="auto"/>
          <w:sz w:val="36"/>
          <w:highlight w:val="none"/>
        </w:rPr>
        <w:t xml:space="preserve">  </w:t>
      </w:r>
      <w:bookmarkEnd w:id="44"/>
      <w:r>
        <w:rPr>
          <w:rFonts w:hint="eastAsia" w:ascii="Times New Roman" w:hAnsi="Times New Roman" w:eastAsia="宋体" w:cs="Times New Roman"/>
          <w:b/>
          <w:color w:val="auto"/>
          <w:sz w:val="36"/>
          <w:highlight w:val="none"/>
        </w:rPr>
        <w:t>采购需求</w:t>
      </w:r>
      <w:bookmarkEnd w:id="45"/>
      <w:bookmarkEnd w:id="46"/>
      <w:bookmarkEnd w:id="47"/>
      <w:bookmarkEnd w:id="48"/>
      <w:bookmarkEnd w:id="49"/>
      <w:bookmarkEnd w:id="50"/>
      <w:bookmarkEnd w:id="51"/>
      <w:bookmarkEnd w:id="52"/>
      <w:bookmarkEnd w:id="53"/>
      <w:bookmarkEnd w:id="54"/>
      <w:bookmarkEnd w:id="55"/>
      <w:bookmarkEnd w:id="56"/>
      <w:bookmarkEnd w:id="57"/>
    </w:p>
    <w:p w14:paraId="4699CAA8">
      <w:pPr>
        <w:rPr>
          <w:color w:val="auto"/>
          <w:highlight w:val="none"/>
        </w:rPr>
      </w:pPr>
    </w:p>
    <w:p w14:paraId="79C62CE1">
      <w:pPr>
        <w:adjustRightInd w:val="0"/>
        <w:spacing w:line="340" w:lineRule="exact"/>
        <w:rPr>
          <w:rFonts w:ascii="Times New Roman" w:hAnsi="宋体" w:eastAsia="宋体" w:cs="Times New Roman"/>
          <w:b/>
          <w:color w:val="auto"/>
          <w:szCs w:val="21"/>
          <w:highlight w:val="none"/>
        </w:rPr>
      </w:pPr>
      <w:r>
        <w:rPr>
          <w:rFonts w:hint="eastAsia" w:ascii="Times New Roman" w:hAnsi="宋体" w:eastAsia="宋体" w:cs="Times New Roman"/>
          <w:b/>
          <w:color w:val="auto"/>
          <w:szCs w:val="21"/>
          <w:highlight w:val="none"/>
        </w:rPr>
        <w:t>说明：</w:t>
      </w:r>
    </w:p>
    <w:p w14:paraId="0C79B114">
      <w:pPr>
        <w:spacing w:line="360" w:lineRule="auto"/>
        <w:ind w:firstLine="420" w:firstLineChars="200"/>
        <w:jc w:val="left"/>
        <w:rPr>
          <w:rFonts w:hint="eastAsia" w:ascii="宋体" w:hAnsi="宋体" w:eastAsia="宋体" w:cs="宋体"/>
          <w:color w:val="auto"/>
          <w:highlight w:val="none"/>
        </w:rPr>
      </w:pP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“实质性要求”是指招标文件中已经指明不满足则投标无效的条款，或者不能负偏离的条款，或者采购需求中带“▲”的条款。</w:t>
      </w:r>
    </w:p>
    <w:p w14:paraId="11F3818F">
      <w:pPr>
        <w:spacing w:line="360" w:lineRule="auto"/>
        <w:ind w:firstLine="424" w:firstLineChars="202"/>
        <w:jc w:val="left"/>
        <w:rPr>
          <w:rFonts w:hint="eastAsia" w:ascii="宋体" w:hAnsi="宋体" w:cs="宋体"/>
          <w:color w:val="auto"/>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.投标人必须对投标文件中提供的证明材料和资质文件真实性负责，如出现虚假应标情况，投标人除了应接受有关部门的处罚外，还应依据《中华人民共和国民法典》的相关条款来</w:t>
      </w:r>
      <w:r>
        <w:rPr>
          <w:rFonts w:hint="eastAsia" w:ascii="宋体" w:hAnsi="宋体" w:cs="宋体"/>
          <w:color w:val="auto"/>
          <w:szCs w:val="21"/>
          <w:highlight w:val="none"/>
          <w:lang w:eastAsia="zh-CN"/>
        </w:rPr>
        <w:t>进行</w:t>
      </w:r>
      <w:r>
        <w:rPr>
          <w:rFonts w:hint="eastAsia" w:ascii="宋体" w:hAnsi="宋体" w:cs="宋体"/>
          <w:color w:val="auto"/>
          <w:szCs w:val="21"/>
          <w:highlight w:val="none"/>
        </w:rPr>
        <w:t>赔偿。</w:t>
      </w:r>
    </w:p>
    <w:p w14:paraId="50C83DFC">
      <w:pPr>
        <w:spacing w:line="360" w:lineRule="auto"/>
        <w:ind w:firstLine="424" w:firstLineChars="202"/>
        <w:jc w:val="left"/>
        <w:rPr>
          <w:rFonts w:hint="eastAsia" w:ascii="宋体" w:hAnsi="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.投标人应对投标内容所涉及的专利承担法律责任，并负责保护</w:t>
      </w:r>
      <w:r>
        <w:rPr>
          <w:rFonts w:hint="eastAsia" w:ascii="宋体" w:hAnsi="宋体" w:cs="宋体"/>
          <w:color w:val="auto"/>
          <w:highlight w:val="none"/>
          <w:lang w:eastAsia="zh-CN"/>
        </w:rPr>
        <w:t>采购人</w:t>
      </w:r>
      <w:r>
        <w:rPr>
          <w:rFonts w:hint="eastAsia" w:ascii="宋体" w:hAnsi="宋体" w:cs="宋体"/>
          <w:color w:val="auto"/>
          <w:highlight w:val="none"/>
        </w:rPr>
        <w:t>的利益不受任何损害。一切由于文字、商标、技术和软件专利授权引起的法律裁决、诉讼和赔偿费用均由中标人负责。</w:t>
      </w:r>
    </w:p>
    <w:p w14:paraId="76CF6740">
      <w:pPr>
        <w:tabs>
          <w:tab w:val="left" w:pos="180"/>
          <w:tab w:val="left" w:pos="1620"/>
        </w:tabs>
        <w:spacing w:line="420" w:lineRule="exact"/>
        <w:ind w:firstLine="420" w:firstLineChars="200"/>
        <w:jc w:val="left"/>
        <w:rPr>
          <w:rFonts w:hint="default" w:ascii="Arial" w:hAnsi="Times New Roman" w:eastAsia="黑体" w:cs="Times New Roman"/>
          <w:i w:val="0"/>
          <w:iCs w:val="0"/>
          <w:color w:val="auto"/>
          <w:highlight w:val="none"/>
          <w:u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.采购内容所属行业：</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b/>
          <w:bCs/>
          <w:color w:val="auto"/>
          <w:highlight w:val="none"/>
          <w:u w:val="single"/>
          <w:lang w:val="en-US" w:eastAsia="zh-CN"/>
        </w:rPr>
        <w:t xml:space="preserve">   批发业</w:t>
      </w:r>
      <w:r>
        <w:rPr>
          <w:rFonts w:hint="eastAsia" w:ascii="宋体" w:hAnsi="宋体" w:eastAsia="宋体" w:cs="宋体"/>
          <w:color w:val="auto"/>
          <w:highlight w:val="none"/>
          <w:u w:val="single"/>
          <w:lang w:val="en-US" w:eastAsia="zh-CN"/>
        </w:rPr>
        <w:t xml:space="preserve">     </w:t>
      </w:r>
      <w:r>
        <w:rPr>
          <w:rFonts w:hint="eastAsia" w:ascii="宋体" w:hAnsi="宋体" w:cs="宋体"/>
          <w:color w:val="auto"/>
          <w:highlight w:val="none"/>
          <w:u w:val="none"/>
          <w:lang w:val="en-US" w:eastAsia="zh-CN"/>
        </w:rPr>
        <w:t>。</w:t>
      </w:r>
    </w:p>
    <w:p w14:paraId="3CD1D8DB">
      <w:pPr>
        <w:pStyle w:val="19"/>
        <w:rPr>
          <w:rFonts w:hint="eastAsia"/>
          <w:color w:val="auto"/>
          <w:highlight w:val="none"/>
        </w:rPr>
      </w:pPr>
    </w:p>
    <w:p w14:paraId="0FBB3831">
      <w:pPr>
        <w:rPr>
          <w:rFonts w:hint="eastAsia"/>
          <w:color w:val="auto"/>
          <w:highlight w:val="none"/>
        </w:rPr>
      </w:pPr>
    </w:p>
    <w:p w14:paraId="3AF5CD07">
      <w:pPr>
        <w:pStyle w:val="19"/>
        <w:rPr>
          <w:rFonts w:hint="eastAsia"/>
          <w:color w:val="auto"/>
          <w:highlight w:val="none"/>
        </w:rPr>
      </w:pPr>
    </w:p>
    <w:p w14:paraId="75C75CAE">
      <w:pPr>
        <w:rPr>
          <w:rFonts w:hint="eastAsia"/>
          <w:color w:val="auto"/>
          <w:highlight w:val="none"/>
        </w:rPr>
      </w:pPr>
    </w:p>
    <w:p w14:paraId="457D3AD3">
      <w:pPr>
        <w:pStyle w:val="19"/>
        <w:rPr>
          <w:rFonts w:hint="eastAsia"/>
          <w:color w:val="auto"/>
          <w:highlight w:val="none"/>
        </w:rPr>
      </w:pPr>
    </w:p>
    <w:p w14:paraId="23076739">
      <w:pPr>
        <w:rPr>
          <w:rFonts w:hint="eastAsia"/>
          <w:color w:val="auto"/>
          <w:highlight w:val="none"/>
        </w:rPr>
      </w:pPr>
    </w:p>
    <w:p w14:paraId="199057A9">
      <w:pPr>
        <w:pStyle w:val="3"/>
        <w:bidi w:val="0"/>
        <w:rPr>
          <w:rFonts w:hint="eastAsia" w:ascii="微软雅黑" w:hAnsi="微软雅黑" w:eastAsia="微软雅黑" w:cs="微软雅黑"/>
          <w:color w:val="auto"/>
          <w:sz w:val="28"/>
          <w:szCs w:val="36"/>
          <w:highlight w:val="none"/>
        </w:rPr>
      </w:pPr>
      <w:bookmarkStart w:id="58" w:name="_Toc10964"/>
      <w:r>
        <w:rPr>
          <w:rFonts w:hint="eastAsia" w:ascii="微软雅黑" w:hAnsi="微软雅黑" w:eastAsia="微软雅黑" w:cs="微软雅黑"/>
          <w:color w:val="auto"/>
          <w:sz w:val="28"/>
          <w:szCs w:val="36"/>
          <w:highlight w:val="none"/>
        </w:rPr>
        <w:t>一、项目概述</w:t>
      </w:r>
      <w:bookmarkEnd w:id="58"/>
    </w:p>
    <w:p w14:paraId="5FD3E758">
      <w:pPr>
        <w:spacing w:line="360" w:lineRule="auto"/>
        <w:ind w:firstLine="420" w:firstLineChars="200"/>
        <w:rPr>
          <w:rFonts w:hint="eastAsia" w:ascii="宋体" w:hAnsi="宋体" w:cs="Times New Roman"/>
          <w:color w:val="auto"/>
          <w:szCs w:val="21"/>
          <w:highlight w:val="none"/>
          <w:lang w:val="en-US" w:eastAsia="zh-CN"/>
        </w:rPr>
      </w:pPr>
      <w:r>
        <w:rPr>
          <w:rFonts w:hint="eastAsia" w:ascii="宋体" w:hAnsi="宋体" w:eastAsia="宋体" w:cs="Times New Roman"/>
          <w:b w:val="0"/>
          <w:bCs w:val="0"/>
          <w:color w:val="auto"/>
          <w:szCs w:val="21"/>
          <w:highlight w:val="none"/>
        </w:rPr>
        <w:t>项目编号：</w:t>
      </w:r>
      <w:r>
        <w:rPr>
          <w:rFonts w:hint="eastAsia" w:ascii="宋体" w:hAnsi="宋体" w:cs="Times New Roman"/>
          <w:b w:val="0"/>
          <w:bCs w:val="0"/>
          <w:color w:val="auto"/>
          <w:szCs w:val="21"/>
          <w:highlight w:val="none"/>
          <w:lang w:val="en-US" w:eastAsia="zh-CN"/>
        </w:rPr>
        <w:t>GGZC2026-G3-990133-YLFG</w:t>
      </w:r>
    </w:p>
    <w:p w14:paraId="2B7F1A5D">
      <w:pPr>
        <w:spacing w:line="360" w:lineRule="auto"/>
        <w:ind w:firstLine="420" w:firstLineChars="200"/>
        <w:rPr>
          <w:rFonts w:hint="eastAsia" w:ascii="宋体" w:hAnsi="宋体" w:cs="Times New Roman"/>
          <w:color w:val="auto"/>
          <w:szCs w:val="21"/>
          <w:highlight w:val="none"/>
          <w:u w:val="none"/>
          <w:lang w:val="en-US" w:eastAsia="zh-CN"/>
        </w:rPr>
      </w:pPr>
      <w:r>
        <w:rPr>
          <w:rFonts w:hint="eastAsia" w:ascii="宋体" w:hAnsi="宋体" w:eastAsia="宋体" w:cs="Times New Roman"/>
          <w:b w:val="0"/>
          <w:bCs w:val="0"/>
          <w:color w:val="auto"/>
          <w:szCs w:val="21"/>
          <w:highlight w:val="none"/>
        </w:rPr>
        <w:t>项目名称：</w:t>
      </w:r>
      <w:r>
        <w:rPr>
          <w:rFonts w:hint="eastAsia" w:ascii="宋体" w:hAnsi="宋体" w:cs="宋体"/>
          <w:color w:val="auto"/>
          <w:kern w:val="0"/>
          <w:szCs w:val="21"/>
          <w:highlight w:val="none"/>
          <w:u w:val="none"/>
          <w:lang w:eastAsia="zh-CN"/>
        </w:rPr>
        <w:t>贵港市江南中学食堂和小卖部部分大宗食品采购项目（重）</w:t>
      </w:r>
    </w:p>
    <w:p w14:paraId="1FFEA79B">
      <w:pPr>
        <w:spacing w:line="360" w:lineRule="auto"/>
        <w:ind w:firstLine="420" w:firstLineChars="200"/>
        <w:rPr>
          <w:rFonts w:hint="eastAsia" w:ascii="宋体" w:hAnsi="宋体" w:cs="宋体"/>
          <w:b w:val="0"/>
          <w:bCs w:val="0"/>
          <w:color w:val="auto"/>
          <w:szCs w:val="21"/>
          <w:highlight w:val="none"/>
          <w:u w:val="none"/>
          <w:lang w:eastAsia="zh-CN"/>
        </w:rPr>
      </w:pPr>
      <w:r>
        <w:rPr>
          <w:rFonts w:hint="eastAsia" w:ascii="宋体" w:hAnsi="宋体" w:eastAsia="宋体" w:cs="Times New Roman"/>
          <w:b w:val="0"/>
          <w:bCs w:val="0"/>
          <w:color w:val="auto"/>
          <w:szCs w:val="21"/>
          <w:highlight w:val="none"/>
          <w:u w:val="none"/>
        </w:rPr>
        <w:t>预算金额：</w:t>
      </w:r>
      <w:r>
        <w:rPr>
          <w:rFonts w:hint="eastAsia" w:ascii="宋体" w:hAnsi="宋体" w:cs="宋体"/>
          <w:b w:val="0"/>
          <w:bCs w:val="0"/>
          <w:color w:val="auto"/>
          <w:szCs w:val="21"/>
          <w:highlight w:val="none"/>
          <w:u w:val="none"/>
          <w:lang w:eastAsia="zh-CN"/>
        </w:rPr>
        <w:t>人民币</w:t>
      </w:r>
      <w:r>
        <w:rPr>
          <w:rFonts w:hint="eastAsia" w:ascii="宋体" w:hAnsi="宋体" w:cs="宋体"/>
          <w:b w:val="0"/>
          <w:bCs w:val="0"/>
          <w:color w:val="auto"/>
          <w:szCs w:val="21"/>
          <w:highlight w:val="none"/>
          <w:u w:val="none"/>
          <w:lang w:val="en-US" w:eastAsia="zh-CN"/>
        </w:rPr>
        <w:t>肆佰万元整</w:t>
      </w:r>
      <w:r>
        <w:rPr>
          <w:rFonts w:hint="eastAsia" w:ascii="宋体" w:hAnsi="宋体" w:cs="宋体"/>
          <w:b w:val="0"/>
          <w:bCs w:val="0"/>
          <w:color w:val="auto"/>
          <w:szCs w:val="21"/>
          <w:highlight w:val="none"/>
          <w:u w:val="none"/>
          <w:lang w:eastAsia="zh-CN"/>
        </w:rPr>
        <w:t>（¥</w:t>
      </w:r>
      <w:r>
        <w:rPr>
          <w:rFonts w:hint="eastAsia" w:ascii="宋体" w:hAnsi="宋体" w:cs="宋体"/>
          <w:b w:val="0"/>
          <w:bCs w:val="0"/>
          <w:color w:val="auto"/>
          <w:szCs w:val="21"/>
          <w:highlight w:val="none"/>
          <w:u w:val="none"/>
          <w:lang w:val="en-US" w:eastAsia="zh-CN"/>
        </w:rPr>
        <w:t>400</w:t>
      </w:r>
      <w:r>
        <w:rPr>
          <w:rFonts w:hint="eastAsia" w:ascii="宋体" w:hAnsi="宋体" w:cs="宋体"/>
          <w:b w:val="0"/>
          <w:bCs w:val="0"/>
          <w:color w:val="auto"/>
          <w:szCs w:val="21"/>
          <w:highlight w:val="none"/>
          <w:u w:val="none"/>
          <w:lang w:eastAsia="zh-CN"/>
        </w:rPr>
        <w:t>0000.00）</w:t>
      </w:r>
    </w:p>
    <w:p w14:paraId="027D32E1">
      <w:pPr>
        <w:spacing w:line="360" w:lineRule="auto"/>
        <w:ind w:firstLine="420" w:firstLineChars="200"/>
        <w:rPr>
          <w:rFonts w:hint="eastAsia" w:ascii="宋体" w:hAnsi="宋体" w:cs="宋体"/>
          <w:b w:val="0"/>
          <w:bCs w:val="0"/>
          <w:color w:val="auto"/>
          <w:szCs w:val="21"/>
          <w:highlight w:val="none"/>
          <w:u w:val="none"/>
          <w:lang w:eastAsia="zh-CN"/>
        </w:rPr>
      </w:pPr>
      <w:r>
        <w:rPr>
          <w:rFonts w:hint="eastAsia" w:ascii="宋体" w:hAnsi="宋体" w:cs="宋体"/>
          <w:b w:val="0"/>
          <w:bCs w:val="0"/>
          <w:color w:val="auto"/>
          <w:szCs w:val="21"/>
          <w:highlight w:val="none"/>
          <w:u w:val="none"/>
          <w:lang w:eastAsia="zh-CN"/>
        </w:rPr>
        <w:t>本项目预算金额为暂定价，以实际</w:t>
      </w:r>
      <w:r>
        <w:rPr>
          <w:rFonts w:hint="eastAsia" w:ascii="宋体" w:hAnsi="宋体" w:cs="宋体"/>
          <w:b w:val="0"/>
          <w:bCs w:val="0"/>
          <w:color w:val="auto"/>
          <w:szCs w:val="21"/>
          <w:highlight w:val="none"/>
          <w:u w:val="none"/>
          <w:lang w:val="en-US" w:eastAsia="zh-CN"/>
        </w:rPr>
        <w:t>结算额</w:t>
      </w:r>
      <w:r>
        <w:rPr>
          <w:rFonts w:hint="eastAsia" w:ascii="宋体" w:hAnsi="宋体" w:cs="宋体"/>
          <w:b w:val="0"/>
          <w:bCs w:val="0"/>
          <w:color w:val="auto"/>
          <w:szCs w:val="21"/>
          <w:highlight w:val="none"/>
          <w:u w:val="none"/>
          <w:lang w:eastAsia="zh-CN"/>
        </w:rPr>
        <w:t>为准。</w:t>
      </w:r>
    </w:p>
    <w:p w14:paraId="65C3FA9B">
      <w:pPr>
        <w:spacing w:line="360" w:lineRule="auto"/>
        <w:ind w:firstLine="420" w:firstLineChars="200"/>
        <w:jc w:val="both"/>
        <w:outlineLvl w:val="9"/>
        <w:rPr>
          <w:rFonts w:hint="eastAsia" w:ascii="Times New Roman" w:hAnsi="Times New Roman" w:eastAsia="宋体" w:cs="Times New Roman"/>
          <w:color w:val="auto"/>
          <w:szCs w:val="21"/>
          <w:highlight w:val="none"/>
          <w:lang w:eastAsia="zh-CN"/>
        </w:rPr>
      </w:pPr>
      <w:r>
        <w:rPr>
          <w:rFonts w:hint="eastAsia" w:ascii="Times New Roman" w:hAnsi="Times New Roman" w:eastAsia="宋体" w:cs="Times New Roman"/>
          <w:color w:val="auto"/>
          <w:szCs w:val="21"/>
          <w:highlight w:val="none"/>
          <w:lang w:eastAsia="zh-CN"/>
        </w:rPr>
        <w:t>贵港市江南中学2026一2027年度自主招标采购的大宗食品的采购范围：</w:t>
      </w:r>
      <w:r>
        <w:rPr>
          <w:rFonts w:hint="eastAsia" w:ascii="Times New Roman" w:hAnsi="Times New Roman" w:eastAsia="宋体" w:cs="Times New Roman"/>
          <w:b/>
          <w:bCs/>
          <w:color w:val="auto"/>
          <w:szCs w:val="21"/>
          <w:highlight w:val="none"/>
          <w:lang w:eastAsia="zh-CN"/>
        </w:rPr>
        <w:t>市教育后勤服务中心的框架协议采购范围之外</w:t>
      </w:r>
      <w:r>
        <w:rPr>
          <w:rFonts w:hint="eastAsia" w:ascii="Times New Roman" w:hAnsi="Times New Roman" w:eastAsia="宋体" w:cs="Times New Roman"/>
          <w:color w:val="auto"/>
          <w:szCs w:val="21"/>
          <w:highlight w:val="none"/>
          <w:lang w:eastAsia="zh-CN"/>
        </w:rPr>
        <w:t>的部分副食品、部分调味品、部分日杂用品、部分超市用品等用品的</w:t>
      </w:r>
      <w:r>
        <w:rPr>
          <w:rFonts w:hint="eastAsia" w:ascii="Times New Roman" w:hAnsi="Times New Roman" w:eastAsia="宋体" w:cs="Times New Roman"/>
          <w:b/>
          <w:bCs/>
          <w:color w:val="auto"/>
          <w:szCs w:val="21"/>
          <w:highlight w:val="none"/>
        </w:rPr>
        <w:t>配送服务</w:t>
      </w:r>
      <w:r>
        <w:rPr>
          <w:rFonts w:hint="eastAsia" w:ascii="Times New Roman" w:hAnsi="Times New Roman" w:eastAsia="宋体" w:cs="Times New Roman"/>
          <w:color w:val="auto"/>
          <w:szCs w:val="21"/>
          <w:highlight w:val="none"/>
          <w:lang w:eastAsia="zh-CN"/>
        </w:rPr>
        <w:t>。各标段的具体分标情况如下：</w:t>
      </w:r>
    </w:p>
    <w:tbl>
      <w:tblPr>
        <w:tblStyle w:val="39"/>
        <w:tblW w:w="99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6"/>
        <w:gridCol w:w="4523"/>
        <w:gridCol w:w="3939"/>
      </w:tblGrid>
      <w:tr w14:paraId="68824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jc w:val="center"/>
        </w:trPr>
        <w:tc>
          <w:tcPr>
            <w:tcW w:w="1476" w:type="dxa"/>
            <w:noWrap w:val="0"/>
            <w:vAlign w:val="center"/>
          </w:tcPr>
          <w:p w14:paraId="1D065FAF">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pacing w:val="-3"/>
                <w:sz w:val="21"/>
                <w:szCs w:val="21"/>
                <w:highlight w:val="none"/>
                <w:lang w:val="en-US" w:eastAsia="zh-CN"/>
              </w:rPr>
            </w:pPr>
            <w:r>
              <w:rPr>
                <w:rFonts w:hint="eastAsia" w:ascii="Times New Roman" w:hAnsi="Times New Roman" w:eastAsia="宋体" w:cs="Times New Roman"/>
                <w:b/>
                <w:bCs/>
                <w:color w:val="auto"/>
                <w:spacing w:val="-3"/>
                <w:sz w:val="21"/>
                <w:szCs w:val="21"/>
                <w:highlight w:val="none"/>
                <w:lang w:val="en-US" w:eastAsia="zh-CN"/>
              </w:rPr>
              <w:t>分标号</w:t>
            </w:r>
          </w:p>
        </w:tc>
        <w:tc>
          <w:tcPr>
            <w:tcW w:w="4523" w:type="dxa"/>
            <w:noWrap w:val="0"/>
            <w:vAlign w:val="center"/>
          </w:tcPr>
          <w:p w14:paraId="44ACF804">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宋体" w:cs="Times New Roman"/>
                <w:b/>
                <w:bCs/>
                <w:color w:val="auto"/>
                <w:spacing w:val="-3"/>
                <w:sz w:val="21"/>
                <w:szCs w:val="21"/>
                <w:highlight w:val="none"/>
                <w:lang w:val="en-US" w:eastAsia="zh-CN"/>
              </w:rPr>
            </w:pPr>
            <w:r>
              <w:rPr>
                <w:rFonts w:hint="eastAsia" w:ascii="Times New Roman" w:hAnsi="Times New Roman" w:eastAsia="宋体" w:cs="Times New Roman"/>
                <w:b/>
                <w:bCs/>
                <w:color w:val="auto"/>
                <w:spacing w:val="-3"/>
                <w:sz w:val="21"/>
                <w:szCs w:val="21"/>
                <w:highlight w:val="none"/>
                <w:lang w:val="en-US" w:eastAsia="zh-CN"/>
              </w:rPr>
              <w:t>标的名称</w:t>
            </w:r>
          </w:p>
        </w:tc>
        <w:tc>
          <w:tcPr>
            <w:tcW w:w="3939" w:type="dxa"/>
            <w:noWrap w:val="0"/>
            <w:vAlign w:val="center"/>
          </w:tcPr>
          <w:p w14:paraId="349FFA0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宋体" w:cs="Times New Roman"/>
                <w:b/>
                <w:bCs/>
                <w:color w:val="auto"/>
                <w:spacing w:val="-3"/>
                <w:sz w:val="21"/>
                <w:szCs w:val="21"/>
                <w:highlight w:val="none"/>
                <w:lang w:val="en-US" w:eastAsia="zh-CN"/>
              </w:rPr>
            </w:pPr>
            <w:r>
              <w:rPr>
                <w:rFonts w:hint="eastAsia" w:ascii="Times New Roman" w:hAnsi="Times New Roman" w:eastAsia="宋体" w:cs="Times New Roman"/>
                <w:b/>
                <w:bCs/>
                <w:color w:val="auto"/>
                <w:spacing w:val="-3"/>
                <w:sz w:val="21"/>
                <w:szCs w:val="21"/>
                <w:highlight w:val="none"/>
                <w:lang w:val="en-US" w:eastAsia="zh-CN"/>
              </w:rPr>
              <w:t>规格</w:t>
            </w:r>
          </w:p>
        </w:tc>
      </w:tr>
      <w:tr w14:paraId="00622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jc w:val="center"/>
        </w:trPr>
        <w:tc>
          <w:tcPr>
            <w:tcW w:w="1476" w:type="dxa"/>
            <w:noWrap w:val="0"/>
            <w:vAlign w:val="center"/>
          </w:tcPr>
          <w:p w14:paraId="5CCDCEF3">
            <w:pPr>
              <w:autoSpaceDE w:val="0"/>
              <w:autoSpaceDN w:val="0"/>
              <w:spacing w:after="0" w:line="240" w:lineRule="auto"/>
              <w:jc w:val="center"/>
              <w:rPr>
                <w:rFonts w:hint="default"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分标1</w:t>
            </w:r>
          </w:p>
        </w:tc>
        <w:tc>
          <w:tcPr>
            <w:tcW w:w="4523" w:type="dxa"/>
            <w:noWrap w:val="0"/>
            <w:vAlign w:val="center"/>
          </w:tcPr>
          <w:p w14:paraId="407579BD">
            <w:pPr>
              <w:autoSpaceDE w:val="0"/>
              <w:autoSpaceDN w:val="0"/>
              <w:spacing w:after="0" w:line="240" w:lineRule="auto"/>
              <w:jc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部分调味品、部分副食品</w:t>
            </w:r>
          </w:p>
        </w:tc>
        <w:tc>
          <w:tcPr>
            <w:tcW w:w="3939" w:type="dxa"/>
            <w:noWrap w:val="0"/>
            <w:vAlign w:val="center"/>
          </w:tcPr>
          <w:p w14:paraId="1D7BE589">
            <w:pPr>
              <w:autoSpaceDE w:val="0"/>
              <w:autoSpaceDN w:val="0"/>
              <w:spacing w:after="0" w:line="240" w:lineRule="auto"/>
              <w:jc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rPr>
              <w:t>定型包装</w:t>
            </w:r>
          </w:p>
        </w:tc>
      </w:tr>
      <w:tr w14:paraId="05E4E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jc w:val="center"/>
        </w:trPr>
        <w:tc>
          <w:tcPr>
            <w:tcW w:w="1476" w:type="dxa"/>
            <w:noWrap w:val="0"/>
            <w:vAlign w:val="center"/>
          </w:tcPr>
          <w:p w14:paraId="33932912">
            <w:pPr>
              <w:autoSpaceDE w:val="0"/>
              <w:autoSpaceDN w:val="0"/>
              <w:spacing w:after="0" w:line="240" w:lineRule="auto"/>
              <w:jc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分标2</w:t>
            </w:r>
          </w:p>
        </w:tc>
        <w:tc>
          <w:tcPr>
            <w:tcW w:w="4523" w:type="dxa"/>
            <w:noWrap w:val="0"/>
            <w:vAlign w:val="center"/>
          </w:tcPr>
          <w:p w14:paraId="60F58481">
            <w:pPr>
              <w:autoSpaceDE w:val="0"/>
              <w:autoSpaceDN w:val="0"/>
              <w:spacing w:after="0" w:line="240" w:lineRule="auto"/>
              <w:jc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学习用品、日用品</w:t>
            </w:r>
          </w:p>
        </w:tc>
        <w:tc>
          <w:tcPr>
            <w:tcW w:w="3939" w:type="dxa"/>
            <w:noWrap w:val="0"/>
            <w:vAlign w:val="center"/>
          </w:tcPr>
          <w:p w14:paraId="0493EF79">
            <w:pPr>
              <w:autoSpaceDE w:val="0"/>
              <w:autoSpaceDN w:val="0"/>
              <w:spacing w:after="0" w:line="240" w:lineRule="auto"/>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定型包装</w:t>
            </w:r>
          </w:p>
        </w:tc>
      </w:tr>
      <w:tr w14:paraId="5288B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jc w:val="center"/>
        </w:trPr>
        <w:tc>
          <w:tcPr>
            <w:tcW w:w="1476" w:type="dxa"/>
            <w:noWrap w:val="0"/>
            <w:vAlign w:val="center"/>
          </w:tcPr>
          <w:p w14:paraId="6A464045">
            <w:pPr>
              <w:autoSpaceDE w:val="0"/>
              <w:autoSpaceDN w:val="0"/>
              <w:spacing w:after="0" w:line="240" w:lineRule="auto"/>
              <w:jc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分标3</w:t>
            </w:r>
          </w:p>
        </w:tc>
        <w:tc>
          <w:tcPr>
            <w:tcW w:w="4523" w:type="dxa"/>
            <w:noWrap w:val="0"/>
            <w:vAlign w:val="center"/>
          </w:tcPr>
          <w:p w14:paraId="597C161D">
            <w:pPr>
              <w:autoSpaceDE w:val="0"/>
              <w:autoSpaceDN w:val="0"/>
              <w:spacing w:after="0" w:line="240" w:lineRule="auto"/>
              <w:jc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eastAsia="zh-CN"/>
              </w:rPr>
              <w:t>矿泉水、饮料、牛奶</w:t>
            </w:r>
          </w:p>
        </w:tc>
        <w:tc>
          <w:tcPr>
            <w:tcW w:w="3939" w:type="dxa"/>
            <w:noWrap w:val="0"/>
            <w:vAlign w:val="center"/>
          </w:tcPr>
          <w:p w14:paraId="42D8F01E">
            <w:pPr>
              <w:autoSpaceDE w:val="0"/>
              <w:autoSpaceDN w:val="0"/>
              <w:spacing w:after="0" w:line="240" w:lineRule="auto"/>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定型包装</w:t>
            </w:r>
          </w:p>
        </w:tc>
      </w:tr>
      <w:tr w14:paraId="2023F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jc w:val="center"/>
        </w:trPr>
        <w:tc>
          <w:tcPr>
            <w:tcW w:w="1476" w:type="dxa"/>
            <w:noWrap w:val="0"/>
            <w:vAlign w:val="center"/>
          </w:tcPr>
          <w:p w14:paraId="3566D283">
            <w:pPr>
              <w:autoSpaceDE w:val="0"/>
              <w:autoSpaceDN w:val="0"/>
              <w:spacing w:after="0" w:line="240" w:lineRule="auto"/>
              <w:jc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分标4</w:t>
            </w:r>
          </w:p>
        </w:tc>
        <w:tc>
          <w:tcPr>
            <w:tcW w:w="4523" w:type="dxa"/>
            <w:noWrap w:val="0"/>
            <w:vAlign w:val="center"/>
          </w:tcPr>
          <w:p w14:paraId="4639C1FE">
            <w:pPr>
              <w:autoSpaceDE w:val="0"/>
              <w:autoSpaceDN w:val="0"/>
              <w:spacing w:after="0" w:line="240" w:lineRule="auto"/>
              <w:jc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eastAsia="zh-CN"/>
              </w:rPr>
              <w:t>面包、蛋糕</w:t>
            </w:r>
          </w:p>
        </w:tc>
        <w:tc>
          <w:tcPr>
            <w:tcW w:w="3939" w:type="dxa"/>
            <w:noWrap w:val="0"/>
            <w:vAlign w:val="center"/>
          </w:tcPr>
          <w:p w14:paraId="03C65589">
            <w:pPr>
              <w:autoSpaceDE w:val="0"/>
              <w:autoSpaceDN w:val="0"/>
              <w:spacing w:after="0" w:line="240" w:lineRule="auto"/>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鲜品、</w:t>
            </w:r>
            <w:r>
              <w:rPr>
                <w:rFonts w:hint="eastAsia" w:ascii="宋体" w:hAnsi="宋体" w:eastAsia="宋体" w:cs="宋体"/>
                <w:bCs/>
                <w:color w:val="auto"/>
                <w:sz w:val="22"/>
                <w:szCs w:val="22"/>
                <w:highlight w:val="none"/>
              </w:rPr>
              <w:t>定型包装</w:t>
            </w:r>
          </w:p>
        </w:tc>
      </w:tr>
      <w:tr w14:paraId="407AB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jc w:val="center"/>
        </w:trPr>
        <w:tc>
          <w:tcPr>
            <w:tcW w:w="1476" w:type="dxa"/>
            <w:noWrap w:val="0"/>
            <w:vAlign w:val="center"/>
          </w:tcPr>
          <w:p w14:paraId="0CDFAE83">
            <w:pPr>
              <w:autoSpaceDE w:val="0"/>
              <w:autoSpaceDN w:val="0"/>
              <w:spacing w:after="0" w:line="240" w:lineRule="auto"/>
              <w:jc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分标5</w:t>
            </w:r>
          </w:p>
        </w:tc>
        <w:tc>
          <w:tcPr>
            <w:tcW w:w="4523" w:type="dxa"/>
            <w:noWrap w:val="0"/>
            <w:vAlign w:val="center"/>
          </w:tcPr>
          <w:p w14:paraId="13DD1A46">
            <w:pPr>
              <w:autoSpaceDE w:val="0"/>
              <w:autoSpaceDN w:val="0"/>
              <w:spacing w:after="0" w:line="240" w:lineRule="auto"/>
              <w:jc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eastAsia="zh-CN"/>
              </w:rPr>
              <w:t>零食（八宝粥、饼干、雪糕等）、方便面</w:t>
            </w:r>
          </w:p>
        </w:tc>
        <w:tc>
          <w:tcPr>
            <w:tcW w:w="3939" w:type="dxa"/>
            <w:noWrap w:val="0"/>
            <w:vAlign w:val="center"/>
          </w:tcPr>
          <w:p w14:paraId="5A71B359">
            <w:pPr>
              <w:autoSpaceDE w:val="0"/>
              <w:autoSpaceDN w:val="0"/>
              <w:spacing w:after="0" w:line="240" w:lineRule="auto"/>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鲜品、</w:t>
            </w:r>
            <w:r>
              <w:rPr>
                <w:rFonts w:hint="eastAsia" w:ascii="宋体" w:hAnsi="宋体" w:eastAsia="宋体" w:cs="宋体"/>
                <w:bCs/>
                <w:color w:val="auto"/>
                <w:sz w:val="22"/>
                <w:szCs w:val="22"/>
                <w:highlight w:val="none"/>
              </w:rPr>
              <w:t>定型包装</w:t>
            </w:r>
          </w:p>
        </w:tc>
      </w:tr>
    </w:tbl>
    <w:p w14:paraId="6139E746">
      <w:pPr>
        <w:pStyle w:val="19"/>
        <w:rPr>
          <w:rFonts w:hint="eastAsia"/>
          <w:color w:val="auto"/>
          <w:highlight w:val="none"/>
          <w:lang w:eastAsia="zh-CN"/>
        </w:rPr>
      </w:pPr>
    </w:p>
    <w:p w14:paraId="6DA5F73A">
      <w:pPr>
        <w:rPr>
          <w:rFonts w:hint="eastAsia"/>
          <w:color w:val="auto"/>
          <w:highlight w:val="none"/>
          <w:lang w:eastAsia="zh-CN"/>
        </w:rPr>
      </w:pPr>
    </w:p>
    <w:p w14:paraId="46DD7666">
      <w:pPr>
        <w:rPr>
          <w:rFonts w:hint="eastAsia" w:ascii="微软雅黑" w:hAnsi="微软雅黑" w:eastAsia="微软雅黑" w:cs="微软雅黑"/>
          <w:b/>
          <w:bCs/>
          <w:color w:val="auto"/>
          <w:sz w:val="28"/>
          <w:szCs w:val="36"/>
          <w:highlight w:val="none"/>
          <w:lang w:val="en-US" w:eastAsia="zh-CN"/>
        </w:rPr>
      </w:pPr>
      <w:bookmarkStart w:id="59" w:name="_Toc16050"/>
      <w:r>
        <w:rPr>
          <w:rFonts w:hint="eastAsia" w:ascii="微软雅黑" w:hAnsi="微软雅黑" w:eastAsia="微软雅黑" w:cs="微软雅黑"/>
          <w:b/>
          <w:bCs/>
          <w:color w:val="auto"/>
          <w:sz w:val="28"/>
          <w:szCs w:val="36"/>
          <w:highlight w:val="none"/>
          <w:lang w:val="en-US" w:eastAsia="zh-CN"/>
        </w:rPr>
        <w:br w:type="page"/>
      </w:r>
    </w:p>
    <w:p w14:paraId="0314312B">
      <w:pPr>
        <w:pStyle w:val="3"/>
        <w:bidi w:val="0"/>
        <w:rPr>
          <w:rFonts w:hint="default" w:ascii="微软雅黑" w:hAnsi="微软雅黑" w:eastAsia="微软雅黑" w:cs="微软雅黑"/>
          <w:b/>
          <w:bCs/>
          <w:color w:val="auto"/>
          <w:sz w:val="28"/>
          <w:szCs w:val="36"/>
          <w:highlight w:val="none"/>
          <w:lang w:val="en-US" w:eastAsia="zh-CN"/>
        </w:rPr>
      </w:pPr>
      <w:r>
        <w:rPr>
          <w:rFonts w:hint="eastAsia" w:ascii="微软雅黑" w:hAnsi="微软雅黑" w:eastAsia="微软雅黑" w:cs="微软雅黑"/>
          <w:b/>
          <w:bCs/>
          <w:color w:val="auto"/>
          <w:sz w:val="28"/>
          <w:szCs w:val="36"/>
          <w:highlight w:val="none"/>
          <w:lang w:val="en-US" w:eastAsia="zh-CN"/>
        </w:rPr>
        <w:t>二、</w:t>
      </w:r>
      <w:bookmarkEnd w:id="59"/>
      <w:r>
        <w:rPr>
          <w:rFonts w:hint="eastAsia" w:ascii="微软雅黑" w:hAnsi="微软雅黑" w:eastAsia="微软雅黑" w:cs="微软雅黑"/>
          <w:b/>
          <w:bCs/>
          <w:color w:val="auto"/>
          <w:sz w:val="28"/>
          <w:szCs w:val="36"/>
          <w:highlight w:val="none"/>
          <w:lang w:val="en-US" w:eastAsia="zh-CN"/>
        </w:rPr>
        <w:t>服务要求</w:t>
      </w:r>
    </w:p>
    <w:tbl>
      <w:tblPr>
        <w:tblStyle w:val="39"/>
        <w:tblW w:w="974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8"/>
        <w:gridCol w:w="1384"/>
        <w:gridCol w:w="716"/>
        <w:gridCol w:w="6799"/>
      </w:tblGrid>
      <w:tr w14:paraId="79DBC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jc w:val="center"/>
        </w:trPr>
        <w:tc>
          <w:tcPr>
            <w:tcW w:w="848" w:type="dxa"/>
            <w:noWrap w:val="0"/>
            <w:vAlign w:val="center"/>
          </w:tcPr>
          <w:p w14:paraId="212FE7E5">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pacing w:val="-3"/>
                <w:sz w:val="21"/>
                <w:szCs w:val="21"/>
                <w:highlight w:val="none"/>
                <w:lang w:val="en-US" w:eastAsia="zh-CN"/>
              </w:rPr>
            </w:pPr>
            <w:r>
              <w:rPr>
                <w:rFonts w:hint="eastAsia" w:ascii="Times New Roman" w:hAnsi="Times New Roman" w:eastAsia="宋体" w:cs="Times New Roman"/>
                <w:b/>
                <w:bCs/>
                <w:color w:val="auto"/>
                <w:spacing w:val="-3"/>
                <w:sz w:val="21"/>
                <w:szCs w:val="21"/>
                <w:highlight w:val="none"/>
                <w:lang w:val="en-US" w:eastAsia="zh-CN"/>
              </w:rPr>
              <w:t>分标号</w:t>
            </w:r>
          </w:p>
        </w:tc>
        <w:tc>
          <w:tcPr>
            <w:tcW w:w="1384" w:type="dxa"/>
            <w:noWrap w:val="0"/>
            <w:vAlign w:val="center"/>
          </w:tcPr>
          <w:p w14:paraId="5DDCCBB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bCs/>
                <w:color w:val="auto"/>
                <w:spacing w:val="-3"/>
                <w:kern w:val="2"/>
                <w:sz w:val="21"/>
                <w:szCs w:val="21"/>
                <w:highlight w:val="none"/>
                <w:lang w:val="en-US" w:eastAsia="zh-CN" w:bidi="ar-SA"/>
              </w:rPr>
            </w:pPr>
            <w:r>
              <w:rPr>
                <w:rFonts w:hint="eastAsia" w:ascii="Times New Roman" w:hAnsi="Times New Roman" w:eastAsia="宋体" w:cs="Times New Roman"/>
                <w:b/>
                <w:bCs/>
                <w:color w:val="auto"/>
                <w:spacing w:val="-3"/>
                <w:sz w:val="21"/>
                <w:szCs w:val="21"/>
                <w:highlight w:val="none"/>
                <w:lang w:val="en-US" w:eastAsia="zh-CN"/>
              </w:rPr>
              <w:t>标的名称</w:t>
            </w:r>
          </w:p>
        </w:tc>
        <w:tc>
          <w:tcPr>
            <w:tcW w:w="716" w:type="dxa"/>
            <w:noWrap w:val="0"/>
            <w:vAlign w:val="center"/>
          </w:tcPr>
          <w:p w14:paraId="0B2CF662">
            <w:pPr>
              <w:autoSpaceDE w:val="0"/>
              <w:autoSpaceDN w:val="0"/>
              <w:jc w:val="center"/>
              <w:rPr>
                <w:rFonts w:hint="eastAsia" w:ascii="Times New Roman" w:hAnsi="Times New Roman" w:eastAsia="宋体" w:cs="Times New Roman"/>
                <w:b/>
                <w:bCs/>
                <w:color w:val="auto"/>
                <w:spacing w:val="-3"/>
                <w:sz w:val="21"/>
                <w:szCs w:val="21"/>
                <w:highlight w:val="none"/>
                <w:lang w:val="en-US" w:eastAsia="zh-CN"/>
              </w:rPr>
            </w:pPr>
            <w:r>
              <w:rPr>
                <w:rFonts w:hint="eastAsia" w:ascii="宋体" w:hAnsi="宋体" w:cs="宋体"/>
                <w:color w:val="auto"/>
                <w:szCs w:val="21"/>
                <w:highlight w:val="none"/>
              </w:rPr>
              <w:t>数量及单位</w:t>
            </w:r>
          </w:p>
        </w:tc>
        <w:tc>
          <w:tcPr>
            <w:tcW w:w="6799" w:type="dxa"/>
            <w:noWrap w:val="0"/>
            <w:vAlign w:val="center"/>
          </w:tcPr>
          <w:p w14:paraId="6B04A6CE">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pacing w:val="-3"/>
                <w:sz w:val="21"/>
                <w:szCs w:val="21"/>
                <w:highlight w:val="none"/>
                <w:lang w:val="en-US" w:eastAsia="zh-CN"/>
              </w:rPr>
            </w:pPr>
            <w:r>
              <w:rPr>
                <w:rFonts w:hint="eastAsia"/>
                <w:b/>
                <w:color w:val="auto"/>
                <w:szCs w:val="21"/>
                <w:highlight w:val="none"/>
                <w:lang w:val="en-US" w:eastAsia="zh-CN"/>
              </w:rPr>
              <w:t>服务内容</w:t>
            </w:r>
          </w:p>
        </w:tc>
      </w:tr>
      <w:tr w14:paraId="2B092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5" w:hRule="atLeast"/>
          <w:jc w:val="center"/>
        </w:trPr>
        <w:tc>
          <w:tcPr>
            <w:tcW w:w="848" w:type="dxa"/>
            <w:noWrap w:val="0"/>
            <w:vAlign w:val="center"/>
          </w:tcPr>
          <w:p w14:paraId="2647FDCF">
            <w:pPr>
              <w:autoSpaceDE w:val="0"/>
              <w:autoSpaceDN w:val="0"/>
              <w:spacing w:after="0" w:line="240" w:lineRule="auto"/>
              <w:jc w:val="center"/>
              <w:rPr>
                <w:rFonts w:hint="default" w:ascii="Times New Roman" w:hAnsi="Times New Roman" w:eastAsia="宋体" w:cs="Times New Roman"/>
                <w:color w:val="auto"/>
                <w:spacing w:val="-3"/>
                <w:sz w:val="21"/>
                <w:szCs w:val="21"/>
                <w:highlight w:val="none"/>
                <w:lang w:val="en-US" w:eastAsia="zh-CN"/>
              </w:rPr>
            </w:pPr>
            <w:r>
              <w:rPr>
                <w:rFonts w:hint="eastAsia" w:ascii="宋体" w:hAnsi="宋体" w:eastAsia="宋体" w:cs="宋体"/>
                <w:bCs/>
                <w:color w:val="auto"/>
                <w:sz w:val="22"/>
                <w:szCs w:val="22"/>
                <w:highlight w:val="none"/>
                <w:lang w:val="en-US" w:eastAsia="zh-CN"/>
              </w:rPr>
              <w:t>分标1</w:t>
            </w:r>
          </w:p>
        </w:tc>
        <w:tc>
          <w:tcPr>
            <w:tcW w:w="1384" w:type="dxa"/>
            <w:noWrap w:val="0"/>
            <w:vAlign w:val="center"/>
          </w:tcPr>
          <w:p w14:paraId="3A14C78A">
            <w:pPr>
              <w:autoSpaceDE w:val="0"/>
              <w:autoSpaceDN w:val="0"/>
              <w:spacing w:after="0" w:line="240" w:lineRule="auto"/>
              <w:jc w:val="center"/>
              <w:rPr>
                <w:rFonts w:hint="eastAsia" w:ascii="Times New Roman" w:hAnsi="Times New Roman" w:eastAsia="宋体" w:cs="Times New Roman"/>
                <w:color w:val="auto"/>
                <w:spacing w:val="-3"/>
                <w:kern w:val="2"/>
                <w:sz w:val="21"/>
                <w:szCs w:val="21"/>
                <w:highlight w:val="none"/>
                <w:lang w:val="en-US" w:eastAsia="zh-CN" w:bidi="ar-SA"/>
              </w:rPr>
            </w:pPr>
            <w:r>
              <w:rPr>
                <w:rFonts w:hint="eastAsia" w:ascii="宋体" w:hAnsi="宋体" w:eastAsia="宋体" w:cs="宋体"/>
                <w:bCs/>
                <w:color w:val="auto"/>
                <w:sz w:val="22"/>
                <w:szCs w:val="22"/>
                <w:highlight w:val="none"/>
                <w:lang w:val="en-US" w:eastAsia="zh-CN"/>
              </w:rPr>
              <w:t>部分调味品、部分副食品</w:t>
            </w:r>
          </w:p>
        </w:tc>
        <w:tc>
          <w:tcPr>
            <w:tcW w:w="716" w:type="dxa"/>
            <w:noWrap w:val="0"/>
            <w:vAlign w:val="center"/>
          </w:tcPr>
          <w:p w14:paraId="1234F409">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3"/>
                <w:sz w:val="21"/>
                <w:szCs w:val="21"/>
                <w:highlight w:val="none"/>
                <w:lang w:val="en-US" w:eastAsia="zh-CN"/>
              </w:rPr>
            </w:pPr>
            <w:r>
              <w:rPr>
                <w:rFonts w:hint="eastAsia" w:cs="Times New Roman"/>
                <w:color w:val="auto"/>
                <w:spacing w:val="-3"/>
                <w:sz w:val="21"/>
                <w:szCs w:val="21"/>
                <w:highlight w:val="none"/>
                <w:lang w:val="en-US" w:eastAsia="zh-CN"/>
              </w:rPr>
              <w:t>1项</w:t>
            </w:r>
          </w:p>
        </w:tc>
        <w:tc>
          <w:tcPr>
            <w:tcW w:w="6799" w:type="dxa"/>
            <w:noWrap w:val="0"/>
            <w:vAlign w:val="center"/>
          </w:tcPr>
          <w:p w14:paraId="5BAAB256">
            <w:pPr>
              <w:autoSpaceDE w:val="0"/>
              <w:autoSpaceDN w:val="0"/>
              <w:spacing w:line="240" w:lineRule="auto"/>
              <w:ind w:firstLine="422" w:firstLineChars="200"/>
              <w:jc w:val="both"/>
              <w:outlineLvl w:val="9"/>
              <w:rPr>
                <w:rFonts w:hint="eastAsia"/>
                <w:b/>
                <w:color w:val="auto"/>
                <w:szCs w:val="21"/>
                <w:highlight w:val="none"/>
              </w:rPr>
            </w:pPr>
            <w:r>
              <w:rPr>
                <w:rFonts w:hint="eastAsia"/>
                <w:b/>
                <w:color w:val="auto"/>
                <w:szCs w:val="21"/>
                <w:highlight w:val="none"/>
              </w:rPr>
              <w:t>1、采购需求</w:t>
            </w:r>
          </w:p>
          <w:p w14:paraId="6D70541A">
            <w:pPr>
              <w:autoSpaceDE w:val="0"/>
              <w:autoSpaceDN w:val="0"/>
              <w:spacing w:line="240" w:lineRule="auto"/>
              <w:ind w:firstLine="420" w:firstLineChars="200"/>
              <w:jc w:val="both"/>
              <w:outlineLvl w:val="9"/>
              <w:rPr>
                <w:rFonts w:hint="eastAsia"/>
                <w:color w:val="auto"/>
                <w:szCs w:val="21"/>
                <w:highlight w:val="none"/>
              </w:rPr>
            </w:pPr>
            <w:r>
              <w:rPr>
                <w:rFonts w:hint="eastAsia"/>
                <w:color w:val="auto"/>
                <w:szCs w:val="21"/>
                <w:highlight w:val="none"/>
              </w:rPr>
              <w:t>⑴实行每批次采购，供应商应按采购单位的</w:t>
            </w:r>
            <w:r>
              <w:rPr>
                <w:rFonts w:hint="eastAsia"/>
                <w:color w:val="auto"/>
                <w:szCs w:val="21"/>
                <w:highlight w:val="none"/>
                <w:lang w:eastAsia="zh-CN"/>
              </w:rPr>
              <w:t>货物请购清单</w:t>
            </w:r>
            <w:r>
              <w:rPr>
                <w:rFonts w:hint="eastAsia"/>
                <w:color w:val="auto"/>
                <w:szCs w:val="21"/>
                <w:highlight w:val="none"/>
              </w:rPr>
              <w:t>提供相应数量的货物。</w:t>
            </w:r>
          </w:p>
          <w:p w14:paraId="194FE10F">
            <w:pPr>
              <w:autoSpaceDE w:val="0"/>
              <w:autoSpaceDN w:val="0"/>
              <w:spacing w:line="240" w:lineRule="auto"/>
              <w:ind w:firstLine="420" w:firstLineChars="200"/>
              <w:jc w:val="both"/>
              <w:outlineLvl w:val="9"/>
              <w:rPr>
                <w:color w:val="auto"/>
                <w:highlight w:val="none"/>
                <w:u w:val="wave"/>
              </w:rPr>
            </w:pPr>
            <w:r>
              <w:rPr>
                <w:rFonts w:hint="eastAsia"/>
                <w:color w:val="auto"/>
                <w:szCs w:val="21"/>
                <w:highlight w:val="none"/>
              </w:rPr>
              <w:t>⑵</w:t>
            </w:r>
            <w:r>
              <w:rPr>
                <w:rFonts w:hint="eastAsia" w:ascii="宋体" w:hAnsi="宋体" w:eastAsia="宋体" w:cs="宋体"/>
                <w:color w:val="auto"/>
                <w:kern w:val="2"/>
                <w:sz w:val="21"/>
                <w:szCs w:val="21"/>
                <w:highlight w:val="none"/>
                <w:lang w:val="en-US" w:eastAsia="zh-CN" w:bidi="ar-SA"/>
              </w:rPr>
              <w:t>结算时按实际采购数量结算</w:t>
            </w:r>
          </w:p>
          <w:p w14:paraId="73FC50E0">
            <w:pPr>
              <w:autoSpaceDE w:val="0"/>
              <w:autoSpaceDN w:val="0"/>
              <w:spacing w:line="240" w:lineRule="auto"/>
              <w:ind w:firstLine="422" w:firstLineChars="200"/>
              <w:jc w:val="both"/>
              <w:outlineLvl w:val="9"/>
              <w:rPr>
                <w:rFonts w:hint="eastAsia"/>
                <w:b/>
                <w:color w:val="auto"/>
                <w:szCs w:val="21"/>
                <w:highlight w:val="none"/>
              </w:rPr>
            </w:pPr>
            <w:r>
              <w:rPr>
                <w:rFonts w:hint="eastAsia"/>
                <w:b/>
                <w:color w:val="auto"/>
                <w:szCs w:val="21"/>
                <w:highlight w:val="none"/>
              </w:rPr>
              <w:t>2、质量要求</w:t>
            </w:r>
          </w:p>
          <w:p w14:paraId="038F4A14">
            <w:pPr>
              <w:keepNext w:val="0"/>
              <w:keepLines w:val="0"/>
              <w:widowControl/>
              <w:suppressLineNumbers w:val="0"/>
              <w:autoSpaceDE w:val="0"/>
              <w:autoSpaceDN w:val="0"/>
              <w:ind w:firstLine="420" w:firstLineChars="200"/>
              <w:jc w:val="left"/>
              <w:rPr>
                <w:color w:val="auto"/>
                <w:highlight w:val="none"/>
              </w:rPr>
            </w:pPr>
            <w:r>
              <w:rPr>
                <w:rFonts w:hint="eastAsia"/>
                <w:color w:val="auto"/>
                <w:szCs w:val="21"/>
                <w:highlight w:val="none"/>
              </w:rPr>
              <w:t>⑴必须是在市场上流通的，</w:t>
            </w:r>
            <w:r>
              <w:rPr>
                <w:rFonts w:hint="eastAsia" w:ascii="宋体" w:hAnsi="宋体" w:eastAsia="宋体" w:cs="宋体"/>
                <w:color w:val="auto"/>
                <w:kern w:val="0"/>
                <w:sz w:val="20"/>
                <w:szCs w:val="20"/>
                <w:highlight w:val="none"/>
                <w:lang w:val="en-US" w:eastAsia="zh-CN" w:bidi="ar"/>
              </w:rPr>
              <w:t>产品符合国家及行业相关标准，有“SC”标志。</w:t>
            </w:r>
          </w:p>
          <w:p w14:paraId="48464314">
            <w:pPr>
              <w:autoSpaceDE w:val="0"/>
              <w:autoSpaceDN w:val="0"/>
              <w:spacing w:line="240" w:lineRule="auto"/>
              <w:ind w:firstLine="420" w:firstLineChars="200"/>
              <w:jc w:val="both"/>
              <w:outlineLvl w:val="9"/>
              <w:rPr>
                <w:color w:val="auto"/>
                <w:sz w:val="21"/>
                <w:highlight w:val="none"/>
              </w:rPr>
            </w:pPr>
            <w:r>
              <w:rPr>
                <w:rFonts w:hint="eastAsia"/>
                <w:color w:val="auto"/>
                <w:szCs w:val="21"/>
                <w:highlight w:val="none"/>
              </w:rPr>
              <w:t>⑵必须定型包装、有明显的标签、生产日期、生产厂家、保质期</w:t>
            </w:r>
            <w:r>
              <w:rPr>
                <w:rFonts w:hint="eastAsia"/>
                <w:color w:val="auto"/>
                <w:szCs w:val="21"/>
                <w:highlight w:val="none"/>
                <w:lang w:eastAsia="zh-CN"/>
              </w:rPr>
              <w:t>、</w:t>
            </w:r>
            <w:r>
              <w:rPr>
                <w:rFonts w:hint="eastAsia"/>
                <w:color w:val="auto"/>
                <w:szCs w:val="21"/>
                <w:highlight w:val="none"/>
              </w:rPr>
              <w:t>产品合格证</w:t>
            </w:r>
            <w:r>
              <w:rPr>
                <w:rFonts w:hint="eastAsia" w:ascii="宋体" w:hAnsi="宋体" w:cs="宋体"/>
                <w:bCs/>
                <w:color w:val="auto"/>
                <w:szCs w:val="21"/>
                <w:highlight w:val="none"/>
              </w:rPr>
              <w:t>、贮存条件、执行产品标准号等</w:t>
            </w:r>
            <w:r>
              <w:rPr>
                <w:color w:val="auto"/>
                <w:sz w:val="21"/>
                <w:highlight w:val="none"/>
              </w:rPr>
              <w:t>。</w:t>
            </w:r>
          </w:p>
          <w:p w14:paraId="44A1AEE2">
            <w:pPr>
              <w:autoSpaceDE w:val="0"/>
              <w:autoSpaceDN w:val="0"/>
              <w:spacing w:line="240" w:lineRule="auto"/>
              <w:ind w:firstLine="420" w:firstLineChars="200"/>
              <w:jc w:val="both"/>
              <w:outlineLvl w:val="9"/>
              <w:rPr>
                <w:rFonts w:hint="eastAsia" w:ascii="Times New Roman" w:hAnsi="Times New Roman" w:eastAsia="宋体" w:cs="Times New Roman"/>
                <w:color w:val="auto"/>
                <w:spacing w:val="-3"/>
                <w:sz w:val="21"/>
                <w:szCs w:val="21"/>
                <w:highlight w:val="none"/>
                <w:lang w:val="en-US" w:eastAsia="zh-CN"/>
              </w:rPr>
            </w:pPr>
            <w:r>
              <w:rPr>
                <w:rFonts w:hint="eastAsia"/>
                <w:color w:val="auto"/>
                <w:szCs w:val="21"/>
                <w:highlight w:val="none"/>
              </w:rPr>
              <w:t>⑶</w:t>
            </w:r>
            <w:r>
              <w:rPr>
                <w:rFonts w:hint="eastAsia" w:ascii="宋体" w:hAnsi="宋体" w:eastAsia="宋体" w:cs="宋体"/>
                <w:color w:val="auto"/>
                <w:szCs w:val="21"/>
                <w:highlight w:val="none"/>
                <w:lang w:val="en-US" w:eastAsia="zh-CN"/>
              </w:rPr>
              <w:t>保质期：达到国家规定要求，剩余保存期时间不得少于保质期的四分之三。</w:t>
            </w:r>
            <w:r>
              <w:rPr>
                <w:rFonts w:hint="eastAsia"/>
                <w:color w:val="auto"/>
                <w:szCs w:val="21"/>
                <w:highlight w:val="none"/>
              </w:rPr>
              <w:t>保证生产日期新鲜且符合食品安全国家标准和食品安全法要求</w:t>
            </w:r>
          </w:p>
        </w:tc>
      </w:tr>
      <w:tr w14:paraId="40B25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3" w:hRule="atLeast"/>
          <w:jc w:val="center"/>
        </w:trPr>
        <w:tc>
          <w:tcPr>
            <w:tcW w:w="848" w:type="dxa"/>
            <w:noWrap w:val="0"/>
            <w:vAlign w:val="center"/>
          </w:tcPr>
          <w:p w14:paraId="6B780EFD">
            <w:pPr>
              <w:autoSpaceDE w:val="0"/>
              <w:autoSpaceDN w:val="0"/>
              <w:spacing w:after="0" w:line="240" w:lineRule="auto"/>
              <w:jc w:val="center"/>
              <w:rPr>
                <w:rFonts w:hint="eastAsia" w:ascii="Times New Roman" w:hAnsi="Times New Roman" w:eastAsia="宋体" w:cs="Times New Roman"/>
                <w:color w:val="auto"/>
                <w:spacing w:val="-3"/>
                <w:sz w:val="21"/>
                <w:szCs w:val="21"/>
                <w:highlight w:val="none"/>
                <w:lang w:val="en-US" w:eastAsia="zh-CN"/>
              </w:rPr>
            </w:pPr>
            <w:r>
              <w:rPr>
                <w:rFonts w:hint="eastAsia" w:ascii="宋体" w:hAnsi="宋体" w:eastAsia="宋体" w:cs="宋体"/>
                <w:bCs/>
                <w:color w:val="auto"/>
                <w:sz w:val="22"/>
                <w:szCs w:val="22"/>
                <w:highlight w:val="none"/>
                <w:lang w:val="en-US" w:eastAsia="zh-CN"/>
              </w:rPr>
              <w:t>分标2</w:t>
            </w:r>
          </w:p>
        </w:tc>
        <w:tc>
          <w:tcPr>
            <w:tcW w:w="1384" w:type="dxa"/>
            <w:noWrap w:val="0"/>
            <w:vAlign w:val="center"/>
          </w:tcPr>
          <w:p w14:paraId="42853E6C">
            <w:pPr>
              <w:autoSpaceDE w:val="0"/>
              <w:autoSpaceDN w:val="0"/>
              <w:spacing w:after="0" w:line="240" w:lineRule="auto"/>
              <w:jc w:val="center"/>
              <w:rPr>
                <w:rFonts w:hint="eastAsia" w:ascii="Times New Roman" w:hAnsi="Times New Roman" w:eastAsia="宋体" w:cs="Times New Roman"/>
                <w:color w:val="auto"/>
                <w:spacing w:val="-3"/>
                <w:sz w:val="21"/>
                <w:szCs w:val="21"/>
                <w:highlight w:val="none"/>
                <w:lang w:val="en-US" w:eastAsia="zh-CN"/>
              </w:rPr>
            </w:pPr>
            <w:r>
              <w:rPr>
                <w:rFonts w:hint="eastAsia" w:ascii="宋体" w:hAnsi="宋体" w:eastAsia="宋体" w:cs="宋体"/>
                <w:bCs/>
                <w:color w:val="auto"/>
                <w:sz w:val="22"/>
                <w:szCs w:val="22"/>
                <w:highlight w:val="none"/>
                <w:lang w:val="en-US" w:eastAsia="zh-CN"/>
              </w:rPr>
              <w:t>学习用品、日用品</w:t>
            </w:r>
          </w:p>
        </w:tc>
        <w:tc>
          <w:tcPr>
            <w:tcW w:w="716" w:type="dxa"/>
            <w:noWrap w:val="0"/>
            <w:vAlign w:val="center"/>
          </w:tcPr>
          <w:p w14:paraId="646D990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cs="Times New Roman"/>
                <w:color w:val="auto"/>
                <w:spacing w:val="-3"/>
                <w:sz w:val="21"/>
                <w:szCs w:val="21"/>
                <w:highlight w:val="none"/>
                <w:lang w:val="en-US" w:eastAsia="zh-CN"/>
              </w:rPr>
            </w:pPr>
            <w:r>
              <w:rPr>
                <w:rFonts w:hint="eastAsia" w:cs="Times New Roman"/>
                <w:color w:val="auto"/>
                <w:spacing w:val="-3"/>
                <w:sz w:val="21"/>
                <w:szCs w:val="21"/>
                <w:highlight w:val="none"/>
                <w:lang w:val="en-US" w:eastAsia="zh-CN"/>
              </w:rPr>
              <w:t>1项</w:t>
            </w:r>
          </w:p>
        </w:tc>
        <w:tc>
          <w:tcPr>
            <w:tcW w:w="6799" w:type="dxa"/>
            <w:noWrap w:val="0"/>
            <w:vAlign w:val="center"/>
          </w:tcPr>
          <w:p w14:paraId="04CE6C77">
            <w:pPr>
              <w:autoSpaceDE w:val="0"/>
              <w:autoSpaceDN w:val="0"/>
              <w:spacing w:line="240" w:lineRule="auto"/>
              <w:ind w:firstLine="422" w:firstLineChars="200"/>
              <w:jc w:val="both"/>
              <w:outlineLvl w:val="9"/>
              <w:rPr>
                <w:rFonts w:hint="eastAsia"/>
                <w:b/>
                <w:color w:val="auto"/>
                <w:szCs w:val="21"/>
                <w:highlight w:val="none"/>
              </w:rPr>
            </w:pPr>
            <w:r>
              <w:rPr>
                <w:rFonts w:hint="eastAsia"/>
                <w:b/>
                <w:color w:val="auto"/>
                <w:szCs w:val="21"/>
                <w:highlight w:val="none"/>
              </w:rPr>
              <w:t>1、采购需求</w:t>
            </w:r>
          </w:p>
          <w:p w14:paraId="7A9871A5">
            <w:pPr>
              <w:autoSpaceDE w:val="0"/>
              <w:autoSpaceDN w:val="0"/>
              <w:spacing w:line="240" w:lineRule="auto"/>
              <w:ind w:firstLine="525" w:firstLineChars="250"/>
              <w:jc w:val="both"/>
              <w:outlineLvl w:val="9"/>
              <w:rPr>
                <w:rFonts w:hint="eastAsia" w:ascii="宋体" w:hAnsi="宋体" w:eastAsia="宋体" w:cs="宋体"/>
                <w:color w:val="auto"/>
                <w:kern w:val="2"/>
                <w:sz w:val="21"/>
                <w:szCs w:val="21"/>
                <w:highlight w:val="none"/>
                <w:lang w:val="en-US" w:eastAsia="zh-CN" w:bidi="ar-SA"/>
              </w:rPr>
            </w:pPr>
            <w:r>
              <w:rPr>
                <w:rFonts w:hint="eastAsia"/>
                <w:color w:val="auto"/>
                <w:szCs w:val="21"/>
                <w:highlight w:val="none"/>
              </w:rPr>
              <w:t>⑴实行每批次采购，供应商应按采购单位的</w:t>
            </w:r>
            <w:r>
              <w:rPr>
                <w:rFonts w:hint="eastAsia"/>
                <w:color w:val="auto"/>
                <w:szCs w:val="21"/>
                <w:highlight w:val="none"/>
                <w:lang w:eastAsia="zh-CN"/>
              </w:rPr>
              <w:t>货物请购清单</w:t>
            </w:r>
            <w:r>
              <w:rPr>
                <w:rFonts w:hint="eastAsia"/>
                <w:color w:val="auto"/>
                <w:szCs w:val="21"/>
                <w:highlight w:val="none"/>
              </w:rPr>
              <w:t>提供相应数量的货物</w:t>
            </w:r>
            <w:r>
              <w:rPr>
                <w:rFonts w:hint="eastAsia" w:ascii="宋体" w:hAnsi="宋体" w:eastAsia="宋体" w:cs="宋体"/>
                <w:color w:val="auto"/>
                <w:kern w:val="2"/>
                <w:sz w:val="21"/>
                <w:szCs w:val="21"/>
                <w:highlight w:val="none"/>
                <w:lang w:val="en-US" w:eastAsia="zh-CN" w:bidi="ar-SA"/>
              </w:rPr>
              <w:t>。</w:t>
            </w:r>
          </w:p>
          <w:p w14:paraId="70CCB4E5">
            <w:pPr>
              <w:autoSpaceDE w:val="0"/>
              <w:autoSpaceDN w:val="0"/>
              <w:spacing w:line="240" w:lineRule="auto"/>
              <w:ind w:firstLine="525" w:firstLineChars="250"/>
              <w:jc w:val="both"/>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⑵结算时按实际采购数量结算。</w:t>
            </w:r>
          </w:p>
          <w:p w14:paraId="4E2FBB4B">
            <w:pPr>
              <w:autoSpaceDE w:val="0"/>
              <w:autoSpaceDN w:val="0"/>
              <w:spacing w:line="240" w:lineRule="auto"/>
              <w:ind w:firstLine="422" w:firstLineChars="200"/>
              <w:jc w:val="both"/>
              <w:outlineLvl w:val="9"/>
              <w:rPr>
                <w:rFonts w:hint="eastAsia"/>
                <w:b/>
                <w:color w:val="auto"/>
                <w:szCs w:val="21"/>
                <w:highlight w:val="none"/>
              </w:rPr>
            </w:pPr>
            <w:r>
              <w:rPr>
                <w:rFonts w:hint="eastAsia"/>
                <w:b/>
                <w:color w:val="auto"/>
                <w:szCs w:val="21"/>
                <w:highlight w:val="none"/>
              </w:rPr>
              <w:t>2、质量要求</w:t>
            </w:r>
          </w:p>
          <w:p w14:paraId="5DA1B2A7">
            <w:pPr>
              <w:numPr>
                <w:ilvl w:val="0"/>
                <w:numId w:val="0"/>
              </w:numPr>
              <w:autoSpaceDE w:val="0"/>
              <w:autoSpaceDN w:val="0"/>
              <w:spacing w:line="240" w:lineRule="auto"/>
              <w:ind w:left="0" w:leftChars="0" w:firstLine="630" w:firstLineChars="3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有产品质量检验合格证明，例如合格证、QC章、“合格”字样等。</w:t>
            </w:r>
          </w:p>
          <w:p w14:paraId="1EDF504D">
            <w:pPr>
              <w:numPr>
                <w:ilvl w:val="0"/>
                <w:numId w:val="0"/>
              </w:numPr>
              <w:autoSpaceDE w:val="0"/>
              <w:autoSpaceDN w:val="0"/>
              <w:spacing w:line="240" w:lineRule="auto"/>
              <w:ind w:left="0" w:leftChars="0" w:firstLine="630" w:firstLineChars="3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有中文标明的产品名称、生产厂厂名和厂址；进口产品，应当用中文标明产品名称、产地以及进口商或者总经销者名称、地址。</w:t>
            </w:r>
          </w:p>
          <w:p w14:paraId="7878F01B">
            <w:pPr>
              <w:numPr>
                <w:ilvl w:val="0"/>
                <w:numId w:val="0"/>
              </w:numPr>
              <w:autoSpaceDE w:val="0"/>
              <w:autoSpaceDN w:val="0"/>
              <w:spacing w:line="240" w:lineRule="auto"/>
              <w:ind w:left="0" w:leftChars="0" w:firstLine="630" w:firstLineChars="3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限期使用的产品，在显著位置清晰地标明生产日期、安全使用期或者失效日期。</w:t>
            </w:r>
          </w:p>
          <w:p w14:paraId="1AF03537">
            <w:pPr>
              <w:numPr>
                <w:ilvl w:val="0"/>
                <w:numId w:val="0"/>
              </w:numPr>
              <w:autoSpaceDE w:val="0"/>
              <w:autoSpaceDN w:val="0"/>
              <w:spacing w:line="240" w:lineRule="auto"/>
              <w:ind w:left="0" w:leftChars="0" w:firstLine="630" w:firstLineChars="3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根据产品特点和使用要求，需要标明产品规格、等级、所含主要成份的名称和含量的，用中文相应予以标明。</w:t>
            </w:r>
          </w:p>
          <w:p w14:paraId="3DF3DF69">
            <w:pPr>
              <w:numPr>
                <w:ilvl w:val="0"/>
                <w:numId w:val="0"/>
              </w:numPr>
              <w:autoSpaceDE w:val="0"/>
              <w:autoSpaceDN w:val="0"/>
              <w:spacing w:line="240" w:lineRule="auto"/>
              <w:ind w:left="0" w:leftChars="0" w:firstLine="630" w:firstLineChars="3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使用不当，容易造成产品本身损坏或者可能危及人身、财产安全的产品，应当有警示标志或者中文警示说明。</w:t>
            </w:r>
          </w:p>
          <w:p w14:paraId="350FA11B">
            <w:pPr>
              <w:autoSpaceDE w:val="0"/>
              <w:autoSpaceDN w:val="0"/>
              <w:spacing w:line="240" w:lineRule="auto"/>
              <w:ind w:firstLine="420" w:firstLineChars="200"/>
              <w:jc w:val="both"/>
              <w:outlineLvl w:val="9"/>
              <w:rPr>
                <w:rFonts w:hint="eastAsia"/>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餐具、果蔬洗涤剂等食品相关产品，有工业产品生产许可证编号</w:t>
            </w:r>
          </w:p>
        </w:tc>
      </w:tr>
      <w:tr w14:paraId="53B82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3" w:hRule="atLeast"/>
          <w:jc w:val="center"/>
        </w:trPr>
        <w:tc>
          <w:tcPr>
            <w:tcW w:w="848" w:type="dxa"/>
            <w:noWrap w:val="0"/>
            <w:vAlign w:val="center"/>
          </w:tcPr>
          <w:p w14:paraId="4D5695A7">
            <w:pPr>
              <w:autoSpaceDE w:val="0"/>
              <w:autoSpaceDN w:val="0"/>
              <w:spacing w:after="0" w:line="240" w:lineRule="auto"/>
              <w:jc w:val="center"/>
              <w:rPr>
                <w:rFonts w:hint="eastAsia" w:ascii="Times New Roman" w:hAnsi="Times New Roman" w:eastAsia="宋体" w:cs="Times New Roman"/>
                <w:color w:val="auto"/>
                <w:spacing w:val="-3"/>
                <w:sz w:val="21"/>
                <w:szCs w:val="21"/>
                <w:highlight w:val="none"/>
                <w:lang w:val="en-US" w:eastAsia="zh-CN"/>
              </w:rPr>
            </w:pPr>
            <w:r>
              <w:rPr>
                <w:rFonts w:hint="eastAsia" w:ascii="宋体" w:hAnsi="宋体" w:eastAsia="宋体" w:cs="宋体"/>
                <w:bCs/>
                <w:color w:val="auto"/>
                <w:sz w:val="22"/>
                <w:szCs w:val="22"/>
                <w:highlight w:val="none"/>
                <w:lang w:val="en-US" w:eastAsia="zh-CN"/>
              </w:rPr>
              <w:t>分标3</w:t>
            </w:r>
          </w:p>
        </w:tc>
        <w:tc>
          <w:tcPr>
            <w:tcW w:w="1384" w:type="dxa"/>
            <w:noWrap w:val="0"/>
            <w:vAlign w:val="center"/>
          </w:tcPr>
          <w:p w14:paraId="404763F1">
            <w:pPr>
              <w:autoSpaceDE w:val="0"/>
              <w:autoSpaceDN w:val="0"/>
              <w:spacing w:after="0" w:line="240" w:lineRule="auto"/>
              <w:jc w:val="center"/>
              <w:rPr>
                <w:rFonts w:hint="eastAsia" w:ascii="Times New Roman" w:hAnsi="Times New Roman" w:eastAsia="宋体" w:cs="Times New Roman"/>
                <w:color w:val="auto"/>
                <w:spacing w:val="-3"/>
                <w:sz w:val="21"/>
                <w:szCs w:val="21"/>
                <w:highlight w:val="none"/>
                <w:lang w:val="en-US" w:eastAsia="zh-CN"/>
              </w:rPr>
            </w:pPr>
            <w:r>
              <w:rPr>
                <w:rFonts w:hint="eastAsia" w:ascii="宋体" w:hAnsi="宋体" w:eastAsia="宋体" w:cs="宋体"/>
                <w:bCs/>
                <w:color w:val="auto"/>
                <w:sz w:val="22"/>
                <w:szCs w:val="22"/>
                <w:highlight w:val="none"/>
                <w:lang w:eastAsia="zh-CN"/>
              </w:rPr>
              <w:t>矿泉水、饮料、牛奶</w:t>
            </w:r>
          </w:p>
        </w:tc>
        <w:tc>
          <w:tcPr>
            <w:tcW w:w="716" w:type="dxa"/>
            <w:noWrap w:val="0"/>
            <w:vAlign w:val="center"/>
          </w:tcPr>
          <w:p w14:paraId="1BE2DBEC">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cs="Times New Roman"/>
                <w:color w:val="auto"/>
                <w:spacing w:val="-3"/>
                <w:sz w:val="21"/>
                <w:szCs w:val="21"/>
                <w:highlight w:val="none"/>
                <w:lang w:val="en-US" w:eastAsia="zh-CN"/>
              </w:rPr>
            </w:pPr>
            <w:r>
              <w:rPr>
                <w:rFonts w:hint="eastAsia" w:cs="Times New Roman"/>
                <w:color w:val="auto"/>
                <w:spacing w:val="-3"/>
                <w:sz w:val="21"/>
                <w:szCs w:val="21"/>
                <w:highlight w:val="none"/>
                <w:lang w:val="en-US" w:eastAsia="zh-CN"/>
              </w:rPr>
              <w:t>1项</w:t>
            </w:r>
          </w:p>
        </w:tc>
        <w:tc>
          <w:tcPr>
            <w:tcW w:w="6799" w:type="dxa"/>
            <w:noWrap w:val="0"/>
            <w:vAlign w:val="center"/>
          </w:tcPr>
          <w:p w14:paraId="0006E816">
            <w:pPr>
              <w:autoSpaceDE w:val="0"/>
              <w:autoSpaceDN w:val="0"/>
              <w:spacing w:line="240" w:lineRule="auto"/>
              <w:ind w:firstLine="422" w:firstLineChars="200"/>
              <w:jc w:val="both"/>
              <w:outlineLvl w:val="9"/>
              <w:rPr>
                <w:rFonts w:hint="eastAsia"/>
                <w:b/>
                <w:color w:val="auto"/>
                <w:szCs w:val="21"/>
                <w:highlight w:val="none"/>
              </w:rPr>
            </w:pPr>
            <w:r>
              <w:rPr>
                <w:rFonts w:hint="eastAsia"/>
                <w:b/>
                <w:color w:val="auto"/>
                <w:szCs w:val="21"/>
                <w:highlight w:val="none"/>
              </w:rPr>
              <w:t>1、采购需求</w:t>
            </w:r>
          </w:p>
          <w:p w14:paraId="4BBDDF42">
            <w:pPr>
              <w:autoSpaceDE w:val="0"/>
              <w:autoSpaceDN w:val="0"/>
              <w:spacing w:line="240" w:lineRule="auto"/>
              <w:ind w:firstLine="525" w:firstLineChars="250"/>
              <w:jc w:val="both"/>
              <w:outlineLvl w:val="9"/>
              <w:rPr>
                <w:rFonts w:hint="eastAsia" w:ascii="宋体" w:hAnsi="宋体" w:eastAsia="宋体" w:cs="宋体"/>
                <w:color w:val="auto"/>
                <w:kern w:val="2"/>
                <w:sz w:val="21"/>
                <w:szCs w:val="21"/>
                <w:highlight w:val="none"/>
                <w:lang w:val="en-US" w:eastAsia="zh-CN" w:bidi="ar-SA"/>
              </w:rPr>
            </w:pPr>
            <w:r>
              <w:rPr>
                <w:rFonts w:hint="eastAsia"/>
                <w:color w:val="auto"/>
                <w:szCs w:val="21"/>
                <w:highlight w:val="none"/>
              </w:rPr>
              <w:t>⑴实行每批次采购，供应商应按采购单位的</w:t>
            </w:r>
            <w:r>
              <w:rPr>
                <w:rFonts w:hint="eastAsia"/>
                <w:color w:val="auto"/>
                <w:szCs w:val="21"/>
                <w:highlight w:val="none"/>
                <w:lang w:eastAsia="zh-CN"/>
              </w:rPr>
              <w:t>货物请购清单</w:t>
            </w:r>
            <w:r>
              <w:rPr>
                <w:rFonts w:hint="eastAsia"/>
                <w:color w:val="auto"/>
                <w:szCs w:val="21"/>
                <w:highlight w:val="none"/>
              </w:rPr>
              <w:t>提供相应数量的货物</w:t>
            </w:r>
            <w:r>
              <w:rPr>
                <w:rFonts w:hint="eastAsia" w:ascii="宋体" w:hAnsi="宋体" w:eastAsia="宋体" w:cs="宋体"/>
                <w:color w:val="auto"/>
                <w:kern w:val="2"/>
                <w:sz w:val="21"/>
                <w:szCs w:val="21"/>
                <w:highlight w:val="none"/>
                <w:lang w:val="en-US" w:eastAsia="zh-CN" w:bidi="ar-SA"/>
              </w:rPr>
              <w:t>。</w:t>
            </w:r>
          </w:p>
          <w:p w14:paraId="2C1EDAB2">
            <w:pPr>
              <w:autoSpaceDE w:val="0"/>
              <w:autoSpaceDN w:val="0"/>
              <w:spacing w:line="240" w:lineRule="auto"/>
              <w:ind w:firstLine="525" w:firstLineChars="250"/>
              <w:jc w:val="both"/>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⑵结算时按实际采购数量结算。</w:t>
            </w:r>
          </w:p>
          <w:p w14:paraId="10151A02">
            <w:pPr>
              <w:autoSpaceDE w:val="0"/>
              <w:autoSpaceDN w:val="0"/>
              <w:spacing w:line="240" w:lineRule="auto"/>
              <w:ind w:firstLine="422" w:firstLineChars="200"/>
              <w:jc w:val="both"/>
              <w:outlineLvl w:val="9"/>
              <w:rPr>
                <w:rFonts w:hint="eastAsia"/>
                <w:b/>
                <w:color w:val="auto"/>
                <w:szCs w:val="21"/>
                <w:highlight w:val="none"/>
              </w:rPr>
            </w:pPr>
            <w:r>
              <w:rPr>
                <w:rFonts w:hint="eastAsia"/>
                <w:b/>
                <w:color w:val="auto"/>
                <w:szCs w:val="21"/>
                <w:highlight w:val="none"/>
              </w:rPr>
              <w:t>2、质量要求</w:t>
            </w:r>
          </w:p>
          <w:p w14:paraId="549B8885">
            <w:pPr>
              <w:autoSpaceDE w:val="0"/>
              <w:autoSpaceDN w:val="0"/>
              <w:spacing w:line="240" w:lineRule="auto"/>
              <w:ind w:firstLine="420" w:firstLineChars="200"/>
              <w:jc w:val="both"/>
              <w:outlineLvl w:val="9"/>
              <w:rPr>
                <w:rFonts w:hint="eastAsia"/>
                <w:color w:val="auto"/>
                <w:szCs w:val="21"/>
                <w:highlight w:val="none"/>
                <w:lang w:val="en-US" w:eastAsia="zh-CN"/>
              </w:rPr>
            </w:pPr>
            <w:r>
              <w:rPr>
                <w:rFonts w:hint="eastAsia"/>
                <w:color w:val="auto"/>
                <w:szCs w:val="21"/>
                <w:highlight w:val="none"/>
              </w:rPr>
              <w:t>⑴</w:t>
            </w:r>
            <w:r>
              <w:rPr>
                <w:rFonts w:hint="eastAsia"/>
                <w:color w:val="auto"/>
                <w:szCs w:val="21"/>
                <w:highlight w:val="none"/>
                <w:lang w:val="en-US" w:eastAsia="zh-CN"/>
              </w:rPr>
              <w:t>通过感官鉴别包装内产品，依靠视觉、嗅觉、味觉、触觉等鉴定食品的外观形态、色泽、气味、滋味和硬度(稠度)是否符合质量要求。</w:t>
            </w:r>
          </w:p>
          <w:p w14:paraId="70B1DFC9">
            <w:pPr>
              <w:autoSpaceDE w:val="0"/>
              <w:autoSpaceDN w:val="0"/>
              <w:spacing w:line="240" w:lineRule="auto"/>
              <w:ind w:firstLine="420" w:firstLineChars="200"/>
              <w:jc w:val="both"/>
              <w:outlineLvl w:val="9"/>
              <w:rPr>
                <w:rFonts w:hint="eastAsia" w:cs="宋体"/>
                <w:bCs/>
                <w:color w:val="auto"/>
                <w:szCs w:val="21"/>
                <w:highlight w:val="none"/>
                <w:lang w:eastAsia="zh-CN"/>
              </w:rPr>
            </w:pPr>
            <w:r>
              <w:rPr>
                <w:rFonts w:hint="eastAsia"/>
                <w:color w:val="auto"/>
                <w:szCs w:val="21"/>
                <w:highlight w:val="none"/>
              </w:rPr>
              <w:t>⑵必须定型包装、有明显的标签、生产日期、生产厂家、保质期</w:t>
            </w:r>
            <w:r>
              <w:rPr>
                <w:rFonts w:hint="eastAsia"/>
                <w:color w:val="auto"/>
                <w:szCs w:val="21"/>
                <w:highlight w:val="none"/>
                <w:lang w:eastAsia="zh-CN"/>
              </w:rPr>
              <w:t>、</w:t>
            </w:r>
            <w:r>
              <w:rPr>
                <w:rFonts w:hint="eastAsia"/>
                <w:color w:val="auto"/>
                <w:szCs w:val="21"/>
                <w:highlight w:val="none"/>
              </w:rPr>
              <w:t>产品合格证</w:t>
            </w:r>
            <w:r>
              <w:rPr>
                <w:rFonts w:hint="eastAsia" w:ascii="宋体" w:hAnsi="宋体" w:cs="宋体"/>
                <w:bCs/>
                <w:color w:val="auto"/>
                <w:szCs w:val="21"/>
                <w:highlight w:val="none"/>
              </w:rPr>
              <w:t>、贮存条件、执行产品标准号等</w:t>
            </w:r>
            <w:r>
              <w:rPr>
                <w:rFonts w:hint="eastAsia" w:cs="宋体"/>
                <w:bCs/>
                <w:color w:val="auto"/>
                <w:szCs w:val="21"/>
                <w:highlight w:val="none"/>
                <w:lang w:eastAsia="zh-CN"/>
              </w:rPr>
              <w:t>，</w:t>
            </w:r>
            <w:r>
              <w:rPr>
                <w:rFonts w:hint="eastAsia" w:ascii="宋体" w:hAnsi="宋体" w:cs="宋体"/>
                <w:bCs/>
                <w:color w:val="auto"/>
                <w:szCs w:val="21"/>
                <w:highlight w:val="none"/>
                <w:lang w:val="en-US" w:eastAsia="zh-CN"/>
              </w:rPr>
              <w:t>且</w:t>
            </w:r>
            <w:r>
              <w:rPr>
                <w:rFonts w:hint="eastAsia"/>
                <w:color w:val="auto"/>
                <w:szCs w:val="21"/>
                <w:highlight w:val="none"/>
                <w:lang w:val="en-US" w:eastAsia="zh-CN"/>
              </w:rPr>
              <w:t>必须符合《食品安全法》的相关规定。</w:t>
            </w:r>
          </w:p>
          <w:p w14:paraId="3AFBF7F6">
            <w:pPr>
              <w:autoSpaceDE w:val="0"/>
              <w:autoSpaceDN w:val="0"/>
              <w:spacing w:line="240" w:lineRule="auto"/>
              <w:ind w:firstLine="420" w:firstLineChars="200"/>
              <w:jc w:val="both"/>
              <w:outlineLvl w:val="9"/>
              <w:rPr>
                <w:rFonts w:hint="eastAsia"/>
                <w:color w:val="auto"/>
                <w:szCs w:val="21"/>
                <w:highlight w:val="none"/>
                <w:lang w:val="en-US" w:eastAsia="zh-CN"/>
              </w:rPr>
            </w:pPr>
            <w:r>
              <w:rPr>
                <w:rFonts w:hint="eastAsia"/>
                <w:color w:val="auto"/>
                <w:szCs w:val="21"/>
                <w:highlight w:val="none"/>
              </w:rPr>
              <w:t>⑶</w:t>
            </w:r>
            <w:r>
              <w:rPr>
                <w:rFonts w:hint="eastAsia"/>
                <w:color w:val="auto"/>
                <w:szCs w:val="21"/>
                <w:highlight w:val="none"/>
                <w:lang w:val="en-US" w:eastAsia="zh-CN"/>
              </w:rPr>
              <w:t>有保质期限的商品剩余保存期不得少于原有保质期的四分之三。</w:t>
            </w:r>
          </w:p>
        </w:tc>
      </w:tr>
      <w:tr w14:paraId="62092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3" w:hRule="atLeast"/>
          <w:jc w:val="center"/>
        </w:trPr>
        <w:tc>
          <w:tcPr>
            <w:tcW w:w="848" w:type="dxa"/>
            <w:noWrap w:val="0"/>
            <w:vAlign w:val="center"/>
          </w:tcPr>
          <w:p w14:paraId="66A564AB">
            <w:pPr>
              <w:autoSpaceDE w:val="0"/>
              <w:autoSpaceDN w:val="0"/>
              <w:spacing w:after="0" w:line="240" w:lineRule="auto"/>
              <w:jc w:val="center"/>
              <w:rPr>
                <w:rFonts w:hint="eastAsia" w:ascii="Times New Roman" w:hAnsi="Times New Roman" w:eastAsia="宋体" w:cs="Times New Roman"/>
                <w:color w:val="auto"/>
                <w:spacing w:val="-3"/>
                <w:sz w:val="21"/>
                <w:szCs w:val="21"/>
                <w:highlight w:val="none"/>
                <w:lang w:val="en-US" w:eastAsia="zh-CN"/>
              </w:rPr>
            </w:pPr>
            <w:r>
              <w:rPr>
                <w:rFonts w:hint="eastAsia" w:ascii="宋体" w:hAnsi="宋体" w:eastAsia="宋体" w:cs="宋体"/>
                <w:bCs/>
                <w:color w:val="auto"/>
                <w:sz w:val="22"/>
                <w:szCs w:val="22"/>
                <w:highlight w:val="none"/>
                <w:lang w:val="en-US" w:eastAsia="zh-CN"/>
              </w:rPr>
              <w:t>分标4</w:t>
            </w:r>
          </w:p>
        </w:tc>
        <w:tc>
          <w:tcPr>
            <w:tcW w:w="1384" w:type="dxa"/>
            <w:noWrap w:val="0"/>
            <w:vAlign w:val="center"/>
          </w:tcPr>
          <w:p w14:paraId="1171521C">
            <w:pPr>
              <w:autoSpaceDE w:val="0"/>
              <w:autoSpaceDN w:val="0"/>
              <w:spacing w:after="0" w:line="240" w:lineRule="auto"/>
              <w:jc w:val="center"/>
              <w:rPr>
                <w:rFonts w:hint="eastAsia" w:ascii="Times New Roman" w:hAnsi="Times New Roman" w:eastAsia="宋体" w:cs="Times New Roman"/>
                <w:color w:val="auto"/>
                <w:spacing w:val="-3"/>
                <w:sz w:val="21"/>
                <w:szCs w:val="21"/>
                <w:highlight w:val="none"/>
                <w:lang w:val="en-US" w:eastAsia="zh-CN"/>
              </w:rPr>
            </w:pPr>
            <w:r>
              <w:rPr>
                <w:rFonts w:hint="eastAsia" w:ascii="宋体" w:hAnsi="宋体" w:eastAsia="宋体" w:cs="宋体"/>
                <w:bCs/>
                <w:color w:val="auto"/>
                <w:sz w:val="22"/>
                <w:szCs w:val="22"/>
                <w:highlight w:val="none"/>
                <w:lang w:eastAsia="zh-CN"/>
              </w:rPr>
              <w:t>面包、蛋糕</w:t>
            </w:r>
          </w:p>
        </w:tc>
        <w:tc>
          <w:tcPr>
            <w:tcW w:w="716" w:type="dxa"/>
            <w:noWrap w:val="0"/>
            <w:vAlign w:val="center"/>
          </w:tcPr>
          <w:p w14:paraId="6F41AEF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cs="Times New Roman"/>
                <w:color w:val="auto"/>
                <w:spacing w:val="-3"/>
                <w:sz w:val="21"/>
                <w:szCs w:val="21"/>
                <w:highlight w:val="none"/>
                <w:lang w:val="en-US" w:eastAsia="zh-CN"/>
              </w:rPr>
            </w:pPr>
            <w:r>
              <w:rPr>
                <w:rFonts w:hint="eastAsia" w:cs="Times New Roman"/>
                <w:color w:val="auto"/>
                <w:spacing w:val="-3"/>
                <w:sz w:val="21"/>
                <w:szCs w:val="21"/>
                <w:highlight w:val="none"/>
                <w:lang w:val="en-US" w:eastAsia="zh-CN"/>
              </w:rPr>
              <w:t>1项</w:t>
            </w:r>
          </w:p>
        </w:tc>
        <w:tc>
          <w:tcPr>
            <w:tcW w:w="6799" w:type="dxa"/>
            <w:noWrap w:val="0"/>
            <w:vAlign w:val="center"/>
          </w:tcPr>
          <w:p w14:paraId="19825BC5">
            <w:pPr>
              <w:autoSpaceDE w:val="0"/>
              <w:autoSpaceDN w:val="0"/>
              <w:spacing w:line="240" w:lineRule="auto"/>
              <w:ind w:firstLine="422" w:firstLineChars="200"/>
              <w:jc w:val="both"/>
              <w:outlineLvl w:val="9"/>
              <w:rPr>
                <w:rFonts w:hint="eastAsia"/>
                <w:b/>
                <w:color w:val="auto"/>
                <w:szCs w:val="21"/>
                <w:highlight w:val="none"/>
              </w:rPr>
            </w:pPr>
            <w:r>
              <w:rPr>
                <w:rFonts w:hint="eastAsia"/>
                <w:b/>
                <w:color w:val="auto"/>
                <w:szCs w:val="21"/>
                <w:highlight w:val="none"/>
              </w:rPr>
              <w:t>1、采购需求</w:t>
            </w:r>
          </w:p>
          <w:p w14:paraId="347BCEF0">
            <w:pPr>
              <w:autoSpaceDE w:val="0"/>
              <w:autoSpaceDN w:val="0"/>
              <w:spacing w:line="240" w:lineRule="auto"/>
              <w:ind w:firstLine="525" w:firstLineChars="250"/>
              <w:jc w:val="both"/>
              <w:outlineLvl w:val="9"/>
              <w:rPr>
                <w:rFonts w:hint="eastAsia" w:ascii="宋体" w:hAnsi="宋体" w:eastAsia="宋体" w:cs="宋体"/>
                <w:color w:val="auto"/>
                <w:kern w:val="2"/>
                <w:sz w:val="21"/>
                <w:szCs w:val="21"/>
                <w:highlight w:val="none"/>
                <w:lang w:val="en-US" w:eastAsia="zh-CN" w:bidi="ar-SA"/>
              </w:rPr>
            </w:pPr>
            <w:r>
              <w:rPr>
                <w:rFonts w:hint="eastAsia"/>
                <w:color w:val="auto"/>
                <w:szCs w:val="21"/>
                <w:highlight w:val="none"/>
              </w:rPr>
              <w:t>⑴实行每批次采购，供应商应按采购单位的</w:t>
            </w:r>
            <w:r>
              <w:rPr>
                <w:rFonts w:hint="eastAsia"/>
                <w:color w:val="auto"/>
                <w:szCs w:val="21"/>
                <w:highlight w:val="none"/>
                <w:lang w:eastAsia="zh-CN"/>
              </w:rPr>
              <w:t>货物请购清单</w:t>
            </w:r>
            <w:r>
              <w:rPr>
                <w:rFonts w:hint="eastAsia"/>
                <w:color w:val="auto"/>
                <w:szCs w:val="21"/>
                <w:highlight w:val="none"/>
              </w:rPr>
              <w:t>提供相应数量的货物</w:t>
            </w:r>
            <w:r>
              <w:rPr>
                <w:rFonts w:hint="eastAsia" w:ascii="宋体" w:hAnsi="宋体" w:eastAsia="宋体" w:cs="宋体"/>
                <w:color w:val="auto"/>
                <w:kern w:val="2"/>
                <w:sz w:val="21"/>
                <w:szCs w:val="21"/>
                <w:highlight w:val="none"/>
                <w:lang w:val="en-US" w:eastAsia="zh-CN" w:bidi="ar-SA"/>
              </w:rPr>
              <w:t>。</w:t>
            </w:r>
          </w:p>
          <w:p w14:paraId="617EA05C">
            <w:pPr>
              <w:autoSpaceDE w:val="0"/>
              <w:autoSpaceDN w:val="0"/>
              <w:spacing w:line="240" w:lineRule="auto"/>
              <w:ind w:firstLine="525" w:firstLineChars="250"/>
              <w:jc w:val="both"/>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⑵结算时按实际采购数量结算。</w:t>
            </w:r>
          </w:p>
          <w:p w14:paraId="5AEB4ECA">
            <w:pPr>
              <w:autoSpaceDE w:val="0"/>
              <w:autoSpaceDN w:val="0"/>
              <w:spacing w:line="240" w:lineRule="auto"/>
              <w:ind w:firstLine="422" w:firstLineChars="200"/>
              <w:jc w:val="both"/>
              <w:outlineLvl w:val="9"/>
              <w:rPr>
                <w:rFonts w:hint="eastAsia"/>
                <w:b/>
                <w:color w:val="auto"/>
                <w:szCs w:val="21"/>
                <w:highlight w:val="none"/>
              </w:rPr>
            </w:pPr>
            <w:r>
              <w:rPr>
                <w:rFonts w:hint="eastAsia"/>
                <w:b/>
                <w:color w:val="auto"/>
                <w:szCs w:val="21"/>
                <w:highlight w:val="none"/>
              </w:rPr>
              <w:t>2、质量要求</w:t>
            </w:r>
          </w:p>
          <w:p w14:paraId="1648D2F7">
            <w:pPr>
              <w:autoSpaceDE w:val="0"/>
              <w:autoSpaceDN w:val="0"/>
              <w:spacing w:line="240" w:lineRule="auto"/>
              <w:ind w:firstLine="420" w:firstLineChars="200"/>
              <w:jc w:val="both"/>
              <w:outlineLvl w:val="9"/>
              <w:rPr>
                <w:rFonts w:hint="eastAsia"/>
                <w:color w:val="auto"/>
                <w:szCs w:val="21"/>
                <w:highlight w:val="none"/>
                <w:lang w:val="en-US" w:eastAsia="zh-CN"/>
              </w:rPr>
            </w:pPr>
            <w:r>
              <w:rPr>
                <w:rFonts w:hint="eastAsia"/>
                <w:color w:val="auto"/>
                <w:szCs w:val="21"/>
                <w:highlight w:val="none"/>
              </w:rPr>
              <w:t>⑴</w:t>
            </w:r>
            <w:r>
              <w:rPr>
                <w:rFonts w:hint="eastAsia"/>
                <w:color w:val="auto"/>
                <w:szCs w:val="21"/>
                <w:highlight w:val="none"/>
                <w:lang w:val="en-US" w:eastAsia="zh-CN"/>
              </w:rPr>
              <w:t>通过食品质量感官鉴别包装内产品及无包装产品，依靠视觉、嗅觉、味觉、触觉等鉴定食品的外观形态、色泽、气味、滋味和硬度(稠度)是否符合质量要求。</w:t>
            </w:r>
          </w:p>
          <w:p w14:paraId="338C88E3">
            <w:pPr>
              <w:autoSpaceDE w:val="0"/>
              <w:autoSpaceDN w:val="0"/>
              <w:spacing w:line="240" w:lineRule="auto"/>
              <w:ind w:firstLine="420" w:firstLineChars="200"/>
              <w:jc w:val="both"/>
              <w:outlineLvl w:val="9"/>
              <w:rPr>
                <w:rFonts w:hint="eastAsia" w:cs="宋体"/>
                <w:bCs/>
                <w:color w:val="auto"/>
                <w:szCs w:val="21"/>
                <w:highlight w:val="none"/>
                <w:lang w:eastAsia="zh-CN"/>
              </w:rPr>
            </w:pPr>
            <w:r>
              <w:rPr>
                <w:rFonts w:hint="eastAsia"/>
                <w:color w:val="auto"/>
                <w:szCs w:val="21"/>
                <w:highlight w:val="none"/>
              </w:rPr>
              <w:t>⑵所供副食品必须定点厂家制作，定型包装、有明显的标签、生产日期、生产厂家、保质期</w:t>
            </w:r>
            <w:r>
              <w:rPr>
                <w:rFonts w:hint="eastAsia"/>
                <w:color w:val="auto"/>
                <w:szCs w:val="21"/>
                <w:highlight w:val="none"/>
                <w:lang w:eastAsia="zh-CN"/>
              </w:rPr>
              <w:t>、</w:t>
            </w:r>
            <w:r>
              <w:rPr>
                <w:rFonts w:hint="eastAsia"/>
                <w:color w:val="auto"/>
                <w:szCs w:val="21"/>
                <w:highlight w:val="none"/>
              </w:rPr>
              <w:t>产品合格证</w:t>
            </w:r>
            <w:r>
              <w:rPr>
                <w:rFonts w:hint="eastAsia" w:ascii="宋体" w:hAnsi="宋体" w:cs="宋体"/>
                <w:bCs/>
                <w:color w:val="auto"/>
                <w:szCs w:val="21"/>
                <w:highlight w:val="none"/>
              </w:rPr>
              <w:t>、贮存条件、执行产品标准号等</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且</w:t>
            </w:r>
            <w:r>
              <w:rPr>
                <w:rFonts w:hint="eastAsia"/>
                <w:color w:val="auto"/>
                <w:szCs w:val="21"/>
                <w:highlight w:val="none"/>
                <w:lang w:val="en-US" w:eastAsia="zh-CN"/>
              </w:rPr>
              <w:t>必须符合《食品安全法》的相关规定。</w:t>
            </w:r>
          </w:p>
          <w:p w14:paraId="64DAB04F">
            <w:pPr>
              <w:autoSpaceDE w:val="0"/>
              <w:autoSpaceDN w:val="0"/>
              <w:spacing w:line="240" w:lineRule="auto"/>
              <w:ind w:firstLine="420" w:firstLineChars="200"/>
              <w:jc w:val="both"/>
              <w:outlineLvl w:val="9"/>
              <w:rPr>
                <w:rFonts w:hint="eastAsia"/>
                <w:color w:val="auto"/>
                <w:szCs w:val="21"/>
                <w:highlight w:val="none"/>
                <w:lang w:val="en-US" w:eastAsia="zh-CN"/>
              </w:rPr>
            </w:pPr>
            <w:r>
              <w:rPr>
                <w:rFonts w:hint="eastAsia"/>
                <w:color w:val="auto"/>
                <w:szCs w:val="21"/>
                <w:highlight w:val="none"/>
              </w:rPr>
              <w:t>⑶</w:t>
            </w:r>
            <w:r>
              <w:rPr>
                <w:rFonts w:hint="eastAsia"/>
                <w:color w:val="auto"/>
                <w:szCs w:val="21"/>
                <w:highlight w:val="none"/>
                <w:lang w:val="en-US" w:eastAsia="zh-CN"/>
              </w:rPr>
              <w:t>有保质期限的商品剩余保存期不得少于原有保质期的四分之三。</w:t>
            </w:r>
          </w:p>
          <w:p w14:paraId="094D28BC">
            <w:pPr>
              <w:numPr>
                <w:ilvl w:val="0"/>
                <w:numId w:val="0"/>
              </w:numPr>
              <w:autoSpaceDE w:val="0"/>
              <w:autoSpaceDN w:val="0"/>
              <w:spacing w:line="240" w:lineRule="auto"/>
              <w:ind w:left="0" w:leftChars="0"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（4）预包装食品：</w:t>
            </w:r>
          </w:p>
          <w:p w14:paraId="32A37929">
            <w:pPr>
              <w:numPr>
                <w:ilvl w:val="0"/>
                <w:numId w:val="0"/>
              </w:numPr>
              <w:autoSpaceDE w:val="0"/>
              <w:autoSpaceDN w:val="0"/>
              <w:spacing w:line="240" w:lineRule="auto"/>
              <w:ind w:left="0" w:leftChars="0" w:firstLine="630" w:firstLineChars="3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食品必须符合卫生规定，没有污染物质，不含有害物质。</w:t>
            </w:r>
          </w:p>
          <w:p w14:paraId="6CC3721A">
            <w:pPr>
              <w:numPr>
                <w:ilvl w:val="0"/>
                <w:numId w:val="0"/>
              </w:numPr>
              <w:autoSpaceDE w:val="0"/>
              <w:autoSpaceDN w:val="0"/>
              <w:spacing w:line="240" w:lineRule="auto"/>
              <w:ind w:left="0" w:leftChars="0" w:firstLine="630" w:firstLineChars="3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外包装完好无损，并包括必要的标签和使用说明。</w:t>
            </w:r>
          </w:p>
          <w:p w14:paraId="0E63C246">
            <w:pPr>
              <w:autoSpaceDE w:val="0"/>
              <w:autoSpaceDN w:val="0"/>
              <w:spacing w:line="240" w:lineRule="auto"/>
              <w:ind w:firstLine="420" w:firstLineChars="200"/>
              <w:jc w:val="both"/>
              <w:outlineLvl w:val="9"/>
              <w:rPr>
                <w:rFonts w:hint="eastAsia"/>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食品包装必须标识生产日期、保质期和储藏条件。</w:t>
            </w:r>
          </w:p>
        </w:tc>
      </w:tr>
      <w:tr w14:paraId="29A39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3" w:hRule="atLeast"/>
          <w:jc w:val="center"/>
        </w:trPr>
        <w:tc>
          <w:tcPr>
            <w:tcW w:w="848" w:type="dxa"/>
            <w:noWrap w:val="0"/>
            <w:vAlign w:val="center"/>
          </w:tcPr>
          <w:p w14:paraId="22ADEF0B">
            <w:pPr>
              <w:autoSpaceDE w:val="0"/>
              <w:autoSpaceDN w:val="0"/>
              <w:spacing w:after="0" w:line="240" w:lineRule="auto"/>
              <w:jc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分标5</w:t>
            </w:r>
          </w:p>
        </w:tc>
        <w:tc>
          <w:tcPr>
            <w:tcW w:w="1384" w:type="dxa"/>
            <w:noWrap w:val="0"/>
            <w:vAlign w:val="center"/>
          </w:tcPr>
          <w:p w14:paraId="615845FE">
            <w:pPr>
              <w:autoSpaceDE w:val="0"/>
              <w:autoSpaceDN w:val="0"/>
              <w:spacing w:after="0" w:line="240" w:lineRule="auto"/>
              <w:jc w:val="center"/>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eastAsia="zh-CN"/>
              </w:rPr>
              <w:t>零食（八宝粥、饼干、雪糕等）、方便面</w:t>
            </w:r>
          </w:p>
        </w:tc>
        <w:tc>
          <w:tcPr>
            <w:tcW w:w="716" w:type="dxa"/>
            <w:noWrap w:val="0"/>
            <w:vAlign w:val="center"/>
          </w:tcPr>
          <w:p w14:paraId="3920AAD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cs="Times New Roman"/>
                <w:color w:val="auto"/>
                <w:spacing w:val="-3"/>
                <w:sz w:val="21"/>
                <w:szCs w:val="21"/>
                <w:highlight w:val="none"/>
                <w:lang w:val="en-US" w:eastAsia="zh-CN"/>
              </w:rPr>
            </w:pPr>
            <w:r>
              <w:rPr>
                <w:rFonts w:hint="eastAsia" w:cs="Times New Roman"/>
                <w:color w:val="auto"/>
                <w:spacing w:val="-3"/>
                <w:sz w:val="21"/>
                <w:szCs w:val="21"/>
                <w:highlight w:val="none"/>
                <w:lang w:val="en-US" w:eastAsia="zh-CN"/>
              </w:rPr>
              <w:t>1项</w:t>
            </w:r>
          </w:p>
        </w:tc>
        <w:tc>
          <w:tcPr>
            <w:tcW w:w="6799" w:type="dxa"/>
            <w:noWrap w:val="0"/>
            <w:vAlign w:val="center"/>
          </w:tcPr>
          <w:p w14:paraId="6EDF2D77">
            <w:pPr>
              <w:autoSpaceDE w:val="0"/>
              <w:autoSpaceDN w:val="0"/>
              <w:spacing w:line="240" w:lineRule="auto"/>
              <w:ind w:firstLine="422" w:firstLineChars="200"/>
              <w:jc w:val="both"/>
              <w:outlineLvl w:val="9"/>
              <w:rPr>
                <w:rFonts w:hint="eastAsia"/>
                <w:b/>
                <w:color w:val="auto"/>
                <w:szCs w:val="21"/>
                <w:highlight w:val="none"/>
              </w:rPr>
            </w:pPr>
            <w:r>
              <w:rPr>
                <w:rFonts w:hint="eastAsia"/>
                <w:b/>
                <w:color w:val="auto"/>
                <w:szCs w:val="21"/>
                <w:highlight w:val="none"/>
              </w:rPr>
              <w:t>1、采购需求</w:t>
            </w:r>
          </w:p>
          <w:p w14:paraId="32093945">
            <w:pPr>
              <w:autoSpaceDE w:val="0"/>
              <w:autoSpaceDN w:val="0"/>
              <w:spacing w:line="240" w:lineRule="auto"/>
              <w:ind w:firstLine="525" w:firstLineChars="250"/>
              <w:jc w:val="both"/>
              <w:outlineLvl w:val="9"/>
              <w:rPr>
                <w:rFonts w:hint="eastAsia" w:ascii="宋体" w:hAnsi="宋体" w:eastAsia="宋体" w:cs="宋体"/>
                <w:color w:val="auto"/>
                <w:kern w:val="2"/>
                <w:sz w:val="21"/>
                <w:szCs w:val="21"/>
                <w:highlight w:val="none"/>
                <w:lang w:val="en-US" w:eastAsia="zh-CN" w:bidi="ar-SA"/>
              </w:rPr>
            </w:pPr>
            <w:r>
              <w:rPr>
                <w:rFonts w:hint="eastAsia"/>
                <w:color w:val="auto"/>
                <w:szCs w:val="21"/>
                <w:highlight w:val="none"/>
              </w:rPr>
              <w:t>⑴实行每批次采购，供应商应按采购单位的</w:t>
            </w:r>
            <w:r>
              <w:rPr>
                <w:rFonts w:hint="eastAsia"/>
                <w:color w:val="auto"/>
                <w:szCs w:val="21"/>
                <w:highlight w:val="none"/>
                <w:lang w:eastAsia="zh-CN"/>
              </w:rPr>
              <w:t>货物请购清单</w:t>
            </w:r>
            <w:r>
              <w:rPr>
                <w:rFonts w:hint="eastAsia"/>
                <w:color w:val="auto"/>
                <w:szCs w:val="21"/>
                <w:highlight w:val="none"/>
              </w:rPr>
              <w:t>提供相应数量的货物</w:t>
            </w:r>
            <w:r>
              <w:rPr>
                <w:rFonts w:hint="eastAsia" w:ascii="宋体" w:hAnsi="宋体" w:eastAsia="宋体" w:cs="宋体"/>
                <w:color w:val="auto"/>
                <w:kern w:val="2"/>
                <w:sz w:val="21"/>
                <w:szCs w:val="21"/>
                <w:highlight w:val="none"/>
                <w:lang w:val="en-US" w:eastAsia="zh-CN" w:bidi="ar-SA"/>
              </w:rPr>
              <w:t>。</w:t>
            </w:r>
          </w:p>
          <w:p w14:paraId="5C5184CE">
            <w:pPr>
              <w:autoSpaceDE w:val="0"/>
              <w:autoSpaceDN w:val="0"/>
              <w:spacing w:line="240" w:lineRule="auto"/>
              <w:ind w:firstLine="525" w:firstLineChars="250"/>
              <w:jc w:val="both"/>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⑵结算时按实际采购数量结算。</w:t>
            </w:r>
          </w:p>
          <w:p w14:paraId="4DD2C746">
            <w:pPr>
              <w:autoSpaceDE w:val="0"/>
              <w:autoSpaceDN w:val="0"/>
              <w:spacing w:line="240" w:lineRule="auto"/>
              <w:ind w:firstLine="422" w:firstLineChars="200"/>
              <w:jc w:val="both"/>
              <w:outlineLvl w:val="9"/>
              <w:rPr>
                <w:rFonts w:hint="eastAsia"/>
                <w:b/>
                <w:color w:val="auto"/>
                <w:szCs w:val="21"/>
                <w:highlight w:val="none"/>
              </w:rPr>
            </w:pPr>
            <w:r>
              <w:rPr>
                <w:rFonts w:hint="eastAsia"/>
                <w:b/>
                <w:color w:val="auto"/>
                <w:szCs w:val="21"/>
                <w:highlight w:val="none"/>
              </w:rPr>
              <w:t>2、质量要求</w:t>
            </w:r>
          </w:p>
          <w:p w14:paraId="631649B5">
            <w:pPr>
              <w:autoSpaceDE w:val="0"/>
              <w:autoSpaceDN w:val="0"/>
              <w:spacing w:line="240" w:lineRule="auto"/>
              <w:ind w:firstLine="420" w:firstLineChars="200"/>
              <w:jc w:val="both"/>
              <w:outlineLvl w:val="9"/>
              <w:rPr>
                <w:rFonts w:hint="eastAsia"/>
                <w:color w:val="auto"/>
                <w:szCs w:val="21"/>
                <w:highlight w:val="none"/>
                <w:lang w:val="en-US" w:eastAsia="zh-CN"/>
              </w:rPr>
            </w:pPr>
            <w:r>
              <w:rPr>
                <w:rFonts w:hint="eastAsia"/>
                <w:color w:val="auto"/>
                <w:szCs w:val="21"/>
                <w:highlight w:val="none"/>
              </w:rPr>
              <w:t>⑴</w:t>
            </w:r>
            <w:r>
              <w:rPr>
                <w:rFonts w:hint="eastAsia"/>
                <w:color w:val="auto"/>
                <w:szCs w:val="21"/>
                <w:highlight w:val="none"/>
                <w:lang w:val="en-US" w:eastAsia="zh-CN"/>
              </w:rPr>
              <w:t>通过食品质量感官鉴别包装内产品及无包装产品，依靠视觉、嗅觉、味觉、触觉等鉴定食品的外观形态、色泽、气味、滋味和硬度(稠度)是否符合质量要求。</w:t>
            </w:r>
          </w:p>
          <w:p w14:paraId="497861DF">
            <w:pPr>
              <w:autoSpaceDE w:val="0"/>
              <w:autoSpaceDN w:val="0"/>
              <w:spacing w:line="240" w:lineRule="auto"/>
              <w:ind w:firstLine="420" w:firstLineChars="200"/>
              <w:jc w:val="both"/>
              <w:outlineLvl w:val="9"/>
              <w:rPr>
                <w:rFonts w:hint="eastAsia" w:cs="宋体"/>
                <w:bCs/>
                <w:color w:val="auto"/>
                <w:szCs w:val="21"/>
                <w:highlight w:val="none"/>
                <w:lang w:eastAsia="zh-CN"/>
              </w:rPr>
            </w:pPr>
            <w:r>
              <w:rPr>
                <w:rFonts w:hint="eastAsia"/>
                <w:color w:val="auto"/>
                <w:szCs w:val="21"/>
                <w:highlight w:val="none"/>
              </w:rPr>
              <w:t>⑵所供副食品必须定点厂家制作，定型包装、有明显的标签、生产日期、生产厂家、保质期</w:t>
            </w:r>
            <w:r>
              <w:rPr>
                <w:rFonts w:hint="eastAsia"/>
                <w:color w:val="auto"/>
                <w:szCs w:val="21"/>
                <w:highlight w:val="none"/>
                <w:lang w:eastAsia="zh-CN"/>
              </w:rPr>
              <w:t>、</w:t>
            </w:r>
            <w:r>
              <w:rPr>
                <w:rFonts w:hint="eastAsia"/>
                <w:color w:val="auto"/>
                <w:szCs w:val="21"/>
                <w:highlight w:val="none"/>
              </w:rPr>
              <w:t>产品合格证</w:t>
            </w:r>
            <w:r>
              <w:rPr>
                <w:rFonts w:hint="eastAsia" w:ascii="宋体" w:hAnsi="宋体" w:cs="宋体"/>
                <w:bCs/>
                <w:color w:val="auto"/>
                <w:szCs w:val="21"/>
                <w:highlight w:val="none"/>
              </w:rPr>
              <w:t>、贮存条件、执行产品标准号等</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且</w:t>
            </w:r>
            <w:r>
              <w:rPr>
                <w:rFonts w:hint="eastAsia"/>
                <w:color w:val="auto"/>
                <w:szCs w:val="21"/>
                <w:highlight w:val="none"/>
                <w:lang w:val="en-US" w:eastAsia="zh-CN"/>
              </w:rPr>
              <w:t>必须符合《食品安全法》的相关规定。</w:t>
            </w:r>
          </w:p>
          <w:p w14:paraId="0FE97D1F">
            <w:pPr>
              <w:autoSpaceDE w:val="0"/>
              <w:autoSpaceDN w:val="0"/>
              <w:spacing w:line="240" w:lineRule="auto"/>
              <w:ind w:firstLine="420" w:firstLineChars="200"/>
              <w:jc w:val="both"/>
              <w:outlineLvl w:val="9"/>
              <w:rPr>
                <w:rFonts w:hint="eastAsia"/>
                <w:color w:val="auto"/>
                <w:szCs w:val="21"/>
                <w:highlight w:val="none"/>
                <w:lang w:val="en-US" w:eastAsia="zh-CN"/>
              </w:rPr>
            </w:pPr>
            <w:r>
              <w:rPr>
                <w:rFonts w:hint="eastAsia"/>
                <w:color w:val="auto"/>
                <w:szCs w:val="21"/>
                <w:highlight w:val="none"/>
              </w:rPr>
              <w:t>⑶</w:t>
            </w:r>
            <w:r>
              <w:rPr>
                <w:rFonts w:hint="eastAsia"/>
                <w:color w:val="auto"/>
                <w:szCs w:val="21"/>
                <w:highlight w:val="none"/>
                <w:lang w:val="en-US" w:eastAsia="zh-CN"/>
              </w:rPr>
              <w:t>有保质期限的商品剩余保存期不得少于原有保质期的四分之三。</w:t>
            </w:r>
          </w:p>
          <w:p w14:paraId="3A966C15">
            <w:pPr>
              <w:numPr>
                <w:ilvl w:val="0"/>
                <w:numId w:val="0"/>
              </w:numPr>
              <w:autoSpaceDE w:val="0"/>
              <w:autoSpaceDN w:val="0"/>
              <w:spacing w:line="240" w:lineRule="auto"/>
              <w:ind w:left="0" w:leftChars="0"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（4）预包装食品：</w:t>
            </w:r>
          </w:p>
          <w:p w14:paraId="127D47CD">
            <w:pPr>
              <w:numPr>
                <w:ilvl w:val="0"/>
                <w:numId w:val="0"/>
              </w:numPr>
              <w:autoSpaceDE w:val="0"/>
              <w:autoSpaceDN w:val="0"/>
              <w:spacing w:line="240" w:lineRule="auto"/>
              <w:ind w:left="0" w:leftChars="0" w:firstLine="630" w:firstLineChars="3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食品必须符合卫生规定，没有污染物质，不含有害物质。</w:t>
            </w:r>
          </w:p>
          <w:p w14:paraId="4A3708EB">
            <w:pPr>
              <w:numPr>
                <w:ilvl w:val="0"/>
                <w:numId w:val="0"/>
              </w:numPr>
              <w:autoSpaceDE w:val="0"/>
              <w:autoSpaceDN w:val="0"/>
              <w:spacing w:line="240" w:lineRule="auto"/>
              <w:ind w:left="0" w:leftChars="0" w:firstLine="630" w:firstLineChars="3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外包装完好无损，并包括必要的标签和使用说明。</w:t>
            </w:r>
          </w:p>
          <w:p w14:paraId="5F9F38E2">
            <w:pPr>
              <w:autoSpaceDE w:val="0"/>
              <w:autoSpaceDN w:val="0"/>
              <w:spacing w:line="240" w:lineRule="auto"/>
              <w:ind w:firstLine="420" w:firstLineChars="200"/>
              <w:jc w:val="both"/>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食品包装必须标识生产日期、保质期和储藏条件。</w:t>
            </w:r>
          </w:p>
        </w:tc>
      </w:tr>
    </w:tbl>
    <w:p w14:paraId="2BCB8348">
      <w:pPr>
        <w:rPr>
          <w:rFonts w:hint="eastAsia"/>
          <w:color w:val="auto"/>
          <w:highlight w:val="none"/>
          <w:lang w:val="en-US" w:eastAsia="zh-CN"/>
        </w:rPr>
      </w:pPr>
    </w:p>
    <w:p w14:paraId="587E048B">
      <w:pPr>
        <w:pStyle w:val="3"/>
        <w:bidi w:val="0"/>
        <w:outlineLvl w:val="1"/>
        <w:rPr>
          <w:rFonts w:hint="eastAsia" w:ascii="宋体" w:hAnsi="宋体" w:eastAsia="宋体" w:cs="宋体"/>
          <w:color w:val="auto"/>
          <w:kern w:val="2"/>
          <w:sz w:val="21"/>
          <w:szCs w:val="21"/>
          <w:highlight w:val="none"/>
          <w:lang w:val="en-US" w:eastAsia="zh-CN" w:bidi="ar-SA"/>
        </w:rPr>
      </w:pPr>
      <w:r>
        <w:rPr>
          <w:rFonts w:hint="eastAsia" w:ascii="微软雅黑" w:hAnsi="微软雅黑" w:eastAsia="微软雅黑" w:cs="微软雅黑"/>
          <w:b/>
          <w:bCs/>
          <w:color w:val="auto"/>
          <w:sz w:val="28"/>
          <w:szCs w:val="36"/>
          <w:highlight w:val="none"/>
          <w:lang w:val="en-US" w:eastAsia="zh-CN"/>
        </w:rPr>
        <w:t>三、商务条款（适用于所有分标）</w:t>
      </w:r>
    </w:p>
    <w:p w14:paraId="0BEC9C00">
      <w:pPr>
        <w:pStyle w:val="5"/>
        <w:bidi w:val="0"/>
        <w:rPr>
          <w:rFonts w:hint="eastAsia"/>
          <w:color w:val="auto"/>
          <w:highlight w:val="none"/>
          <w:lang w:val="en-US" w:eastAsia="zh-CN"/>
        </w:rPr>
      </w:pPr>
      <w:r>
        <w:rPr>
          <w:rFonts w:hint="eastAsia"/>
          <w:color w:val="auto"/>
          <w:highlight w:val="none"/>
          <w:lang w:val="en-US" w:eastAsia="zh-CN"/>
        </w:rPr>
        <w:t>（一）服务总体要求</w:t>
      </w:r>
    </w:p>
    <w:p w14:paraId="0B6EA6CF">
      <w:pPr>
        <w:spacing w:line="360" w:lineRule="auto"/>
        <w:ind w:firstLine="420" w:firstLineChars="200"/>
        <w:jc w:val="both"/>
        <w:rPr>
          <w:rFonts w:hint="default" w:ascii="宋体" w:hAnsi="宋体" w:cs="宋体"/>
          <w:b/>
          <w:bCs/>
          <w:color w:val="auto"/>
          <w:szCs w:val="21"/>
          <w:highlight w:val="none"/>
          <w:u w:val="single"/>
          <w:lang w:val="en-US" w:eastAsia="zh-CN"/>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、供货服务对象：</w:t>
      </w:r>
      <w:r>
        <w:rPr>
          <w:rFonts w:hint="eastAsia" w:ascii="宋体" w:hAnsi="宋体" w:cs="宋体"/>
          <w:b/>
          <w:bCs/>
          <w:color w:val="auto"/>
          <w:szCs w:val="21"/>
          <w:highlight w:val="none"/>
          <w:u w:val="single"/>
          <w:lang w:eastAsia="zh-CN"/>
        </w:rPr>
        <w:t>贵港市江南中学。</w:t>
      </w:r>
    </w:p>
    <w:p w14:paraId="17E24145">
      <w:pPr>
        <w:spacing w:line="360" w:lineRule="auto"/>
        <w:ind w:firstLine="422" w:firstLineChars="200"/>
        <w:jc w:val="both"/>
        <w:rPr>
          <w:rFonts w:hint="default" w:ascii="宋体" w:hAnsi="宋体" w:cs="宋体"/>
          <w:b/>
          <w:bCs/>
          <w:color w:val="auto"/>
          <w:szCs w:val="21"/>
          <w:highlight w:val="none"/>
          <w:u w:val="single"/>
          <w:lang w:val="en-US" w:eastAsia="zh-CN"/>
        </w:rPr>
      </w:pPr>
      <w:r>
        <w:rPr>
          <w:rFonts w:hint="eastAsia" w:ascii="宋体" w:hAnsi="宋体" w:cs="宋体"/>
          <w:b/>
          <w:bCs/>
          <w:color w:val="auto"/>
          <w:szCs w:val="21"/>
          <w:highlight w:val="none"/>
          <w:u w:val="none"/>
          <w:lang w:eastAsia="zh-CN"/>
        </w:rPr>
        <w:t>中标企业建设统一配送中心和全链条可溯源信息化监管系统。</w:t>
      </w:r>
    </w:p>
    <w:p w14:paraId="21BD2488">
      <w:pPr>
        <w:spacing w:line="360" w:lineRule="auto"/>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、采购量：</w:t>
      </w:r>
      <w:r>
        <w:rPr>
          <w:rFonts w:hint="eastAsia" w:ascii="宋体" w:hAnsi="宋体" w:cs="宋体"/>
          <w:color w:val="auto"/>
          <w:szCs w:val="21"/>
          <w:highlight w:val="none"/>
          <w:lang w:eastAsia="zh-CN"/>
        </w:rPr>
        <w:t>采购数量以实际结算数量为准</w:t>
      </w:r>
      <w:r>
        <w:rPr>
          <w:rFonts w:hint="eastAsia" w:ascii="宋体" w:hAnsi="宋体" w:eastAsia="宋体" w:cs="宋体"/>
          <w:color w:val="auto"/>
          <w:szCs w:val="21"/>
          <w:highlight w:val="none"/>
        </w:rPr>
        <w:t>，中标</w:t>
      </w:r>
      <w:r>
        <w:rPr>
          <w:rFonts w:hint="eastAsia" w:ascii="宋体" w:hAnsi="宋体" w:eastAsia="宋体" w:cs="宋体"/>
          <w:color w:val="auto"/>
          <w:szCs w:val="21"/>
          <w:highlight w:val="none"/>
          <w:lang w:eastAsia="zh-CN"/>
        </w:rPr>
        <w:t>人</w:t>
      </w:r>
      <w:r>
        <w:rPr>
          <w:rFonts w:hint="eastAsia" w:ascii="宋体" w:hAnsi="宋体" w:eastAsia="宋体" w:cs="宋体"/>
          <w:color w:val="auto"/>
          <w:szCs w:val="21"/>
          <w:highlight w:val="none"/>
        </w:rPr>
        <w:t>不得因实际供应量与中标数量不一致提出异议。</w:t>
      </w:r>
    </w:p>
    <w:p w14:paraId="50FED7B6">
      <w:pPr>
        <w:spacing w:line="360" w:lineRule="auto"/>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、中标人不得将中标货物转包或分包给第三方，采购单位发现的有权单方终止合同。由此产生的一切经济损失由中标人自行承担。</w:t>
      </w:r>
    </w:p>
    <w:p w14:paraId="4E76DB07">
      <w:pPr>
        <w:spacing w:line="360" w:lineRule="auto"/>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、中标人在合同履行期间保证对采购单位的货物供应，中标后不得拒绝采购单位分配的任务。中标人在服务期内没能达到投标文件承诺的服务要求的，中标人未按要求履行协议义务</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或中标人的资质在服务期内发生变化不再符合要求的，采购单位均有权单方终止合同，由此产生的一切经济损失由中标人自行承担。</w:t>
      </w:r>
    </w:p>
    <w:p w14:paraId="0AB7C67B">
      <w:pPr>
        <w:spacing w:line="360" w:lineRule="auto"/>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中标人必须遵守国家的法律法规及采购单位的规章制度。中标人（包括送货人员）必须服从采购单位的监督、管理。进入校园出现与学生私自接触、捎带物品和利益交易等违规行为的，直接终止合同，并追究供应商相关责任。</w:t>
      </w:r>
    </w:p>
    <w:p w14:paraId="447AD4C0">
      <w:pPr>
        <w:spacing w:line="360" w:lineRule="auto"/>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、中标人应保证所提供的产品必须是合格安全的产品，供应的货物因产品质量问题造成食品安全事故的，直接取消供应商的供货资格，由供应商承担全部经济赔偿责任及其他法律责任。</w:t>
      </w:r>
    </w:p>
    <w:p w14:paraId="694928CB">
      <w:pPr>
        <w:spacing w:line="360" w:lineRule="auto"/>
        <w:ind w:firstLine="420" w:firstLineChars="20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中标</w:t>
      </w:r>
      <w:r>
        <w:rPr>
          <w:rFonts w:hint="eastAsia" w:ascii="宋体" w:hAnsi="宋体" w:eastAsia="宋体" w:cs="宋体"/>
          <w:color w:val="auto"/>
          <w:szCs w:val="21"/>
          <w:highlight w:val="none"/>
        </w:rPr>
        <w:t>人提供的符合工商食卫等部门的有效证明材料。如有效的营业执照、产品合格证</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食品原材料采购供应渠道</w:t>
      </w:r>
      <w:r>
        <w:rPr>
          <w:rFonts w:hint="eastAsia" w:ascii="宋体" w:hAnsi="宋体" w:eastAsia="宋体" w:cs="宋体"/>
          <w:color w:val="auto"/>
          <w:szCs w:val="21"/>
          <w:highlight w:val="none"/>
        </w:rPr>
        <w:t>等。</w:t>
      </w:r>
      <w:r>
        <w:rPr>
          <w:rFonts w:hint="eastAsia" w:ascii="宋体" w:hAnsi="宋体" w:eastAsia="宋体" w:cs="宋体"/>
          <w:color w:val="auto"/>
          <w:szCs w:val="21"/>
          <w:highlight w:val="none"/>
          <w:lang w:val="en-US" w:eastAsia="zh-CN"/>
        </w:rPr>
        <w:t>建立完备的冷藏、分割、包装、检测、留样、监控系统。</w:t>
      </w:r>
    </w:p>
    <w:p w14:paraId="74CF2D6A">
      <w:pPr>
        <w:pStyle w:val="5"/>
        <w:bidi w:val="0"/>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（二）供应价格要求</w:t>
      </w:r>
    </w:p>
    <w:p w14:paraId="42B7B4E7">
      <w:pPr>
        <w:spacing w:line="360" w:lineRule="auto"/>
        <w:ind w:firstLine="420" w:firstLineChars="200"/>
        <w:jc w:val="both"/>
        <w:rPr>
          <w:rFonts w:hint="eastAsia" w:ascii="宋体" w:hAnsi="宋体" w:eastAsia="宋体" w:cs="宋体"/>
          <w:color w:val="auto"/>
          <w:sz w:val="21"/>
          <w:szCs w:val="21"/>
          <w:highlight w:val="none"/>
        </w:rPr>
      </w:pPr>
      <w:r>
        <w:rPr>
          <w:rFonts w:hint="eastAsia"/>
          <w:color w:val="auto"/>
          <w:highlight w:val="none"/>
          <w:lang w:val="en-US" w:eastAsia="zh-CN"/>
        </w:rPr>
        <w:t>1、</w:t>
      </w:r>
      <w:r>
        <w:rPr>
          <w:rFonts w:hint="eastAsia"/>
          <w:color w:val="auto"/>
          <w:highlight w:val="none"/>
        </w:rPr>
        <w:t>投标报价必须包含满足本次投标全部采购需求所应提供的服务，以及伴随的货物的价格；包含投标服务、货物成本、运输（含保险）</w:t>
      </w:r>
      <w:r>
        <w:rPr>
          <w:rFonts w:hint="eastAsia" w:ascii="宋体" w:hAnsi="宋体" w:eastAsia="宋体" w:cs="宋体"/>
          <w:color w:val="auto"/>
          <w:sz w:val="21"/>
          <w:szCs w:val="21"/>
          <w:highlight w:val="none"/>
        </w:rPr>
        <w:t>装卸、搬运、</w:t>
      </w:r>
      <w:r>
        <w:rPr>
          <w:rFonts w:hint="eastAsia"/>
          <w:color w:val="auto"/>
          <w:highlight w:val="none"/>
        </w:rPr>
        <w:t>检验、</w:t>
      </w:r>
      <w:r>
        <w:rPr>
          <w:rFonts w:hint="eastAsia" w:ascii="宋体" w:hAnsi="宋体" w:eastAsia="宋体" w:cs="宋体"/>
          <w:color w:val="auto"/>
          <w:sz w:val="21"/>
          <w:szCs w:val="21"/>
          <w:highlight w:val="none"/>
        </w:rPr>
        <w:t>保险、利润、税</w:t>
      </w:r>
      <w:r>
        <w:rPr>
          <w:rFonts w:hint="eastAsia" w:ascii="宋体" w:hAnsi="宋体" w:cs="宋体"/>
          <w:color w:val="auto"/>
          <w:sz w:val="21"/>
          <w:szCs w:val="21"/>
          <w:highlight w:val="none"/>
          <w:lang w:val="en-US" w:eastAsia="zh-CN"/>
        </w:rPr>
        <w:t>费</w:t>
      </w:r>
      <w:r>
        <w:rPr>
          <w:rFonts w:hint="eastAsia" w:ascii="宋体" w:hAnsi="宋体" w:eastAsia="宋体" w:cs="宋体"/>
          <w:color w:val="auto"/>
          <w:sz w:val="21"/>
          <w:szCs w:val="21"/>
          <w:highlight w:val="none"/>
        </w:rPr>
        <w:t>、质保期售后服务、雇员费、合同实施过程中的应预见和或不可预见等费用总和。所产生的费用由中标人负责。</w:t>
      </w:r>
    </w:p>
    <w:p w14:paraId="17319E6E">
      <w:pPr>
        <w:pStyle w:val="37"/>
        <w:numPr>
          <w:ilvl w:val="0"/>
          <w:numId w:val="0"/>
        </w:numPr>
        <w:tabs>
          <w:tab w:val="left" w:pos="1053"/>
        </w:tabs>
        <w:spacing w:before="110" w:after="0" w:line="360" w:lineRule="auto"/>
        <w:ind w:right="0" w:rightChars="0" w:firstLine="422" w:firstLineChars="200"/>
        <w:jc w:val="left"/>
        <w:rPr>
          <w:rFonts w:hint="eastAsia" w:ascii="宋体" w:hAnsi="宋体" w:eastAsia="宋体" w:cs="宋体"/>
          <w:b/>
          <w:bCs w:val="0"/>
          <w:color w:val="auto"/>
          <w:sz w:val="21"/>
          <w:szCs w:val="21"/>
          <w:highlight w:val="none"/>
          <w:lang w:val="en-US" w:eastAsia="zh-CN" w:bidi="ar-SA"/>
        </w:rPr>
      </w:pPr>
      <w:r>
        <w:rPr>
          <w:rFonts w:hint="eastAsia" w:ascii="宋体" w:hAnsi="宋体" w:cs="宋体"/>
          <w:b/>
          <w:bCs w:val="0"/>
          <w:color w:val="auto"/>
          <w:sz w:val="21"/>
          <w:szCs w:val="21"/>
          <w:highlight w:val="none"/>
          <w:lang w:val="en-US" w:eastAsia="zh-CN" w:bidi="ar-SA"/>
        </w:rPr>
        <w:t>2</w:t>
      </w:r>
      <w:r>
        <w:rPr>
          <w:rFonts w:hint="eastAsia" w:ascii="宋体" w:hAnsi="宋体" w:eastAsia="宋体" w:cs="宋体"/>
          <w:b/>
          <w:bCs w:val="0"/>
          <w:color w:val="auto"/>
          <w:sz w:val="21"/>
          <w:szCs w:val="21"/>
          <w:highlight w:val="none"/>
          <w:lang w:val="en-US" w:eastAsia="zh-CN" w:bidi="ar-SA"/>
        </w:rPr>
        <w:t>、供应商投标报价采用折扣率报价（以%表示，折扣率报价精确到个位数）。投标报价范围：≤100%（如：供货产品打</w:t>
      </w:r>
      <w:r>
        <w:rPr>
          <w:rFonts w:hint="eastAsia" w:ascii="宋体" w:hAnsi="宋体" w:cs="宋体"/>
          <w:b/>
          <w:bCs w:val="0"/>
          <w:color w:val="auto"/>
          <w:sz w:val="21"/>
          <w:szCs w:val="21"/>
          <w:highlight w:val="none"/>
          <w:lang w:val="en-US" w:eastAsia="zh-CN" w:bidi="ar-SA"/>
        </w:rPr>
        <w:t>八</w:t>
      </w:r>
      <w:r>
        <w:rPr>
          <w:rFonts w:hint="eastAsia" w:ascii="宋体" w:hAnsi="宋体" w:eastAsia="宋体" w:cs="宋体"/>
          <w:b/>
          <w:bCs w:val="0"/>
          <w:color w:val="auto"/>
          <w:sz w:val="21"/>
          <w:szCs w:val="21"/>
          <w:highlight w:val="none"/>
          <w:lang w:val="en-US" w:eastAsia="zh-CN" w:bidi="ar-SA"/>
        </w:rPr>
        <w:t>折即投标折扣率为80%，以此类推），否则，作无效报价处理。</w:t>
      </w:r>
    </w:p>
    <w:p w14:paraId="2E4CC7BA">
      <w:pPr>
        <w:pStyle w:val="37"/>
        <w:numPr>
          <w:ilvl w:val="0"/>
          <w:numId w:val="0"/>
        </w:numPr>
        <w:tabs>
          <w:tab w:val="left" w:pos="1053"/>
        </w:tabs>
        <w:spacing w:before="110" w:after="0" w:line="360" w:lineRule="auto"/>
        <w:ind w:right="0" w:rightChars="0" w:firstLine="420" w:firstLineChars="200"/>
        <w:jc w:val="left"/>
        <w:rPr>
          <w:rFonts w:hint="eastAsia" w:ascii="宋体" w:hAnsi="宋体" w:eastAsia="宋体" w:cs="宋体"/>
          <w:b/>
          <w:color w:val="auto"/>
          <w:sz w:val="21"/>
          <w:szCs w:val="21"/>
          <w:highlight w:val="none"/>
          <w:lang w:eastAsia="zh-CN"/>
        </w:rPr>
      </w:pPr>
      <w:r>
        <w:rPr>
          <w:rFonts w:hint="eastAsia" w:ascii="宋体" w:hAnsi="宋体" w:eastAsia="宋体" w:cs="宋体"/>
          <w:bCs/>
          <w:color w:val="auto"/>
          <w:sz w:val="21"/>
          <w:szCs w:val="21"/>
          <w:highlight w:val="none"/>
          <w:lang w:val="en-US" w:eastAsia="zh-CN" w:bidi="ar-SA"/>
        </w:rPr>
        <w:t>3、</w:t>
      </w:r>
      <w:r>
        <w:rPr>
          <w:rFonts w:hint="eastAsia" w:ascii="宋体" w:hAnsi="宋体" w:eastAsia="宋体" w:cs="宋体"/>
          <w:b/>
          <w:color w:val="auto"/>
          <w:sz w:val="21"/>
          <w:szCs w:val="21"/>
          <w:highlight w:val="none"/>
          <w:lang w:eastAsia="zh-CN"/>
        </w:rPr>
        <w:t>【供货价格】根据政策要求，由上级领导部门每隔一段时间（每周或每月）召集采购人与供应商开会协商供货价格（三方议价），签订供货价格协议。中标人须按签好的价格协议供应商品。如政策变化，上级领导部门不再组织三方议价，则由采购人与中标人双方共同协商供货价格，签订供货价格协议。</w:t>
      </w:r>
      <w:r>
        <w:rPr>
          <w:rFonts w:hint="eastAsia" w:ascii="宋体" w:hAnsi="宋体" w:eastAsia="宋体" w:cs="宋体"/>
          <w:b/>
          <w:color w:val="auto"/>
          <w:sz w:val="21"/>
          <w:szCs w:val="21"/>
          <w:highlight w:val="none"/>
          <w:lang w:val="en-US" w:eastAsia="zh-CN"/>
        </w:rPr>
        <w:t>投标折扣率将作为食材或货物实际结算的合同折扣率，结算时以学校实际采购量进行结算。</w:t>
      </w:r>
      <w:r>
        <w:rPr>
          <w:rFonts w:hint="eastAsia" w:ascii="宋体" w:hAnsi="宋体" w:eastAsia="宋体" w:cs="宋体"/>
          <w:b/>
          <w:color w:val="auto"/>
          <w:sz w:val="21"/>
          <w:szCs w:val="21"/>
          <w:highlight w:val="none"/>
          <w:lang w:eastAsia="zh-CN"/>
        </w:rPr>
        <w:t>市场批发均价的数据来源于</w:t>
      </w:r>
      <w:r>
        <w:rPr>
          <w:rFonts w:hint="eastAsia" w:ascii="宋体" w:hAnsi="宋体" w:eastAsia="宋体" w:cs="宋体"/>
          <w:b/>
          <w:color w:val="auto"/>
          <w:sz w:val="21"/>
          <w:szCs w:val="21"/>
          <w:highlight w:val="none"/>
          <w:lang w:val="en-US" w:eastAsia="zh-CN"/>
        </w:rPr>
        <w:t>江南市场、三合市场、市易农国际农产品交易中心、兴港副食城，一般取双方在上述市场询价结果的平均值。当期某食材或货物结算价=</w:t>
      </w:r>
      <w:r>
        <w:rPr>
          <w:rFonts w:hint="eastAsia" w:ascii="宋体" w:hAnsi="宋体" w:eastAsia="宋体" w:cs="宋体"/>
          <w:b/>
          <w:color w:val="auto"/>
          <w:sz w:val="21"/>
          <w:szCs w:val="21"/>
          <w:highlight w:val="none"/>
          <w:lang w:eastAsia="zh-CN"/>
        </w:rPr>
        <w:t>市场批发均价</w:t>
      </w:r>
      <w:r>
        <w:rPr>
          <w:rFonts w:hint="eastAsia" w:ascii="宋体" w:hAnsi="宋体" w:eastAsia="宋体" w:cs="宋体"/>
          <w:b/>
          <w:color w:val="auto"/>
          <w:sz w:val="21"/>
          <w:szCs w:val="21"/>
          <w:highlight w:val="none"/>
          <w:lang w:val="en-US" w:eastAsia="zh-CN"/>
        </w:rPr>
        <w:t>×合同折扣率×该食材或货物实际采购量（例如：</w:t>
      </w:r>
      <w:r>
        <w:rPr>
          <w:rFonts w:hint="eastAsia" w:ascii="宋体" w:hAnsi="宋体" w:eastAsia="宋体" w:cs="宋体"/>
          <w:b/>
          <w:color w:val="auto"/>
          <w:sz w:val="21"/>
          <w:szCs w:val="21"/>
          <w:highlight w:val="none"/>
          <w:lang w:eastAsia="zh-CN"/>
        </w:rPr>
        <w:t>市场批发均价</w:t>
      </w:r>
      <w:r>
        <w:rPr>
          <w:rFonts w:hint="eastAsia" w:ascii="宋体" w:hAnsi="宋体" w:eastAsia="宋体" w:cs="宋体"/>
          <w:b/>
          <w:color w:val="auto"/>
          <w:sz w:val="21"/>
          <w:szCs w:val="21"/>
          <w:highlight w:val="none"/>
          <w:lang w:val="en-US" w:eastAsia="zh-CN"/>
        </w:rPr>
        <w:t>＝100元/斤，合同折扣率＝97%，该食材或货物实际采购量＝10斤，当期某食材或货物结算价=100×0.97×10=970元）。</w:t>
      </w:r>
    </w:p>
    <w:p w14:paraId="2BF72D71">
      <w:pPr>
        <w:pStyle w:val="5"/>
        <w:bidi w:val="0"/>
        <w:spacing w:line="360" w:lineRule="auto"/>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（三）货款结算及付款方式</w:t>
      </w:r>
    </w:p>
    <w:p w14:paraId="3B7773A1">
      <w:pPr>
        <w:spacing w:line="360" w:lineRule="auto"/>
        <w:ind w:firstLine="420" w:firstLineChars="200"/>
        <w:jc w:val="both"/>
        <w:rPr>
          <w:rFonts w:hint="eastAsia"/>
          <w:b/>
          <w:color w:val="auto"/>
          <w:szCs w:val="21"/>
          <w:highlight w:val="none"/>
          <w:u w:val="wave"/>
        </w:rPr>
      </w:pPr>
      <w:r>
        <w:rPr>
          <w:rFonts w:hint="eastAsia" w:ascii="宋体" w:hAnsi="宋体" w:eastAsia="宋体" w:cs="宋体"/>
          <w:bCs/>
          <w:color w:val="auto"/>
          <w:highlight w:val="none"/>
          <w:lang w:val="en-US" w:eastAsia="zh-CN"/>
        </w:rPr>
        <w:t>一般情况下采购人按月进行结算，采购资金由采购人财务账户转入中标供应商账户。每月</w:t>
      </w:r>
      <w:r>
        <w:rPr>
          <w:rFonts w:hint="eastAsia" w:cs="宋体"/>
          <w:bCs/>
          <w:color w:val="auto"/>
          <w:highlight w:val="none"/>
          <w:lang w:val="en-US" w:eastAsia="zh-CN"/>
        </w:rPr>
        <w:t>25日前</w:t>
      </w:r>
      <w:r>
        <w:rPr>
          <w:rFonts w:hint="eastAsia" w:ascii="宋体" w:hAnsi="宋体" w:eastAsia="宋体" w:cs="宋体"/>
          <w:bCs/>
          <w:color w:val="auto"/>
          <w:highlight w:val="none"/>
          <w:lang w:val="en-US" w:eastAsia="zh-CN"/>
        </w:rPr>
        <w:t>，中标供应商向采购人开具上一月度供货相应数额的发票（农副产品免税的除外），采购人收到发票后</w:t>
      </w:r>
      <w:r>
        <w:rPr>
          <w:rFonts w:hint="eastAsia" w:ascii="宋体" w:hAnsi="宋体" w:cs="宋体"/>
          <w:bCs/>
          <w:color w:val="auto"/>
          <w:highlight w:val="none"/>
          <w:lang w:val="en-US" w:eastAsia="zh-CN"/>
        </w:rPr>
        <w:t>3</w:t>
      </w:r>
      <w:r>
        <w:rPr>
          <w:rFonts w:hint="eastAsia" w:ascii="宋体" w:hAnsi="宋体" w:eastAsia="宋体" w:cs="宋体"/>
          <w:bCs/>
          <w:color w:val="auto"/>
          <w:highlight w:val="none"/>
          <w:lang w:val="en-US" w:eastAsia="zh-CN"/>
        </w:rPr>
        <w:t>0个工作日内支付。特殊情况，需临时改变结算方式，双方可通过协商解决。</w:t>
      </w:r>
    </w:p>
    <w:p w14:paraId="41C8ABEF">
      <w:pPr>
        <w:pStyle w:val="5"/>
        <w:numPr>
          <w:ilvl w:val="0"/>
          <w:numId w:val="1"/>
        </w:numPr>
        <w:bidi w:val="0"/>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交货地点</w:t>
      </w:r>
    </w:p>
    <w:p w14:paraId="4D2A32B5">
      <w:pPr>
        <w:pStyle w:val="5"/>
        <w:numPr>
          <w:ilvl w:val="0"/>
          <w:numId w:val="0"/>
        </w:numPr>
        <w:bidi w:val="0"/>
        <w:ind w:firstLine="840" w:firstLineChars="400"/>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贵港市江南中学</w:t>
      </w:r>
      <w:r>
        <w:rPr>
          <w:rFonts w:hint="eastAsia" w:cs="Times New Roman"/>
          <w:b w:val="0"/>
          <w:bCs w:val="0"/>
          <w:color w:val="auto"/>
          <w:kern w:val="2"/>
          <w:sz w:val="21"/>
          <w:szCs w:val="21"/>
          <w:highlight w:val="none"/>
          <w:lang w:val="en-US" w:eastAsia="zh-CN" w:bidi="ar-SA"/>
        </w:rPr>
        <w:t>。（交货地点变动，采购单位不另行支付配送交通费用）</w:t>
      </w:r>
    </w:p>
    <w:p w14:paraId="3ED7AEE8">
      <w:pPr>
        <w:pStyle w:val="5"/>
        <w:bidi w:val="0"/>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（五）配送服务要求</w:t>
      </w:r>
    </w:p>
    <w:p w14:paraId="161B1F0A">
      <w:pPr>
        <w:spacing w:line="360" w:lineRule="auto"/>
        <w:ind w:firstLine="420" w:firstLineChars="200"/>
        <w:jc w:val="both"/>
        <w:rPr>
          <w:rFonts w:hint="eastAsia"/>
          <w:color w:val="auto"/>
          <w:szCs w:val="21"/>
          <w:highlight w:val="none"/>
        </w:rPr>
      </w:pPr>
      <w:r>
        <w:rPr>
          <w:rFonts w:hint="eastAsia"/>
          <w:color w:val="auto"/>
          <w:szCs w:val="21"/>
          <w:highlight w:val="none"/>
          <w:lang w:val="en-US" w:eastAsia="zh-CN"/>
        </w:rPr>
        <w:t>1</w:t>
      </w:r>
      <w:r>
        <w:rPr>
          <w:rFonts w:hint="eastAsia"/>
          <w:color w:val="auto"/>
          <w:szCs w:val="21"/>
          <w:highlight w:val="none"/>
        </w:rPr>
        <w:t>、中标人应当根据采购单位实际情况，按照与采购单位的约定，在规定的时间内将预定的货物</w:t>
      </w:r>
      <w:r>
        <w:rPr>
          <w:rFonts w:hint="eastAsia"/>
          <w:color w:val="auto"/>
          <w:szCs w:val="21"/>
          <w:highlight w:val="none"/>
          <w:lang w:eastAsia="zh-CN"/>
        </w:rPr>
        <w:t>保质保量</w:t>
      </w:r>
      <w:r>
        <w:rPr>
          <w:rFonts w:hint="eastAsia"/>
          <w:color w:val="auto"/>
          <w:szCs w:val="21"/>
          <w:highlight w:val="none"/>
        </w:rPr>
        <w:t>送到指定地点。</w:t>
      </w:r>
    </w:p>
    <w:p w14:paraId="08134296">
      <w:pPr>
        <w:spacing w:line="360" w:lineRule="auto"/>
        <w:ind w:firstLine="420" w:firstLineChars="200"/>
        <w:jc w:val="both"/>
        <w:rPr>
          <w:color w:val="auto"/>
          <w:szCs w:val="21"/>
          <w:highlight w:val="none"/>
        </w:rPr>
      </w:pPr>
      <w:r>
        <w:rPr>
          <w:rFonts w:hint="eastAsia"/>
          <w:color w:val="auto"/>
          <w:szCs w:val="21"/>
          <w:highlight w:val="none"/>
          <w:lang w:val="en-US" w:eastAsia="zh-CN"/>
        </w:rPr>
        <w:t>2</w:t>
      </w:r>
      <w:r>
        <w:rPr>
          <w:rFonts w:hint="eastAsia"/>
          <w:color w:val="auto"/>
          <w:szCs w:val="21"/>
          <w:highlight w:val="none"/>
        </w:rPr>
        <w:t>、</w:t>
      </w:r>
      <w:r>
        <w:rPr>
          <w:color w:val="auto"/>
          <w:szCs w:val="21"/>
          <w:highlight w:val="none"/>
        </w:rPr>
        <w:t>一般供货要求</w:t>
      </w:r>
      <w:r>
        <w:rPr>
          <w:rFonts w:hint="eastAsia"/>
          <w:color w:val="auto"/>
          <w:szCs w:val="21"/>
          <w:highlight w:val="none"/>
        </w:rPr>
        <w:t>：</w:t>
      </w:r>
      <w:r>
        <w:rPr>
          <w:color w:val="auto"/>
          <w:szCs w:val="21"/>
          <w:highlight w:val="none"/>
        </w:rPr>
        <w:t>采购方根据实际需要，</w:t>
      </w:r>
      <w:r>
        <w:rPr>
          <w:rFonts w:hint="eastAsia"/>
          <w:color w:val="auto"/>
          <w:szCs w:val="21"/>
          <w:highlight w:val="none"/>
        </w:rPr>
        <w:t>列出一份第二天需要补充采购的货物请购清单</w:t>
      </w:r>
      <w:r>
        <w:rPr>
          <w:color w:val="auto"/>
          <w:szCs w:val="21"/>
          <w:highlight w:val="none"/>
        </w:rPr>
        <w:t>，在收到采购方发出供货通知后，供方最迟在次日上午</w:t>
      </w:r>
      <w:r>
        <w:rPr>
          <w:rFonts w:hint="eastAsia"/>
          <w:color w:val="auto"/>
          <w:szCs w:val="21"/>
          <w:highlight w:val="none"/>
        </w:rPr>
        <w:t>9：00前</w:t>
      </w:r>
      <w:r>
        <w:rPr>
          <w:color w:val="auto"/>
          <w:szCs w:val="21"/>
          <w:highlight w:val="none"/>
        </w:rPr>
        <w:t>提供当次现场供货。紧急供货要求：在收到采购方发出紧急供货通知后，供方最迟2小时内完成当次现场供货。</w:t>
      </w:r>
    </w:p>
    <w:p w14:paraId="43BDA43E">
      <w:pPr>
        <w:spacing w:line="360" w:lineRule="auto"/>
        <w:ind w:firstLine="420" w:firstLineChars="200"/>
        <w:jc w:val="both"/>
        <w:rPr>
          <w:rFonts w:hint="eastAsia"/>
          <w:color w:val="auto"/>
          <w:szCs w:val="21"/>
          <w:highlight w:val="none"/>
        </w:rPr>
      </w:pPr>
      <w:r>
        <w:rPr>
          <w:rFonts w:hint="eastAsia"/>
          <w:color w:val="auto"/>
          <w:szCs w:val="21"/>
          <w:highlight w:val="none"/>
          <w:lang w:val="en-US" w:eastAsia="zh-CN"/>
        </w:rPr>
        <w:t>3</w:t>
      </w:r>
      <w:r>
        <w:rPr>
          <w:rFonts w:hint="eastAsia"/>
          <w:color w:val="auto"/>
          <w:szCs w:val="21"/>
          <w:highlight w:val="none"/>
        </w:rPr>
        <w:t>、中标人必须按照采购方通知的时间、数量、品种、品质要求及协定的价格准时送货，经验收合格后签字确认，不能以任何理由推托，一旦影响到采购方的正常运转，中标人应承担相应的经济赔偿。</w:t>
      </w:r>
    </w:p>
    <w:p w14:paraId="5FD16F72">
      <w:pPr>
        <w:spacing w:line="360" w:lineRule="auto"/>
        <w:ind w:firstLine="420" w:firstLineChars="200"/>
        <w:jc w:val="both"/>
        <w:rPr>
          <w:rFonts w:hint="eastAsia"/>
          <w:color w:val="auto"/>
          <w:szCs w:val="21"/>
          <w:highlight w:val="none"/>
        </w:rPr>
      </w:pPr>
      <w:r>
        <w:rPr>
          <w:rFonts w:hint="eastAsia"/>
          <w:color w:val="auto"/>
          <w:szCs w:val="21"/>
          <w:highlight w:val="none"/>
          <w:lang w:val="en-US" w:eastAsia="zh-CN"/>
        </w:rPr>
        <w:t>4</w:t>
      </w:r>
      <w:r>
        <w:rPr>
          <w:rFonts w:hint="eastAsia"/>
          <w:color w:val="auto"/>
          <w:szCs w:val="21"/>
          <w:highlight w:val="none"/>
        </w:rPr>
        <w:t>、中标人不能满足供货要求时，应提前1个月通知采购方，采购方同意后方可中止合同。</w:t>
      </w:r>
    </w:p>
    <w:p w14:paraId="1CD3CADA">
      <w:pPr>
        <w:spacing w:line="360" w:lineRule="auto"/>
        <w:ind w:firstLine="420" w:firstLineChars="200"/>
        <w:jc w:val="both"/>
        <w:rPr>
          <w:rFonts w:hint="eastAsia"/>
          <w:color w:val="auto"/>
          <w:szCs w:val="21"/>
          <w:highlight w:val="none"/>
        </w:rPr>
      </w:pPr>
      <w:r>
        <w:rPr>
          <w:rFonts w:hint="eastAsia"/>
          <w:color w:val="auto"/>
          <w:szCs w:val="21"/>
          <w:highlight w:val="none"/>
          <w:lang w:val="en-US" w:eastAsia="zh-CN"/>
        </w:rPr>
        <w:t>5</w:t>
      </w:r>
      <w:r>
        <w:rPr>
          <w:rFonts w:hint="eastAsia"/>
          <w:color w:val="auto"/>
          <w:szCs w:val="21"/>
          <w:highlight w:val="none"/>
        </w:rPr>
        <w:t>、在采购单位签收之前，货物的所有权和风险属于中标人，货物的数量、质量、遗失、损坏由中标人负责。</w:t>
      </w:r>
    </w:p>
    <w:p w14:paraId="1F8CEE69">
      <w:pPr>
        <w:spacing w:line="360" w:lineRule="auto"/>
        <w:ind w:firstLine="420" w:firstLineChars="200"/>
        <w:jc w:val="both"/>
        <w:rPr>
          <w:rFonts w:hint="eastAsia"/>
          <w:color w:val="auto"/>
          <w:szCs w:val="21"/>
          <w:highlight w:val="none"/>
        </w:rPr>
      </w:pPr>
      <w:r>
        <w:rPr>
          <w:rFonts w:hint="eastAsia"/>
          <w:color w:val="auto"/>
          <w:szCs w:val="21"/>
          <w:highlight w:val="none"/>
          <w:lang w:val="en-US" w:eastAsia="zh-CN"/>
        </w:rPr>
        <w:t>6</w:t>
      </w:r>
      <w:r>
        <w:rPr>
          <w:rFonts w:hint="eastAsia"/>
          <w:color w:val="auto"/>
          <w:szCs w:val="21"/>
          <w:highlight w:val="none"/>
        </w:rPr>
        <w:t>、中标人必须严格按照采购单位的指令配送货物的数量，不得随意增减，否则，采购单位有权拒收。</w:t>
      </w:r>
    </w:p>
    <w:p w14:paraId="0D1CDDD6">
      <w:pPr>
        <w:spacing w:line="360" w:lineRule="auto"/>
        <w:ind w:firstLine="411" w:firstLineChars="196"/>
        <w:jc w:val="both"/>
        <w:rPr>
          <w:rFonts w:hint="eastAsia"/>
          <w:color w:val="auto"/>
          <w:szCs w:val="21"/>
          <w:highlight w:val="none"/>
        </w:rPr>
      </w:pPr>
      <w:r>
        <w:rPr>
          <w:rFonts w:hint="eastAsia"/>
          <w:color w:val="auto"/>
          <w:szCs w:val="21"/>
          <w:highlight w:val="none"/>
          <w:lang w:val="en-US" w:eastAsia="zh-CN"/>
        </w:rPr>
        <w:t>7</w:t>
      </w:r>
      <w:r>
        <w:rPr>
          <w:rFonts w:hint="eastAsia"/>
          <w:color w:val="auto"/>
          <w:szCs w:val="21"/>
          <w:highlight w:val="none"/>
        </w:rPr>
        <w:t>、除客观不可抗力外，中标人不得更改送货内容。如因市场流通问题确实需要变更供货内容的，中标人应书面告知采购单位，并经采购单位同意后方可改变。经发现中标人有私自更改菜单中货品时以违约论处，由此产生的一切损失和费用由中标人承担。</w:t>
      </w:r>
    </w:p>
    <w:p w14:paraId="1E3372C7">
      <w:pPr>
        <w:spacing w:line="360" w:lineRule="auto"/>
        <w:ind w:firstLine="411" w:firstLineChars="196"/>
        <w:jc w:val="both"/>
        <w:rPr>
          <w:rFonts w:hint="eastAsia"/>
          <w:color w:val="auto"/>
          <w:szCs w:val="21"/>
          <w:highlight w:val="none"/>
        </w:rPr>
      </w:pPr>
      <w:r>
        <w:rPr>
          <w:rFonts w:hint="eastAsia"/>
          <w:color w:val="auto"/>
          <w:szCs w:val="21"/>
          <w:highlight w:val="none"/>
          <w:lang w:val="en-US" w:eastAsia="zh-CN"/>
        </w:rPr>
        <w:t>8</w:t>
      </w:r>
      <w:r>
        <w:rPr>
          <w:rFonts w:hint="eastAsia"/>
          <w:color w:val="auto"/>
          <w:szCs w:val="21"/>
          <w:highlight w:val="none"/>
        </w:rPr>
        <w:t>、采购单位发现采购货物不能正常食用的，中标人必须无条件退货。中标人未能履行招标文件和合同所定事项，或供应不合格的、假冒虚伪、以次充好的货物，采购单位退货后记录在案，并对中标人予以处罚，除要承担因此产生的一切损失和费用外，情节严重的可取消供应资格。</w:t>
      </w:r>
    </w:p>
    <w:p w14:paraId="72D9A598">
      <w:pPr>
        <w:spacing w:line="360" w:lineRule="auto"/>
        <w:ind w:firstLine="411" w:firstLineChars="196"/>
        <w:jc w:val="both"/>
        <w:rPr>
          <w:rFonts w:hint="eastAsia"/>
          <w:color w:val="auto"/>
          <w:szCs w:val="21"/>
          <w:highlight w:val="none"/>
        </w:rPr>
      </w:pPr>
      <w:r>
        <w:rPr>
          <w:rFonts w:hint="eastAsia"/>
          <w:color w:val="auto"/>
          <w:szCs w:val="21"/>
          <w:highlight w:val="none"/>
          <w:lang w:val="en-US" w:eastAsia="zh-CN"/>
        </w:rPr>
        <w:t>9</w:t>
      </w:r>
      <w:r>
        <w:rPr>
          <w:rFonts w:hint="eastAsia"/>
          <w:color w:val="auto"/>
          <w:szCs w:val="21"/>
          <w:highlight w:val="none"/>
        </w:rPr>
        <w:t>、中标人不能按核定的供货价交付分标中的某些货物、不能提供与其承诺相符的服务或中标人存在违反招标文件和合同的行为，并且不予纠正的，将取消其中标资格。此项违约责任包括但不限于下列各项：</w:t>
      </w:r>
    </w:p>
    <w:p w14:paraId="76E0DEBC">
      <w:pPr>
        <w:spacing w:line="360" w:lineRule="auto"/>
        <w:ind w:firstLine="411" w:firstLineChars="196"/>
        <w:jc w:val="both"/>
        <w:rPr>
          <w:rFonts w:hint="eastAsia"/>
          <w:color w:val="auto"/>
          <w:szCs w:val="21"/>
          <w:highlight w:val="none"/>
        </w:rPr>
      </w:pPr>
      <w:r>
        <w:rPr>
          <w:rFonts w:hint="eastAsia"/>
          <w:color w:val="auto"/>
          <w:szCs w:val="21"/>
          <w:highlight w:val="none"/>
        </w:rPr>
        <w:t>⑴中标人在收到采购单位订货要求后，在承诺的供货时间内不能供货的。</w:t>
      </w:r>
    </w:p>
    <w:p w14:paraId="1EE7312F">
      <w:pPr>
        <w:spacing w:line="360" w:lineRule="auto"/>
        <w:ind w:firstLine="411" w:firstLineChars="196"/>
        <w:jc w:val="both"/>
        <w:rPr>
          <w:rFonts w:hint="eastAsia"/>
          <w:color w:val="auto"/>
          <w:szCs w:val="21"/>
          <w:highlight w:val="none"/>
        </w:rPr>
      </w:pPr>
      <w:r>
        <w:rPr>
          <w:rFonts w:hint="eastAsia"/>
          <w:color w:val="auto"/>
          <w:szCs w:val="21"/>
          <w:highlight w:val="none"/>
        </w:rPr>
        <w:t>⑵中标人未能提供承诺的服务的。</w:t>
      </w:r>
    </w:p>
    <w:p w14:paraId="74C2C87B">
      <w:pPr>
        <w:spacing w:line="360" w:lineRule="auto"/>
        <w:ind w:firstLine="411" w:firstLineChars="196"/>
        <w:jc w:val="both"/>
        <w:rPr>
          <w:rFonts w:hint="eastAsia"/>
          <w:color w:val="auto"/>
          <w:szCs w:val="21"/>
          <w:highlight w:val="none"/>
        </w:rPr>
      </w:pPr>
      <w:r>
        <w:rPr>
          <w:rFonts w:hint="eastAsia"/>
          <w:color w:val="auto"/>
          <w:szCs w:val="21"/>
          <w:highlight w:val="none"/>
        </w:rPr>
        <w:t>⑶中标货物在保质期出现损坏的，中标人应承诺替换服务，因替换货物产生的费用由中标人负责。</w:t>
      </w:r>
    </w:p>
    <w:p w14:paraId="239D7BED">
      <w:pPr>
        <w:spacing w:line="360" w:lineRule="auto"/>
        <w:ind w:firstLine="411" w:firstLineChars="196"/>
        <w:jc w:val="both"/>
        <w:rPr>
          <w:rFonts w:hint="eastAsia"/>
          <w:color w:val="auto"/>
          <w:szCs w:val="21"/>
          <w:highlight w:val="none"/>
        </w:rPr>
      </w:pPr>
      <w:r>
        <w:rPr>
          <w:rFonts w:hint="eastAsia"/>
          <w:color w:val="auto"/>
          <w:szCs w:val="21"/>
          <w:highlight w:val="none"/>
        </w:rPr>
        <w:t>⑷中标人的送货单必须详细注明货物的名称、品种、单价、数量，不得涂改。标记不清的，采购单位将拒绝签字。结算期未中标人还应提供送货单供采购单位结算。</w:t>
      </w:r>
    </w:p>
    <w:p w14:paraId="69A84FB8">
      <w:pPr>
        <w:spacing w:line="360" w:lineRule="auto"/>
        <w:ind w:firstLine="411" w:firstLineChars="196"/>
        <w:jc w:val="both"/>
        <w:rPr>
          <w:rFonts w:hint="eastAsia"/>
          <w:color w:val="auto"/>
          <w:szCs w:val="21"/>
          <w:highlight w:val="none"/>
        </w:rPr>
      </w:pPr>
      <w:r>
        <w:rPr>
          <w:rFonts w:hint="eastAsia"/>
          <w:color w:val="auto"/>
          <w:szCs w:val="21"/>
          <w:highlight w:val="none"/>
        </w:rPr>
        <w:t>⑸中标人必须指定专人送货，并经健康体检合格。送货专员在采购单位活动必须穿着便于辨认的工衣和佩戴出入证。并严格遵守采购单位的各项规章制度，否则采购单位有权终止合同。</w:t>
      </w:r>
    </w:p>
    <w:p w14:paraId="28B1E805">
      <w:pPr>
        <w:spacing w:line="360" w:lineRule="auto"/>
        <w:ind w:firstLine="411" w:firstLineChars="196"/>
        <w:jc w:val="both"/>
        <w:rPr>
          <w:rFonts w:hint="eastAsia"/>
          <w:color w:val="auto"/>
          <w:szCs w:val="21"/>
          <w:highlight w:val="none"/>
        </w:rPr>
      </w:pPr>
      <w:r>
        <w:rPr>
          <w:rFonts w:hint="eastAsia"/>
          <w:color w:val="auto"/>
          <w:szCs w:val="21"/>
          <w:highlight w:val="none"/>
        </w:rPr>
        <w:t>⑹中标人不得泄露采购单位的秘密。泄密造成采购单位损失的，中标人将承担由此产生的一切损失和法律责任。</w:t>
      </w:r>
    </w:p>
    <w:p w14:paraId="7B124996">
      <w:pPr>
        <w:spacing w:line="400" w:lineRule="exact"/>
        <w:ind w:firstLine="411" w:firstLineChars="196"/>
        <w:jc w:val="both"/>
        <w:rPr>
          <w:rFonts w:hint="eastAsia"/>
          <w:color w:val="auto"/>
          <w:szCs w:val="21"/>
          <w:highlight w:val="none"/>
        </w:rPr>
      </w:pPr>
      <w:r>
        <w:rPr>
          <w:rFonts w:hint="eastAsia"/>
          <w:color w:val="auto"/>
          <w:szCs w:val="21"/>
          <w:highlight w:val="none"/>
          <w:lang w:val="en-US" w:eastAsia="zh-CN"/>
        </w:rPr>
        <w:t>10</w:t>
      </w:r>
      <w:r>
        <w:rPr>
          <w:rFonts w:hint="eastAsia"/>
          <w:color w:val="auto"/>
          <w:szCs w:val="21"/>
          <w:highlight w:val="none"/>
        </w:rPr>
        <w:t>、在合同有效期内，因自然灾害或不可抗力事件无法履行合同的行为不作为违约情形，双方均无责任。</w:t>
      </w:r>
    </w:p>
    <w:p w14:paraId="12A83952">
      <w:pPr>
        <w:pStyle w:val="5"/>
        <w:bidi w:val="0"/>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（六）安全质量要求</w:t>
      </w:r>
    </w:p>
    <w:p w14:paraId="45D59242">
      <w:pPr>
        <w:spacing w:line="360" w:lineRule="auto"/>
        <w:ind w:firstLine="411" w:firstLineChars="196"/>
        <w:jc w:val="both"/>
        <w:rPr>
          <w:rFonts w:hint="eastAsia"/>
          <w:color w:val="auto"/>
          <w:szCs w:val="21"/>
          <w:highlight w:val="none"/>
        </w:rPr>
      </w:pPr>
      <w:r>
        <w:rPr>
          <w:rFonts w:hint="eastAsia"/>
          <w:color w:val="auto"/>
          <w:szCs w:val="21"/>
          <w:highlight w:val="none"/>
          <w:lang w:val="en-US" w:eastAsia="zh-CN"/>
        </w:rPr>
        <w:t>1</w:t>
      </w:r>
      <w:r>
        <w:rPr>
          <w:rFonts w:hint="eastAsia"/>
          <w:color w:val="auto"/>
          <w:szCs w:val="21"/>
          <w:highlight w:val="none"/>
        </w:rPr>
        <w:t>、中标人应充分理解并认真遵循本招标文件的要求。所提供的货物必须满足招标文件要求，并可追溯，检验合格、无毒、无害、无辐射、无侵权，符合国家有关卫生、质量、包装和保质标准。</w:t>
      </w:r>
    </w:p>
    <w:p w14:paraId="44249B05">
      <w:pPr>
        <w:pStyle w:val="12"/>
        <w:spacing w:line="360" w:lineRule="auto"/>
        <w:ind w:firstLine="420" w:firstLineChars="200"/>
        <w:rPr>
          <w:color w:val="auto"/>
          <w:highlight w:val="none"/>
        </w:rPr>
      </w:pPr>
      <w:r>
        <w:rPr>
          <w:rFonts w:hint="eastAsia"/>
          <w:color w:val="auto"/>
          <w:szCs w:val="21"/>
          <w:highlight w:val="none"/>
          <w:lang w:val="en-US" w:eastAsia="zh-CN"/>
        </w:rPr>
        <w:t>2</w:t>
      </w:r>
      <w:r>
        <w:rPr>
          <w:rFonts w:hint="eastAsia"/>
          <w:color w:val="auto"/>
          <w:szCs w:val="21"/>
          <w:highlight w:val="none"/>
        </w:rPr>
        <w:t>、依据产品质量监督检验所提供的质量标准，供应商提供的产品必须是经过质量监督管理部门检验并取得合格证明的产品，每批次货物提供时应交存货物质量合格证明、产品质量检测合格报告或检疫报告复印件。</w:t>
      </w:r>
    </w:p>
    <w:p w14:paraId="08C4652C">
      <w:pPr>
        <w:spacing w:line="360" w:lineRule="auto"/>
        <w:ind w:firstLine="420" w:firstLineChars="200"/>
        <w:jc w:val="both"/>
        <w:rPr>
          <w:rFonts w:hint="eastAsia"/>
          <w:color w:val="auto"/>
          <w:szCs w:val="21"/>
          <w:highlight w:val="none"/>
        </w:rPr>
      </w:pPr>
      <w:r>
        <w:rPr>
          <w:rFonts w:hint="eastAsia"/>
          <w:color w:val="auto"/>
          <w:szCs w:val="21"/>
          <w:highlight w:val="none"/>
          <w:lang w:val="en-US" w:eastAsia="zh-CN"/>
        </w:rPr>
        <w:t>3</w:t>
      </w:r>
      <w:r>
        <w:rPr>
          <w:rFonts w:hint="eastAsia"/>
          <w:color w:val="auto"/>
          <w:szCs w:val="21"/>
          <w:highlight w:val="none"/>
        </w:rPr>
        <w:t>、中标人</w:t>
      </w:r>
      <w:r>
        <w:rPr>
          <w:color w:val="auto"/>
          <w:szCs w:val="21"/>
          <w:highlight w:val="none"/>
        </w:rPr>
        <w:t>应严格遵守《食品安全法》和《动物检疫法》等相关规定，</w:t>
      </w:r>
      <w:r>
        <w:rPr>
          <w:rFonts w:hint="eastAsia"/>
          <w:color w:val="auto"/>
          <w:szCs w:val="21"/>
          <w:highlight w:val="none"/>
        </w:rPr>
        <w:t>所提供的产品是合格安全的产品，</w:t>
      </w:r>
      <w:r>
        <w:rPr>
          <w:color w:val="auto"/>
          <w:szCs w:val="21"/>
          <w:highlight w:val="none"/>
        </w:rPr>
        <w:t>一经发现供应以下食品，</w:t>
      </w:r>
      <w:r>
        <w:rPr>
          <w:rFonts w:hint="eastAsia"/>
          <w:color w:val="auto"/>
          <w:szCs w:val="21"/>
          <w:highlight w:val="none"/>
        </w:rPr>
        <w:t>采购</w:t>
      </w:r>
      <w:r>
        <w:rPr>
          <w:color w:val="auto"/>
          <w:szCs w:val="21"/>
          <w:highlight w:val="none"/>
        </w:rPr>
        <w:t>方除全部退货外，将取消</w:t>
      </w:r>
      <w:r>
        <w:rPr>
          <w:rFonts w:hint="eastAsia"/>
          <w:color w:val="auto"/>
          <w:szCs w:val="21"/>
          <w:highlight w:val="none"/>
        </w:rPr>
        <w:t>中标人</w:t>
      </w:r>
      <w:r>
        <w:rPr>
          <w:color w:val="auto"/>
          <w:szCs w:val="21"/>
          <w:highlight w:val="none"/>
        </w:rPr>
        <w:t>的供货资格，</w:t>
      </w:r>
      <w:r>
        <w:rPr>
          <w:rFonts w:hint="eastAsia"/>
          <w:color w:val="auto"/>
          <w:szCs w:val="21"/>
          <w:highlight w:val="none"/>
        </w:rPr>
        <w:t>中标人</w:t>
      </w:r>
      <w:r>
        <w:rPr>
          <w:color w:val="auto"/>
          <w:szCs w:val="21"/>
          <w:highlight w:val="none"/>
        </w:rPr>
        <w:t>并承担由此造成的经济责任和法律责任。</w:t>
      </w:r>
    </w:p>
    <w:p w14:paraId="650FBAB1">
      <w:pPr>
        <w:spacing w:line="360" w:lineRule="auto"/>
        <w:ind w:firstLine="420" w:firstLineChars="200"/>
        <w:jc w:val="both"/>
        <w:rPr>
          <w:rFonts w:hint="eastAsia"/>
          <w:color w:val="auto"/>
          <w:szCs w:val="21"/>
          <w:highlight w:val="none"/>
        </w:rPr>
      </w:pPr>
      <w:r>
        <w:rPr>
          <w:color w:val="auto"/>
          <w:szCs w:val="21"/>
          <w:highlight w:val="none"/>
        </w:rPr>
        <w:t>(</w:t>
      </w:r>
      <w:r>
        <w:rPr>
          <w:rFonts w:hint="eastAsia"/>
          <w:color w:val="auto"/>
          <w:szCs w:val="21"/>
          <w:highlight w:val="none"/>
          <w:lang w:val="en-US" w:eastAsia="zh-CN"/>
        </w:rPr>
        <w:t>1</w:t>
      </w:r>
      <w:r>
        <w:rPr>
          <w:color w:val="auto"/>
          <w:szCs w:val="21"/>
          <w:highlight w:val="none"/>
        </w:rPr>
        <w:t>)腐败变质、油脂酸败、霉变、生虫、污秽不洁、混有异物或者其他感官性状异常，对人体健康有害的；</w:t>
      </w:r>
    </w:p>
    <w:p w14:paraId="0F2B5642">
      <w:pPr>
        <w:spacing w:line="360" w:lineRule="auto"/>
        <w:ind w:firstLine="420" w:firstLineChars="200"/>
        <w:jc w:val="both"/>
        <w:rPr>
          <w:rFonts w:hint="eastAsia"/>
          <w:color w:val="auto"/>
          <w:szCs w:val="21"/>
          <w:highlight w:val="none"/>
        </w:rPr>
      </w:pPr>
      <w:r>
        <w:rPr>
          <w:color w:val="auto"/>
          <w:szCs w:val="21"/>
          <w:highlight w:val="none"/>
        </w:rPr>
        <w:t>(</w:t>
      </w:r>
      <w:r>
        <w:rPr>
          <w:rFonts w:hint="eastAsia"/>
          <w:color w:val="auto"/>
          <w:szCs w:val="21"/>
          <w:highlight w:val="none"/>
          <w:lang w:val="en-US" w:eastAsia="zh-CN"/>
        </w:rPr>
        <w:t>2</w:t>
      </w:r>
      <w:r>
        <w:rPr>
          <w:color w:val="auto"/>
          <w:szCs w:val="21"/>
          <w:highlight w:val="none"/>
        </w:rPr>
        <w:t>)含有毒、有害物质或者被有害物质污染，对人体健康有害的；</w:t>
      </w:r>
    </w:p>
    <w:p w14:paraId="29090B72">
      <w:pPr>
        <w:spacing w:line="360" w:lineRule="auto"/>
        <w:ind w:firstLine="420" w:firstLineChars="200"/>
        <w:jc w:val="both"/>
        <w:rPr>
          <w:rFonts w:hint="eastAsia"/>
          <w:color w:val="auto"/>
          <w:szCs w:val="21"/>
          <w:highlight w:val="none"/>
        </w:rPr>
      </w:pPr>
      <w:r>
        <w:rPr>
          <w:color w:val="auto"/>
          <w:szCs w:val="21"/>
          <w:highlight w:val="none"/>
        </w:rPr>
        <w:t>(</w:t>
      </w:r>
      <w:r>
        <w:rPr>
          <w:rFonts w:hint="eastAsia"/>
          <w:color w:val="auto"/>
          <w:szCs w:val="21"/>
          <w:highlight w:val="none"/>
          <w:lang w:val="en-US" w:eastAsia="zh-CN"/>
        </w:rPr>
        <w:t>3</w:t>
      </w:r>
      <w:r>
        <w:rPr>
          <w:color w:val="auto"/>
          <w:szCs w:val="21"/>
          <w:highlight w:val="none"/>
        </w:rPr>
        <w:t>)含有致病性寄生虫、微生物或者微生物含量超过国家限定标准的；</w:t>
      </w:r>
    </w:p>
    <w:p w14:paraId="39FC7487">
      <w:pPr>
        <w:spacing w:line="360" w:lineRule="auto"/>
        <w:ind w:firstLine="420" w:firstLineChars="200"/>
        <w:jc w:val="both"/>
        <w:rPr>
          <w:rFonts w:hint="eastAsia"/>
          <w:color w:val="auto"/>
          <w:szCs w:val="21"/>
          <w:highlight w:val="none"/>
        </w:rPr>
      </w:pPr>
      <w:r>
        <w:rPr>
          <w:color w:val="auto"/>
          <w:szCs w:val="21"/>
          <w:highlight w:val="none"/>
        </w:rPr>
        <w:t>(</w:t>
      </w:r>
      <w:r>
        <w:rPr>
          <w:rFonts w:hint="eastAsia"/>
          <w:color w:val="auto"/>
          <w:szCs w:val="21"/>
          <w:highlight w:val="none"/>
          <w:lang w:val="en-US" w:eastAsia="zh-CN"/>
        </w:rPr>
        <w:t>4</w:t>
      </w:r>
      <w:r>
        <w:rPr>
          <w:color w:val="auto"/>
          <w:szCs w:val="21"/>
          <w:highlight w:val="none"/>
        </w:rPr>
        <w:t>)未经动物检疫部门检疫、检验或者检疫、检验不合格的肉类及其制品；</w:t>
      </w:r>
    </w:p>
    <w:p w14:paraId="6347BE84">
      <w:pPr>
        <w:spacing w:line="360" w:lineRule="auto"/>
        <w:ind w:firstLine="420" w:firstLineChars="200"/>
        <w:jc w:val="both"/>
        <w:rPr>
          <w:rFonts w:hint="eastAsia"/>
          <w:color w:val="auto"/>
          <w:szCs w:val="21"/>
          <w:highlight w:val="none"/>
        </w:rPr>
      </w:pPr>
      <w:r>
        <w:rPr>
          <w:color w:val="auto"/>
          <w:szCs w:val="21"/>
          <w:highlight w:val="none"/>
        </w:rPr>
        <w:t>(</w:t>
      </w:r>
      <w:r>
        <w:rPr>
          <w:rFonts w:hint="eastAsia"/>
          <w:color w:val="auto"/>
          <w:szCs w:val="21"/>
          <w:highlight w:val="none"/>
          <w:lang w:val="en-US" w:eastAsia="zh-CN"/>
        </w:rPr>
        <w:t>5</w:t>
      </w:r>
      <w:r>
        <w:rPr>
          <w:color w:val="auto"/>
          <w:szCs w:val="21"/>
          <w:highlight w:val="none"/>
        </w:rPr>
        <w:t>)病死、毒死或者死因不明的禽、蓄、兽、水产动物等及其制品；</w:t>
      </w:r>
    </w:p>
    <w:p w14:paraId="0E7609A9">
      <w:pPr>
        <w:spacing w:line="360" w:lineRule="auto"/>
        <w:ind w:firstLine="420" w:firstLineChars="200"/>
        <w:jc w:val="both"/>
        <w:rPr>
          <w:rFonts w:hint="eastAsia"/>
          <w:color w:val="auto"/>
          <w:szCs w:val="21"/>
          <w:highlight w:val="none"/>
        </w:rPr>
      </w:pPr>
      <w:r>
        <w:rPr>
          <w:color w:val="auto"/>
          <w:szCs w:val="21"/>
          <w:highlight w:val="none"/>
        </w:rPr>
        <w:t>(</w:t>
      </w:r>
      <w:r>
        <w:rPr>
          <w:rFonts w:hint="eastAsia"/>
          <w:color w:val="auto"/>
          <w:szCs w:val="21"/>
          <w:highlight w:val="none"/>
          <w:lang w:val="en-US" w:eastAsia="zh-CN"/>
        </w:rPr>
        <w:t>6</w:t>
      </w:r>
      <w:r>
        <w:rPr>
          <w:color w:val="auto"/>
          <w:szCs w:val="21"/>
          <w:highlight w:val="none"/>
        </w:rPr>
        <w:t>)掺假、掺杂、伪造，影响营养、卫生的；</w:t>
      </w:r>
    </w:p>
    <w:p w14:paraId="0D0DCD9A">
      <w:pPr>
        <w:spacing w:line="360" w:lineRule="auto"/>
        <w:ind w:firstLine="420" w:firstLineChars="200"/>
        <w:jc w:val="both"/>
        <w:rPr>
          <w:rFonts w:hint="eastAsia"/>
          <w:color w:val="auto"/>
          <w:szCs w:val="21"/>
          <w:highlight w:val="none"/>
        </w:rPr>
      </w:pPr>
      <w:r>
        <w:rPr>
          <w:color w:val="auto"/>
          <w:szCs w:val="21"/>
          <w:highlight w:val="none"/>
        </w:rPr>
        <w:t>(7)用非食品原料加工的，加入非食品用化学物质或者将非食品当作食品的；</w:t>
      </w:r>
    </w:p>
    <w:p w14:paraId="62AA7CB0">
      <w:pPr>
        <w:spacing w:line="360" w:lineRule="auto"/>
        <w:ind w:firstLine="420" w:firstLineChars="200"/>
        <w:jc w:val="both"/>
        <w:rPr>
          <w:color w:val="auto"/>
          <w:szCs w:val="21"/>
          <w:highlight w:val="none"/>
        </w:rPr>
      </w:pPr>
      <w:r>
        <w:rPr>
          <w:color w:val="auto"/>
          <w:szCs w:val="21"/>
          <w:highlight w:val="none"/>
        </w:rPr>
        <w:t>(8)超过保质期限的。</w:t>
      </w:r>
    </w:p>
    <w:p w14:paraId="45945FB3">
      <w:pPr>
        <w:spacing w:line="360" w:lineRule="auto"/>
        <w:ind w:firstLine="420" w:firstLineChars="200"/>
        <w:jc w:val="both"/>
        <w:rPr>
          <w:color w:val="auto"/>
          <w:szCs w:val="21"/>
          <w:highlight w:val="none"/>
        </w:rPr>
      </w:pPr>
      <w:r>
        <w:rPr>
          <w:rFonts w:hint="eastAsia"/>
          <w:color w:val="auto"/>
          <w:szCs w:val="21"/>
          <w:highlight w:val="none"/>
          <w:lang w:val="en-US" w:eastAsia="zh-CN"/>
        </w:rPr>
        <w:t>4</w:t>
      </w:r>
      <w:r>
        <w:rPr>
          <w:rFonts w:hint="eastAsia"/>
          <w:color w:val="auto"/>
          <w:szCs w:val="21"/>
          <w:highlight w:val="none"/>
        </w:rPr>
        <w:t>、各分标中标人在签订合同后一个月内必须到自治区食品药品监督管理局指定中标的保险公司进行投保，投保险种为食品安全责任保险，否则采购单位有权终止合同。</w:t>
      </w:r>
    </w:p>
    <w:p w14:paraId="40F7E99A">
      <w:pPr>
        <w:pStyle w:val="5"/>
        <w:bidi w:val="0"/>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（七）物料的验收</w:t>
      </w:r>
    </w:p>
    <w:p w14:paraId="096211DF">
      <w:pPr>
        <w:spacing w:line="360" w:lineRule="auto"/>
        <w:ind w:firstLine="420" w:firstLineChars="200"/>
        <w:jc w:val="both"/>
        <w:rPr>
          <w:color w:val="auto"/>
          <w:szCs w:val="21"/>
          <w:highlight w:val="none"/>
        </w:rPr>
      </w:pPr>
      <w:r>
        <w:rPr>
          <w:rFonts w:hint="eastAsia"/>
          <w:color w:val="auto"/>
          <w:szCs w:val="21"/>
          <w:highlight w:val="none"/>
        </w:rPr>
        <w:t>物料</w:t>
      </w:r>
      <w:r>
        <w:rPr>
          <w:color w:val="auto"/>
          <w:szCs w:val="21"/>
          <w:highlight w:val="none"/>
        </w:rPr>
        <w:t>的验收工作由采购</w:t>
      </w:r>
      <w:r>
        <w:rPr>
          <w:rFonts w:hint="eastAsia"/>
          <w:color w:val="auto"/>
          <w:szCs w:val="21"/>
          <w:highlight w:val="none"/>
        </w:rPr>
        <w:t>方</w:t>
      </w:r>
      <w:r>
        <w:rPr>
          <w:color w:val="auto"/>
          <w:szCs w:val="21"/>
          <w:highlight w:val="none"/>
        </w:rPr>
        <w:t>和</w:t>
      </w:r>
      <w:r>
        <w:rPr>
          <w:rFonts w:hint="eastAsia"/>
          <w:color w:val="auto"/>
          <w:szCs w:val="21"/>
          <w:highlight w:val="none"/>
        </w:rPr>
        <w:t>供应商</w:t>
      </w:r>
      <w:r>
        <w:rPr>
          <w:color w:val="auto"/>
          <w:szCs w:val="21"/>
          <w:highlight w:val="none"/>
        </w:rPr>
        <w:t>共同进行。</w:t>
      </w:r>
      <w:r>
        <w:rPr>
          <w:rFonts w:hint="eastAsia"/>
          <w:color w:val="auto"/>
          <w:szCs w:val="21"/>
          <w:highlight w:val="none"/>
        </w:rPr>
        <w:t>供应商提供的产品须经过验收人员的感官检验、外观检验和试用检验，若产品外观、包装、形式不符合要求、感官检验不能达到食品卫生要求，当即拒收;供应商不能满足食品的质量及售后服务要求时，采购方有权进行处罚或终止合同。</w:t>
      </w:r>
    </w:p>
    <w:p w14:paraId="054CFADD">
      <w:pPr>
        <w:spacing w:line="360" w:lineRule="auto"/>
        <w:ind w:firstLine="420" w:firstLineChars="200"/>
        <w:jc w:val="both"/>
        <w:rPr>
          <w:color w:val="auto"/>
          <w:szCs w:val="21"/>
          <w:highlight w:val="none"/>
        </w:rPr>
      </w:pPr>
      <w:r>
        <w:rPr>
          <w:color w:val="auto"/>
          <w:szCs w:val="21"/>
          <w:highlight w:val="none"/>
        </w:rPr>
        <w:t>验收工作的一般程序为：根据</w:t>
      </w:r>
      <w:r>
        <w:rPr>
          <w:rFonts w:hint="eastAsia"/>
          <w:color w:val="auto"/>
          <w:szCs w:val="21"/>
          <w:highlight w:val="none"/>
        </w:rPr>
        <w:t>货物请购清单</w:t>
      </w:r>
      <w:r>
        <w:rPr>
          <w:color w:val="auto"/>
          <w:szCs w:val="21"/>
          <w:highlight w:val="none"/>
        </w:rPr>
        <w:t>的具体要求，对所购物</w:t>
      </w:r>
      <w:r>
        <w:rPr>
          <w:rFonts w:hint="eastAsia"/>
          <w:color w:val="auto"/>
          <w:szCs w:val="21"/>
          <w:highlight w:val="none"/>
        </w:rPr>
        <w:t>料</w:t>
      </w:r>
      <w:r>
        <w:rPr>
          <w:color w:val="auto"/>
          <w:szCs w:val="21"/>
          <w:highlight w:val="none"/>
        </w:rPr>
        <w:t>进行清点、外观检查以及对物</w:t>
      </w:r>
      <w:r>
        <w:rPr>
          <w:rFonts w:hint="eastAsia"/>
          <w:color w:val="auto"/>
          <w:szCs w:val="21"/>
          <w:highlight w:val="none"/>
        </w:rPr>
        <w:t>料</w:t>
      </w:r>
      <w:r>
        <w:rPr>
          <w:color w:val="auto"/>
          <w:szCs w:val="21"/>
          <w:highlight w:val="none"/>
        </w:rPr>
        <w:t>的各项指标和性能进行实测，并逐项记录。检测结束后，验收</w:t>
      </w:r>
      <w:r>
        <w:rPr>
          <w:rFonts w:hint="eastAsia"/>
          <w:color w:val="auto"/>
          <w:szCs w:val="21"/>
          <w:highlight w:val="none"/>
        </w:rPr>
        <w:t>人</w:t>
      </w:r>
      <w:r>
        <w:rPr>
          <w:color w:val="auto"/>
          <w:szCs w:val="21"/>
          <w:highlight w:val="none"/>
        </w:rPr>
        <w:t>员在验收单上签字。对未能通过验收的，</w:t>
      </w:r>
      <w:r>
        <w:rPr>
          <w:rFonts w:hint="eastAsia"/>
          <w:color w:val="auto"/>
          <w:szCs w:val="21"/>
          <w:highlight w:val="none"/>
        </w:rPr>
        <w:t>一律</w:t>
      </w:r>
      <w:r>
        <w:rPr>
          <w:color w:val="auto"/>
          <w:szCs w:val="21"/>
          <w:highlight w:val="none"/>
        </w:rPr>
        <w:t>退货、更换直至验收合格。</w:t>
      </w:r>
    </w:p>
    <w:p w14:paraId="095CC1C4">
      <w:pPr>
        <w:pStyle w:val="5"/>
        <w:bidi w:val="0"/>
        <w:rPr>
          <w:rFonts w:hint="eastAsia" w:ascii="Times New Roman" w:hAnsi="Times New Roman" w:eastAsia="宋体" w:cs="Times New Roman"/>
          <w:b/>
          <w:bCs/>
          <w:color w:val="auto"/>
          <w:highlight w:val="none"/>
          <w:lang w:val="en-US" w:eastAsia="zh-CN"/>
        </w:rPr>
      </w:pPr>
      <w:bookmarkStart w:id="60" w:name="_Toc28194"/>
      <w:r>
        <w:rPr>
          <w:rFonts w:hint="eastAsia" w:ascii="Times New Roman" w:hAnsi="Times New Roman" w:eastAsia="宋体" w:cs="Times New Roman"/>
          <w:b/>
          <w:bCs/>
          <w:color w:val="auto"/>
          <w:highlight w:val="none"/>
          <w:lang w:val="en-US" w:eastAsia="zh-CN"/>
        </w:rPr>
        <w:t>（八）</w:t>
      </w:r>
      <w:bookmarkEnd w:id="60"/>
      <w:r>
        <w:rPr>
          <w:rFonts w:hint="eastAsia" w:ascii="Times New Roman" w:hAnsi="Times New Roman" w:eastAsia="宋体" w:cs="Times New Roman"/>
          <w:b/>
          <w:bCs/>
          <w:color w:val="auto"/>
          <w:highlight w:val="none"/>
          <w:lang w:val="en-US" w:eastAsia="zh-CN"/>
        </w:rPr>
        <w:t>合同</w:t>
      </w:r>
      <w:r>
        <w:rPr>
          <w:rFonts w:hint="eastAsia" w:cs="Times New Roman"/>
          <w:b/>
          <w:bCs/>
          <w:color w:val="auto"/>
          <w:highlight w:val="none"/>
          <w:lang w:val="en-US" w:eastAsia="zh-CN"/>
        </w:rPr>
        <w:t>签订期、合同</w:t>
      </w:r>
      <w:r>
        <w:rPr>
          <w:rFonts w:hint="eastAsia" w:ascii="Times New Roman" w:hAnsi="Times New Roman" w:eastAsia="宋体" w:cs="Times New Roman"/>
          <w:b/>
          <w:bCs/>
          <w:color w:val="auto"/>
          <w:highlight w:val="none"/>
          <w:lang w:val="en-US" w:eastAsia="zh-CN"/>
        </w:rPr>
        <w:t>履行期限</w:t>
      </w:r>
    </w:p>
    <w:p w14:paraId="7C9E2492">
      <w:pPr>
        <w:spacing w:line="360" w:lineRule="auto"/>
        <w:ind w:left="210" w:leftChars="100" w:firstLine="201" w:firstLineChars="96"/>
        <w:jc w:val="both"/>
        <w:outlineLvl w:val="9"/>
        <w:rPr>
          <w:rFonts w:hint="eastAsia"/>
          <w:color w:val="auto"/>
          <w:szCs w:val="21"/>
          <w:highlight w:val="none"/>
          <w:lang w:val="en-US" w:eastAsia="zh-CN"/>
        </w:rPr>
      </w:pPr>
      <w:r>
        <w:rPr>
          <w:rFonts w:hint="eastAsia" w:ascii="宋体" w:hAnsi="宋体" w:cs="宋体"/>
          <w:color w:val="auto"/>
          <w:highlight w:val="none"/>
        </w:rPr>
        <w:t>合同签订期：</w:t>
      </w:r>
      <w:r>
        <w:rPr>
          <w:rFonts w:hint="eastAsia" w:ascii="宋体" w:hAnsi="宋体" w:cs="宋体"/>
          <w:color w:val="auto"/>
          <w:szCs w:val="21"/>
          <w:highlight w:val="none"/>
        </w:rPr>
        <w:t>自中标通知书发出之日起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20个自然</w:t>
      </w:r>
      <w:r>
        <w:rPr>
          <w:rFonts w:hint="eastAsia" w:ascii="宋体" w:hAnsi="宋体" w:cs="宋体"/>
          <w:color w:val="auto"/>
          <w:szCs w:val="21"/>
          <w:highlight w:val="none"/>
        </w:rPr>
        <w:t>日内</w:t>
      </w:r>
      <w:r>
        <w:rPr>
          <w:rFonts w:hint="eastAsia" w:ascii="宋体" w:hAnsi="宋体" w:cs="宋体"/>
          <w:color w:val="auto"/>
          <w:highlight w:val="none"/>
          <w:lang w:eastAsia="zh-CN"/>
        </w:rPr>
        <w:t>。</w:t>
      </w:r>
    </w:p>
    <w:p w14:paraId="6C32C021">
      <w:pPr>
        <w:spacing w:line="360" w:lineRule="auto"/>
        <w:ind w:left="210" w:leftChars="100" w:firstLine="201" w:firstLineChars="96"/>
        <w:jc w:val="both"/>
        <w:outlineLvl w:val="9"/>
        <w:rPr>
          <w:rFonts w:hint="eastAsia"/>
          <w:color w:val="auto"/>
          <w:szCs w:val="21"/>
          <w:highlight w:val="none"/>
        </w:rPr>
      </w:pPr>
      <w:r>
        <w:rPr>
          <w:rFonts w:hint="eastAsia" w:ascii="Times New Roman" w:hAnsi="Times New Roman" w:eastAsia="宋体" w:cs="Times New Roman"/>
          <w:b w:val="0"/>
          <w:bCs w:val="0"/>
          <w:color w:val="auto"/>
          <w:highlight w:val="none"/>
          <w:lang w:val="en-US" w:eastAsia="zh-CN"/>
        </w:rPr>
        <w:t>合同履行期限：</w:t>
      </w:r>
      <w:r>
        <w:rPr>
          <w:rFonts w:hint="eastAsia"/>
          <w:b w:val="0"/>
          <w:bCs w:val="0"/>
          <w:color w:val="auto"/>
          <w:szCs w:val="21"/>
          <w:highlight w:val="none"/>
          <w:lang w:val="en-US" w:eastAsia="zh-CN"/>
        </w:rPr>
        <w:t>14个月</w:t>
      </w:r>
      <w:r>
        <w:rPr>
          <w:rFonts w:hint="eastAsia"/>
          <w:color w:val="auto"/>
          <w:szCs w:val="21"/>
          <w:highlight w:val="none"/>
          <w:lang w:val="en-US" w:eastAsia="zh-CN"/>
        </w:rPr>
        <w:t>（具体起止时间以签订合同为准）</w:t>
      </w:r>
      <w:r>
        <w:rPr>
          <w:rFonts w:hint="eastAsia" w:cs="Arial"/>
          <w:bCs/>
          <w:color w:val="auto"/>
          <w:highlight w:val="none"/>
        </w:rPr>
        <w:t>。</w:t>
      </w:r>
    </w:p>
    <w:p w14:paraId="69340472">
      <w:pPr>
        <w:pStyle w:val="5"/>
        <w:bidi w:val="0"/>
        <w:rPr>
          <w:rFonts w:hint="eastAsia" w:ascii="Times New Roman" w:hAnsi="Times New Roman" w:eastAsia="宋体" w:cs="Times New Roman"/>
          <w:b/>
          <w:bCs/>
          <w:color w:val="auto"/>
          <w:highlight w:val="none"/>
          <w:lang w:val="en-US" w:eastAsia="zh-CN"/>
        </w:rPr>
      </w:pPr>
      <w:bookmarkStart w:id="61" w:name="_Toc30184"/>
      <w:r>
        <w:rPr>
          <w:rFonts w:hint="eastAsia" w:ascii="Times New Roman" w:hAnsi="Times New Roman" w:eastAsia="宋体" w:cs="Times New Roman"/>
          <w:b/>
          <w:bCs/>
          <w:color w:val="auto"/>
          <w:highlight w:val="none"/>
          <w:lang w:val="en-US" w:eastAsia="zh-CN"/>
        </w:rPr>
        <w:t>（</w:t>
      </w:r>
      <w:r>
        <w:rPr>
          <w:rFonts w:hint="eastAsia" w:cs="Times New Roman"/>
          <w:b/>
          <w:bCs/>
          <w:color w:val="auto"/>
          <w:highlight w:val="none"/>
          <w:lang w:val="en-US" w:eastAsia="zh-CN"/>
        </w:rPr>
        <w:t>九</w:t>
      </w:r>
      <w:r>
        <w:rPr>
          <w:rFonts w:hint="eastAsia" w:ascii="Times New Roman" w:hAnsi="Times New Roman" w:eastAsia="宋体" w:cs="Times New Roman"/>
          <w:b/>
          <w:bCs/>
          <w:color w:val="auto"/>
          <w:highlight w:val="none"/>
          <w:lang w:val="en-US" w:eastAsia="zh-CN"/>
        </w:rPr>
        <w:t>）考察</w:t>
      </w:r>
      <w:bookmarkEnd w:id="61"/>
      <w:r>
        <w:rPr>
          <w:rFonts w:hint="eastAsia" w:ascii="Times New Roman" w:hAnsi="Times New Roman" w:eastAsia="宋体" w:cs="Times New Roman"/>
          <w:b/>
          <w:bCs/>
          <w:color w:val="auto"/>
          <w:highlight w:val="none"/>
          <w:lang w:val="en-US" w:eastAsia="zh-CN"/>
        </w:rPr>
        <w:t>、监督办法与退出机制</w:t>
      </w:r>
    </w:p>
    <w:p w14:paraId="5AF89EAD">
      <w:pPr>
        <w:spacing w:line="360" w:lineRule="auto"/>
        <w:ind w:firstLine="420" w:firstLineChars="200"/>
        <w:jc w:val="both"/>
        <w:outlineLvl w:val="9"/>
        <w:rPr>
          <w:rFonts w:hint="eastAsia"/>
          <w:color w:val="auto"/>
          <w:szCs w:val="21"/>
          <w:highlight w:val="none"/>
          <w:lang w:eastAsia="zh-CN"/>
        </w:rPr>
      </w:pPr>
      <w:r>
        <w:rPr>
          <w:rFonts w:hint="eastAsia"/>
          <w:color w:val="auto"/>
          <w:szCs w:val="21"/>
          <w:highlight w:val="none"/>
          <w:lang w:val="en-US" w:eastAsia="zh-CN"/>
        </w:rPr>
        <w:t>1、考察：</w:t>
      </w:r>
      <w:r>
        <w:rPr>
          <w:rFonts w:hint="eastAsia"/>
          <w:color w:val="auto"/>
          <w:szCs w:val="21"/>
          <w:highlight w:val="none"/>
        </w:rPr>
        <w:t>为保证项目质量，签订合同前，预中标供应商须随时接受学校代表到其经营或相关场所</w:t>
      </w:r>
      <w:r>
        <w:rPr>
          <w:rFonts w:hint="eastAsia"/>
          <w:color w:val="auto"/>
          <w:szCs w:val="21"/>
          <w:highlight w:val="none"/>
          <w:lang w:eastAsia="zh-CN"/>
        </w:rPr>
        <w:t>及各分标准入条件等相关招标采购文件要求</w:t>
      </w:r>
      <w:r>
        <w:rPr>
          <w:rFonts w:hint="eastAsia"/>
          <w:color w:val="auto"/>
          <w:szCs w:val="21"/>
          <w:highlight w:val="none"/>
        </w:rPr>
        <w:t>进行现场考察。若该供应商在投标文件中提供的上述材料与实际情况不符的，采购人有权认为该供应商虚假应标，取消其中标决定</w:t>
      </w:r>
      <w:r>
        <w:rPr>
          <w:rFonts w:hint="eastAsia"/>
          <w:color w:val="auto"/>
          <w:szCs w:val="21"/>
          <w:highlight w:val="none"/>
          <w:lang w:eastAsia="zh-CN"/>
        </w:rPr>
        <w:t>，</w:t>
      </w:r>
      <w:r>
        <w:rPr>
          <w:rFonts w:hint="eastAsia"/>
          <w:color w:val="auto"/>
          <w:szCs w:val="21"/>
          <w:highlight w:val="none"/>
        </w:rPr>
        <w:t>由下一中标候选人递补。</w:t>
      </w:r>
    </w:p>
    <w:p w14:paraId="70F99D16">
      <w:pPr>
        <w:spacing w:line="360" w:lineRule="auto"/>
        <w:ind w:firstLine="420" w:firstLineChars="200"/>
        <w:jc w:val="both"/>
        <w:outlineLvl w:val="9"/>
        <w:rPr>
          <w:rFonts w:hint="eastAsia"/>
          <w:color w:val="auto"/>
          <w:szCs w:val="21"/>
          <w:highlight w:val="none"/>
          <w:lang w:eastAsia="zh-CN"/>
        </w:rPr>
      </w:pPr>
      <w:r>
        <w:rPr>
          <w:rFonts w:hint="eastAsia"/>
          <w:color w:val="auto"/>
          <w:szCs w:val="21"/>
          <w:highlight w:val="none"/>
          <w:lang w:val="en-US" w:eastAsia="zh-CN"/>
        </w:rPr>
        <w:t>2、监督办法</w:t>
      </w:r>
      <w:r>
        <w:rPr>
          <w:rFonts w:hint="eastAsia"/>
          <w:color w:val="auto"/>
          <w:szCs w:val="21"/>
          <w:highlight w:val="none"/>
          <w:lang w:eastAsia="zh-CN"/>
        </w:rPr>
        <w:t>：定期进行供应商</w:t>
      </w:r>
      <w:r>
        <w:rPr>
          <w:rFonts w:hint="eastAsia"/>
          <w:color w:val="auto"/>
          <w:szCs w:val="21"/>
          <w:highlight w:val="none"/>
          <w:lang w:val="en-US" w:eastAsia="zh-CN"/>
        </w:rPr>
        <w:t>供货</w:t>
      </w:r>
      <w:r>
        <w:rPr>
          <w:rFonts w:hint="eastAsia"/>
          <w:color w:val="auto"/>
          <w:szCs w:val="21"/>
          <w:highlight w:val="none"/>
          <w:lang w:eastAsia="zh-CN"/>
        </w:rPr>
        <w:t>测评，每月由学校代表对供应商的服务态度及价格等因素进行测评，对合格率低于</w:t>
      </w:r>
      <w:r>
        <w:rPr>
          <w:rFonts w:hint="eastAsia"/>
          <w:color w:val="auto"/>
          <w:szCs w:val="21"/>
          <w:highlight w:val="none"/>
          <w:lang w:val="en-US" w:eastAsia="zh-CN"/>
        </w:rPr>
        <w:t>90</w:t>
      </w:r>
      <w:r>
        <w:rPr>
          <w:rFonts w:hint="eastAsia"/>
          <w:color w:val="auto"/>
          <w:szCs w:val="21"/>
          <w:highlight w:val="none"/>
          <w:lang w:eastAsia="zh-CN"/>
        </w:rPr>
        <w:t>%的供应商进行约谈整改，合格率低于</w:t>
      </w:r>
      <w:r>
        <w:rPr>
          <w:rFonts w:hint="eastAsia"/>
          <w:color w:val="auto"/>
          <w:szCs w:val="21"/>
          <w:highlight w:val="none"/>
          <w:lang w:val="en-US" w:eastAsia="zh-CN"/>
        </w:rPr>
        <w:t>70</w:t>
      </w:r>
      <w:r>
        <w:rPr>
          <w:rFonts w:hint="eastAsia"/>
          <w:color w:val="auto"/>
          <w:szCs w:val="21"/>
          <w:highlight w:val="none"/>
          <w:lang w:eastAsia="zh-CN"/>
        </w:rPr>
        <w:t>%的供应商暂停供货一个月，合格率低于</w:t>
      </w:r>
      <w:r>
        <w:rPr>
          <w:rFonts w:hint="eastAsia"/>
          <w:color w:val="auto"/>
          <w:szCs w:val="21"/>
          <w:highlight w:val="none"/>
          <w:lang w:val="en-US" w:eastAsia="zh-CN"/>
        </w:rPr>
        <w:t>6</w:t>
      </w:r>
      <w:r>
        <w:rPr>
          <w:rFonts w:hint="eastAsia"/>
          <w:color w:val="auto"/>
          <w:szCs w:val="21"/>
          <w:highlight w:val="none"/>
          <w:lang w:eastAsia="zh-CN"/>
        </w:rPr>
        <w:t>0%的</w:t>
      </w:r>
      <w:r>
        <w:rPr>
          <w:rFonts w:hint="eastAsia"/>
          <w:color w:val="auto"/>
          <w:szCs w:val="21"/>
          <w:highlight w:val="none"/>
          <w:lang w:val="en-US" w:eastAsia="zh-CN"/>
        </w:rPr>
        <w:t>供应商</w:t>
      </w:r>
      <w:r>
        <w:rPr>
          <w:rFonts w:hint="eastAsia"/>
          <w:color w:val="auto"/>
          <w:szCs w:val="21"/>
          <w:highlight w:val="none"/>
          <w:lang w:eastAsia="zh-CN"/>
        </w:rPr>
        <w:t>终止其供货合同。</w:t>
      </w:r>
    </w:p>
    <w:p w14:paraId="355A138A">
      <w:pPr>
        <w:spacing w:line="360" w:lineRule="auto"/>
        <w:ind w:firstLine="420" w:firstLineChars="200"/>
        <w:jc w:val="both"/>
        <w:outlineLvl w:val="9"/>
        <w:rPr>
          <w:rFonts w:hint="eastAsia"/>
          <w:color w:val="auto"/>
          <w:highlight w:val="none"/>
        </w:rPr>
      </w:pPr>
      <w:r>
        <w:rPr>
          <w:rFonts w:hint="eastAsia"/>
          <w:color w:val="auto"/>
          <w:szCs w:val="21"/>
          <w:highlight w:val="none"/>
          <w:lang w:val="en-US" w:eastAsia="zh-CN"/>
        </w:rPr>
        <w:t>3、退出机制：供应商在国务院互联网+督查平台被投诉举报（核查属实）1次的终止其供货合同；供应商在12345政务服务便民热线平台被投诉举报（核查属实）1次的进行约谈整改，2次停止供货一个月；3次的终止其供货合同；供应商被学校师生投诉举报（核查属实）1次的进行提醒教育，2次的进行约谈，3次的停止供货一个月，4次的终止供货合同。</w:t>
      </w:r>
      <w:r>
        <w:rPr>
          <w:rFonts w:hint="eastAsia"/>
          <w:color w:val="auto"/>
          <w:szCs w:val="21"/>
          <w:highlight w:val="none"/>
          <w:lang w:eastAsia="zh-CN"/>
        </w:rPr>
        <w:t>供应商所供食材质量必须达到</w:t>
      </w:r>
      <w:r>
        <w:rPr>
          <w:rFonts w:hint="eastAsia"/>
          <w:color w:val="auto"/>
          <w:szCs w:val="21"/>
          <w:highlight w:val="none"/>
          <w:lang w:val="en-US" w:eastAsia="zh-CN"/>
        </w:rPr>
        <w:t>100%合格，否则终止供货合同。一经终止供货合同，则由</w:t>
      </w:r>
      <w:r>
        <w:rPr>
          <w:rFonts w:hint="eastAsia"/>
          <w:color w:val="auto"/>
          <w:szCs w:val="21"/>
          <w:highlight w:val="none"/>
          <w:lang w:eastAsia="zh-CN"/>
        </w:rPr>
        <w:t>第二</w:t>
      </w:r>
      <w:r>
        <w:rPr>
          <w:rFonts w:hint="eastAsia"/>
          <w:color w:val="auto"/>
          <w:szCs w:val="21"/>
          <w:highlight w:val="none"/>
        </w:rPr>
        <w:t>中标候选人递补</w:t>
      </w:r>
      <w:r>
        <w:rPr>
          <w:rFonts w:hint="eastAsia"/>
          <w:color w:val="auto"/>
          <w:szCs w:val="21"/>
          <w:highlight w:val="none"/>
          <w:lang w:eastAsia="zh-CN"/>
        </w:rPr>
        <w:t>，以此类推。</w:t>
      </w:r>
    </w:p>
    <w:p w14:paraId="0B2B4A09">
      <w:pPr>
        <w:spacing w:line="428" w:lineRule="exact"/>
        <w:ind w:left="119"/>
        <w:rPr>
          <w:rFonts w:hint="eastAsia" w:ascii="宋体" w:hAnsi="宋体" w:eastAsia="宋体" w:cs="宋体"/>
          <w:color w:val="auto"/>
          <w:sz w:val="32"/>
          <w:szCs w:val="32"/>
          <w:highlight w:val="none"/>
        </w:rPr>
      </w:pPr>
      <w:r>
        <w:rPr>
          <w:rFonts w:hint="eastAsia"/>
          <w:color w:val="auto"/>
          <w:highlight w:val="none"/>
        </w:rPr>
        <w:br w:type="page"/>
      </w:r>
      <w:r>
        <w:rPr>
          <w:rFonts w:ascii="Times New Roman" w:hAnsi="宋体" w:eastAsia="宋体" w:cs="Times New Roman"/>
          <w:color w:val="auto"/>
          <w:highlight w:val="none"/>
        </w:rPr>
        <w:t xml:space="preserve"> </w:t>
      </w:r>
      <w:r>
        <w:rPr>
          <w:rFonts w:hint="eastAsia" w:ascii="宋体" w:hAnsi="宋体" w:eastAsia="宋体" w:cs="宋体"/>
          <w:color w:val="auto"/>
          <w:sz w:val="32"/>
          <w:szCs w:val="32"/>
          <w:highlight w:val="none"/>
        </w:rPr>
        <w:t>附件1：</w:t>
      </w:r>
    </w:p>
    <w:p w14:paraId="01850DC6">
      <w:pPr>
        <w:spacing w:before="7"/>
        <w:rPr>
          <w:rFonts w:hint="eastAsia" w:ascii="宋体" w:hAnsi="宋体" w:eastAsia="宋体" w:cs="宋体"/>
          <w:color w:val="auto"/>
          <w:sz w:val="17"/>
          <w:szCs w:val="17"/>
          <w:highlight w:val="none"/>
        </w:rPr>
      </w:pPr>
    </w:p>
    <w:p w14:paraId="04DF9218">
      <w:pPr>
        <w:pStyle w:val="17"/>
        <w:jc w:val="left"/>
        <w:rPr>
          <w:rFonts w:hint="eastAsia" w:ascii="宋体" w:hAnsi="宋体" w:eastAsia="宋体" w:cs="宋体"/>
          <w:color w:val="auto"/>
          <w:sz w:val="32"/>
          <w:szCs w:val="32"/>
          <w:highlight w:val="none"/>
        </w:rPr>
      </w:pPr>
    </w:p>
    <w:p w14:paraId="5F552198">
      <w:pPr>
        <w:widowControl/>
        <w:spacing w:before="156" w:beforeLines="50" w:after="156" w:afterLines="50" w:line="280" w:lineRule="exact"/>
        <w:jc w:val="center"/>
        <w:rPr>
          <w:rFonts w:ascii="宋体" w:hAnsi="宋体" w:cs="宋体"/>
          <w:b/>
          <w:bCs/>
          <w:color w:val="auto"/>
          <w:kern w:val="0"/>
          <w:sz w:val="30"/>
          <w:szCs w:val="30"/>
          <w:highlight w:val="none"/>
        </w:rPr>
      </w:pPr>
      <w:bookmarkStart w:id="62" w:name="_Toc28361_WPSOffice_Level2"/>
      <w:r>
        <w:rPr>
          <w:rFonts w:hint="eastAsia" w:ascii="宋体" w:hAnsi="宋体" w:cs="宋体"/>
          <w:b/>
          <w:bCs/>
          <w:color w:val="auto"/>
          <w:kern w:val="0"/>
          <w:sz w:val="30"/>
          <w:szCs w:val="30"/>
          <w:highlight w:val="none"/>
        </w:rPr>
        <w:t>统计上大中小微型企业划分标准</w:t>
      </w:r>
      <w:bookmarkEnd w:id="62"/>
    </w:p>
    <w:tbl>
      <w:tblPr>
        <w:tblStyle w:val="25"/>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50537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14:paraId="4FCCFF83">
            <w:pPr>
              <w:widowControl/>
              <w:spacing w:line="280" w:lineRule="exact"/>
              <w:jc w:val="center"/>
              <w:rPr>
                <w:rFonts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shd w:val="clear" w:color="auto" w:fill="8DB3E2"/>
            <w:noWrap w:val="0"/>
            <w:vAlign w:val="center"/>
          </w:tcPr>
          <w:p w14:paraId="2F37413C">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shd w:val="clear" w:color="auto" w:fill="8DB3E2"/>
            <w:noWrap w:val="0"/>
            <w:vAlign w:val="center"/>
          </w:tcPr>
          <w:p w14:paraId="699B3B07">
            <w:pPr>
              <w:widowControl/>
              <w:spacing w:line="280" w:lineRule="exact"/>
              <w:jc w:val="center"/>
              <w:rPr>
                <w:rFonts w:hint="eastAsia" w:ascii="宋体" w:hAnsi="宋体" w:eastAsia="宋体" w:cs="宋体"/>
                <w:b/>
                <w:bCs/>
                <w:color w:val="auto"/>
                <w:kern w:val="0"/>
                <w:sz w:val="18"/>
                <w:szCs w:val="18"/>
                <w:highlight w:val="none"/>
                <w:lang w:eastAsia="zh-CN"/>
              </w:rPr>
            </w:pPr>
            <w:r>
              <w:rPr>
                <w:rFonts w:hint="eastAsia" w:ascii="宋体" w:hAnsi="宋体" w:cs="宋体"/>
                <w:b/>
                <w:bCs/>
                <w:color w:val="auto"/>
                <w:kern w:val="0"/>
                <w:sz w:val="18"/>
                <w:szCs w:val="18"/>
                <w:highlight w:val="none"/>
              </w:rPr>
              <w:t>计量</w:t>
            </w:r>
          </w:p>
          <w:p w14:paraId="4C8F810C">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单位</w:t>
            </w:r>
          </w:p>
        </w:tc>
        <w:tc>
          <w:tcPr>
            <w:tcW w:w="1125" w:type="dxa"/>
            <w:shd w:val="clear" w:color="auto" w:fill="8DB3E2"/>
            <w:noWrap w:val="0"/>
            <w:vAlign w:val="center"/>
          </w:tcPr>
          <w:p w14:paraId="44596A25">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shd w:val="clear" w:color="auto" w:fill="8DB3E2"/>
            <w:noWrap w:val="0"/>
            <w:vAlign w:val="center"/>
          </w:tcPr>
          <w:p w14:paraId="38AFD445">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shd w:val="clear" w:color="auto" w:fill="8DB3E2"/>
            <w:noWrap w:val="0"/>
            <w:vAlign w:val="center"/>
          </w:tcPr>
          <w:p w14:paraId="7EB4600D">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shd w:val="clear" w:color="auto" w:fill="8DB3E2"/>
            <w:noWrap w:val="0"/>
            <w:vAlign w:val="center"/>
          </w:tcPr>
          <w:p w14:paraId="2E287F1A">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6BCA0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466852A7">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noWrap w:val="0"/>
            <w:vAlign w:val="center"/>
          </w:tcPr>
          <w:p w14:paraId="43D399B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053EAF0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7459BB5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noWrap w:val="0"/>
            <w:vAlign w:val="center"/>
          </w:tcPr>
          <w:p w14:paraId="272E441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noWrap w:val="0"/>
            <w:vAlign w:val="center"/>
          </w:tcPr>
          <w:p w14:paraId="4AC7EFB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92" w:type="dxa"/>
            <w:noWrap w:val="0"/>
            <w:vAlign w:val="center"/>
          </w:tcPr>
          <w:p w14:paraId="365E285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5435D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79383AE">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369" w:type="dxa"/>
            <w:noWrap w:val="0"/>
            <w:vAlign w:val="center"/>
          </w:tcPr>
          <w:p w14:paraId="624BE3A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7F4EB3D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6019BBB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2BEB938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549FA82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14:paraId="7868AA1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6C96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04564B9">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639E5C3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16A9717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694F800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noWrap w:val="0"/>
            <w:vAlign w:val="center"/>
          </w:tcPr>
          <w:p w14:paraId="2C585AC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noWrap w:val="0"/>
            <w:vAlign w:val="center"/>
          </w:tcPr>
          <w:p w14:paraId="7AAE5F6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92" w:type="dxa"/>
            <w:noWrap w:val="0"/>
            <w:vAlign w:val="center"/>
          </w:tcPr>
          <w:p w14:paraId="6301727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0D21F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5CA2C9B">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noWrap w:val="0"/>
            <w:vAlign w:val="center"/>
          </w:tcPr>
          <w:p w14:paraId="165C182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42D9BF8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42B3D6B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noWrap w:val="0"/>
            <w:vAlign w:val="center"/>
          </w:tcPr>
          <w:p w14:paraId="70A4B5F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noWrap w:val="0"/>
            <w:vAlign w:val="center"/>
          </w:tcPr>
          <w:p w14:paraId="4190F9B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92" w:type="dxa"/>
            <w:noWrap w:val="0"/>
            <w:vAlign w:val="center"/>
          </w:tcPr>
          <w:p w14:paraId="3093270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6B2FD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0B3ADC8">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28007DA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14:paraId="376BBE8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9721D1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noWrap w:val="0"/>
            <w:vAlign w:val="center"/>
          </w:tcPr>
          <w:p w14:paraId="5B89677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noWrap w:val="0"/>
            <w:vAlign w:val="center"/>
          </w:tcPr>
          <w:p w14:paraId="0EF5AC6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92" w:type="dxa"/>
            <w:noWrap w:val="0"/>
            <w:vAlign w:val="center"/>
          </w:tcPr>
          <w:p w14:paraId="3B7F1E7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5ADA7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BBDB7EB">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noWrap w:val="0"/>
            <w:vAlign w:val="center"/>
          </w:tcPr>
          <w:p w14:paraId="33EA77A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54770BB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4603CD0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noWrap w:val="0"/>
            <w:vAlign w:val="center"/>
          </w:tcPr>
          <w:p w14:paraId="3AE46B6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noWrap w:val="0"/>
            <w:vAlign w:val="center"/>
          </w:tcPr>
          <w:p w14:paraId="591EA1F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92" w:type="dxa"/>
            <w:noWrap w:val="0"/>
            <w:vAlign w:val="center"/>
          </w:tcPr>
          <w:p w14:paraId="00AF339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0B667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ABD97DB">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500ED6D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7F3EE4A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6E4B690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noWrap w:val="0"/>
            <w:vAlign w:val="center"/>
          </w:tcPr>
          <w:p w14:paraId="34CE28A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noWrap w:val="0"/>
            <w:vAlign w:val="center"/>
          </w:tcPr>
          <w:p w14:paraId="58BDBB00">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noWrap w:val="0"/>
            <w:vAlign w:val="center"/>
          </w:tcPr>
          <w:p w14:paraId="1BF06FC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6A6F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A740867">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noWrap w:val="0"/>
            <w:vAlign w:val="center"/>
          </w:tcPr>
          <w:p w14:paraId="21CDC31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23B2471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44E24A7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5EDFB39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noWrap w:val="0"/>
            <w:vAlign w:val="center"/>
          </w:tcPr>
          <w:p w14:paraId="38770B32">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noWrap w:val="0"/>
            <w:vAlign w:val="center"/>
          </w:tcPr>
          <w:p w14:paraId="3503720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4A3D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B0183B1">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4CB86A1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245F3F5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5F25D7E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noWrap w:val="0"/>
            <w:vAlign w:val="center"/>
          </w:tcPr>
          <w:p w14:paraId="56AD30F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noWrap w:val="0"/>
            <w:vAlign w:val="center"/>
          </w:tcPr>
          <w:p w14:paraId="638ED4D2">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92" w:type="dxa"/>
            <w:noWrap w:val="0"/>
            <w:vAlign w:val="center"/>
          </w:tcPr>
          <w:p w14:paraId="222F9CB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65DD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AE7A263">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369" w:type="dxa"/>
            <w:noWrap w:val="0"/>
            <w:vAlign w:val="center"/>
          </w:tcPr>
          <w:p w14:paraId="4BB94A5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565F3B5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5AB8E5C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7603204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25CB37E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14:paraId="7EB19C4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758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DCCAEA8">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7484DEF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0CC8BC1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7822D5A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41B13F4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noWrap w:val="0"/>
            <w:vAlign w:val="center"/>
          </w:tcPr>
          <w:p w14:paraId="76520EF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92" w:type="dxa"/>
            <w:noWrap w:val="0"/>
            <w:vAlign w:val="center"/>
          </w:tcPr>
          <w:p w14:paraId="49D54BE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367C0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C44305D">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69" w:type="dxa"/>
            <w:noWrap w:val="0"/>
            <w:vAlign w:val="center"/>
          </w:tcPr>
          <w:p w14:paraId="79D4AB6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7F8D791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4A5D6DB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noWrap w:val="0"/>
            <w:vAlign w:val="center"/>
          </w:tcPr>
          <w:p w14:paraId="516479B9">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noWrap w:val="0"/>
            <w:vAlign w:val="center"/>
          </w:tcPr>
          <w:p w14:paraId="7E1CB41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92" w:type="dxa"/>
            <w:noWrap w:val="0"/>
            <w:vAlign w:val="center"/>
          </w:tcPr>
          <w:p w14:paraId="212FC90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BF58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02F8892">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0DEF0B2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406D8A7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1E46142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16D8F72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noWrap w:val="0"/>
            <w:vAlign w:val="center"/>
          </w:tcPr>
          <w:p w14:paraId="5F52A02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14:paraId="707FE00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BE41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DE62465">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noWrap w:val="0"/>
            <w:vAlign w:val="center"/>
          </w:tcPr>
          <w:p w14:paraId="1031877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532C761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1BAE7EE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0BE274F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3D16A32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14:paraId="33EB07F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419D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42AEA01">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14F800C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215EF61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66010F2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0091010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noWrap w:val="0"/>
            <w:vAlign w:val="center"/>
          </w:tcPr>
          <w:p w14:paraId="2C22924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14:paraId="19C7966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F690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1566A13">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noWrap w:val="0"/>
            <w:vAlign w:val="center"/>
          </w:tcPr>
          <w:p w14:paraId="0A90B63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491D330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3202D1E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7E91B77D">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14:paraId="436A4C7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1EBC58D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CAE1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73087B7">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54BFC6A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3AC3B8B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62AA9E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2F27229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noWrap w:val="0"/>
            <w:vAlign w:val="center"/>
          </w:tcPr>
          <w:p w14:paraId="0D934E6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14:paraId="384FA47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74A6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4007B2F">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noWrap w:val="0"/>
            <w:vAlign w:val="center"/>
          </w:tcPr>
          <w:p w14:paraId="22E9712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04D16B5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3244492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7AFFC682">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0"/>
            <w:vAlign w:val="center"/>
          </w:tcPr>
          <w:p w14:paraId="16976CC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05816DD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8A5E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34812BC">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74D88E9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6A47D4F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579EBF3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7ACBE10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noWrap w:val="0"/>
            <w:vAlign w:val="center"/>
          </w:tcPr>
          <w:p w14:paraId="524A31B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14:paraId="6C4D3C8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19E6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DCD1AAE">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369" w:type="dxa"/>
            <w:noWrap w:val="0"/>
            <w:vAlign w:val="center"/>
          </w:tcPr>
          <w:p w14:paraId="7F49119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6E8B6BF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3EE7B7E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noWrap w:val="0"/>
            <w:vAlign w:val="center"/>
          </w:tcPr>
          <w:p w14:paraId="3F85F93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noWrap w:val="0"/>
            <w:vAlign w:val="center"/>
          </w:tcPr>
          <w:p w14:paraId="0ADCB2C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7731DE7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099E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E3DF96E">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39160CC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4C16875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299EC77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noWrap w:val="0"/>
            <w:vAlign w:val="center"/>
          </w:tcPr>
          <w:p w14:paraId="702A13E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426" w:type="dxa"/>
            <w:noWrap w:val="0"/>
            <w:vAlign w:val="center"/>
          </w:tcPr>
          <w:p w14:paraId="02A48D8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14:paraId="57A345D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448F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1E6F4199">
            <w:pPr>
              <w:widowControl/>
              <w:spacing w:line="280" w:lineRule="exact"/>
              <w:jc w:val="left"/>
              <w:rPr>
                <w:rFonts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69" w:type="dxa"/>
            <w:noWrap w:val="0"/>
            <w:vAlign w:val="center"/>
          </w:tcPr>
          <w:p w14:paraId="40977BB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0B52E7D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4F72CB3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4BAD777E">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0"/>
            <w:vAlign w:val="center"/>
          </w:tcPr>
          <w:p w14:paraId="072D408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748B3F3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56BC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476857B0">
            <w:pPr>
              <w:widowControl/>
              <w:spacing w:line="280" w:lineRule="exact"/>
              <w:jc w:val="left"/>
              <w:rPr>
                <w:rFonts w:ascii="宋体" w:hAnsi="宋体" w:cs="宋体"/>
                <w:color w:val="auto"/>
                <w:spacing w:val="-12"/>
                <w:kern w:val="0"/>
                <w:sz w:val="18"/>
                <w:szCs w:val="18"/>
                <w:highlight w:val="none"/>
              </w:rPr>
            </w:pPr>
          </w:p>
        </w:tc>
        <w:tc>
          <w:tcPr>
            <w:tcW w:w="1369" w:type="dxa"/>
            <w:noWrap w:val="0"/>
            <w:vAlign w:val="center"/>
          </w:tcPr>
          <w:p w14:paraId="622C4E7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5E742D4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F7C923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3AC84C7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noWrap w:val="0"/>
            <w:vAlign w:val="center"/>
          </w:tcPr>
          <w:p w14:paraId="23BF2FA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92" w:type="dxa"/>
            <w:noWrap w:val="0"/>
            <w:vAlign w:val="center"/>
          </w:tcPr>
          <w:p w14:paraId="0D9725D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79602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19A7EBB2">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noWrap w:val="0"/>
            <w:vAlign w:val="center"/>
          </w:tcPr>
          <w:p w14:paraId="47911EA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6A6A357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06B0D7B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noWrap w:val="0"/>
            <w:vAlign w:val="center"/>
          </w:tcPr>
          <w:p w14:paraId="731176E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426" w:type="dxa"/>
            <w:noWrap w:val="0"/>
            <w:vAlign w:val="center"/>
          </w:tcPr>
          <w:p w14:paraId="77EAB2A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14:paraId="26D0C42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8941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17F78D0B">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321E8EA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14:paraId="1A84428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649C0C2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noWrap w:val="0"/>
            <w:vAlign w:val="center"/>
          </w:tcPr>
          <w:p w14:paraId="49B4065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noWrap w:val="0"/>
            <w:vAlign w:val="center"/>
          </w:tcPr>
          <w:p w14:paraId="69C0319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2000≤Z＜5000</w:t>
            </w:r>
          </w:p>
        </w:tc>
        <w:tc>
          <w:tcPr>
            <w:tcW w:w="992" w:type="dxa"/>
            <w:noWrap w:val="0"/>
            <w:vAlign w:val="center"/>
          </w:tcPr>
          <w:p w14:paraId="63BDD0B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14:paraId="582F5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7721F642">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noWrap w:val="0"/>
            <w:vAlign w:val="center"/>
          </w:tcPr>
          <w:p w14:paraId="41F074C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5E1264B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2F2ECB9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0CAD2DE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515529E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92" w:type="dxa"/>
            <w:noWrap w:val="0"/>
            <w:vAlign w:val="center"/>
          </w:tcPr>
          <w:p w14:paraId="70EE45E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2A445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46C6F8E9">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4AF2EEC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4B92683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51493A7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noWrap w:val="0"/>
            <w:vAlign w:val="center"/>
          </w:tcPr>
          <w:p w14:paraId="6436404F">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26" w:type="dxa"/>
            <w:noWrap w:val="0"/>
            <w:vAlign w:val="center"/>
          </w:tcPr>
          <w:p w14:paraId="0666117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92" w:type="dxa"/>
            <w:noWrap w:val="0"/>
            <w:vAlign w:val="center"/>
          </w:tcPr>
          <w:p w14:paraId="1A4D5E7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2360C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598C076F">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noWrap w:val="0"/>
            <w:vAlign w:val="center"/>
          </w:tcPr>
          <w:p w14:paraId="2D5EB1C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1211993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0B46C86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5FB50D21">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14:paraId="43B00CB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7ED0A95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61A2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502740D1">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7FFBE3E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14:paraId="7C85978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7B45946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noWrap w:val="0"/>
            <w:vAlign w:val="center"/>
          </w:tcPr>
          <w:p w14:paraId="625CF38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426" w:type="dxa"/>
            <w:noWrap w:val="0"/>
            <w:vAlign w:val="center"/>
          </w:tcPr>
          <w:p w14:paraId="51718C3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92" w:type="dxa"/>
            <w:noWrap w:val="0"/>
            <w:vAlign w:val="center"/>
          </w:tcPr>
          <w:p w14:paraId="35FF832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14:paraId="68901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45F1AEF5">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369" w:type="dxa"/>
            <w:noWrap w:val="0"/>
            <w:vAlign w:val="center"/>
          </w:tcPr>
          <w:p w14:paraId="17145BF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69F40CD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625E159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52D544DD">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14:paraId="66765E2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3C3195F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65F46292">
      <w:pPr>
        <w:widowControl/>
        <w:spacing w:line="280" w:lineRule="exact"/>
        <w:rPr>
          <w:rFonts w:ascii="宋体" w:hAnsi="宋体" w:cs="宋体"/>
          <w:color w:val="auto"/>
          <w:spacing w:val="8"/>
          <w:kern w:val="0"/>
          <w:sz w:val="24"/>
          <w:highlight w:val="none"/>
        </w:rPr>
      </w:pPr>
    </w:p>
    <w:p w14:paraId="76A29A2C">
      <w:pPr>
        <w:widowControl/>
        <w:spacing w:line="360" w:lineRule="auto"/>
        <w:rPr>
          <w:rFonts w:hint="eastAsia" w:ascii="宋体" w:hAnsi="宋体" w:cs="宋体"/>
          <w:color w:val="auto"/>
          <w:spacing w:val="8"/>
          <w:kern w:val="0"/>
          <w:szCs w:val="21"/>
          <w:highlight w:val="none"/>
        </w:rPr>
      </w:pPr>
    </w:p>
    <w:p w14:paraId="0AD190BA">
      <w:pPr>
        <w:widowControl/>
        <w:spacing w:line="360" w:lineRule="auto"/>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说明：</w:t>
      </w:r>
    </w:p>
    <w:p w14:paraId="790C3134">
      <w:pPr>
        <w:pStyle w:val="17"/>
        <w:adjustRightInd w:val="0"/>
        <w:spacing w:line="360" w:lineRule="auto"/>
        <w:ind w:firstLine="452" w:firstLineChars="200"/>
        <w:contextualSpacing/>
        <w:rPr>
          <w:rFonts w:hAnsi="宋体" w:cs="宋体"/>
          <w:color w:val="auto"/>
          <w:spacing w:val="8"/>
          <w:kern w:val="0"/>
          <w:szCs w:val="21"/>
          <w:highlight w:val="none"/>
        </w:rPr>
      </w:pPr>
      <w:r>
        <w:rPr>
          <w:rFonts w:hint="eastAsia" w:hAnsi="宋体" w:cs="宋体"/>
          <w:color w:val="auto"/>
          <w:spacing w:val="8"/>
          <w:kern w:val="0"/>
          <w:szCs w:val="21"/>
          <w:highlight w:val="none"/>
        </w:rPr>
        <w:t>1.大型、中型和小型企业须同时满足所列指标的下限，否则下划一档；微型企业只须满足所列指标中的一项即可。</w:t>
      </w:r>
    </w:p>
    <w:p w14:paraId="0E01322E">
      <w:pPr>
        <w:pStyle w:val="17"/>
        <w:adjustRightInd w:val="0"/>
        <w:spacing w:line="360" w:lineRule="auto"/>
        <w:ind w:firstLine="452" w:firstLineChars="200"/>
        <w:contextualSpacing/>
        <w:rPr>
          <w:rFonts w:hAnsi="宋体" w:cs="宋体"/>
          <w:color w:val="auto"/>
          <w:spacing w:val="8"/>
          <w:kern w:val="0"/>
          <w:szCs w:val="21"/>
          <w:highlight w:val="none"/>
        </w:rPr>
      </w:pPr>
      <w:r>
        <w:rPr>
          <w:rFonts w:hint="eastAsia" w:hAnsi="宋体" w:cs="宋体"/>
          <w:color w:val="auto"/>
          <w:spacing w:val="8"/>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hAnsi="宋体" w:cs="宋体"/>
          <w:color w:val="auto"/>
          <w:spacing w:val="8"/>
          <w:kern w:val="0"/>
          <w:szCs w:val="21"/>
          <w:highlight w:val="none"/>
          <w:lang w:eastAsia="zh-CN"/>
        </w:rPr>
        <w:t>；</w:t>
      </w:r>
      <w:r>
        <w:rPr>
          <w:rFonts w:hint="eastAsia" w:hAnsi="宋体" w:cs="宋体"/>
          <w:color w:val="auto"/>
          <w:spacing w:val="8"/>
          <w:kern w:val="0"/>
          <w:szCs w:val="21"/>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E2DDC4B">
      <w:pPr>
        <w:pStyle w:val="17"/>
        <w:spacing w:line="360" w:lineRule="auto"/>
        <w:ind w:firstLine="452" w:firstLineChars="200"/>
        <w:rPr>
          <w:rFonts w:hAnsi="宋体" w:cs="宋体"/>
          <w:color w:val="auto"/>
          <w:spacing w:val="8"/>
          <w:kern w:val="0"/>
          <w:sz w:val="24"/>
          <w:szCs w:val="24"/>
          <w:highlight w:val="none"/>
        </w:rPr>
      </w:pPr>
      <w:r>
        <w:rPr>
          <w:rFonts w:hint="eastAsia" w:hAnsi="宋体" w:cs="宋体"/>
          <w:color w:val="auto"/>
          <w:spacing w:val="8"/>
          <w:ker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FFC5C17">
      <w:pPr>
        <w:jc w:val="left"/>
        <w:outlineLvl w:val="9"/>
        <w:rPr>
          <w:rFonts w:hint="default" w:ascii="Times New Roman" w:hAnsi="Times New Roman" w:eastAsia="宋体" w:cs="Times New Roman"/>
          <w:b w:val="0"/>
          <w:color w:val="auto"/>
          <w:sz w:val="21"/>
          <w:highlight w:val="none"/>
        </w:rPr>
      </w:pPr>
      <w:bookmarkStart w:id="63" w:name="_Toc8975"/>
      <w:bookmarkStart w:id="64" w:name="_Toc6362"/>
      <w:bookmarkStart w:id="65" w:name="_Toc9063"/>
      <w:bookmarkStart w:id="66" w:name="_Toc29172"/>
      <w:bookmarkStart w:id="67" w:name="_Toc496"/>
      <w:bookmarkStart w:id="68" w:name="_Toc24489"/>
      <w:bookmarkStart w:id="69" w:name="_Toc28587"/>
      <w:bookmarkStart w:id="70" w:name="_Toc3325"/>
      <w:bookmarkStart w:id="71" w:name="_Toc26039"/>
      <w:bookmarkStart w:id="72" w:name="_Toc532545044"/>
      <w:r>
        <w:rPr>
          <w:rFonts w:hint="default" w:ascii="Times New Roman" w:hAnsi="Times New Roman" w:eastAsia="宋体" w:cs="Times New Roman"/>
          <w:b w:val="0"/>
          <w:color w:val="auto"/>
          <w:sz w:val="21"/>
          <w:highlight w:val="none"/>
        </w:rPr>
        <w:br w:type="page"/>
      </w:r>
    </w:p>
    <w:p w14:paraId="12CCE59D">
      <w:pPr>
        <w:pStyle w:val="17"/>
        <w:jc w:val="center"/>
        <w:outlineLvl w:val="0"/>
        <w:rPr>
          <w:rFonts w:hint="eastAsia" w:hAnsi="宋体" w:eastAsia="宋体" w:cs="Times New Roman"/>
          <w:b/>
          <w:color w:val="auto"/>
          <w:sz w:val="36"/>
          <w:szCs w:val="36"/>
          <w:highlight w:val="none"/>
        </w:rPr>
      </w:pPr>
      <w:bookmarkStart w:id="73" w:name="_Toc20085"/>
      <w:bookmarkStart w:id="74" w:name="_Toc26044"/>
      <w:bookmarkStart w:id="75" w:name="_Toc20953"/>
      <w:bookmarkStart w:id="76" w:name="_Toc15364"/>
      <w:r>
        <w:rPr>
          <w:rFonts w:hint="eastAsia" w:ascii="Times New Roman" w:hAnsi="Times New Roman" w:eastAsia="宋体" w:cs="Times New Roman"/>
          <w:b/>
          <w:color w:val="auto"/>
          <w:sz w:val="36"/>
          <w:highlight w:val="none"/>
        </w:rPr>
        <w:t>第三章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投标人须知</w:t>
      </w:r>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5C11F3A4">
      <w:pPr>
        <w:pStyle w:val="17"/>
        <w:spacing w:line="720" w:lineRule="auto"/>
        <w:jc w:val="center"/>
        <w:outlineLvl w:val="1"/>
        <w:rPr>
          <w:rFonts w:hint="eastAsia" w:ascii="Times New Roman" w:hAnsi="Times New Roman" w:eastAsia="宋体" w:cs="Times New Roman"/>
          <w:b/>
          <w:color w:val="auto"/>
          <w:sz w:val="30"/>
          <w:szCs w:val="30"/>
          <w:highlight w:val="none"/>
        </w:rPr>
      </w:pPr>
      <w:bookmarkStart w:id="77" w:name="_Toc24714"/>
      <w:bookmarkStart w:id="78" w:name="_Toc16388"/>
      <w:bookmarkStart w:id="79" w:name="_Toc10039"/>
      <w:bookmarkStart w:id="80" w:name="_Toc32208"/>
      <w:bookmarkStart w:id="81" w:name="_Toc1597"/>
      <w:bookmarkStart w:id="82" w:name="_Toc29809"/>
      <w:bookmarkStart w:id="83" w:name="_Toc8769"/>
      <w:bookmarkStart w:id="84" w:name="_Toc29813"/>
      <w:bookmarkStart w:id="85" w:name="_Toc4562"/>
      <w:bookmarkStart w:id="86" w:name="_Toc11515"/>
      <w:r>
        <w:rPr>
          <w:rFonts w:hint="eastAsia" w:ascii="Times New Roman" w:hAnsi="Times New Roman" w:eastAsia="宋体" w:cs="Times New Roman"/>
          <w:b/>
          <w:color w:val="auto"/>
          <w:sz w:val="30"/>
          <w:szCs w:val="30"/>
          <w:highlight w:val="none"/>
        </w:rPr>
        <w:t>第一节</w:t>
      </w:r>
      <w:r>
        <w:rPr>
          <w:rFonts w:ascii="Times New Roman" w:hAnsi="Times New Roman" w:eastAsia="宋体" w:cs="Times New Roman"/>
          <w:b/>
          <w:color w:val="auto"/>
          <w:sz w:val="30"/>
          <w:szCs w:val="30"/>
          <w:highlight w:val="none"/>
        </w:rPr>
        <w:t xml:space="preserve"> </w:t>
      </w:r>
      <w:r>
        <w:rPr>
          <w:rFonts w:hint="eastAsia" w:ascii="Times New Roman" w:hAnsi="Times New Roman" w:eastAsia="宋体" w:cs="Times New Roman"/>
          <w:b/>
          <w:color w:val="auto"/>
          <w:sz w:val="30"/>
          <w:szCs w:val="30"/>
          <w:highlight w:val="none"/>
        </w:rPr>
        <w:t>投标人须知前附表</w:t>
      </w:r>
      <w:bookmarkEnd w:id="77"/>
      <w:bookmarkEnd w:id="78"/>
      <w:bookmarkEnd w:id="79"/>
      <w:bookmarkEnd w:id="80"/>
      <w:bookmarkEnd w:id="81"/>
      <w:bookmarkEnd w:id="82"/>
      <w:bookmarkEnd w:id="83"/>
      <w:bookmarkEnd w:id="84"/>
      <w:bookmarkEnd w:id="85"/>
      <w:bookmarkEnd w:id="86"/>
    </w:p>
    <w:tbl>
      <w:tblPr>
        <w:tblStyle w:val="25"/>
        <w:tblW w:w="102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7"/>
        <w:gridCol w:w="2010"/>
        <w:gridCol w:w="7203"/>
      </w:tblGrid>
      <w:tr w14:paraId="0990D7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11251BFA">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3E5C108E">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项目内容</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6A17A795">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编列内容</w:t>
            </w:r>
          </w:p>
        </w:tc>
      </w:tr>
      <w:tr w14:paraId="348AEE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5E993B71">
            <w:pPr>
              <w:spacing w:line="380" w:lineRule="exac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2B9C5B1F">
            <w:pPr>
              <w:spacing w:line="380" w:lineRule="exact"/>
              <w:rPr>
                <w:rFonts w:hint="eastAsia" w:ascii="宋体" w:hAnsi="宋体" w:eastAsia="宋体" w:cs="宋体"/>
                <w:color w:val="auto"/>
                <w:sz w:val="21"/>
                <w:szCs w:val="21"/>
                <w:highlight w:val="none"/>
              </w:rPr>
            </w:pPr>
            <w:r>
              <w:rPr>
                <w:rFonts w:hint="eastAsia" w:ascii="宋体" w:hAnsi="宋体" w:cs="宋体"/>
                <w:color w:val="auto"/>
                <w:szCs w:val="21"/>
                <w:highlight w:val="none"/>
              </w:rPr>
              <w:t>投标人的资格要求</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384A4F28">
            <w:pPr>
              <w:pStyle w:val="11"/>
              <w:spacing w:line="380" w:lineRule="exact"/>
              <w:rPr>
                <w:rFonts w:hint="eastAsia" w:ascii="宋体" w:hAnsi="宋体" w:eastAsia="宋体" w:cs="宋体"/>
                <w:color w:val="auto"/>
                <w:sz w:val="21"/>
                <w:szCs w:val="21"/>
                <w:highlight w:val="none"/>
                <w:lang w:eastAsia="zh-CN"/>
              </w:rPr>
            </w:pPr>
            <w:r>
              <w:rPr>
                <w:rFonts w:hint="eastAsia" w:ascii="宋体" w:hAnsi="宋体" w:cs="宋体"/>
                <w:color w:val="auto"/>
                <w:szCs w:val="21"/>
                <w:highlight w:val="none"/>
              </w:rPr>
              <w:t>详见招标公告。</w:t>
            </w:r>
          </w:p>
        </w:tc>
      </w:tr>
      <w:tr w14:paraId="436262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74CE1FAC">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32A47F31">
            <w:pPr>
              <w:spacing w:line="380" w:lineRule="exact"/>
              <w:rPr>
                <w:rFonts w:hint="eastAsia" w:ascii="宋体" w:hAnsi="宋体" w:eastAsia="宋体" w:cs="宋体"/>
                <w:color w:val="auto"/>
                <w:sz w:val="21"/>
                <w:szCs w:val="21"/>
                <w:highlight w:val="none"/>
              </w:rPr>
            </w:pPr>
            <w:bookmarkStart w:id="87" w:name="_5"/>
            <w:bookmarkEnd w:id="87"/>
            <w:bookmarkStart w:id="88" w:name="_8.1"/>
            <w:bookmarkEnd w:id="88"/>
            <w:bookmarkStart w:id="89" w:name="_9.2"/>
            <w:bookmarkEnd w:id="89"/>
            <w:r>
              <w:rPr>
                <w:rFonts w:hint="eastAsia" w:ascii="宋体" w:hAnsi="宋体" w:eastAsia="宋体" w:cs="宋体"/>
                <w:color w:val="auto"/>
                <w:sz w:val="21"/>
                <w:szCs w:val="21"/>
                <w:highlight w:val="none"/>
              </w:rPr>
              <w:t>是否接受联合体投标</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56698536">
            <w:pPr>
              <w:pStyle w:val="11"/>
              <w:spacing w:line="380" w:lineRule="exact"/>
              <w:rPr>
                <w:rFonts w:hint="eastAsia" w:ascii="宋体" w:hAnsi="宋体" w:eastAsia="宋体" w:cs="宋体"/>
                <w:color w:val="auto"/>
                <w:sz w:val="21"/>
                <w:szCs w:val="21"/>
                <w:highlight w:val="none"/>
                <w:lang w:eastAsia="zh-CN"/>
              </w:rPr>
            </w:pPr>
            <w:r>
              <w:rPr>
                <w:rFonts w:hint="eastAsia" w:ascii="宋体" w:hAnsi="宋体" w:cs="宋体"/>
                <w:color w:val="auto"/>
                <w:szCs w:val="21"/>
                <w:highlight w:val="none"/>
                <w:lang w:eastAsia="zh-CN"/>
              </w:rPr>
              <w:t>不接受</w:t>
            </w:r>
          </w:p>
        </w:tc>
      </w:tr>
      <w:tr w14:paraId="65F15B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48643C9E">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60D046BE">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联合体投标要求</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40ED7A08">
            <w:pPr>
              <w:pStyle w:val="11"/>
              <w:spacing w:line="380" w:lineRule="exact"/>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szCs w:val="21"/>
                <w:highlight w:val="none"/>
                <w:lang w:val="en-US" w:eastAsia="zh-CN"/>
              </w:rPr>
              <w:t>无。</w:t>
            </w:r>
          </w:p>
        </w:tc>
      </w:tr>
      <w:tr w14:paraId="463220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3DB194C3">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2854821A">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是否允许转包/分包</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41E2332C">
            <w:pPr>
              <w:pStyle w:val="11"/>
              <w:spacing w:line="380" w:lineRule="exact"/>
              <w:rPr>
                <w:rFonts w:hint="eastAsia" w:ascii="宋体" w:hAnsi="宋体" w:eastAsia="宋体" w:cs="宋体"/>
                <w:color w:val="auto"/>
                <w:sz w:val="21"/>
                <w:szCs w:val="21"/>
                <w:highlight w:val="none"/>
              </w:rPr>
            </w:pPr>
            <w:bookmarkStart w:id="90" w:name="PO_3000001866_PM044"/>
            <w:r>
              <w:rPr>
                <w:rFonts w:hint="eastAsia" w:ascii="宋体" w:hAnsi="宋体" w:eastAsia="宋体" w:cs="宋体"/>
                <w:color w:val="auto"/>
                <w:sz w:val="21"/>
                <w:szCs w:val="21"/>
                <w:highlight w:val="none"/>
                <w:lang w:eastAsia="zh-CN"/>
              </w:rPr>
              <w:t>不允许分包</w:t>
            </w:r>
            <w:bookmarkEnd w:id="90"/>
          </w:p>
        </w:tc>
      </w:tr>
      <w:tr w14:paraId="00BC54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6071EF76">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4172CE09">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媒体发布渠道</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25CA49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val="en-US" w:eastAsia="zh-CN"/>
              </w:rPr>
              <w:t>http://www.ccgp.gov.cn/（中国政府采购网）、</w:t>
            </w:r>
            <w:r>
              <w:rPr>
                <w:rFonts w:hint="eastAsia" w:ascii="宋体" w:hAnsi="宋体" w:eastAsia="宋体" w:cs="宋体"/>
                <w:i w:val="0"/>
                <w:caps w:val="0"/>
                <w:color w:val="auto"/>
                <w:spacing w:val="0"/>
                <w:sz w:val="21"/>
                <w:szCs w:val="21"/>
                <w:highlight w:val="none"/>
              </w:rPr>
              <w:t>http://zfcg.gxzf.gov.cn/</w:t>
            </w:r>
            <w:r>
              <w:rPr>
                <w:rFonts w:hint="eastAsia" w:ascii="宋体" w:hAnsi="宋体" w:eastAsia="宋体" w:cs="宋体"/>
                <w:color w:val="auto"/>
                <w:kern w:val="0"/>
                <w:szCs w:val="21"/>
                <w:highlight w:val="none"/>
                <w:lang w:val="en-US" w:eastAsia="zh-CN"/>
              </w:rPr>
              <w:t>(广西政府采购网)</w:t>
            </w:r>
            <w:r>
              <w:rPr>
                <w:rFonts w:hint="eastAsia" w:ascii="宋体" w:hAnsi="宋体" w:cs="宋体"/>
                <w:color w:val="auto"/>
                <w:highlight w:val="none"/>
              </w:rPr>
              <w:t>、http：//zfcg.czj.gxgg.gov.cn/（贵港市政府采购网）、http：//ggzy.jgswj.gxzf.gov.cn/ggggzy/[全国公共资源交易平台（广西·贵港）]。</w:t>
            </w:r>
          </w:p>
        </w:tc>
      </w:tr>
      <w:tr w14:paraId="0DC0E4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4C4C406B">
            <w:pPr>
              <w:spacing w:line="38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11.</w:t>
            </w:r>
            <w:r>
              <w:rPr>
                <w:rFonts w:hint="eastAsia" w:ascii="宋体" w:hAnsi="宋体" w:cs="宋体"/>
                <w:color w:val="auto"/>
                <w:sz w:val="21"/>
                <w:szCs w:val="21"/>
                <w:highlight w:val="none"/>
                <w:lang w:val="en-US" w:eastAsia="zh-CN"/>
              </w:rPr>
              <w:t>5</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5F94CCAD">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是否组织标前答疑会</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37548DED">
            <w:pPr>
              <w:snapToGrid w:val="0"/>
              <w:spacing w:line="38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不组织召开开标前答疑会</w:t>
            </w:r>
          </w:p>
        </w:tc>
      </w:tr>
      <w:tr w14:paraId="2A15D0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7" w:type="dxa"/>
            <w:vMerge w:val="restart"/>
            <w:tcBorders>
              <w:top w:val="nil"/>
              <w:left w:val="single" w:color="auto" w:sz="4" w:space="0"/>
              <w:right w:val="single" w:color="auto" w:sz="4" w:space="0"/>
            </w:tcBorders>
            <w:noWrap w:val="0"/>
            <w:vAlign w:val="center"/>
          </w:tcPr>
          <w:p w14:paraId="038C19C6">
            <w:pPr>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037D6595">
            <w:pPr>
              <w:snapToGrid w:val="0"/>
              <w:spacing w:line="380" w:lineRule="exact"/>
              <w:jc w:val="left"/>
              <w:rPr>
                <w:rFonts w:hint="eastAsia" w:ascii="宋体" w:hAnsi="宋体" w:eastAsia="宋体" w:cs="宋体"/>
                <w:color w:val="auto"/>
                <w:sz w:val="21"/>
                <w:szCs w:val="21"/>
                <w:highlight w:val="none"/>
              </w:rPr>
            </w:pPr>
            <w:bookmarkStart w:id="91" w:name="_13.2"/>
            <w:bookmarkEnd w:id="91"/>
            <w:r>
              <w:rPr>
                <w:rFonts w:hint="eastAsia" w:ascii="宋体" w:hAnsi="宋体" w:eastAsia="宋体" w:cs="宋体"/>
                <w:color w:val="auto"/>
                <w:sz w:val="21"/>
                <w:szCs w:val="21"/>
                <w:highlight w:val="none"/>
              </w:rPr>
              <w:t>资格证明文件组成</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658EBFBB">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有效的营业执照复印件（要求证件有效并清晰反映企业法人和经营范 </w:t>
            </w:r>
          </w:p>
          <w:p w14:paraId="26D41D41">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围）</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65B13B9F">
            <w:pPr>
              <w:snapToGrid w:val="0"/>
              <w:spacing w:line="380" w:lineRule="exact"/>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贵港市政府采购项目</w:t>
            </w:r>
            <w:r>
              <w:rPr>
                <w:rFonts w:hint="eastAsia" w:ascii="宋体" w:hAnsi="宋体" w:cs="宋体"/>
                <w:color w:val="auto"/>
                <w:szCs w:val="21"/>
                <w:highlight w:val="none"/>
                <w:lang w:eastAsia="zh-CN"/>
              </w:rPr>
              <w:t>投</w:t>
            </w:r>
            <w:r>
              <w:rPr>
                <w:rFonts w:hint="eastAsia" w:ascii="宋体" w:hAnsi="宋体" w:cs="宋体"/>
                <w:color w:val="auto"/>
                <w:szCs w:val="21"/>
                <w:highlight w:val="none"/>
              </w:rPr>
              <w:t>标资格承诺函（格式后附）；</w:t>
            </w:r>
            <w:r>
              <w:rPr>
                <w:rFonts w:hint="eastAsia" w:ascii="宋体" w:hAnsi="宋体" w:cs="宋体"/>
                <w:b/>
                <w:bCs/>
                <w:color w:val="auto"/>
                <w:szCs w:val="21"/>
                <w:highlight w:val="none"/>
              </w:rPr>
              <w:t>（</w:t>
            </w:r>
            <w:r>
              <w:rPr>
                <w:rFonts w:hint="eastAsia" w:ascii="宋体" w:hAnsi="宋体" w:cs="宋体"/>
                <w:b/>
                <w:color w:val="auto"/>
                <w:szCs w:val="21"/>
                <w:highlight w:val="none"/>
              </w:rPr>
              <w:t>必须提供，否则作无效投标处理</w:t>
            </w:r>
            <w:r>
              <w:rPr>
                <w:rFonts w:hint="eastAsia" w:ascii="宋体" w:hAnsi="宋体" w:cs="宋体"/>
                <w:b/>
                <w:bCs/>
                <w:color w:val="auto"/>
                <w:szCs w:val="21"/>
                <w:highlight w:val="none"/>
              </w:rPr>
              <w:t>）</w:t>
            </w:r>
          </w:p>
          <w:p w14:paraId="7E5DBDD3">
            <w:pPr>
              <w:numPr>
                <w:ilvl w:val="0"/>
                <w:numId w:val="0"/>
              </w:numPr>
              <w:snapToGrid w:val="0"/>
              <w:spacing w:line="380" w:lineRule="exact"/>
              <w:ind w:left="0" w:firstLine="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声明</w:t>
            </w:r>
            <w:r>
              <w:rPr>
                <w:rFonts w:hint="eastAsia" w:ascii="宋体" w:hAnsi="宋体" w:cs="宋体"/>
                <w:color w:val="auto"/>
                <w:szCs w:val="21"/>
                <w:highlight w:val="none"/>
                <w:lang w:eastAsia="zh-CN"/>
              </w:rPr>
              <w:t>函</w:t>
            </w:r>
            <w:r>
              <w:rPr>
                <w:rFonts w:hint="eastAsia" w:ascii="宋体" w:hAnsi="宋体" w:eastAsia="宋体" w:cs="宋体"/>
                <w:color w:val="auto"/>
                <w:szCs w:val="21"/>
                <w:highlight w:val="none"/>
              </w:rPr>
              <w:t>（格式后附）</w:t>
            </w:r>
            <w:r>
              <w:rPr>
                <w:rFonts w:hint="eastAsia" w:ascii="宋体" w:hAnsi="宋体" w:cs="宋体"/>
                <w:color w:val="auto"/>
                <w:szCs w:val="21"/>
                <w:highlight w:val="none"/>
              </w:rPr>
              <w:t>。（</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4D90564F">
            <w:pPr>
              <w:numPr>
                <w:ilvl w:val="-1"/>
                <w:numId w:val="0"/>
              </w:numPr>
              <w:shd w:val="clear" w:color="auto" w:fill="auto"/>
              <w:wordWrap w:val="0"/>
              <w:snapToGrid/>
              <w:spacing w:line="440" w:lineRule="exact"/>
              <w:jc w:val="left"/>
              <w:rPr>
                <w:rFonts w:hint="eastAsia" w:ascii="宋体" w:hAnsi="宋体" w:cs="宋体"/>
                <w:color w:val="auto"/>
                <w:szCs w:val="21"/>
                <w:highlight w:val="none"/>
                <w:lang w:eastAsia="zh-CN"/>
              </w:rPr>
            </w:pPr>
            <w:r>
              <w:rPr>
                <w:rFonts w:hint="eastAsia" w:ascii="宋体" w:hAnsi="宋体" w:cs="Times New Roman"/>
                <w:color w:val="auto"/>
                <w:szCs w:val="21"/>
                <w:highlight w:val="none"/>
                <w:shd w:val="clear"/>
                <w:lang w:val="en-US" w:eastAsia="zh-CN"/>
              </w:rPr>
              <w:t>4</w:t>
            </w:r>
            <w:r>
              <w:rPr>
                <w:rFonts w:hint="eastAsia" w:ascii="宋体" w:hAnsi="宋体" w:eastAsia="宋体" w:cs="Times New Roman"/>
                <w:color w:val="auto"/>
                <w:szCs w:val="21"/>
                <w:highlight w:val="none"/>
                <w:shd w:val="clear"/>
              </w:rPr>
              <w:t>、</w:t>
            </w:r>
            <w:r>
              <w:rPr>
                <w:rFonts w:hint="eastAsia" w:ascii="宋体" w:hAnsi="宋体" w:eastAsia="宋体" w:cs="宋体"/>
                <w:color w:val="auto"/>
                <w:szCs w:val="21"/>
                <w:highlight w:val="none"/>
                <w:shd w:val="clear"/>
              </w:rPr>
              <w:t>本项</w:t>
            </w:r>
            <w:r>
              <w:rPr>
                <w:rFonts w:hint="eastAsia" w:ascii="宋体" w:hAnsi="宋体" w:cs="宋体"/>
                <w:color w:val="auto"/>
                <w:szCs w:val="21"/>
                <w:highlight w:val="none"/>
              </w:rPr>
              <w:t>目的特定资格要求</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具备有效的《食品经营许可证》或《食品生产许可证》或《仅销售预包装食品经营者备案信息采集表》</w:t>
            </w:r>
            <w:r>
              <w:rPr>
                <w:rFonts w:hint="eastAsia" w:ascii="宋体" w:hAnsi="宋体" w:cs="宋体"/>
                <w:color w:val="auto"/>
                <w:szCs w:val="21"/>
                <w:highlight w:val="none"/>
              </w:rPr>
              <w:t>（提供有效期内的证书复印件）</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分标2除外</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p>
          <w:p w14:paraId="2392E070">
            <w:pPr>
              <w:pStyle w:val="19"/>
              <w:spacing w:line="360" w:lineRule="auto"/>
              <w:rPr>
                <w:rFonts w:hint="eastAsia" w:ascii="宋体" w:hAnsi="宋体" w:eastAsia="宋体" w:cs="宋体"/>
                <w:b/>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5、</w:t>
            </w:r>
            <w:r>
              <w:rPr>
                <w:rFonts w:hint="eastAsia" w:ascii="宋体" w:hAnsi="宋体" w:eastAsia="宋体" w:cs="Times New Roman"/>
                <w:color w:val="auto"/>
                <w:kern w:val="2"/>
                <w:sz w:val="21"/>
                <w:szCs w:val="21"/>
                <w:highlight w:val="none"/>
                <w:lang w:val="en-US" w:eastAsia="zh-CN" w:bidi="ar-SA"/>
              </w:rPr>
              <w:t>本项目为专门面向小微企业采购的项目。投标人必须提供</w:t>
            </w:r>
            <w:r>
              <w:rPr>
                <w:rFonts w:hint="eastAsia" w:ascii="宋体" w:hAnsi="宋体" w:cs="Times New Roman"/>
                <w:color w:val="auto"/>
                <w:kern w:val="2"/>
                <w:sz w:val="21"/>
                <w:szCs w:val="21"/>
                <w:highlight w:val="none"/>
                <w:lang w:val="en-US" w:eastAsia="zh-CN" w:bidi="ar-SA"/>
              </w:rPr>
              <w:t>中小</w:t>
            </w:r>
            <w:r>
              <w:rPr>
                <w:rFonts w:hint="eastAsia" w:ascii="宋体" w:hAnsi="宋体" w:eastAsia="宋体" w:cs="Times New Roman"/>
                <w:color w:val="auto"/>
                <w:kern w:val="2"/>
                <w:sz w:val="21"/>
                <w:szCs w:val="21"/>
                <w:highlight w:val="none"/>
                <w:lang w:val="en-US" w:eastAsia="zh-CN" w:bidi="ar-SA"/>
              </w:rPr>
              <w:t>企业声明函或者残疾人福利性单位声明函（格式后附）或者供应商属于监狱企业的需提供由省级以上监狱管理局、戒毒管理局（含新疆生产建设兵团）出具的属于监狱企业的证明文件。</w:t>
            </w:r>
            <w:r>
              <w:rPr>
                <w:rFonts w:hint="eastAsia" w:ascii="宋体" w:hAnsi="宋体" w:eastAsia="宋体" w:cs="宋体"/>
                <w:b/>
                <w:color w:val="auto"/>
                <w:kern w:val="2"/>
                <w:sz w:val="21"/>
                <w:szCs w:val="21"/>
                <w:highlight w:val="none"/>
                <w:lang w:val="en-US" w:eastAsia="zh-CN" w:bidi="ar-SA"/>
              </w:rPr>
              <w:t>（必须提供，否则作无效投标处理）</w:t>
            </w:r>
          </w:p>
          <w:p w14:paraId="1499CD95">
            <w:pPr>
              <w:snapToGrid w:val="0"/>
              <w:spacing w:line="380" w:lineRule="exact"/>
              <w:jc w:val="left"/>
              <w:rPr>
                <w:rFonts w:hint="eastAsia" w:ascii="宋体" w:hAnsi="宋体" w:eastAsia="宋体" w:cs="宋体"/>
                <w:color w:val="auto"/>
                <w:sz w:val="21"/>
                <w:szCs w:val="21"/>
                <w:highlight w:val="none"/>
              </w:rPr>
            </w:pP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rPr>
              <w:t>、</w:t>
            </w:r>
            <w:r>
              <w:rPr>
                <w:rFonts w:hint="eastAsia" w:ascii="宋体" w:hAnsi="宋体" w:eastAsia="宋体" w:cs="宋体"/>
                <w:color w:val="auto"/>
                <w:sz w:val="21"/>
                <w:szCs w:val="21"/>
                <w:highlight w:val="none"/>
              </w:rPr>
              <w:t>除招标文件规定必须提供以外，投标人认为需要提供的其他证明材料（格式自拟）。</w:t>
            </w:r>
          </w:p>
          <w:p w14:paraId="1C7F246D">
            <w:pPr>
              <w:snapToGrid w:val="0"/>
              <w:spacing w:line="380" w:lineRule="exact"/>
              <w:jc w:val="left"/>
              <w:rPr>
                <w:rFonts w:hint="eastAsia"/>
                <w:color w:val="auto"/>
                <w:highlight w:val="none"/>
              </w:rPr>
            </w:pPr>
            <w:r>
              <w:rPr>
                <w:rFonts w:hint="eastAsia" w:ascii="宋体" w:hAnsi="宋体" w:eastAsia="宋体" w:cs="宋体"/>
                <w:b/>
                <w:bCs/>
                <w:color w:val="auto"/>
                <w:sz w:val="21"/>
                <w:szCs w:val="21"/>
                <w:highlight w:val="none"/>
              </w:rPr>
              <w:t>注：以上标明“必须提供”的材料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w:t>
            </w:r>
            <w:r>
              <w:rPr>
                <w:rFonts w:hint="eastAsia" w:ascii="宋体" w:hAnsi="宋体" w:cs="宋体"/>
                <w:b/>
                <w:bCs/>
                <w:color w:val="auto"/>
                <w:sz w:val="21"/>
                <w:szCs w:val="21"/>
                <w:highlight w:val="none"/>
                <w:lang w:eastAsia="zh-CN"/>
              </w:rPr>
              <w:t>投标人公章</w:t>
            </w:r>
            <w:r>
              <w:rPr>
                <w:rFonts w:hint="eastAsia" w:ascii="宋体" w:hAnsi="宋体" w:eastAsia="宋体" w:cs="宋体"/>
                <w:b/>
                <w:bCs/>
                <w:color w:val="auto"/>
                <w:sz w:val="21"/>
                <w:szCs w:val="21"/>
                <w:highlight w:val="none"/>
              </w:rPr>
              <w:t>，否则</w:t>
            </w:r>
            <w:r>
              <w:rPr>
                <w:rFonts w:hint="eastAsia" w:ascii="宋体" w:hAnsi="宋体" w:eastAsia="宋体" w:cs="宋体"/>
                <w:b/>
                <w:color w:val="auto"/>
                <w:sz w:val="21"/>
                <w:szCs w:val="21"/>
                <w:highlight w:val="none"/>
              </w:rPr>
              <w:t>作无效投标处理。</w:t>
            </w:r>
          </w:p>
        </w:tc>
      </w:tr>
      <w:tr w14:paraId="2B435A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vMerge w:val="continue"/>
            <w:tcBorders>
              <w:left w:val="single" w:color="auto" w:sz="4" w:space="0"/>
              <w:right w:val="single" w:color="auto" w:sz="4" w:space="0"/>
            </w:tcBorders>
            <w:noWrap w:val="0"/>
            <w:vAlign w:val="center"/>
          </w:tcPr>
          <w:p w14:paraId="19B94EA4">
            <w:pPr>
              <w:spacing w:line="380" w:lineRule="exact"/>
              <w:rPr>
                <w:rFonts w:hint="eastAsia" w:ascii="宋体" w:hAnsi="宋体" w:eastAsia="宋体" w:cs="宋体"/>
                <w:color w:val="auto"/>
                <w:sz w:val="21"/>
                <w:szCs w:val="21"/>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4EDFEF88">
            <w:pPr>
              <w:snapToGrid w:val="0"/>
              <w:spacing w:line="380" w:lineRule="exact"/>
              <w:jc w:val="left"/>
              <w:rPr>
                <w:rFonts w:hint="eastAsia" w:ascii="宋体" w:hAnsi="宋体" w:eastAsia="宋体" w:cs="宋体"/>
                <w:color w:val="auto"/>
                <w:sz w:val="21"/>
                <w:szCs w:val="21"/>
                <w:highlight w:val="none"/>
              </w:rPr>
            </w:pPr>
            <w:bookmarkStart w:id="92" w:name="_13.3"/>
            <w:bookmarkEnd w:id="92"/>
            <w:r>
              <w:rPr>
                <w:rFonts w:hint="eastAsia" w:ascii="宋体" w:hAnsi="宋体" w:eastAsia="宋体" w:cs="宋体"/>
                <w:color w:val="auto"/>
                <w:sz w:val="21"/>
                <w:szCs w:val="21"/>
                <w:highlight w:val="none"/>
              </w:rPr>
              <w:t>商务文件组成</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1BEA28C5">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1、无串通投标行为的承诺函（格式后附）；（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65AEA596">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2、法定代表人身份证明及法定代表人有效身份证正反面复印件（格式后附）；（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532A705B">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3、法定代表人授权委托书及委托代理人有效身份证正反面复印件（格式后附）；（</w:t>
            </w:r>
            <w:r>
              <w:rPr>
                <w:rFonts w:hint="eastAsia" w:ascii="宋体" w:hAnsi="宋体" w:eastAsia="宋体" w:cs="宋体"/>
                <w:b/>
                <w:color w:val="auto"/>
                <w:sz w:val="21"/>
                <w:szCs w:val="21"/>
                <w:highlight w:val="none"/>
              </w:rPr>
              <w:t>委托时必须提供，否则作无效投标处理</w:t>
            </w:r>
            <w:r>
              <w:rPr>
                <w:rFonts w:hint="eastAsia" w:ascii="宋体" w:hAnsi="宋体" w:eastAsia="宋体" w:cs="宋体"/>
                <w:color w:val="auto"/>
                <w:sz w:val="21"/>
                <w:szCs w:val="21"/>
                <w:highlight w:val="none"/>
              </w:rPr>
              <w:t>）</w:t>
            </w:r>
          </w:p>
          <w:p w14:paraId="46622D6C">
            <w:pPr>
              <w:pStyle w:val="19"/>
              <w:rPr>
                <w:rFonts w:hint="eastAsia" w:eastAsia="宋体"/>
                <w:color w:val="auto"/>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商务条款偏离表（格式后附）；（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6E51396F">
            <w:pPr>
              <w:snapToGrid w:val="0"/>
              <w:spacing w:line="38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、企业综合实力</w:t>
            </w:r>
            <w:r>
              <w:rPr>
                <w:rFonts w:hint="eastAsia" w:ascii="宋体" w:hAnsi="宋体" w:cs="宋体"/>
                <w:color w:val="auto"/>
                <w:sz w:val="21"/>
                <w:szCs w:val="21"/>
                <w:highlight w:val="none"/>
                <w:lang w:eastAsia="zh-CN"/>
              </w:rPr>
              <w:t>证明材料</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如有请提供，部分格式后附</w:t>
            </w:r>
            <w:r>
              <w:rPr>
                <w:rFonts w:hint="eastAsia" w:ascii="宋体" w:hAnsi="宋体" w:eastAsia="宋体" w:cs="宋体"/>
                <w:color w:val="auto"/>
                <w:sz w:val="21"/>
                <w:szCs w:val="21"/>
                <w:highlight w:val="none"/>
              </w:rPr>
              <w:t>）；</w:t>
            </w:r>
          </w:p>
          <w:p w14:paraId="2C3ADE15">
            <w:pPr>
              <w:snapToGrid w:val="0"/>
              <w:spacing w:line="38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、除招标文件规定必须提供以外，投标人认为需要提供的其他证明材料（格式自拟）。（投标人根据“第二章 采购需求”及“第四章 评标方法</w:t>
            </w:r>
            <w:r>
              <w:rPr>
                <w:rFonts w:hint="eastAsia" w:ascii="宋体" w:hAnsi="宋体" w:cs="宋体"/>
                <w:color w:val="auto"/>
                <w:sz w:val="21"/>
                <w:szCs w:val="21"/>
                <w:highlight w:val="none"/>
                <w:lang w:eastAsia="zh-CN"/>
              </w:rPr>
              <w:t>和</w:t>
            </w:r>
            <w:r>
              <w:rPr>
                <w:rFonts w:hint="eastAsia" w:ascii="宋体" w:hAnsi="宋体" w:eastAsia="宋体" w:cs="宋体"/>
                <w:color w:val="auto"/>
                <w:sz w:val="21"/>
                <w:szCs w:val="21"/>
                <w:highlight w:val="none"/>
              </w:rPr>
              <w:t>评标标准”提供有关证明材料）。</w:t>
            </w:r>
          </w:p>
          <w:p w14:paraId="2EF4876C">
            <w:pPr>
              <w:snapToGrid w:val="0"/>
              <w:spacing w:line="38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注：1.法定代表人授权委托书必须由法定代表人及委托代理人签字，并加盖投标人公章，否则作无效投标处理。</w:t>
            </w:r>
          </w:p>
          <w:p w14:paraId="36ED6F56">
            <w:pPr>
              <w:snapToGrid w:val="0"/>
              <w:spacing w:line="380" w:lineRule="exact"/>
              <w:ind w:firstLine="422" w:firstLineChars="200"/>
              <w:jc w:val="left"/>
              <w:rPr>
                <w:rFonts w:hint="eastAsia"/>
                <w:color w:val="auto"/>
                <w:highlight w:val="none"/>
              </w:rPr>
            </w:pPr>
            <w:r>
              <w:rPr>
                <w:rFonts w:hint="eastAsia" w:ascii="宋体" w:hAnsi="宋体" w:eastAsia="宋体" w:cs="宋体"/>
                <w:b/>
                <w:bCs/>
                <w:color w:val="auto"/>
                <w:sz w:val="21"/>
                <w:szCs w:val="21"/>
                <w:highlight w:val="none"/>
              </w:rPr>
              <w:t>2.</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w:t>
            </w:r>
            <w:r>
              <w:rPr>
                <w:rFonts w:hint="eastAsia" w:ascii="宋体" w:hAnsi="宋体" w:cs="宋体"/>
                <w:b/>
                <w:bCs/>
                <w:color w:val="auto"/>
                <w:sz w:val="21"/>
                <w:szCs w:val="21"/>
                <w:highlight w:val="none"/>
                <w:lang w:eastAsia="zh-CN"/>
              </w:rPr>
              <w:t>投标人公章</w:t>
            </w:r>
            <w:r>
              <w:rPr>
                <w:rFonts w:hint="eastAsia" w:ascii="宋体" w:hAnsi="宋体" w:eastAsia="宋体" w:cs="宋体"/>
                <w:b/>
                <w:bCs/>
                <w:color w:val="auto"/>
                <w:sz w:val="21"/>
                <w:szCs w:val="21"/>
                <w:highlight w:val="none"/>
              </w:rPr>
              <w:t>，否则</w:t>
            </w:r>
            <w:r>
              <w:rPr>
                <w:rFonts w:hint="eastAsia" w:ascii="宋体" w:hAnsi="宋体" w:eastAsia="宋体" w:cs="宋体"/>
                <w:b/>
                <w:color w:val="auto"/>
                <w:sz w:val="21"/>
                <w:szCs w:val="21"/>
                <w:highlight w:val="none"/>
              </w:rPr>
              <w:t>作无效投标处理</w:t>
            </w:r>
            <w:r>
              <w:rPr>
                <w:rFonts w:hint="eastAsia" w:ascii="宋体" w:hAnsi="宋体" w:eastAsia="宋体" w:cs="宋体"/>
                <w:b/>
                <w:bCs/>
                <w:color w:val="auto"/>
                <w:sz w:val="21"/>
                <w:szCs w:val="21"/>
                <w:highlight w:val="none"/>
              </w:rPr>
              <w:t>。</w:t>
            </w:r>
          </w:p>
        </w:tc>
      </w:tr>
      <w:tr w14:paraId="420A2D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vMerge w:val="continue"/>
            <w:tcBorders>
              <w:left w:val="single" w:color="auto" w:sz="4" w:space="0"/>
              <w:right w:val="single" w:color="auto" w:sz="4" w:space="0"/>
            </w:tcBorders>
            <w:noWrap w:val="0"/>
            <w:vAlign w:val="center"/>
          </w:tcPr>
          <w:p w14:paraId="3A1E03D9">
            <w:pPr>
              <w:spacing w:line="380" w:lineRule="exact"/>
              <w:rPr>
                <w:rFonts w:hint="eastAsia" w:ascii="宋体" w:hAnsi="宋体" w:eastAsia="宋体" w:cs="宋体"/>
                <w:color w:val="auto"/>
                <w:sz w:val="21"/>
                <w:szCs w:val="21"/>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3A7420C4">
            <w:pPr>
              <w:snapToGrid w:val="0"/>
              <w:spacing w:line="380" w:lineRule="exact"/>
              <w:jc w:val="left"/>
              <w:rPr>
                <w:rFonts w:hint="eastAsia" w:ascii="宋体" w:hAnsi="宋体" w:eastAsia="宋体" w:cs="宋体"/>
                <w:color w:val="auto"/>
                <w:sz w:val="21"/>
                <w:szCs w:val="21"/>
                <w:highlight w:val="none"/>
              </w:rPr>
            </w:pPr>
            <w:bookmarkStart w:id="93" w:name="_13.4"/>
            <w:bookmarkEnd w:id="93"/>
            <w:r>
              <w:rPr>
                <w:rFonts w:hint="eastAsia" w:ascii="宋体" w:hAnsi="宋体" w:eastAsia="宋体" w:cs="宋体"/>
                <w:color w:val="auto"/>
                <w:sz w:val="21"/>
                <w:szCs w:val="21"/>
                <w:highlight w:val="none"/>
              </w:rPr>
              <w:t>技术文件组成</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4C06C98E">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w:t>
            </w:r>
            <w:r>
              <w:rPr>
                <w:rFonts w:hint="eastAsia" w:ascii="宋体" w:hAnsi="宋体" w:cs="宋体"/>
                <w:color w:val="auto"/>
                <w:sz w:val="21"/>
                <w:szCs w:val="21"/>
                <w:highlight w:val="none"/>
                <w:lang w:eastAsia="zh-CN"/>
              </w:rPr>
              <w:t>要求</w:t>
            </w:r>
            <w:r>
              <w:rPr>
                <w:rFonts w:hint="eastAsia" w:ascii="宋体" w:hAnsi="宋体" w:eastAsia="宋体" w:cs="宋体"/>
                <w:color w:val="auto"/>
                <w:sz w:val="21"/>
                <w:szCs w:val="21"/>
                <w:highlight w:val="none"/>
              </w:rPr>
              <w:t>偏离表（格式后附）；（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7214F73D">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服务实施方案（格式自拟）</w:t>
            </w:r>
            <w:r>
              <w:rPr>
                <w:rFonts w:hint="eastAsia" w:ascii="宋体" w:hAnsi="宋体" w:eastAsia="宋体" w:cs="宋体"/>
                <w:color w:val="auto"/>
                <w:sz w:val="21"/>
                <w:szCs w:val="21"/>
                <w:highlight w:val="none"/>
              </w:rPr>
              <w:t>；</w:t>
            </w:r>
          </w:p>
          <w:p w14:paraId="58B664FA">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管理制度</w:t>
            </w:r>
            <w:r>
              <w:rPr>
                <w:rFonts w:hint="eastAsia" w:ascii="宋体" w:hAnsi="宋体" w:eastAsia="宋体" w:cs="宋体"/>
                <w:color w:val="auto"/>
                <w:sz w:val="21"/>
                <w:szCs w:val="21"/>
                <w:highlight w:val="none"/>
              </w:rPr>
              <w:t>（格式自拟）；</w:t>
            </w:r>
          </w:p>
          <w:p w14:paraId="3765D12E">
            <w:pPr>
              <w:snapToGrid w:val="0"/>
              <w:spacing w:line="380" w:lineRule="exact"/>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4、除招标文件规定必须提供以外，投标人需要说明的其他文件和说明（格式自拟）。</w:t>
            </w:r>
          </w:p>
          <w:p w14:paraId="7743DB37">
            <w:pPr>
              <w:snapToGrid w:val="0"/>
              <w:spacing w:line="38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w:t>
            </w:r>
            <w:r>
              <w:rPr>
                <w:rFonts w:hint="eastAsia" w:ascii="宋体" w:hAnsi="宋体" w:cs="宋体"/>
                <w:b/>
                <w:bCs/>
                <w:color w:val="auto"/>
                <w:sz w:val="21"/>
                <w:szCs w:val="21"/>
                <w:highlight w:val="none"/>
                <w:lang w:eastAsia="zh-CN"/>
              </w:rPr>
              <w:t>投标人公章</w:t>
            </w:r>
            <w:r>
              <w:rPr>
                <w:rFonts w:hint="eastAsia" w:ascii="宋体" w:hAnsi="宋体" w:eastAsia="宋体" w:cs="宋体"/>
                <w:b/>
                <w:bCs/>
                <w:color w:val="auto"/>
                <w:sz w:val="21"/>
                <w:szCs w:val="21"/>
                <w:highlight w:val="none"/>
              </w:rPr>
              <w:t>，否则</w:t>
            </w:r>
            <w:r>
              <w:rPr>
                <w:rFonts w:hint="eastAsia" w:ascii="宋体" w:hAnsi="宋体" w:eastAsia="宋体" w:cs="宋体"/>
                <w:b/>
                <w:color w:val="auto"/>
                <w:sz w:val="21"/>
                <w:szCs w:val="21"/>
                <w:highlight w:val="none"/>
              </w:rPr>
              <w:t>作无效投标处理</w:t>
            </w:r>
            <w:r>
              <w:rPr>
                <w:rFonts w:hint="eastAsia" w:ascii="宋体" w:hAnsi="宋体" w:eastAsia="宋体" w:cs="宋体"/>
                <w:b/>
                <w:bCs/>
                <w:color w:val="auto"/>
                <w:sz w:val="21"/>
                <w:szCs w:val="21"/>
                <w:highlight w:val="none"/>
              </w:rPr>
              <w:t>。</w:t>
            </w:r>
          </w:p>
        </w:tc>
      </w:tr>
      <w:tr w14:paraId="3E1DA0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vMerge w:val="continue"/>
            <w:tcBorders>
              <w:left w:val="single" w:color="auto" w:sz="4" w:space="0"/>
              <w:bottom w:val="single" w:color="auto" w:sz="4" w:space="0"/>
              <w:right w:val="single" w:color="auto" w:sz="4" w:space="0"/>
            </w:tcBorders>
            <w:noWrap w:val="0"/>
            <w:vAlign w:val="center"/>
          </w:tcPr>
          <w:p w14:paraId="20A9B536">
            <w:pPr>
              <w:widowControl/>
              <w:jc w:val="left"/>
              <w:rPr>
                <w:rFonts w:hint="eastAsia" w:ascii="宋体" w:hAnsi="宋体" w:eastAsia="宋体" w:cs="宋体"/>
                <w:color w:val="auto"/>
                <w:sz w:val="21"/>
                <w:szCs w:val="21"/>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28B5DCA4">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报价文件组成</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49652616">
            <w:pPr>
              <w:tabs>
                <w:tab w:val="left" w:pos="459"/>
              </w:tabs>
              <w:snapToGrid w:val="0"/>
              <w:spacing w:line="380" w:lineRule="exact"/>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1、投标函（格式后附）；</w:t>
            </w:r>
            <w:r>
              <w:rPr>
                <w:rFonts w:hint="eastAsia" w:ascii="宋体" w:hAnsi="宋体" w:eastAsia="宋体" w:cs="宋体"/>
                <w:b/>
                <w:bCs/>
                <w:color w:val="auto"/>
                <w:sz w:val="21"/>
                <w:szCs w:val="21"/>
                <w:highlight w:val="none"/>
              </w:rPr>
              <w:t>（必须提供，否则作无效投标处理）</w:t>
            </w:r>
          </w:p>
          <w:p w14:paraId="7C70B270">
            <w:pPr>
              <w:tabs>
                <w:tab w:val="left" w:pos="459"/>
              </w:tabs>
              <w:snapToGrid w:val="0"/>
              <w:spacing w:line="380" w:lineRule="exact"/>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2、开标一览表（格式后附）；</w:t>
            </w:r>
            <w:r>
              <w:rPr>
                <w:rFonts w:hint="eastAsia" w:ascii="宋体" w:hAnsi="宋体" w:eastAsia="宋体" w:cs="宋体"/>
                <w:b/>
                <w:bCs/>
                <w:color w:val="auto"/>
                <w:sz w:val="21"/>
                <w:szCs w:val="21"/>
                <w:highlight w:val="none"/>
              </w:rPr>
              <w:t>（必须提供，否则作无效投标处理）</w:t>
            </w:r>
          </w:p>
          <w:p w14:paraId="4F603243">
            <w:pPr>
              <w:tabs>
                <w:tab w:val="left" w:pos="459"/>
              </w:tabs>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3、投标人针对报价需要说明的其他文件和说明（格式自拟）。</w:t>
            </w:r>
          </w:p>
        </w:tc>
      </w:tr>
      <w:tr w14:paraId="682A7B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1468D7FA">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5716597D">
            <w:pPr>
              <w:spacing w:line="380" w:lineRule="exact"/>
              <w:rPr>
                <w:rFonts w:hint="eastAsia" w:ascii="宋体" w:hAnsi="宋体" w:eastAsia="宋体" w:cs="宋体"/>
                <w:color w:val="auto"/>
                <w:sz w:val="21"/>
                <w:szCs w:val="21"/>
                <w:highlight w:val="none"/>
              </w:rPr>
            </w:pPr>
            <w:bookmarkStart w:id="94" w:name="_16.2"/>
            <w:bookmarkEnd w:id="94"/>
            <w:r>
              <w:rPr>
                <w:rFonts w:hint="eastAsia" w:ascii="宋体" w:hAnsi="宋体" w:eastAsia="宋体" w:cs="宋体"/>
                <w:color w:val="auto"/>
                <w:sz w:val="21"/>
                <w:szCs w:val="21"/>
                <w:highlight w:val="none"/>
              </w:rPr>
              <w:t>投标报价要求</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603CD275">
            <w:pPr>
              <w:spacing w:line="360" w:lineRule="auto"/>
              <w:ind w:firstLine="420" w:firstLineChars="200"/>
              <w:jc w:val="both"/>
              <w:rPr>
                <w:rFonts w:hint="eastAsia" w:ascii="宋体" w:hAnsi="宋体" w:eastAsia="宋体" w:cs="宋体"/>
                <w:color w:val="auto"/>
                <w:sz w:val="21"/>
                <w:szCs w:val="21"/>
                <w:highlight w:val="none"/>
              </w:rPr>
            </w:pPr>
            <w:r>
              <w:rPr>
                <w:rFonts w:hint="eastAsia"/>
                <w:color w:val="auto"/>
                <w:highlight w:val="none"/>
                <w:lang w:val="en-US" w:eastAsia="zh-CN"/>
              </w:rPr>
              <w:t>1、</w:t>
            </w:r>
            <w:r>
              <w:rPr>
                <w:rFonts w:hint="eastAsia"/>
                <w:color w:val="auto"/>
                <w:highlight w:val="none"/>
              </w:rPr>
              <w:t>投标报价是履行合同的最终价格，必须包含满足本次投标全部采购需求所应提供的服务，以及伴随的货物的价格；包含投标服务、货物成本、运输（含保险）</w:t>
            </w:r>
            <w:r>
              <w:rPr>
                <w:rFonts w:hint="eastAsia" w:ascii="宋体" w:hAnsi="宋体" w:eastAsia="宋体" w:cs="宋体"/>
                <w:color w:val="auto"/>
                <w:sz w:val="21"/>
                <w:szCs w:val="21"/>
                <w:highlight w:val="none"/>
              </w:rPr>
              <w:t>装卸、搬运、</w:t>
            </w:r>
            <w:r>
              <w:rPr>
                <w:rFonts w:hint="eastAsia"/>
                <w:color w:val="auto"/>
                <w:highlight w:val="none"/>
              </w:rPr>
              <w:t>检验、</w:t>
            </w:r>
            <w:r>
              <w:rPr>
                <w:rFonts w:hint="eastAsia" w:ascii="宋体" w:hAnsi="宋体" w:eastAsia="宋体" w:cs="宋体"/>
                <w:color w:val="auto"/>
                <w:sz w:val="21"/>
                <w:szCs w:val="21"/>
                <w:highlight w:val="none"/>
              </w:rPr>
              <w:t>保险、利润、税</w:t>
            </w:r>
            <w:r>
              <w:rPr>
                <w:rFonts w:hint="eastAsia" w:ascii="宋体" w:hAnsi="宋体" w:cs="宋体"/>
                <w:color w:val="auto"/>
                <w:sz w:val="21"/>
                <w:szCs w:val="21"/>
                <w:highlight w:val="none"/>
                <w:lang w:val="en-US" w:eastAsia="zh-CN"/>
              </w:rPr>
              <w:t>费</w:t>
            </w:r>
            <w:r>
              <w:rPr>
                <w:rFonts w:hint="eastAsia" w:ascii="宋体" w:hAnsi="宋体" w:eastAsia="宋体" w:cs="宋体"/>
                <w:color w:val="auto"/>
                <w:sz w:val="21"/>
                <w:szCs w:val="21"/>
                <w:highlight w:val="none"/>
              </w:rPr>
              <w:t>、质保期售后服务、雇员费、合同实施过程中的应预见和或不可预见等费用总和。所产生的费用由中标人负责。</w:t>
            </w:r>
          </w:p>
          <w:p w14:paraId="01A8174C">
            <w:pPr>
              <w:pStyle w:val="37"/>
              <w:numPr>
                <w:ilvl w:val="0"/>
                <w:numId w:val="0"/>
              </w:numPr>
              <w:tabs>
                <w:tab w:val="left" w:pos="1053"/>
              </w:tabs>
              <w:spacing w:before="110" w:after="0" w:line="360" w:lineRule="auto"/>
              <w:ind w:right="0" w:rightChars="0" w:firstLine="420" w:firstLineChars="200"/>
              <w:jc w:val="left"/>
              <w:rPr>
                <w:rFonts w:hint="eastAsia" w:ascii="宋体" w:hAnsi="宋体" w:eastAsia="宋体" w:cs="宋体"/>
                <w:bCs/>
                <w:color w:val="auto"/>
                <w:sz w:val="21"/>
                <w:szCs w:val="21"/>
                <w:highlight w:val="none"/>
                <w:lang w:val="en-US" w:eastAsia="zh-CN" w:bidi="ar-SA"/>
              </w:rPr>
            </w:pPr>
            <w:r>
              <w:rPr>
                <w:rFonts w:hint="eastAsia" w:ascii="宋体" w:hAnsi="宋体" w:cs="宋体"/>
                <w:bCs/>
                <w:color w:val="auto"/>
                <w:sz w:val="21"/>
                <w:szCs w:val="21"/>
                <w:highlight w:val="none"/>
                <w:lang w:val="en-US" w:eastAsia="zh-CN" w:bidi="ar-SA"/>
              </w:rPr>
              <w:t>2</w:t>
            </w:r>
            <w:r>
              <w:rPr>
                <w:rFonts w:hint="eastAsia" w:ascii="宋体" w:hAnsi="宋体" w:eastAsia="宋体" w:cs="宋体"/>
                <w:bCs/>
                <w:color w:val="auto"/>
                <w:sz w:val="21"/>
                <w:szCs w:val="21"/>
                <w:highlight w:val="none"/>
                <w:lang w:val="en-US" w:eastAsia="zh-CN" w:bidi="ar-SA"/>
              </w:rPr>
              <w:t>、供应商投标报价采用折扣率报价（以%表示，折扣率报价精确到个位数）。</w:t>
            </w:r>
            <w:r>
              <w:rPr>
                <w:rFonts w:hint="eastAsia" w:ascii="宋体" w:hAnsi="宋体" w:eastAsia="宋体" w:cs="宋体"/>
                <w:b/>
                <w:bCs w:val="0"/>
                <w:color w:val="auto"/>
                <w:sz w:val="21"/>
                <w:szCs w:val="21"/>
                <w:highlight w:val="none"/>
                <w:lang w:val="en-US" w:eastAsia="zh-CN" w:bidi="ar-SA"/>
              </w:rPr>
              <w:t>投标报价范围：≤100%（</w:t>
            </w:r>
            <w:r>
              <w:rPr>
                <w:rFonts w:hint="eastAsia" w:ascii="宋体" w:hAnsi="宋体" w:eastAsia="宋体" w:cs="宋体"/>
                <w:bCs/>
                <w:color w:val="auto"/>
                <w:sz w:val="21"/>
                <w:szCs w:val="21"/>
                <w:highlight w:val="none"/>
                <w:lang w:val="en-US" w:eastAsia="zh-CN" w:bidi="ar-SA"/>
              </w:rPr>
              <w:t>如：供货产品打</w:t>
            </w:r>
            <w:r>
              <w:rPr>
                <w:rFonts w:hint="eastAsia" w:ascii="宋体" w:hAnsi="宋体" w:cs="宋体"/>
                <w:bCs/>
                <w:color w:val="auto"/>
                <w:sz w:val="21"/>
                <w:szCs w:val="21"/>
                <w:highlight w:val="none"/>
                <w:lang w:val="en-US" w:eastAsia="zh-CN" w:bidi="ar-SA"/>
              </w:rPr>
              <w:t>八</w:t>
            </w:r>
            <w:r>
              <w:rPr>
                <w:rFonts w:hint="eastAsia" w:ascii="宋体" w:hAnsi="宋体" w:eastAsia="宋体" w:cs="宋体"/>
                <w:bCs/>
                <w:color w:val="auto"/>
                <w:sz w:val="21"/>
                <w:szCs w:val="21"/>
                <w:highlight w:val="none"/>
                <w:lang w:val="en-US" w:eastAsia="zh-CN" w:bidi="ar-SA"/>
              </w:rPr>
              <w:t>折即投标折扣率为80%，以此类推），否则，作无效报价处理。</w:t>
            </w:r>
          </w:p>
          <w:p w14:paraId="1C92AC6F">
            <w:pPr>
              <w:pStyle w:val="37"/>
              <w:numPr>
                <w:ilvl w:val="0"/>
                <w:numId w:val="0"/>
              </w:numPr>
              <w:tabs>
                <w:tab w:val="left" w:pos="1053"/>
              </w:tabs>
              <w:spacing w:before="110" w:after="0" w:line="360" w:lineRule="auto"/>
              <w:ind w:right="0" w:rightChars="0" w:firstLine="420" w:firstLineChars="200"/>
              <w:jc w:val="left"/>
              <w:rPr>
                <w:rFonts w:hint="eastAsia" w:ascii="宋体" w:hAnsi="宋体" w:eastAsia="宋体" w:cs="宋体"/>
                <w:b/>
                <w:color w:val="auto"/>
                <w:sz w:val="21"/>
                <w:szCs w:val="21"/>
                <w:highlight w:val="none"/>
                <w:lang w:eastAsia="zh-CN"/>
              </w:rPr>
            </w:pPr>
            <w:r>
              <w:rPr>
                <w:rFonts w:hint="eastAsia" w:ascii="宋体" w:hAnsi="宋体" w:eastAsia="宋体" w:cs="宋体"/>
                <w:bCs/>
                <w:color w:val="auto"/>
                <w:sz w:val="21"/>
                <w:szCs w:val="21"/>
                <w:highlight w:val="none"/>
                <w:lang w:val="en-US" w:eastAsia="zh-CN" w:bidi="ar-SA"/>
              </w:rPr>
              <w:t>3、</w:t>
            </w:r>
            <w:r>
              <w:rPr>
                <w:rFonts w:hint="eastAsia" w:ascii="宋体" w:hAnsi="宋体" w:eastAsia="宋体" w:cs="宋体"/>
                <w:b/>
                <w:color w:val="auto"/>
                <w:sz w:val="21"/>
                <w:szCs w:val="21"/>
                <w:highlight w:val="none"/>
                <w:lang w:eastAsia="zh-CN"/>
              </w:rPr>
              <w:t>【供货价格】根据政策要求，由上级领导部门每隔一段时间（每周或每月）召集采购人与供应商开会协商供货价格（三方议价），签订供货价格协议。中标人须按签好的价格协议供应商品。如政策变化，上级领导部门不再组织三方议价，则由采购人与中标人双方共同协商供货价格，签订供货价格协议。</w:t>
            </w:r>
            <w:r>
              <w:rPr>
                <w:rFonts w:hint="eastAsia" w:ascii="宋体" w:hAnsi="宋体" w:eastAsia="宋体" w:cs="宋体"/>
                <w:b/>
                <w:color w:val="auto"/>
                <w:sz w:val="21"/>
                <w:szCs w:val="21"/>
                <w:highlight w:val="none"/>
                <w:lang w:val="en-US" w:eastAsia="zh-CN"/>
              </w:rPr>
              <w:t>投标折扣率将作为食材或货物实际结算的合同折扣率，结算时以学校实际采购量进行结算。</w:t>
            </w:r>
            <w:r>
              <w:rPr>
                <w:rFonts w:hint="eastAsia" w:ascii="宋体" w:hAnsi="宋体" w:eastAsia="宋体" w:cs="宋体"/>
                <w:b/>
                <w:color w:val="auto"/>
                <w:sz w:val="21"/>
                <w:szCs w:val="21"/>
                <w:highlight w:val="none"/>
                <w:lang w:eastAsia="zh-CN"/>
              </w:rPr>
              <w:t>市场批发均价的数据来源于</w:t>
            </w:r>
            <w:r>
              <w:rPr>
                <w:rFonts w:hint="eastAsia" w:ascii="宋体" w:hAnsi="宋体" w:eastAsia="宋体" w:cs="宋体"/>
                <w:b/>
                <w:color w:val="auto"/>
                <w:sz w:val="21"/>
                <w:szCs w:val="21"/>
                <w:highlight w:val="none"/>
                <w:lang w:val="en-US" w:eastAsia="zh-CN"/>
              </w:rPr>
              <w:t>江南市场、三合市场、市易农国际农产品交易中心、兴港副食城，一般取双方在上述市场询价结果的平均值。当期某食材或货物结算价=</w:t>
            </w:r>
            <w:r>
              <w:rPr>
                <w:rFonts w:hint="eastAsia" w:ascii="宋体" w:hAnsi="宋体" w:eastAsia="宋体" w:cs="宋体"/>
                <w:b/>
                <w:color w:val="auto"/>
                <w:sz w:val="21"/>
                <w:szCs w:val="21"/>
                <w:highlight w:val="none"/>
                <w:lang w:eastAsia="zh-CN"/>
              </w:rPr>
              <w:t>市场批发均价</w:t>
            </w:r>
            <w:r>
              <w:rPr>
                <w:rFonts w:hint="eastAsia" w:ascii="宋体" w:hAnsi="宋体" w:eastAsia="宋体" w:cs="宋体"/>
                <w:b/>
                <w:color w:val="auto"/>
                <w:sz w:val="21"/>
                <w:szCs w:val="21"/>
                <w:highlight w:val="none"/>
                <w:lang w:val="en-US" w:eastAsia="zh-CN"/>
              </w:rPr>
              <w:t>×合同折扣率×该食材或货物实际采购量（例如：</w:t>
            </w:r>
            <w:r>
              <w:rPr>
                <w:rFonts w:hint="eastAsia" w:ascii="宋体" w:hAnsi="宋体" w:eastAsia="宋体" w:cs="宋体"/>
                <w:b/>
                <w:color w:val="auto"/>
                <w:sz w:val="21"/>
                <w:szCs w:val="21"/>
                <w:highlight w:val="none"/>
                <w:lang w:eastAsia="zh-CN"/>
              </w:rPr>
              <w:t>市场批发均价</w:t>
            </w:r>
            <w:r>
              <w:rPr>
                <w:rFonts w:hint="eastAsia" w:ascii="宋体" w:hAnsi="宋体" w:eastAsia="宋体" w:cs="宋体"/>
                <w:b/>
                <w:color w:val="auto"/>
                <w:sz w:val="21"/>
                <w:szCs w:val="21"/>
                <w:highlight w:val="none"/>
                <w:lang w:val="en-US" w:eastAsia="zh-CN"/>
              </w:rPr>
              <w:t>＝100元/斤，合同折扣率＝97%，该食材或货物实际采购量＝10斤，当期某食材或货物结算价=100×0.97×10=970元）。</w:t>
            </w:r>
          </w:p>
          <w:p w14:paraId="7FA69749">
            <w:pPr>
              <w:snapToGrid w:val="0"/>
              <w:spacing w:line="360" w:lineRule="auto"/>
              <w:ind w:firstLine="422" w:firstLineChars="200"/>
              <w:rPr>
                <w:rFonts w:hint="eastAsia" w:eastAsia="宋体"/>
                <w:color w:val="auto"/>
                <w:highlight w:val="none"/>
                <w:lang w:eastAsia="zh-CN"/>
              </w:rPr>
            </w:pPr>
            <w:r>
              <w:rPr>
                <w:rFonts w:hint="eastAsia" w:ascii="宋体" w:hAnsi="宋体" w:cs="宋体"/>
                <w:b/>
                <w:color w:val="auto"/>
                <w:szCs w:val="21"/>
                <w:highlight w:val="none"/>
                <w:lang w:val="en-US" w:eastAsia="zh-CN"/>
              </w:rPr>
              <w:t>4、</w:t>
            </w:r>
            <w:r>
              <w:rPr>
                <w:rFonts w:hint="eastAsia" w:ascii="宋体" w:hAnsi="宋体" w:eastAsia="宋体" w:cs="宋体"/>
                <w:b/>
                <w:color w:val="auto"/>
                <w:szCs w:val="21"/>
                <w:highlight w:val="none"/>
              </w:rPr>
              <w:t>投标报价包含验收费用</w:t>
            </w:r>
            <w:r>
              <w:rPr>
                <w:rFonts w:hint="eastAsia" w:ascii="宋体" w:hAnsi="宋体" w:cs="宋体"/>
                <w:b/>
                <w:color w:val="auto"/>
                <w:szCs w:val="21"/>
                <w:highlight w:val="none"/>
                <w:lang w:eastAsia="zh-CN"/>
              </w:rPr>
              <w:t>。</w:t>
            </w:r>
          </w:p>
        </w:tc>
      </w:tr>
      <w:tr w14:paraId="5FBA43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7F231BF1">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309BED41">
            <w:pPr>
              <w:spacing w:line="380" w:lineRule="exact"/>
              <w:rPr>
                <w:rFonts w:hint="eastAsia" w:ascii="宋体" w:hAnsi="宋体" w:eastAsia="宋体" w:cs="宋体"/>
                <w:color w:val="auto"/>
                <w:sz w:val="21"/>
                <w:szCs w:val="21"/>
                <w:highlight w:val="none"/>
              </w:rPr>
            </w:pPr>
            <w:bookmarkStart w:id="95" w:name="_17.1"/>
            <w:bookmarkEnd w:id="95"/>
            <w:r>
              <w:rPr>
                <w:rFonts w:hint="eastAsia" w:ascii="宋体" w:hAnsi="宋体" w:eastAsia="宋体" w:cs="宋体"/>
                <w:color w:val="auto"/>
                <w:sz w:val="21"/>
                <w:szCs w:val="21"/>
                <w:highlight w:val="none"/>
              </w:rPr>
              <w:t>投标有效期</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413A44C8">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自投标截止之日起</w:t>
            </w:r>
            <w:r>
              <w:rPr>
                <w:rFonts w:hint="eastAsia" w:ascii="宋体" w:hAnsi="宋体" w:cs="宋体"/>
                <w:color w:val="auto"/>
                <w:sz w:val="21"/>
                <w:szCs w:val="21"/>
                <w:highlight w:val="none"/>
                <w:u w:val="single"/>
                <w:lang w:val="en-US" w:eastAsia="zh-CN"/>
              </w:rPr>
              <w:t xml:space="preserve">  90  </w:t>
            </w:r>
            <w:r>
              <w:rPr>
                <w:rFonts w:hint="eastAsia" w:ascii="宋体" w:hAnsi="宋体" w:cs="宋体"/>
                <w:color w:val="auto"/>
                <w:sz w:val="21"/>
                <w:szCs w:val="21"/>
                <w:highlight w:val="none"/>
                <w:u w:val="none"/>
                <w:lang w:val="en-US" w:eastAsia="zh-CN"/>
              </w:rPr>
              <w:t>日</w:t>
            </w:r>
            <w:r>
              <w:rPr>
                <w:rFonts w:hint="eastAsia" w:ascii="宋体" w:hAnsi="宋体" w:eastAsia="宋体" w:cs="宋体"/>
                <w:color w:val="auto"/>
                <w:sz w:val="21"/>
                <w:szCs w:val="21"/>
                <w:highlight w:val="none"/>
              </w:rPr>
              <w:t>。</w:t>
            </w:r>
          </w:p>
        </w:tc>
      </w:tr>
      <w:tr w14:paraId="4BDB2C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2D145CC1">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094DD8EE">
            <w:pPr>
              <w:spacing w:line="380" w:lineRule="exact"/>
              <w:rPr>
                <w:rFonts w:hint="eastAsia" w:ascii="宋体" w:hAnsi="宋体" w:eastAsia="宋体" w:cs="宋体"/>
                <w:color w:val="auto"/>
                <w:sz w:val="21"/>
                <w:szCs w:val="21"/>
                <w:highlight w:val="none"/>
              </w:rPr>
            </w:pPr>
            <w:bookmarkStart w:id="96" w:name="_18"/>
            <w:bookmarkEnd w:id="96"/>
            <w:r>
              <w:rPr>
                <w:rFonts w:hint="eastAsia" w:ascii="宋体" w:hAnsi="宋体" w:eastAsia="宋体" w:cs="宋体"/>
                <w:color w:val="auto"/>
                <w:sz w:val="21"/>
                <w:szCs w:val="21"/>
                <w:highlight w:val="none"/>
              </w:rPr>
              <w:t>投标保证金金额</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12A836AB">
            <w:pPr>
              <w:autoSpaceDE w:val="0"/>
              <w:autoSpaceDN w:val="0"/>
              <w:snapToGrid w:val="0"/>
              <w:spacing w:line="360" w:lineRule="auto"/>
              <w:textAlignment w:val="bottom"/>
              <w:rPr>
                <w:rFonts w:hint="eastAsia" w:ascii="宋体" w:hAnsi="宋体" w:eastAsia="宋体" w:cs="宋体"/>
                <w:color w:val="auto"/>
                <w:sz w:val="21"/>
                <w:szCs w:val="21"/>
                <w:highlight w:val="none"/>
              </w:rPr>
            </w:pPr>
            <w:r>
              <w:rPr>
                <w:rFonts w:hint="eastAsia" w:ascii="宋体" w:hAnsi="宋体" w:eastAsia="宋体" w:cs="宋体"/>
                <w:b/>
                <w:bCs/>
                <w:color w:val="auto"/>
                <w:szCs w:val="21"/>
                <w:highlight w:val="none"/>
              </w:rPr>
              <w:t>本项目不需要缴纳投标保证金。</w:t>
            </w:r>
          </w:p>
        </w:tc>
      </w:tr>
      <w:tr w14:paraId="163615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72EE9B65">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7CCEEB4C">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投标文件编制要求</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6477D5B7">
            <w:pPr>
              <w:spacing w:line="360" w:lineRule="auto"/>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rPr>
              <w:t>投标文件应按报价文件、资格证明文件、商务文件、技术文件分别编制，报价文件、资格证明文件分别生</w:t>
            </w:r>
            <w:r>
              <w:rPr>
                <w:rFonts w:hint="eastAsia" w:ascii="宋体" w:hAnsi="宋体" w:cs="宋体"/>
                <w:color w:val="auto"/>
                <w:sz w:val="21"/>
                <w:szCs w:val="21"/>
                <w:highlight w:val="none"/>
                <w:lang w:eastAsia="zh-CN"/>
              </w:rPr>
              <w:t>成</w:t>
            </w:r>
            <w:r>
              <w:rPr>
                <w:rFonts w:hint="eastAsia" w:ascii="宋体" w:hAnsi="宋体" w:eastAsia="宋体" w:cs="宋体"/>
                <w:color w:val="auto"/>
                <w:sz w:val="21"/>
                <w:szCs w:val="21"/>
                <w:highlight w:val="none"/>
              </w:rPr>
              <w:t>电子文件，商务文件和技术文件按顺序合并生成电子文件。</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Cs w:val="21"/>
                <w:highlight w:val="none"/>
                <w:lang w:eastAsia="zh-CN"/>
              </w:rPr>
              <w:t>注：</w:t>
            </w:r>
            <w:r>
              <w:rPr>
                <w:rFonts w:hint="eastAsia" w:ascii="宋体" w:hAnsi="宋体" w:eastAsia="宋体" w:cs="宋体"/>
                <w:b/>
                <w:bCs/>
                <w:color w:val="auto"/>
                <w:szCs w:val="21"/>
                <w:highlight w:val="none"/>
              </w:rPr>
              <w:t>按照本</w:t>
            </w:r>
            <w:r>
              <w:rPr>
                <w:rFonts w:hint="eastAsia" w:ascii="宋体" w:hAnsi="宋体" w:eastAsia="宋体" w:cs="宋体"/>
                <w:b/>
                <w:bCs/>
                <w:color w:val="auto"/>
                <w:szCs w:val="21"/>
                <w:highlight w:val="none"/>
                <w:lang w:eastAsia="zh-CN"/>
              </w:rPr>
              <w:t>招标</w:t>
            </w:r>
            <w:r>
              <w:rPr>
                <w:rFonts w:hint="eastAsia" w:ascii="宋体" w:hAnsi="宋体" w:eastAsia="宋体" w:cs="宋体"/>
                <w:b/>
                <w:bCs/>
                <w:color w:val="auto"/>
                <w:szCs w:val="21"/>
                <w:highlight w:val="none"/>
              </w:rPr>
              <w:t>文件“</w:t>
            </w:r>
            <w:r>
              <w:rPr>
                <w:rFonts w:hint="eastAsia" w:ascii="宋体" w:hAnsi="宋体" w:cs="宋体"/>
                <w:b/>
                <w:bCs/>
                <w:color w:val="auto"/>
                <w:szCs w:val="21"/>
                <w:highlight w:val="none"/>
              </w:rPr>
              <w:t>第六章 投标文件格式</w:t>
            </w:r>
            <w:r>
              <w:rPr>
                <w:rFonts w:hint="eastAsia" w:ascii="宋体" w:hAnsi="宋体" w:eastAsia="宋体" w:cs="宋体"/>
                <w:b/>
                <w:bCs/>
                <w:color w:val="auto"/>
                <w:szCs w:val="21"/>
                <w:highlight w:val="none"/>
              </w:rPr>
              <w:t>”编写</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第</w:t>
            </w:r>
            <w:r>
              <w:rPr>
                <w:rFonts w:hint="eastAsia" w:ascii="宋体" w:hAnsi="宋体" w:eastAsia="宋体" w:cs="宋体"/>
                <w:b/>
                <w:bCs/>
                <w:color w:val="auto"/>
                <w:szCs w:val="21"/>
                <w:highlight w:val="none"/>
                <w:lang w:eastAsia="zh-CN"/>
              </w:rPr>
              <w:t>六</w:t>
            </w:r>
            <w:r>
              <w:rPr>
                <w:rFonts w:hint="eastAsia" w:ascii="宋体" w:hAnsi="宋体" w:eastAsia="宋体" w:cs="宋体"/>
                <w:b/>
                <w:bCs/>
                <w:color w:val="auto"/>
                <w:szCs w:val="21"/>
                <w:highlight w:val="none"/>
              </w:rPr>
              <w:t>章未附格式的，由</w:t>
            </w:r>
            <w:r>
              <w:rPr>
                <w:rFonts w:hint="eastAsia" w:ascii="宋体" w:hAnsi="宋体" w:eastAsia="宋体" w:cs="宋体"/>
                <w:b/>
                <w:bCs/>
                <w:color w:val="auto"/>
                <w:szCs w:val="21"/>
                <w:highlight w:val="none"/>
                <w:lang w:eastAsia="zh-CN"/>
              </w:rPr>
              <w:t>投标人</w:t>
            </w:r>
            <w:r>
              <w:rPr>
                <w:rFonts w:hint="eastAsia" w:ascii="宋体" w:hAnsi="宋体" w:eastAsia="宋体" w:cs="宋体"/>
                <w:b/>
                <w:bCs/>
                <w:color w:val="auto"/>
                <w:szCs w:val="21"/>
                <w:highlight w:val="none"/>
              </w:rPr>
              <w:t>自行拟定</w:t>
            </w:r>
            <w:r>
              <w:rPr>
                <w:rFonts w:hint="eastAsia" w:ascii="宋体" w:hAnsi="宋体" w:eastAsia="宋体" w:cs="宋体"/>
                <w:b/>
                <w:bCs/>
                <w:color w:val="auto"/>
                <w:szCs w:val="21"/>
                <w:highlight w:val="none"/>
                <w:lang w:eastAsia="zh-CN"/>
              </w:rPr>
              <w:t>。</w:t>
            </w:r>
            <w:r>
              <w:rPr>
                <w:rFonts w:hint="eastAsia" w:ascii="宋体" w:hAnsi="宋体" w:cs="宋体"/>
                <w:b/>
                <w:bCs/>
                <w:color w:val="auto"/>
                <w:szCs w:val="21"/>
                <w:highlight w:val="none"/>
                <w:lang w:eastAsia="zh-CN"/>
              </w:rPr>
              <w:t>）</w:t>
            </w:r>
          </w:p>
        </w:tc>
      </w:tr>
      <w:tr w14:paraId="24486A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65B0837E">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0A420748">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备份投标文件</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6A473201">
            <w:pPr>
              <w:autoSpaceDE w:val="0"/>
              <w:autoSpaceDN w:val="0"/>
              <w:snapToGrid w:val="0"/>
              <w:spacing w:line="38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本项目不接受备份投标文件。</w:t>
            </w:r>
          </w:p>
        </w:tc>
      </w:tr>
      <w:tr w14:paraId="3AB3B7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1027" w:type="dxa"/>
            <w:vMerge w:val="restart"/>
            <w:tcBorders>
              <w:top w:val="single" w:color="auto" w:sz="4" w:space="0"/>
              <w:left w:val="single" w:color="auto" w:sz="4" w:space="0"/>
              <w:bottom w:val="nil"/>
              <w:right w:val="single" w:color="auto" w:sz="4" w:space="0"/>
            </w:tcBorders>
            <w:noWrap w:val="0"/>
            <w:vAlign w:val="center"/>
          </w:tcPr>
          <w:p w14:paraId="219F5E03">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47981708">
            <w:pPr>
              <w:spacing w:line="380" w:lineRule="exact"/>
              <w:rPr>
                <w:rFonts w:hint="eastAsia" w:ascii="宋体" w:hAnsi="宋体" w:eastAsia="宋体" w:cs="宋体"/>
                <w:color w:val="auto"/>
                <w:sz w:val="21"/>
                <w:szCs w:val="21"/>
                <w:highlight w:val="none"/>
              </w:rPr>
            </w:pPr>
            <w:bookmarkStart w:id="97" w:name="_21.1"/>
            <w:bookmarkEnd w:id="97"/>
            <w:r>
              <w:rPr>
                <w:rFonts w:hint="eastAsia" w:ascii="宋体" w:hAnsi="宋体" w:eastAsia="宋体" w:cs="宋体"/>
                <w:color w:val="auto"/>
                <w:sz w:val="21"/>
                <w:szCs w:val="21"/>
                <w:highlight w:val="none"/>
              </w:rPr>
              <w:t>投标截止时间</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19FA3179">
            <w:pPr>
              <w:snapToGrid w:val="0"/>
              <w:spacing w:line="38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详见招标公告</w:t>
            </w:r>
          </w:p>
        </w:tc>
      </w:tr>
      <w:tr w14:paraId="329CBB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027" w:type="dxa"/>
            <w:vMerge w:val="continue"/>
            <w:tcBorders>
              <w:top w:val="single" w:color="auto" w:sz="4" w:space="0"/>
              <w:left w:val="single" w:color="auto" w:sz="4" w:space="0"/>
              <w:bottom w:val="nil"/>
              <w:right w:val="single" w:color="auto" w:sz="4" w:space="0"/>
            </w:tcBorders>
            <w:noWrap w:val="0"/>
            <w:vAlign w:val="center"/>
          </w:tcPr>
          <w:p w14:paraId="5FF7ACC3">
            <w:pPr>
              <w:widowControl/>
              <w:jc w:val="left"/>
              <w:rPr>
                <w:rFonts w:hint="eastAsia" w:ascii="宋体" w:hAnsi="宋体" w:eastAsia="宋体" w:cs="宋体"/>
                <w:color w:val="auto"/>
                <w:sz w:val="21"/>
                <w:szCs w:val="21"/>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43C1B244">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投标地点</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0E970FD1">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4069D0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3" w:hRule="atLeast"/>
          <w:jc w:val="center"/>
        </w:trPr>
        <w:tc>
          <w:tcPr>
            <w:tcW w:w="1027" w:type="dxa"/>
            <w:vMerge w:val="continue"/>
            <w:tcBorders>
              <w:top w:val="single" w:color="auto" w:sz="4" w:space="0"/>
              <w:left w:val="single" w:color="auto" w:sz="4" w:space="0"/>
              <w:bottom w:val="nil"/>
              <w:right w:val="single" w:color="auto" w:sz="4" w:space="0"/>
            </w:tcBorders>
            <w:noWrap w:val="0"/>
            <w:vAlign w:val="center"/>
          </w:tcPr>
          <w:p w14:paraId="4B0EBDEC">
            <w:pPr>
              <w:widowControl/>
              <w:jc w:val="left"/>
              <w:rPr>
                <w:rFonts w:hint="eastAsia" w:ascii="宋体" w:hAnsi="宋体" w:eastAsia="宋体" w:cs="宋体"/>
                <w:color w:val="auto"/>
                <w:sz w:val="21"/>
                <w:szCs w:val="21"/>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7CA1DA32">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投标人递交投标样品截止时间及地点</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5F408051">
            <w:pPr>
              <w:snapToGrid w:val="0"/>
              <w:spacing w:line="380" w:lineRule="exact"/>
              <w:rPr>
                <w:rFonts w:hint="eastAsia" w:ascii="宋体" w:hAnsi="宋体" w:eastAsia="宋体" w:cs="宋体"/>
                <w:color w:val="auto"/>
                <w:sz w:val="21"/>
                <w:szCs w:val="21"/>
                <w:highlight w:val="none"/>
                <w:lang w:eastAsia="zh-CN"/>
              </w:rPr>
            </w:pPr>
            <w:r>
              <w:rPr>
                <w:rFonts w:hint="eastAsia" w:ascii="宋体" w:hAnsi="宋体" w:cs="宋体"/>
                <w:bCs/>
                <w:color w:val="auto"/>
                <w:szCs w:val="21"/>
                <w:highlight w:val="none"/>
                <w:lang w:val="en-US" w:eastAsia="zh-CN"/>
              </w:rPr>
              <w:t>/</w:t>
            </w:r>
          </w:p>
        </w:tc>
      </w:tr>
      <w:tr w14:paraId="2A87FB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201651D0">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507469D3">
            <w:pPr>
              <w:spacing w:line="380" w:lineRule="exact"/>
              <w:rPr>
                <w:rFonts w:hint="eastAsia" w:ascii="宋体" w:hAnsi="宋体" w:eastAsia="宋体" w:cs="宋体"/>
                <w:color w:val="auto"/>
                <w:sz w:val="21"/>
                <w:szCs w:val="21"/>
                <w:highlight w:val="none"/>
              </w:rPr>
            </w:pPr>
            <w:bookmarkStart w:id="98" w:name="_23"/>
            <w:bookmarkEnd w:id="98"/>
            <w:r>
              <w:rPr>
                <w:rFonts w:hint="eastAsia" w:ascii="宋体" w:hAnsi="宋体" w:eastAsia="宋体" w:cs="宋体"/>
                <w:color w:val="auto"/>
                <w:sz w:val="21"/>
                <w:szCs w:val="21"/>
                <w:highlight w:val="none"/>
              </w:rPr>
              <w:t>开标时间、地点</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28569818">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详见招标公告 </w:t>
            </w:r>
          </w:p>
        </w:tc>
      </w:tr>
      <w:tr w14:paraId="06281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jc w:val="center"/>
        </w:trPr>
        <w:tc>
          <w:tcPr>
            <w:tcW w:w="1027" w:type="dxa"/>
            <w:vMerge w:val="restart"/>
            <w:tcBorders>
              <w:top w:val="single" w:color="auto" w:sz="4" w:space="0"/>
              <w:left w:val="single" w:color="auto" w:sz="4" w:space="0"/>
              <w:bottom w:val="single" w:color="auto" w:sz="4" w:space="0"/>
              <w:right w:val="single" w:color="auto" w:sz="4" w:space="0"/>
            </w:tcBorders>
            <w:noWrap w:val="0"/>
            <w:vAlign w:val="center"/>
          </w:tcPr>
          <w:p w14:paraId="49F88A52">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25.3（2）</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0239D710">
            <w:pPr>
              <w:spacing w:line="380" w:lineRule="exact"/>
              <w:rPr>
                <w:rFonts w:hint="eastAsia" w:ascii="宋体" w:hAnsi="宋体" w:eastAsia="宋体" w:cs="宋体"/>
                <w:color w:val="auto"/>
                <w:sz w:val="21"/>
                <w:szCs w:val="21"/>
                <w:highlight w:val="none"/>
              </w:rPr>
            </w:pPr>
            <w:bookmarkStart w:id="99" w:name="_25.3"/>
            <w:bookmarkEnd w:id="99"/>
            <w:r>
              <w:rPr>
                <w:rFonts w:hint="eastAsia" w:ascii="宋体" w:hAnsi="宋体" w:eastAsia="宋体" w:cs="宋体"/>
                <w:color w:val="auto"/>
                <w:sz w:val="21"/>
                <w:szCs w:val="21"/>
                <w:highlight w:val="none"/>
              </w:rPr>
              <w:t>投标人信用查询渠道</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34428A88">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采购人或者采购代理机构在资格审查结束前，对投标人进行信用查询。</w:t>
            </w:r>
          </w:p>
          <w:p w14:paraId="1F15FFD6">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查询渠道：“信用中国”网站(www.creditchina.gov.cn) 、中国政府采购网(www.ccgp.gov.cn)。</w:t>
            </w:r>
          </w:p>
        </w:tc>
      </w:tr>
      <w:tr w14:paraId="0E2567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41E7664C">
            <w:pPr>
              <w:widowControl/>
              <w:jc w:val="left"/>
              <w:rPr>
                <w:rFonts w:hint="eastAsia" w:ascii="宋体" w:hAnsi="宋体" w:eastAsia="宋体" w:cs="宋体"/>
                <w:color w:val="auto"/>
                <w:sz w:val="21"/>
                <w:szCs w:val="21"/>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48FD95CC">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信用查询截止时点</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524125F8">
            <w:pPr>
              <w:snapToGrid w:val="0"/>
              <w:spacing w:line="38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资格审查结束前</w:t>
            </w:r>
            <w:r>
              <w:rPr>
                <w:rFonts w:hint="eastAsia" w:ascii="宋体" w:hAnsi="宋体" w:cs="宋体"/>
                <w:color w:val="auto"/>
                <w:sz w:val="21"/>
                <w:szCs w:val="21"/>
                <w:highlight w:val="none"/>
                <w:lang w:eastAsia="zh-CN"/>
              </w:rPr>
              <w:t>。</w:t>
            </w:r>
          </w:p>
        </w:tc>
      </w:tr>
      <w:tr w14:paraId="2C99BD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6422A818">
            <w:pPr>
              <w:widowControl/>
              <w:jc w:val="left"/>
              <w:rPr>
                <w:rFonts w:hint="eastAsia" w:ascii="宋体" w:hAnsi="宋体" w:eastAsia="宋体" w:cs="宋体"/>
                <w:color w:val="auto"/>
                <w:sz w:val="21"/>
                <w:szCs w:val="21"/>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0A9CC71D">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查询记录和证据留存方式</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4052AD24">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在查询网站中直接截图查询记录，截图作为</w:t>
            </w:r>
            <w:r>
              <w:rPr>
                <w:rFonts w:hint="eastAsia" w:ascii="宋体" w:hAnsi="宋体" w:cs="宋体"/>
                <w:color w:val="auto"/>
                <w:szCs w:val="21"/>
                <w:highlight w:val="none"/>
                <w:lang w:val="en-US" w:eastAsia="zh-CN"/>
              </w:rPr>
              <w:t>附件</w:t>
            </w:r>
            <w:r>
              <w:rPr>
                <w:rFonts w:hint="eastAsia" w:ascii="宋体" w:hAnsi="宋体" w:cs="宋体"/>
                <w:color w:val="auto"/>
                <w:szCs w:val="21"/>
                <w:highlight w:val="none"/>
              </w:rPr>
              <w:t>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 w:val="21"/>
                <w:szCs w:val="21"/>
                <w:highlight w:val="none"/>
              </w:rPr>
              <w:t>上传保存。</w:t>
            </w:r>
          </w:p>
        </w:tc>
      </w:tr>
      <w:tr w14:paraId="3D4D18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08C95963">
            <w:pPr>
              <w:widowControl/>
              <w:jc w:val="left"/>
              <w:rPr>
                <w:rFonts w:hint="eastAsia" w:ascii="宋体" w:hAnsi="宋体" w:eastAsia="宋体" w:cs="宋体"/>
                <w:color w:val="auto"/>
                <w:sz w:val="21"/>
                <w:szCs w:val="21"/>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6D5F1EFF">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信用信息使用规则</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262C7B56">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对在“信用中国”网站(www.creditchina.gov.cn) 、中国政府采购网(www.ccgp.gov.cn)被列入失信被执行人、</w:t>
            </w:r>
            <w:r>
              <w:rPr>
                <w:rFonts w:hint="eastAsia" w:ascii="宋体" w:hAnsi="宋体" w:cs="宋体"/>
                <w:color w:val="auto"/>
                <w:sz w:val="21"/>
                <w:szCs w:val="21"/>
                <w:highlight w:val="none"/>
                <w:lang w:eastAsia="zh-CN"/>
              </w:rPr>
              <w:t>重大税收违法失信主体</w:t>
            </w:r>
            <w:r>
              <w:rPr>
                <w:rFonts w:hint="eastAsia" w:ascii="宋体" w:hAnsi="宋体" w:eastAsia="宋体" w:cs="宋体"/>
                <w:color w:val="auto"/>
                <w:sz w:val="21"/>
                <w:szCs w:val="21"/>
                <w:highlight w:val="none"/>
              </w:rPr>
              <w:t>、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694C74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789DABF8">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3EAC5FEB">
            <w:pPr>
              <w:spacing w:line="380" w:lineRule="exact"/>
              <w:rPr>
                <w:rFonts w:hint="eastAsia" w:ascii="宋体" w:hAnsi="宋体" w:eastAsia="宋体" w:cs="宋体"/>
                <w:color w:val="auto"/>
                <w:sz w:val="21"/>
                <w:szCs w:val="21"/>
                <w:highlight w:val="none"/>
              </w:rPr>
            </w:pPr>
            <w:bookmarkStart w:id="100" w:name="_28.3"/>
            <w:bookmarkEnd w:id="100"/>
            <w:bookmarkStart w:id="101" w:name="_26"/>
            <w:bookmarkEnd w:id="101"/>
            <w:r>
              <w:rPr>
                <w:rFonts w:hint="eastAsia" w:ascii="宋体" w:hAnsi="宋体" w:eastAsia="宋体" w:cs="宋体"/>
                <w:color w:val="auto"/>
                <w:sz w:val="21"/>
                <w:szCs w:val="21"/>
                <w:highlight w:val="none"/>
              </w:rPr>
              <w:t>评标方法</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1BA9FB28">
            <w:pPr>
              <w:autoSpaceDE w:val="0"/>
              <w:autoSpaceDN w:val="0"/>
              <w:snapToGrid w:val="0"/>
              <w:spacing w:line="38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综合评分法</w:t>
            </w:r>
          </w:p>
        </w:tc>
      </w:tr>
      <w:tr w14:paraId="5062F5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027" w:type="dxa"/>
            <w:tcBorders>
              <w:top w:val="single" w:color="auto" w:sz="4" w:space="0"/>
              <w:left w:val="single" w:color="auto" w:sz="4" w:space="0"/>
              <w:bottom w:val="nil"/>
              <w:right w:val="single" w:color="auto" w:sz="4" w:space="0"/>
            </w:tcBorders>
            <w:noWrap w:val="0"/>
            <w:vAlign w:val="center"/>
          </w:tcPr>
          <w:p w14:paraId="02407290">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29.2</w:t>
            </w:r>
          </w:p>
        </w:tc>
        <w:tc>
          <w:tcPr>
            <w:tcW w:w="2010" w:type="dxa"/>
            <w:tcBorders>
              <w:top w:val="single" w:color="auto" w:sz="4" w:space="0"/>
              <w:left w:val="single" w:color="auto" w:sz="4" w:space="0"/>
              <w:bottom w:val="nil"/>
              <w:right w:val="single" w:color="auto" w:sz="4" w:space="0"/>
            </w:tcBorders>
            <w:noWrap w:val="0"/>
            <w:vAlign w:val="center"/>
          </w:tcPr>
          <w:p w14:paraId="3AA55354">
            <w:pPr>
              <w:spacing w:line="380" w:lineRule="exact"/>
              <w:rPr>
                <w:rFonts w:hint="eastAsia" w:ascii="宋体" w:hAnsi="宋体" w:eastAsia="宋体" w:cs="宋体"/>
                <w:color w:val="auto"/>
                <w:sz w:val="21"/>
                <w:szCs w:val="21"/>
                <w:highlight w:val="none"/>
              </w:rPr>
            </w:pPr>
            <w:bookmarkStart w:id="102" w:name="_29.2.2（2）"/>
            <w:bookmarkEnd w:id="102"/>
            <w:r>
              <w:rPr>
                <w:rFonts w:hint="eastAsia" w:ascii="宋体" w:hAnsi="宋体" w:eastAsia="宋体" w:cs="宋体"/>
                <w:color w:val="auto"/>
                <w:sz w:val="21"/>
                <w:szCs w:val="21"/>
                <w:highlight w:val="none"/>
              </w:rPr>
              <w:t>允许负偏离项</w:t>
            </w:r>
          </w:p>
        </w:tc>
        <w:tc>
          <w:tcPr>
            <w:tcW w:w="7203" w:type="dxa"/>
            <w:tcBorders>
              <w:top w:val="single" w:color="auto" w:sz="4" w:space="0"/>
              <w:left w:val="single" w:color="auto" w:sz="4" w:space="0"/>
              <w:bottom w:val="nil"/>
              <w:right w:val="single" w:color="auto" w:sz="4" w:space="0"/>
            </w:tcBorders>
            <w:noWrap w:val="0"/>
            <w:vAlign w:val="center"/>
          </w:tcPr>
          <w:p w14:paraId="2E9D2DE9">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商务条款评审中允许负偏离的条款数为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0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w:t>
            </w:r>
          </w:p>
          <w:p w14:paraId="2B121D3B">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技术需求评审中允许负偏离的条款数为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0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w:t>
            </w:r>
          </w:p>
        </w:tc>
      </w:tr>
      <w:tr w14:paraId="43C83A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56BFC354">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30.1</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26CEFCAA">
            <w:pPr>
              <w:autoSpaceDE w:val="0"/>
              <w:autoSpaceDN w:val="0"/>
              <w:snapToGrid w:val="0"/>
              <w:spacing w:line="38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确定中标人时，出现中标候选人</w:t>
            </w:r>
            <w:r>
              <w:rPr>
                <w:rFonts w:hint="eastAsia" w:ascii="宋体" w:hAnsi="宋体" w:cs="宋体"/>
                <w:color w:val="auto"/>
                <w:szCs w:val="21"/>
                <w:highlight w:val="none"/>
                <w:lang w:eastAsia="zh-CN"/>
              </w:rPr>
              <w:t>排名</w:t>
            </w:r>
            <w:r>
              <w:rPr>
                <w:rFonts w:hint="eastAsia" w:ascii="宋体" w:hAnsi="宋体" w:eastAsia="宋体" w:cs="宋体"/>
                <w:color w:val="auto"/>
                <w:sz w:val="21"/>
                <w:szCs w:val="21"/>
                <w:highlight w:val="none"/>
              </w:rPr>
              <w:t xml:space="preserve">并列的情形，确定中标人方式 </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3528732C">
            <w:pPr>
              <w:pStyle w:val="11"/>
              <w:spacing w:line="360" w:lineRule="auto"/>
              <w:rPr>
                <w:rFonts w:hint="eastAsia"/>
                <w:b/>
                <w:bCs/>
                <w:color w:val="auto"/>
                <w:highlight w:val="none"/>
                <w:lang w:eastAsia="zh-CN"/>
              </w:rPr>
            </w:pPr>
            <w:r>
              <w:rPr>
                <w:rFonts w:hint="eastAsia" w:ascii="宋体" w:hAnsi="宋体" w:eastAsia="宋体" w:cs="宋体"/>
                <w:color w:val="auto"/>
                <w:szCs w:val="21"/>
                <w:highlight w:val="none"/>
              </w:rPr>
              <w:t>采购人确定中标人时，出现中标候选人并列的情形，采购人按以下的方式确定中标人：</w:t>
            </w:r>
          </w:p>
          <w:p w14:paraId="537FFDA0">
            <w:pPr>
              <w:autoSpaceDE w:val="0"/>
              <w:autoSpaceDN w:val="0"/>
              <w:snapToGrid w:val="0"/>
              <w:textAlignment w:val="bottom"/>
              <w:rPr>
                <w:rFonts w:hint="eastAsia" w:ascii="宋体" w:hAnsi="宋体" w:eastAsia="宋体" w:cs="宋体"/>
                <w:b/>
                <w:color w:val="auto"/>
                <w:sz w:val="21"/>
                <w:szCs w:val="21"/>
                <w:highlight w:val="none"/>
              </w:rPr>
            </w:pPr>
            <w:r>
              <w:rPr>
                <w:rFonts w:hint="eastAsia" w:ascii="宋体" w:hAnsi="宋体" w:eastAsia="宋体" w:cs="宋体"/>
                <w:color w:val="auto"/>
                <w:szCs w:val="21"/>
                <w:highlight w:val="none"/>
              </w:rPr>
              <w:t>技术分</w:t>
            </w:r>
            <w:r>
              <w:rPr>
                <w:rFonts w:hint="eastAsia" w:ascii="宋体" w:hAnsi="宋体" w:cs="宋体"/>
                <w:color w:val="auto"/>
                <w:szCs w:val="21"/>
                <w:highlight w:val="none"/>
                <w:lang w:eastAsia="zh-CN"/>
              </w:rPr>
              <w:t>得分</w:t>
            </w:r>
            <w:r>
              <w:rPr>
                <w:rFonts w:hint="eastAsia" w:ascii="宋体" w:hAnsi="宋体" w:eastAsia="宋体" w:cs="宋体"/>
                <w:color w:val="auto"/>
                <w:szCs w:val="21"/>
                <w:highlight w:val="none"/>
              </w:rPr>
              <w:t>高的优先、商务分</w:t>
            </w:r>
            <w:r>
              <w:rPr>
                <w:rFonts w:hint="eastAsia" w:ascii="宋体" w:hAnsi="宋体" w:cs="宋体"/>
                <w:color w:val="auto"/>
                <w:szCs w:val="21"/>
                <w:highlight w:val="none"/>
                <w:lang w:eastAsia="zh-CN"/>
              </w:rPr>
              <w:t>得分</w:t>
            </w:r>
            <w:r>
              <w:rPr>
                <w:rFonts w:hint="eastAsia" w:ascii="宋体" w:hAnsi="宋体" w:eastAsia="宋体" w:cs="宋体"/>
                <w:color w:val="auto"/>
                <w:szCs w:val="21"/>
                <w:highlight w:val="none"/>
              </w:rPr>
              <w:t>高的优先</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顺序</w:t>
            </w:r>
            <w:r>
              <w:rPr>
                <w:rFonts w:hint="eastAsia" w:ascii="宋体" w:hAnsi="宋体" w:cs="宋体"/>
                <w:color w:val="auto"/>
                <w:szCs w:val="21"/>
                <w:highlight w:val="none"/>
                <w:lang w:eastAsia="zh-CN"/>
              </w:rPr>
              <w:t>。</w:t>
            </w:r>
          </w:p>
        </w:tc>
      </w:tr>
      <w:tr w14:paraId="1588FC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1268E618">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121A444D">
            <w:pPr>
              <w:spacing w:line="380" w:lineRule="exact"/>
              <w:rPr>
                <w:rFonts w:hint="eastAsia" w:ascii="宋体" w:hAnsi="宋体" w:eastAsia="宋体" w:cs="宋体"/>
                <w:color w:val="auto"/>
                <w:sz w:val="21"/>
                <w:szCs w:val="21"/>
                <w:highlight w:val="none"/>
              </w:rPr>
            </w:pPr>
            <w:bookmarkStart w:id="103" w:name="_39.1"/>
            <w:bookmarkEnd w:id="103"/>
            <w:r>
              <w:rPr>
                <w:rFonts w:hint="eastAsia" w:ascii="宋体" w:hAnsi="宋体" w:eastAsia="宋体" w:cs="宋体"/>
                <w:color w:val="auto"/>
                <w:sz w:val="21"/>
                <w:szCs w:val="21"/>
                <w:highlight w:val="none"/>
              </w:rPr>
              <w:t>履约保证金金额</w:t>
            </w:r>
          </w:p>
        </w:tc>
        <w:tc>
          <w:tcPr>
            <w:tcW w:w="7203" w:type="dxa"/>
            <w:tcBorders>
              <w:top w:val="single" w:color="auto" w:sz="4" w:space="0"/>
              <w:left w:val="single" w:color="auto" w:sz="4" w:space="0"/>
              <w:bottom w:val="single" w:color="auto" w:sz="4" w:space="0"/>
              <w:right w:val="single" w:color="auto" w:sz="4" w:space="0"/>
            </w:tcBorders>
            <w:noWrap w:val="0"/>
            <w:vAlign w:val="bottom"/>
          </w:tcPr>
          <w:p w14:paraId="2A65AF61">
            <w:pPr>
              <w:spacing w:line="360" w:lineRule="auto"/>
              <w:ind w:firstLine="0" w:firstLineChars="0"/>
              <w:rPr>
                <w:rFonts w:hint="eastAsia" w:ascii="宋体" w:hAnsi="宋体" w:eastAsia="宋体" w:cs="宋体"/>
                <w:color w:val="auto"/>
                <w:sz w:val="21"/>
                <w:szCs w:val="21"/>
                <w:highlight w:val="none"/>
              </w:rPr>
            </w:pPr>
            <w:r>
              <w:rPr>
                <w:rFonts w:hint="eastAsia" w:ascii="宋体" w:hAnsi="宋体" w:cs="宋体"/>
                <w:b/>
                <w:bCs/>
                <w:color w:val="auto"/>
                <w:szCs w:val="21"/>
                <w:highlight w:val="none"/>
                <w:lang w:eastAsia="zh-CN"/>
              </w:rPr>
              <w:t>本项目不需要缴</w:t>
            </w:r>
            <w:r>
              <w:rPr>
                <w:rFonts w:hint="eastAsia" w:ascii="宋体" w:hAnsi="宋体" w:cs="宋体"/>
                <w:b/>
                <w:bCs/>
                <w:color w:val="auto"/>
                <w:kern w:val="0"/>
                <w:szCs w:val="21"/>
                <w:highlight w:val="none"/>
              </w:rPr>
              <w:t>纳</w:t>
            </w:r>
            <w:r>
              <w:rPr>
                <w:rFonts w:hint="eastAsia" w:ascii="宋体" w:hAnsi="宋体" w:cs="宋体"/>
                <w:b/>
                <w:bCs/>
                <w:color w:val="auto"/>
                <w:szCs w:val="21"/>
                <w:highlight w:val="none"/>
              </w:rPr>
              <w:t>履约</w:t>
            </w:r>
            <w:r>
              <w:rPr>
                <w:rFonts w:hint="eastAsia" w:ascii="宋体" w:hAnsi="宋体" w:cs="宋体"/>
                <w:b/>
                <w:bCs/>
                <w:color w:val="auto"/>
                <w:szCs w:val="21"/>
                <w:highlight w:val="none"/>
                <w:lang w:eastAsia="zh-CN"/>
              </w:rPr>
              <w:t>保证金。</w:t>
            </w:r>
          </w:p>
        </w:tc>
      </w:tr>
      <w:tr w14:paraId="67AB65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02A0765A">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7276696E">
            <w:pPr>
              <w:spacing w:line="380" w:lineRule="exact"/>
              <w:rPr>
                <w:rFonts w:hint="eastAsia" w:ascii="宋体" w:hAnsi="宋体" w:eastAsia="宋体" w:cs="宋体"/>
                <w:color w:val="auto"/>
                <w:sz w:val="21"/>
                <w:szCs w:val="21"/>
                <w:highlight w:val="none"/>
              </w:rPr>
            </w:pPr>
            <w:bookmarkStart w:id="104" w:name="_40.1"/>
            <w:bookmarkEnd w:id="104"/>
            <w:r>
              <w:rPr>
                <w:rFonts w:hint="eastAsia" w:ascii="宋体" w:hAnsi="宋体" w:eastAsia="宋体" w:cs="宋体"/>
                <w:color w:val="auto"/>
                <w:sz w:val="21"/>
                <w:szCs w:val="21"/>
                <w:highlight w:val="none"/>
              </w:rPr>
              <w:t>签订合同携带的材料</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55F44AEA">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委托代理人负责签订合同的，须携带</w:t>
            </w:r>
            <w:r>
              <w:rPr>
                <w:rFonts w:hint="eastAsia" w:ascii="宋体" w:hAnsi="宋体" w:eastAsia="宋体" w:cs="宋体"/>
                <w:color w:val="auto"/>
                <w:szCs w:val="21"/>
                <w:highlight w:val="none"/>
                <w:lang w:eastAsia="zh-CN"/>
              </w:rPr>
              <w:t>有效的法定代表人</w:t>
            </w:r>
            <w:r>
              <w:rPr>
                <w:rFonts w:hint="eastAsia" w:ascii="宋体" w:hAnsi="宋体" w:eastAsia="宋体" w:cs="宋体"/>
                <w:color w:val="auto"/>
                <w:szCs w:val="21"/>
                <w:highlight w:val="none"/>
              </w:rPr>
              <w:t>授权委托书及</w:t>
            </w:r>
            <w:r>
              <w:rPr>
                <w:rFonts w:hint="eastAsia" w:ascii="宋体" w:hAnsi="宋体" w:eastAsia="宋体" w:cs="宋体"/>
                <w:color w:val="auto"/>
                <w:szCs w:val="21"/>
                <w:highlight w:val="none"/>
                <w:lang w:eastAsia="zh-CN"/>
              </w:rPr>
              <w:t>其</w:t>
            </w:r>
            <w:r>
              <w:rPr>
                <w:rFonts w:hint="eastAsia" w:ascii="宋体" w:hAnsi="宋体" w:eastAsia="宋体" w:cs="宋体"/>
                <w:color w:val="auto"/>
                <w:szCs w:val="21"/>
                <w:highlight w:val="none"/>
              </w:rPr>
              <w:t>委托代理人身份证原件等</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资格证件。</w:t>
            </w:r>
          </w:p>
          <w:p w14:paraId="36AF6A8A">
            <w:pPr>
              <w:autoSpaceDE w:val="0"/>
              <w:autoSpaceDN w:val="0"/>
              <w:snapToGrid w:val="0"/>
              <w:spacing w:line="38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法定代表人负责签订合同的，须携带法定代表人身份证明原件及身份证原件等</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证明材料。</w:t>
            </w:r>
          </w:p>
        </w:tc>
      </w:tr>
      <w:tr w14:paraId="520A90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1027" w:type="dxa"/>
            <w:vMerge w:val="restart"/>
            <w:tcBorders>
              <w:top w:val="single" w:color="auto" w:sz="4" w:space="0"/>
              <w:left w:val="single" w:color="auto" w:sz="4" w:space="0"/>
              <w:bottom w:val="single" w:color="auto" w:sz="4" w:space="0"/>
              <w:right w:val="single" w:color="auto" w:sz="4" w:space="0"/>
            </w:tcBorders>
            <w:noWrap w:val="0"/>
            <w:vAlign w:val="center"/>
          </w:tcPr>
          <w:p w14:paraId="79FD89B6">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38.2.1</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0F06C70C">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接收质疑函方式</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3278B223">
            <w:pPr>
              <w:snapToGrid w:val="0"/>
              <w:spacing w:line="38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以书面形式</w:t>
            </w:r>
            <w:r>
              <w:rPr>
                <w:rFonts w:hint="eastAsia" w:ascii="宋体" w:hAnsi="宋体" w:cs="宋体"/>
                <w:color w:val="auto"/>
                <w:sz w:val="21"/>
                <w:szCs w:val="21"/>
                <w:highlight w:val="none"/>
                <w:lang w:eastAsia="zh-CN"/>
              </w:rPr>
              <w:t>。</w:t>
            </w:r>
          </w:p>
        </w:tc>
      </w:tr>
      <w:tr w14:paraId="33786F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218EA911">
            <w:pPr>
              <w:widowControl/>
              <w:jc w:val="left"/>
              <w:rPr>
                <w:rFonts w:hint="eastAsia" w:ascii="宋体" w:hAnsi="宋体" w:eastAsia="宋体" w:cs="宋体"/>
                <w:color w:val="auto"/>
                <w:sz w:val="21"/>
                <w:szCs w:val="21"/>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660B7DCB">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质疑联系部门及联系方式</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6B328097">
            <w:pPr>
              <w:snapToGrid w:val="0"/>
              <w:spacing w:line="38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（1）名称：贵港市江南中学（采购人）</w:t>
            </w:r>
            <w:r>
              <w:rPr>
                <w:rFonts w:hint="eastAsia" w:ascii="宋体" w:hAnsi="宋体" w:cs="宋体"/>
                <w:color w:val="auto"/>
                <w:szCs w:val="21"/>
                <w:highlight w:val="none"/>
                <w:lang w:val="en-US" w:eastAsia="zh-CN"/>
              </w:rPr>
              <w:t xml:space="preserve"> </w:t>
            </w:r>
          </w:p>
          <w:p w14:paraId="50462438">
            <w:pPr>
              <w:snapToGrid w:val="0"/>
              <w:spacing w:line="38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联系电话：</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0775-4332645</w:t>
            </w:r>
          </w:p>
          <w:p w14:paraId="2ED7A48D">
            <w:pPr>
              <w:snapToGrid w:val="0"/>
              <w:spacing w:line="38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通讯地址：</w:t>
            </w:r>
            <w:r>
              <w:rPr>
                <w:rFonts w:hint="eastAsia" w:ascii="宋体" w:hAnsi="宋体" w:cs="宋体"/>
                <w:color w:val="auto"/>
                <w:szCs w:val="21"/>
                <w:highlight w:val="none"/>
              </w:rPr>
              <w:t>贵港市港南区江南大道207号</w:t>
            </w:r>
          </w:p>
          <w:p w14:paraId="0820CCAC">
            <w:pPr>
              <w:snapToGrid w:val="0"/>
              <w:spacing w:line="38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（2）名称：广西云立方工程管理有限公司（采购代理机构）</w:t>
            </w:r>
            <w:r>
              <w:rPr>
                <w:rFonts w:hint="eastAsia" w:ascii="宋体" w:hAnsi="宋体" w:cs="宋体"/>
                <w:color w:val="auto"/>
                <w:szCs w:val="21"/>
                <w:highlight w:val="none"/>
                <w:lang w:val="en-US" w:eastAsia="zh-CN"/>
              </w:rPr>
              <w:t xml:space="preserve"> </w:t>
            </w:r>
          </w:p>
          <w:p w14:paraId="5B654E27">
            <w:pPr>
              <w:snapToGrid w:val="0"/>
              <w:spacing w:line="38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联系电话：</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0775-4338136</w:t>
            </w:r>
            <w:r>
              <w:rPr>
                <w:rFonts w:hint="eastAsia" w:ascii="宋体" w:hAnsi="宋体" w:cs="宋体"/>
                <w:color w:val="auto"/>
                <w:szCs w:val="21"/>
                <w:highlight w:val="none"/>
                <w:lang w:val="en-US" w:eastAsia="zh-CN"/>
              </w:rPr>
              <w:t xml:space="preserve"> </w:t>
            </w:r>
          </w:p>
          <w:p w14:paraId="6E7BEC56">
            <w:pPr>
              <w:snapToGrid w:val="0"/>
              <w:spacing w:line="380" w:lineRule="exact"/>
              <w:rPr>
                <w:rFonts w:hint="eastAsia" w:ascii="宋体" w:hAnsi="宋体" w:eastAsia="宋体" w:cs="宋体"/>
                <w:color w:val="auto"/>
                <w:sz w:val="21"/>
                <w:szCs w:val="21"/>
                <w:highlight w:val="none"/>
              </w:rPr>
            </w:pPr>
            <w:r>
              <w:rPr>
                <w:rFonts w:hint="eastAsia" w:ascii="宋体" w:hAnsi="宋体" w:cs="宋体"/>
                <w:color w:val="auto"/>
                <w:szCs w:val="21"/>
                <w:highlight w:val="none"/>
                <w:lang w:eastAsia="zh-CN"/>
              </w:rPr>
              <w:t>通讯地址：贵港市港北区金港大道935号</w:t>
            </w:r>
            <w:r>
              <w:rPr>
                <w:rFonts w:hint="eastAsia" w:asciiTheme="minorEastAsia" w:hAnsiTheme="minorEastAsia" w:eastAsiaTheme="minorEastAsia" w:cstheme="minorEastAsia"/>
                <w:color w:val="auto"/>
                <w:highlight w:val="none"/>
                <w:lang w:eastAsia="zh-CN"/>
              </w:rPr>
              <w:t>（财富中心）1幢1725号</w:t>
            </w:r>
            <w:r>
              <w:rPr>
                <w:rFonts w:hint="eastAsia" w:ascii="宋体" w:hAnsi="宋体" w:cs="宋体"/>
                <w:color w:val="auto"/>
                <w:szCs w:val="21"/>
                <w:highlight w:val="none"/>
                <w:lang w:val="en-US" w:eastAsia="zh-CN"/>
              </w:rPr>
              <w:t xml:space="preserve"> </w:t>
            </w:r>
          </w:p>
        </w:tc>
      </w:tr>
      <w:tr w14:paraId="2455F2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6F065A8A">
            <w:pPr>
              <w:widowControl/>
              <w:jc w:val="left"/>
              <w:rPr>
                <w:rFonts w:hint="eastAsia" w:ascii="宋体" w:hAnsi="宋体" w:eastAsia="宋体" w:cs="宋体"/>
                <w:color w:val="auto"/>
                <w:sz w:val="21"/>
                <w:szCs w:val="21"/>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3418A079">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现场提交质疑办理业务时间</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60E6004F">
            <w:pPr>
              <w:snapToGrid w:val="0"/>
              <w:spacing w:line="38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质疑期内每个工作日（北京时间）</w:t>
            </w:r>
            <w:r>
              <w:rPr>
                <w:rFonts w:hint="eastAsia" w:ascii="宋体" w:hAnsi="宋体" w:cs="宋体"/>
                <w:color w:val="auto"/>
                <w:sz w:val="21"/>
                <w:szCs w:val="21"/>
                <w:highlight w:val="none"/>
                <w:lang w:eastAsia="zh-CN"/>
              </w:rPr>
              <w:t>上午</w:t>
            </w:r>
            <w:r>
              <w:rPr>
                <w:rFonts w:hint="eastAsia" w:ascii="宋体" w:hAnsi="宋体" w:eastAsia="宋体" w:cs="宋体"/>
                <w:color w:val="auto"/>
                <w:sz w:val="21"/>
                <w:szCs w:val="21"/>
                <w:highlight w:val="none"/>
                <w:u w:val="single"/>
              </w:rPr>
              <w:t>8</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分到</w:t>
            </w:r>
            <w:r>
              <w:rPr>
                <w:rFonts w:hint="eastAsia" w:ascii="宋体" w:hAnsi="宋体" w:eastAsia="宋体" w:cs="宋体"/>
                <w:color w:val="auto"/>
                <w:sz w:val="21"/>
                <w:szCs w:val="21"/>
                <w:highlight w:val="none"/>
                <w:u w:val="single"/>
              </w:rPr>
              <w:t>12</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下午</w:t>
            </w:r>
            <w:r>
              <w:rPr>
                <w:rFonts w:hint="eastAsia" w:ascii="宋体" w:hAnsi="宋体" w:eastAsia="宋体" w:cs="宋体"/>
                <w:color w:val="auto"/>
                <w:sz w:val="21"/>
                <w:szCs w:val="21"/>
                <w:highlight w:val="none"/>
                <w:u w:val="single"/>
              </w:rPr>
              <w:t>15</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分到</w:t>
            </w:r>
            <w:r>
              <w:rPr>
                <w:rFonts w:hint="eastAsia" w:ascii="宋体" w:hAnsi="宋体" w:eastAsia="宋体" w:cs="宋体"/>
                <w:color w:val="auto"/>
                <w:sz w:val="21"/>
                <w:szCs w:val="21"/>
                <w:highlight w:val="none"/>
                <w:u w:val="single"/>
              </w:rPr>
              <w:t>18</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p>
        </w:tc>
      </w:tr>
      <w:tr w14:paraId="0B529D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3" w:hRule="atLeast"/>
          <w:jc w:val="center"/>
        </w:trPr>
        <w:tc>
          <w:tcPr>
            <w:tcW w:w="1027" w:type="dxa"/>
            <w:tcBorders>
              <w:top w:val="nil"/>
              <w:left w:val="single" w:color="auto" w:sz="4" w:space="0"/>
              <w:bottom w:val="single" w:color="auto" w:sz="4" w:space="0"/>
              <w:right w:val="single" w:color="auto" w:sz="4" w:space="0"/>
            </w:tcBorders>
            <w:noWrap w:val="0"/>
            <w:vAlign w:val="center"/>
          </w:tcPr>
          <w:p w14:paraId="0C4B3ECE">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38.3.1</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0A269236">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投诉受理方式</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3269C539">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1、受理方式：纸质方式受理，投诉书正、副本（经过质疑的事项才可投诉）。</w:t>
            </w:r>
          </w:p>
          <w:p w14:paraId="57ECDBD4">
            <w:pPr>
              <w:snapToGrid w:val="0"/>
              <w:spacing w:line="380" w:lineRule="exact"/>
              <w:rPr>
                <w:rFonts w:hint="eastAsia" w:ascii="宋体" w:hAnsi="宋体" w:cs="宋体"/>
                <w:color w:val="auto"/>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Cs w:val="21"/>
                <w:highlight w:val="none"/>
                <w:lang w:eastAsia="zh-CN"/>
              </w:rPr>
              <w:t>通讯</w:t>
            </w:r>
            <w:r>
              <w:rPr>
                <w:rFonts w:hint="eastAsia" w:ascii="宋体" w:hAnsi="宋体" w:cs="宋体"/>
                <w:color w:val="auto"/>
                <w:highlight w:val="none"/>
                <w:lang w:eastAsia="zh-CN"/>
              </w:rPr>
              <w:t>方式</w:t>
            </w:r>
          </w:p>
          <w:p w14:paraId="3372B4B0">
            <w:pPr>
              <w:snapToGrid w:val="0"/>
              <w:spacing w:line="380" w:lineRule="exact"/>
              <w:rPr>
                <w:rFonts w:hint="eastAsia" w:ascii="宋体" w:hAnsi="宋体" w:cs="宋体"/>
                <w:color w:val="auto"/>
                <w:sz w:val="18"/>
                <w:szCs w:val="21"/>
                <w:highlight w:val="none"/>
              </w:rPr>
            </w:pPr>
            <w:r>
              <w:rPr>
                <w:rFonts w:hint="eastAsia" w:ascii="宋体" w:hAnsi="宋体" w:cs="宋体"/>
                <w:color w:val="auto"/>
                <w:highlight w:val="none"/>
              </w:rPr>
              <w:t>名称：</w:t>
            </w:r>
            <w:r>
              <w:rPr>
                <w:rFonts w:hint="eastAsia" w:ascii="宋体" w:hAnsi="宋体" w:eastAsia="宋体" w:cs="宋体"/>
                <w:b w:val="0"/>
                <w:bCs w:val="0"/>
                <w:i w:val="0"/>
                <w:iCs w:val="0"/>
                <w:caps w:val="0"/>
                <w:color w:val="auto"/>
                <w:spacing w:val="0"/>
                <w:sz w:val="22"/>
                <w:szCs w:val="22"/>
                <w:highlight w:val="none"/>
              </w:rPr>
              <w:t>贵港市财政局政府采购监督管理科</w:t>
            </w:r>
          </w:p>
          <w:p w14:paraId="2E782F9E">
            <w:pPr>
              <w:snapToGrid w:val="0"/>
              <w:spacing w:line="380" w:lineRule="exact"/>
              <w:rPr>
                <w:rFonts w:hint="eastAsia" w:ascii="宋体" w:hAnsi="宋体" w:cs="宋体"/>
                <w:color w:val="auto"/>
                <w:sz w:val="18"/>
                <w:szCs w:val="21"/>
                <w:highlight w:val="none"/>
              </w:rPr>
            </w:pPr>
            <w:r>
              <w:rPr>
                <w:rFonts w:hint="eastAsia" w:ascii="宋体" w:hAnsi="宋体" w:cs="宋体"/>
                <w:color w:val="auto"/>
                <w:sz w:val="21"/>
                <w:szCs w:val="24"/>
                <w:highlight w:val="none"/>
              </w:rPr>
              <w:t>地址</w:t>
            </w:r>
            <w:r>
              <w:rPr>
                <w:rFonts w:hint="eastAsia" w:ascii="宋体" w:hAnsi="宋体" w:cs="宋体"/>
                <w:color w:val="auto"/>
                <w:sz w:val="18"/>
                <w:szCs w:val="21"/>
                <w:highlight w:val="none"/>
              </w:rPr>
              <w:t>：</w:t>
            </w:r>
            <w:r>
              <w:rPr>
                <w:rFonts w:hint="eastAsia" w:ascii="宋体" w:hAnsi="宋体" w:eastAsia="宋体" w:cs="宋体"/>
                <w:b w:val="0"/>
                <w:bCs w:val="0"/>
                <w:i w:val="0"/>
                <w:iCs w:val="0"/>
                <w:caps w:val="0"/>
                <w:color w:val="auto"/>
                <w:spacing w:val="0"/>
                <w:sz w:val="22"/>
                <w:szCs w:val="22"/>
                <w:highlight w:val="none"/>
              </w:rPr>
              <w:t>贵港市</w:t>
            </w:r>
            <w:r>
              <w:rPr>
                <w:rFonts w:hint="eastAsia" w:ascii="宋体" w:hAnsi="宋体" w:eastAsia="宋体" w:cs="宋体"/>
                <w:b w:val="0"/>
                <w:bCs w:val="0"/>
                <w:i w:val="0"/>
                <w:iCs w:val="0"/>
                <w:caps w:val="0"/>
                <w:color w:val="auto"/>
                <w:spacing w:val="0"/>
                <w:sz w:val="22"/>
                <w:szCs w:val="22"/>
                <w:highlight w:val="none"/>
                <w:lang w:eastAsia="zh-CN"/>
              </w:rPr>
              <w:t>港北区金港大道</w:t>
            </w:r>
            <w:r>
              <w:rPr>
                <w:rFonts w:hint="eastAsia" w:ascii="宋体" w:hAnsi="宋体" w:cs="宋体"/>
                <w:color w:val="auto"/>
                <w:sz w:val="18"/>
                <w:szCs w:val="21"/>
                <w:highlight w:val="none"/>
                <w:lang w:eastAsia="zh-CN"/>
              </w:rPr>
              <w:t xml:space="preserve"> </w:t>
            </w:r>
            <w:r>
              <w:rPr>
                <w:rFonts w:hint="eastAsia" w:ascii="宋体" w:hAnsi="宋体" w:cs="宋体"/>
                <w:color w:val="auto"/>
                <w:sz w:val="18"/>
                <w:szCs w:val="21"/>
                <w:highlight w:val="none"/>
              </w:rPr>
              <w:t xml:space="preserve"> </w:t>
            </w:r>
          </w:p>
          <w:p w14:paraId="410F6236">
            <w:pPr>
              <w:snapToGrid w:val="0"/>
              <w:spacing w:line="360" w:lineRule="auto"/>
              <w:rPr>
                <w:rFonts w:hint="eastAsia" w:ascii="宋体" w:hAnsi="宋体" w:eastAsia="宋体" w:cs="宋体"/>
                <w:color w:val="auto"/>
                <w:sz w:val="21"/>
                <w:szCs w:val="21"/>
                <w:highlight w:val="none"/>
                <w:lang w:eastAsia="zh-CN"/>
              </w:rPr>
            </w:pPr>
            <w:r>
              <w:rPr>
                <w:rFonts w:hint="eastAsia" w:ascii="宋体" w:hAnsi="宋体" w:cs="宋体"/>
                <w:color w:val="auto"/>
                <w:sz w:val="22"/>
                <w:szCs w:val="28"/>
                <w:highlight w:val="none"/>
              </w:rPr>
              <w:t>联系电话：</w:t>
            </w:r>
            <w:r>
              <w:rPr>
                <w:rFonts w:hint="eastAsia" w:ascii="宋体" w:hAnsi="宋体" w:eastAsia="宋体" w:cs="宋体"/>
                <w:b w:val="0"/>
                <w:bCs w:val="0"/>
                <w:i w:val="0"/>
                <w:iCs w:val="0"/>
                <w:caps w:val="0"/>
                <w:color w:val="auto"/>
                <w:spacing w:val="0"/>
                <w:sz w:val="22"/>
                <w:szCs w:val="22"/>
                <w:highlight w:val="none"/>
              </w:rPr>
              <w:t>0775-4555290、0775-4564649</w:t>
            </w:r>
            <w:r>
              <w:rPr>
                <w:rFonts w:hint="eastAsia" w:ascii="宋体" w:hAnsi="宋体" w:cs="宋体"/>
                <w:color w:val="auto"/>
                <w:highlight w:val="none"/>
                <w:lang w:eastAsia="zh-CN"/>
              </w:rPr>
              <w:t xml:space="preserve"> </w:t>
            </w:r>
          </w:p>
        </w:tc>
      </w:tr>
      <w:tr w14:paraId="7E03B4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1027" w:type="dxa"/>
            <w:vMerge w:val="restart"/>
            <w:tcBorders>
              <w:top w:val="single" w:color="auto" w:sz="4" w:space="0"/>
              <w:left w:val="single" w:color="auto" w:sz="4" w:space="0"/>
              <w:bottom w:val="single" w:color="auto" w:sz="4" w:space="0"/>
              <w:right w:val="single" w:color="auto" w:sz="4" w:space="0"/>
            </w:tcBorders>
            <w:noWrap w:val="0"/>
            <w:vAlign w:val="center"/>
          </w:tcPr>
          <w:p w14:paraId="35909DBC">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08C7D389">
            <w:pPr>
              <w:spacing w:line="380" w:lineRule="exact"/>
              <w:rPr>
                <w:rFonts w:hint="eastAsia" w:ascii="宋体" w:hAnsi="宋体" w:eastAsia="宋体" w:cs="宋体"/>
                <w:color w:val="auto"/>
                <w:sz w:val="21"/>
                <w:szCs w:val="21"/>
                <w:highlight w:val="none"/>
              </w:rPr>
            </w:pPr>
            <w:bookmarkStart w:id="105" w:name="_41"/>
            <w:bookmarkEnd w:id="105"/>
            <w:bookmarkStart w:id="106" w:name="_42"/>
            <w:bookmarkEnd w:id="106"/>
            <w:r>
              <w:rPr>
                <w:rFonts w:hint="eastAsia" w:ascii="宋体" w:hAnsi="宋体" w:eastAsia="宋体" w:cs="宋体"/>
                <w:color w:val="auto"/>
                <w:sz w:val="21"/>
                <w:szCs w:val="21"/>
                <w:highlight w:val="none"/>
              </w:rPr>
              <w:t>采购代理</w:t>
            </w:r>
            <w:r>
              <w:rPr>
                <w:rFonts w:hint="eastAsia" w:ascii="宋体" w:hAnsi="宋体" w:cs="宋体"/>
                <w:color w:val="auto"/>
                <w:sz w:val="21"/>
                <w:szCs w:val="21"/>
                <w:highlight w:val="none"/>
                <w:lang w:eastAsia="zh-CN"/>
              </w:rPr>
              <w:t>服务</w:t>
            </w:r>
            <w:r>
              <w:rPr>
                <w:rFonts w:hint="eastAsia" w:ascii="宋体" w:hAnsi="宋体" w:eastAsia="宋体" w:cs="宋体"/>
                <w:color w:val="auto"/>
                <w:sz w:val="21"/>
                <w:szCs w:val="21"/>
                <w:highlight w:val="none"/>
              </w:rPr>
              <w:t>费支付方式</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1E0F4103">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本项目采购代理服务费由中标人在签订合同前，以银行转账、电汇等方式一 </w:t>
            </w:r>
          </w:p>
          <w:p w14:paraId="29BB75BA">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次性向采购代理机构支付。</w:t>
            </w:r>
          </w:p>
        </w:tc>
      </w:tr>
      <w:tr w14:paraId="194EDF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8" w:hRule="atLeas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20939A77">
            <w:pPr>
              <w:widowControl/>
              <w:jc w:val="left"/>
              <w:rPr>
                <w:rFonts w:hint="eastAsia" w:ascii="宋体" w:hAnsi="宋体" w:eastAsia="宋体" w:cs="宋体"/>
                <w:color w:val="auto"/>
                <w:sz w:val="21"/>
                <w:szCs w:val="21"/>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057B075A">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采购代理费收取标准</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4DA068BF">
            <w:pPr>
              <w:snapToGrid w:val="0"/>
              <w:spacing w:line="380" w:lineRule="exact"/>
              <w:rPr>
                <w:rFonts w:hint="eastAsia" w:ascii="宋体" w:hAnsi="宋体" w:eastAsia="宋体" w:cs="宋体"/>
                <w:b w:val="0"/>
                <w:bCs w:val="0"/>
                <w:i w:val="0"/>
                <w:iCs w:val="0"/>
                <w:caps w:val="0"/>
                <w:color w:val="auto"/>
                <w:spacing w:val="0"/>
                <w:sz w:val="22"/>
                <w:szCs w:val="22"/>
                <w:highlight w:val="none"/>
                <w:lang w:eastAsia="zh-CN"/>
              </w:rPr>
            </w:pPr>
            <w:r>
              <w:rPr>
                <w:rFonts w:hint="eastAsia" w:ascii="宋体" w:hAnsi="宋体" w:eastAsia="宋体" w:cs="宋体"/>
                <w:b w:val="0"/>
                <w:bCs w:val="0"/>
                <w:i w:val="0"/>
                <w:iCs w:val="0"/>
                <w:caps w:val="0"/>
                <w:color w:val="auto"/>
                <w:spacing w:val="0"/>
                <w:sz w:val="22"/>
                <w:szCs w:val="22"/>
                <w:highlight w:val="none"/>
                <w:lang w:val="en-US" w:eastAsia="zh-CN"/>
              </w:rPr>
              <w:t xml:space="preserve">固定采购代理收费：本项目的招标代理服务费根据国家发展改革委《关于进一步放开建设项目专业服务价格的通知 》发改价格〔2015〕299 号文计取，本项目代理服务费共人民币壹万伍仟陆佰元整（¥15600.00），由各分标的中标人分别向招标代理机构支付。在签订合同前，中标人应向招标代理机构一次付清招标代理服务费。否则，招标代理机构将视之为违约并上报政府采购监督部门。 </w:t>
            </w:r>
            <w:bookmarkStart w:id="414" w:name="_GoBack"/>
            <w:bookmarkEnd w:id="414"/>
          </w:p>
          <w:p w14:paraId="2E52A61F">
            <w:pPr>
              <w:snapToGrid w:val="0"/>
              <w:spacing w:line="380" w:lineRule="exact"/>
              <w:rPr>
                <w:rFonts w:hint="default"/>
                <w:color w:val="auto"/>
                <w:highlight w:val="none"/>
                <w:lang w:val="en-US" w:eastAsia="zh-CN"/>
              </w:rPr>
            </w:pPr>
            <w:r>
              <w:rPr>
                <w:rFonts w:hint="eastAsia" w:ascii="宋体" w:hAnsi="宋体" w:eastAsia="宋体" w:cs="宋体"/>
                <w:b w:val="0"/>
                <w:bCs w:val="0"/>
                <w:i w:val="0"/>
                <w:iCs w:val="0"/>
                <w:caps w:val="0"/>
                <w:color w:val="auto"/>
                <w:spacing w:val="0"/>
                <w:sz w:val="22"/>
                <w:szCs w:val="22"/>
                <w:highlight w:val="none"/>
                <w:lang w:val="en-US" w:eastAsia="zh-CN"/>
              </w:rPr>
              <w:t>不论投标结果如何，投标人均应自行承担所有与投标有关的全部费用。</w:t>
            </w:r>
          </w:p>
        </w:tc>
      </w:tr>
      <w:tr w14:paraId="67DE39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5" w:hRule="atLeas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14:paraId="0A72846C">
            <w:pPr>
              <w:widowControl/>
              <w:jc w:val="left"/>
              <w:rPr>
                <w:rFonts w:hint="eastAsia" w:ascii="宋体" w:hAnsi="宋体" w:eastAsia="宋体" w:cs="宋体"/>
                <w:color w:val="auto"/>
                <w:sz w:val="21"/>
                <w:szCs w:val="21"/>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5F6CDAE1">
            <w:pPr>
              <w:spacing w:line="38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代理服务费收款账户信息</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065DF3AF">
            <w:pPr>
              <w:pStyle w:val="17"/>
              <w:snapToGrid w:val="0"/>
              <w:spacing w:line="360" w:lineRule="auto"/>
              <w:rPr>
                <w:rFonts w:hint="eastAsia" w:hAnsi="宋体" w:cs="宋体"/>
                <w:color w:val="auto"/>
                <w:sz w:val="21"/>
                <w:highlight w:val="none"/>
              </w:rPr>
            </w:pPr>
            <w:r>
              <w:rPr>
                <w:rFonts w:hint="eastAsia" w:hAnsi="宋体" w:cs="宋体"/>
                <w:color w:val="auto"/>
                <w:sz w:val="21"/>
                <w:highlight w:val="none"/>
              </w:rPr>
              <w:t>账户名称：</w:t>
            </w:r>
            <w:r>
              <w:rPr>
                <w:rFonts w:hint="eastAsia" w:hAnsi="宋体" w:cs="宋体"/>
                <w:color w:val="auto"/>
                <w:sz w:val="21"/>
                <w:highlight w:val="none"/>
                <w:lang w:eastAsia="zh-CN"/>
              </w:rPr>
              <w:t>广西云立方工程管理有限公司</w:t>
            </w:r>
          </w:p>
          <w:p w14:paraId="7F87A406">
            <w:pPr>
              <w:pStyle w:val="17"/>
              <w:snapToGrid w:val="0"/>
              <w:spacing w:line="360" w:lineRule="auto"/>
              <w:rPr>
                <w:rFonts w:hint="eastAsia" w:hAnsi="宋体" w:cs="宋体"/>
                <w:color w:val="auto"/>
                <w:sz w:val="21"/>
                <w:highlight w:val="none"/>
              </w:rPr>
            </w:pPr>
            <w:r>
              <w:rPr>
                <w:rFonts w:hint="eastAsia" w:hAnsi="宋体" w:cs="宋体"/>
                <w:color w:val="auto"/>
                <w:sz w:val="21"/>
                <w:highlight w:val="none"/>
              </w:rPr>
              <w:t>开户银行：</w:t>
            </w:r>
            <w:r>
              <w:rPr>
                <w:rFonts w:hint="eastAsia" w:hAnsi="宋体" w:cs="宋体"/>
                <w:color w:val="auto"/>
                <w:sz w:val="21"/>
                <w:highlight w:val="none"/>
                <w:lang w:eastAsia="zh-CN"/>
              </w:rPr>
              <w:t>中国建设银行股份有限公司贵港城中支行</w:t>
            </w:r>
          </w:p>
          <w:p w14:paraId="7BEAC67D">
            <w:pPr>
              <w:pStyle w:val="17"/>
              <w:snapToGrid w:val="0"/>
              <w:spacing w:line="380" w:lineRule="exact"/>
              <w:rPr>
                <w:rFonts w:hint="eastAsia" w:ascii="宋体" w:hAnsi="宋体" w:eastAsia="宋体" w:cs="宋体"/>
                <w:color w:val="auto"/>
                <w:sz w:val="21"/>
                <w:szCs w:val="21"/>
                <w:highlight w:val="none"/>
              </w:rPr>
            </w:pPr>
            <w:r>
              <w:rPr>
                <w:rFonts w:hint="eastAsia" w:hAnsi="宋体" w:cs="宋体"/>
                <w:color w:val="auto"/>
                <w:highlight w:val="none"/>
              </w:rPr>
              <w:t>银行账号：</w:t>
            </w:r>
            <w:r>
              <w:rPr>
                <w:rFonts w:hint="eastAsia" w:hAnsi="宋体" w:cs="宋体"/>
                <w:color w:val="auto"/>
                <w:highlight w:val="none"/>
                <w:lang w:eastAsia="zh-CN"/>
              </w:rPr>
              <w:t>45050175375600001204</w:t>
            </w:r>
          </w:p>
        </w:tc>
      </w:tr>
      <w:tr w14:paraId="60B4C9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26D75F08">
            <w:pPr>
              <w:snapToGrid w:val="0"/>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3490F4B4">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26790BB4">
            <w:pPr>
              <w:snapToGrid w:val="0"/>
              <w:spacing w:line="38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解释：</w:t>
            </w:r>
            <w:r>
              <w:rPr>
                <w:rFonts w:hint="eastAsia" w:ascii="宋体" w:hAnsi="宋体" w:eastAsia="宋体" w:cs="宋体"/>
                <w:color w:val="auto"/>
                <w:sz w:val="21"/>
                <w:szCs w:val="21"/>
                <w:highlight w:val="none"/>
              </w:rPr>
              <w:t>构成本招标文件的各个组成文件应互为解释，互为说明；除招标文件中有特别规定外，仅适用于招标投标阶段的规定，按更正公告（澄清公告）、招标公告、采购需求、投标人须知、评标方法</w:t>
            </w:r>
            <w:r>
              <w:rPr>
                <w:rFonts w:hint="eastAsia" w:ascii="宋体" w:hAnsi="宋体" w:cs="宋体"/>
                <w:color w:val="auto"/>
                <w:sz w:val="21"/>
                <w:szCs w:val="21"/>
                <w:highlight w:val="none"/>
                <w:lang w:eastAsia="zh-CN"/>
              </w:rPr>
              <w:t>和</w:t>
            </w:r>
            <w:r>
              <w:rPr>
                <w:rFonts w:hint="eastAsia" w:ascii="宋体" w:hAnsi="宋体" w:eastAsia="宋体" w:cs="宋体"/>
                <w:color w:val="auto"/>
                <w:sz w:val="21"/>
                <w:szCs w:val="21"/>
                <w:highlight w:val="none"/>
              </w:rPr>
              <w:t>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eastAsia="宋体" w:cs="宋体"/>
                <w:b/>
                <w:color w:val="auto"/>
                <w:sz w:val="21"/>
                <w:szCs w:val="21"/>
                <w:highlight w:val="none"/>
              </w:rPr>
              <w:t>，由采购人或者采购代理机构负责解释。</w:t>
            </w:r>
          </w:p>
          <w:p w14:paraId="19258130">
            <w:pPr>
              <w:snapToGrid w:val="0"/>
              <w:spacing w:line="38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法律责任：</w:t>
            </w:r>
          </w:p>
          <w:p w14:paraId="3C6727A3">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本采购文件根据《中华人民共和国政府采购法》、《中华人民共和国民法典》</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《中华人民共和国政府采购法实施条例》、《</w:t>
            </w:r>
            <w:r>
              <w:rPr>
                <w:rFonts w:hint="eastAsia" w:ascii="宋体" w:hAnsi="宋体" w:eastAsia="宋体" w:cs="宋体"/>
                <w:color w:val="auto"/>
                <w:szCs w:val="21"/>
                <w:highlight w:val="none"/>
              </w:rPr>
              <w:t>政府采购货物和服务招标投标管理办法</w:t>
            </w:r>
            <w:r>
              <w:rPr>
                <w:rFonts w:hint="eastAsia" w:ascii="宋体" w:hAnsi="宋体" w:eastAsia="宋体" w:cs="宋体"/>
                <w:color w:val="auto"/>
                <w:sz w:val="21"/>
                <w:szCs w:val="21"/>
                <w:highlight w:val="none"/>
              </w:rPr>
              <w:t>》等有关法律、法规编制，参与本项目的各政府采购当事人依法享有上述法律法规所赋予的权利与义务。</w:t>
            </w:r>
          </w:p>
        </w:tc>
      </w:tr>
      <w:tr w14:paraId="578168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06" w:hRule="atLeast"/>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51603389">
            <w:pPr>
              <w:snapToGrid w:val="0"/>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41.2</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07A5C684">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其他释义</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74885507">
            <w:pPr>
              <w:pStyle w:val="11"/>
              <w:ind w:firstLine="440" w:firstLineChars="200"/>
              <w:rPr>
                <w:rFonts w:hint="eastAsia" w:ascii="宋体" w:hAnsi="宋体" w:eastAsia="宋体" w:cs="宋体"/>
                <w:b w:val="0"/>
                <w:bCs w:val="0"/>
                <w:i w:val="0"/>
                <w:iCs w:val="0"/>
                <w:caps w:val="0"/>
                <w:color w:val="auto"/>
                <w:spacing w:val="0"/>
                <w:kern w:val="2"/>
                <w:sz w:val="22"/>
                <w:szCs w:val="22"/>
                <w:highlight w:val="none"/>
                <w:lang w:val="en-US" w:eastAsia="zh-CN" w:bidi="ar-SA"/>
              </w:rPr>
            </w:pPr>
            <w:r>
              <w:rPr>
                <w:rFonts w:hint="eastAsia" w:ascii="宋体" w:hAnsi="宋体" w:eastAsia="宋体" w:cs="宋体"/>
                <w:b w:val="0"/>
                <w:bCs w:val="0"/>
                <w:i w:val="0"/>
                <w:iCs w:val="0"/>
                <w:caps w:val="0"/>
                <w:color w:val="auto"/>
                <w:spacing w:val="0"/>
                <w:kern w:val="2"/>
                <w:sz w:val="22"/>
                <w:szCs w:val="22"/>
                <w:highlight w:val="none"/>
                <w:lang w:val="en-US" w:eastAsia="zh-CN" w:bidi="ar-SA"/>
              </w:rPr>
              <w:t>1.本招标文件中描述投标人的“公章”是指根据我国对公章的管理规定，用投标人法定主体行为名称制作的实物印章或投标人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4572D3C6">
            <w:pPr>
              <w:pStyle w:val="11"/>
              <w:ind w:firstLine="440" w:firstLineChars="200"/>
              <w:rPr>
                <w:rFonts w:hint="eastAsia" w:ascii="宋体" w:hAnsi="宋体" w:eastAsia="宋体" w:cs="宋体"/>
                <w:b w:val="0"/>
                <w:bCs w:val="0"/>
                <w:i w:val="0"/>
                <w:iCs w:val="0"/>
                <w:caps w:val="0"/>
                <w:color w:val="auto"/>
                <w:spacing w:val="0"/>
                <w:kern w:val="2"/>
                <w:sz w:val="22"/>
                <w:szCs w:val="22"/>
                <w:highlight w:val="none"/>
                <w:lang w:val="en-US" w:eastAsia="zh-CN" w:bidi="ar-SA"/>
              </w:rPr>
            </w:pPr>
            <w:r>
              <w:rPr>
                <w:rFonts w:hint="eastAsia" w:ascii="宋体" w:hAnsi="宋体" w:eastAsia="宋体" w:cs="宋体"/>
                <w:b w:val="0"/>
                <w:bCs w:val="0"/>
                <w:i w:val="0"/>
                <w:iCs w:val="0"/>
                <w:caps w:val="0"/>
                <w:color w:val="auto"/>
                <w:spacing w:val="0"/>
                <w:kern w:val="2"/>
                <w:sz w:val="22"/>
                <w:szCs w:val="22"/>
                <w:highlight w:val="none"/>
                <w:lang w:val="en-US" w:eastAsia="zh-CN" w:bidi="ar-SA"/>
              </w:rPr>
              <w:t>2.本招标文件中描述投标人的“签字”是指投标人通过指定电子化政府采购平台办理数字证书（CA认证）获得的以投标人法定代表人或者委托代理人姓名制作的电子印章或手写签字。</w:t>
            </w:r>
          </w:p>
          <w:p w14:paraId="1D4DCFB2">
            <w:pPr>
              <w:pStyle w:val="11"/>
              <w:tabs>
                <w:tab w:val="center" w:pos="4153"/>
                <w:tab w:val="right" w:pos="8306"/>
              </w:tabs>
              <w:ind w:firstLine="440" w:firstLineChars="200"/>
              <w:rPr>
                <w:rFonts w:hint="eastAsia" w:ascii="宋体" w:hAnsi="宋体" w:eastAsia="宋体" w:cs="宋体"/>
                <w:b w:val="0"/>
                <w:bCs w:val="0"/>
                <w:i w:val="0"/>
                <w:iCs w:val="0"/>
                <w:caps w:val="0"/>
                <w:color w:val="auto"/>
                <w:spacing w:val="0"/>
                <w:kern w:val="2"/>
                <w:sz w:val="22"/>
                <w:szCs w:val="22"/>
                <w:highlight w:val="none"/>
                <w:lang w:val="en-US" w:eastAsia="zh-CN" w:bidi="ar-SA"/>
              </w:rPr>
            </w:pPr>
            <w:r>
              <w:rPr>
                <w:rFonts w:hint="eastAsia" w:ascii="宋体" w:hAnsi="宋体" w:eastAsia="宋体" w:cs="宋体"/>
                <w:b w:val="0"/>
                <w:bCs w:val="0"/>
                <w:i w:val="0"/>
                <w:iCs w:val="0"/>
                <w:caps w:val="0"/>
                <w:color w:val="auto"/>
                <w:spacing w:val="0"/>
                <w:kern w:val="2"/>
                <w:sz w:val="22"/>
                <w:szCs w:val="22"/>
                <w:highlight w:val="none"/>
                <w:lang w:val="en-US" w:eastAsia="zh-CN" w:bidi="ar-SA"/>
              </w:rPr>
              <w:t>3.本招标文件所称的“电子签章”“电子签名”，是指经广西政府采购云平台认可的CA认证的电子签名数据为表现形式的印章，可用于签署电子投标文件，电子印章与实物印章具有同等法律效力，不因其采用电子化表现形式而否定其法律效力。</w:t>
            </w:r>
          </w:p>
          <w:p w14:paraId="66669160">
            <w:pPr>
              <w:pStyle w:val="11"/>
              <w:ind w:firstLine="440" w:firstLineChars="200"/>
              <w:rPr>
                <w:rFonts w:hint="eastAsia" w:ascii="宋体" w:hAnsi="宋体" w:eastAsia="宋体" w:cs="宋体"/>
                <w:b w:val="0"/>
                <w:bCs w:val="0"/>
                <w:i w:val="0"/>
                <w:iCs w:val="0"/>
                <w:caps w:val="0"/>
                <w:color w:val="auto"/>
                <w:spacing w:val="0"/>
                <w:kern w:val="2"/>
                <w:sz w:val="22"/>
                <w:szCs w:val="22"/>
                <w:highlight w:val="none"/>
                <w:lang w:val="en-US" w:eastAsia="zh-CN" w:bidi="ar-SA"/>
              </w:rPr>
            </w:pPr>
            <w:r>
              <w:rPr>
                <w:rFonts w:hint="eastAsia" w:ascii="宋体" w:hAnsi="宋体" w:eastAsia="宋体" w:cs="宋体"/>
                <w:b w:val="0"/>
                <w:bCs w:val="0"/>
                <w:i w:val="0"/>
                <w:iCs w:val="0"/>
                <w:caps w:val="0"/>
                <w:color w:val="auto"/>
                <w:spacing w:val="0"/>
                <w:kern w:val="2"/>
                <w:sz w:val="22"/>
                <w:szCs w:val="22"/>
                <w:highlight w:val="none"/>
                <w:lang w:val="en-US" w:eastAsia="zh-CN" w:bidi="ar-SA"/>
              </w:rPr>
              <w:t>4.投标人为其他组织或者自然人时，本招标文件规定的法定代表人指负责人或者自然人。本招标文件所称负责人是指参加投标的其他组织营业执照上的负责人，本招标文件所称自然人指参与投标的自然人本人。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3F700E50">
            <w:pPr>
              <w:pStyle w:val="11"/>
              <w:ind w:firstLine="440" w:firstLineChars="200"/>
              <w:rPr>
                <w:rFonts w:hint="eastAsia" w:ascii="宋体" w:hAnsi="宋体" w:eastAsia="宋体" w:cs="宋体"/>
                <w:b w:val="0"/>
                <w:bCs w:val="0"/>
                <w:i w:val="0"/>
                <w:iCs w:val="0"/>
                <w:caps w:val="0"/>
                <w:color w:val="auto"/>
                <w:spacing w:val="0"/>
                <w:kern w:val="2"/>
                <w:sz w:val="22"/>
                <w:szCs w:val="22"/>
                <w:highlight w:val="none"/>
                <w:lang w:val="en-US" w:eastAsia="zh-CN" w:bidi="ar-SA"/>
              </w:rPr>
            </w:pPr>
            <w:r>
              <w:rPr>
                <w:rFonts w:hint="eastAsia" w:ascii="宋体" w:hAnsi="宋体" w:eastAsia="宋体" w:cs="宋体"/>
                <w:b w:val="0"/>
                <w:bCs w:val="0"/>
                <w:i w:val="0"/>
                <w:iCs w:val="0"/>
                <w:caps w:val="0"/>
                <w:color w:val="auto"/>
                <w:spacing w:val="0"/>
                <w:kern w:val="2"/>
                <w:sz w:val="22"/>
                <w:szCs w:val="22"/>
                <w:highlight w:val="none"/>
                <w:lang w:val="en-US" w:eastAsia="zh-CN" w:bidi="ar-SA"/>
              </w:rPr>
              <w:t>5.自然人投标的，招标文件规定盖公章处由自然人摁手指指印。</w:t>
            </w:r>
          </w:p>
          <w:p w14:paraId="6B54D77F">
            <w:pPr>
              <w:pStyle w:val="11"/>
              <w:spacing w:line="380" w:lineRule="exact"/>
              <w:ind w:firstLine="440" w:firstLineChars="200"/>
              <w:jc w:val="left"/>
              <w:rPr>
                <w:rFonts w:hint="eastAsia" w:ascii="宋体" w:hAnsi="宋体" w:eastAsia="宋体" w:cs="宋体"/>
                <w:color w:val="auto"/>
                <w:sz w:val="21"/>
                <w:szCs w:val="21"/>
                <w:highlight w:val="none"/>
              </w:rPr>
            </w:pPr>
            <w:r>
              <w:rPr>
                <w:rFonts w:hint="eastAsia" w:ascii="宋体" w:hAnsi="宋体" w:eastAsia="宋体" w:cs="宋体"/>
                <w:b w:val="0"/>
                <w:bCs w:val="0"/>
                <w:i w:val="0"/>
                <w:iCs w:val="0"/>
                <w:caps w:val="0"/>
                <w:color w:val="auto"/>
                <w:spacing w:val="0"/>
                <w:kern w:val="2"/>
                <w:sz w:val="22"/>
                <w:szCs w:val="22"/>
                <w:highlight w:val="none"/>
                <w:lang w:val="en-US" w:eastAsia="zh-CN" w:bidi="ar-SA"/>
              </w:rPr>
              <w:t>6.本招标文件所称的“以上”“以下”“以内”“届满”，包括本数；所称的“不满”“超过”“以外”，不包括本数。</w:t>
            </w:r>
          </w:p>
        </w:tc>
      </w:tr>
      <w:tr w14:paraId="561E3A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95" w:hRule="atLeast"/>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34C46A0C">
            <w:pPr>
              <w:snapToGrid w:val="0"/>
              <w:spacing w:line="38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41.3</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3B6C0D36">
            <w:pPr>
              <w:snapToGrid w:val="0"/>
              <w:spacing w:line="38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本项目属于专门面向小微企业采购的项目</w:t>
            </w:r>
          </w:p>
        </w:tc>
        <w:tc>
          <w:tcPr>
            <w:tcW w:w="7203" w:type="dxa"/>
            <w:tcBorders>
              <w:top w:val="single" w:color="auto" w:sz="4" w:space="0"/>
              <w:left w:val="single" w:color="auto" w:sz="4" w:space="0"/>
              <w:bottom w:val="single" w:color="auto" w:sz="4" w:space="0"/>
              <w:right w:val="single" w:color="auto" w:sz="4" w:space="0"/>
            </w:tcBorders>
            <w:noWrap w:val="0"/>
            <w:vAlign w:val="center"/>
          </w:tcPr>
          <w:p w14:paraId="5E715E78">
            <w:pPr>
              <w:pStyle w:val="11"/>
              <w:tabs>
                <w:tab w:val="center" w:pos="4153"/>
                <w:tab w:val="right" w:pos="8306"/>
              </w:tabs>
              <w:rPr>
                <w:rFonts w:hint="eastAsia" w:ascii="宋体" w:hAnsi="宋体" w:eastAsia="宋体" w:cs="宋体"/>
                <w:b w:val="0"/>
                <w:bCs w:val="0"/>
                <w:i w:val="0"/>
                <w:iCs w:val="0"/>
                <w:caps w:val="0"/>
                <w:color w:val="auto"/>
                <w:spacing w:val="0"/>
                <w:kern w:val="2"/>
                <w:sz w:val="22"/>
                <w:szCs w:val="22"/>
                <w:highlight w:val="none"/>
                <w:lang w:val="en-US" w:eastAsia="zh-CN" w:bidi="ar-SA"/>
              </w:rPr>
            </w:pPr>
            <w:r>
              <w:rPr>
                <w:rFonts w:hint="eastAsia" w:ascii="宋体" w:hAnsi="宋体" w:cs="宋体"/>
                <w:b w:val="0"/>
                <w:bCs w:val="0"/>
                <w:i w:val="0"/>
                <w:iCs w:val="0"/>
                <w:caps w:val="0"/>
                <w:color w:val="auto"/>
                <w:spacing w:val="0"/>
                <w:kern w:val="2"/>
                <w:sz w:val="22"/>
                <w:szCs w:val="22"/>
                <w:highlight w:val="none"/>
                <w:lang w:val="en-US" w:eastAsia="zh-CN" w:bidi="ar-SA"/>
              </w:rPr>
              <w:t>1.</w:t>
            </w:r>
            <w:r>
              <w:rPr>
                <w:rFonts w:hint="eastAsia" w:ascii="宋体" w:hAnsi="宋体" w:eastAsia="宋体" w:cs="宋体"/>
                <w:b w:val="0"/>
                <w:bCs w:val="0"/>
                <w:i w:val="0"/>
                <w:iCs w:val="0"/>
                <w:caps w:val="0"/>
                <w:color w:val="auto"/>
                <w:spacing w:val="0"/>
                <w:kern w:val="2"/>
                <w:sz w:val="22"/>
                <w:szCs w:val="22"/>
                <w:highlight w:val="none"/>
                <w:lang w:val="en-US" w:eastAsia="zh-CN" w:bidi="ar-SA"/>
              </w:rPr>
              <w:t>预留采购份额：专门面向中小企业预留份额100%；其中，专门面向小微企业预留份额100%。</w:t>
            </w:r>
          </w:p>
          <w:p w14:paraId="68FA9A8F">
            <w:pPr>
              <w:pStyle w:val="11"/>
              <w:tabs>
                <w:tab w:val="center" w:pos="4153"/>
                <w:tab w:val="right" w:pos="8306"/>
              </w:tabs>
              <w:rPr>
                <w:rFonts w:hint="default" w:ascii="宋体" w:hAnsi="宋体" w:cs="宋体"/>
                <w:b w:val="0"/>
                <w:bCs w:val="0"/>
                <w:i w:val="0"/>
                <w:iCs w:val="0"/>
                <w:caps w:val="0"/>
                <w:color w:val="auto"/>
                <w:spacing w:val="0"/>
                <w:kern w:val="2"/>
                <w:sz w:val="22"/>
                <w:szCs w:val="22"/>
                <w:highlight w:val="none"/>
                <w:lang w:val="en-US" w:eastAsia="zh-CN" w:bidi="ar-SA"/>
              </w:rPr>
            </w:pPr>
            <w:r>
              <w:rPr>
                <w:rFonts w:hint="eastAsia" w:ascii="宋体" w:hAnsi="宋体" w:cs="宋体"/>
                <w:b w:val="0"/>
                <w:bCs w:val="0"/>
                <w:i w:val="0"/>
                <w:iCs w:val="0"/>
                <w:caps w:val="0"/>
                <w:color w:val="auto"/>
                <w:spacing w:val="0"/>
                <w:kern w:val="2"/>
                <w:sz w:val="22"/>
                <w:szCs w:val="22"/>
                <w:highlight w:val="none"/>
                <w:lang w:val="en-US" w:eastAsia="zh-CN" w:bidi="ar-SA"/>
              </w:rPr>
              <w:t>2.</w:t>
            </w:r>
            <w:r>
              <w:rPr>
                <w:rFonts w:hint="eastAsia" w:ascii="宋体" w:hAnsi="宋体" w:eastAsia="宋体" w:cs="宋体"/>
                <w:b w:val="0"/>
                <w:bCs w:val="0"/>
                <w:i w:val="0"/>
                <w:iCs w:val="0"/>
                <w:caps w:val="0"/>
                <w:color w:val="auto"/>
                <w:spacing w:val="0"/>
                <w:kern w:val="2"/>
                <w:sz w:val="22"/>
                <w:szCs w:val="22"/>
                <w:highlight w:val="none"/>
                <w:lang w:val="en-US" w:eastAsia="zh-CN" w:bidi="ar-SA"/>
              </w:rPr>
              <w:t>本项目中小企业划分标准所属行业名称（行业名称及划分见本章附件1）：批发业</w:t>
            </w:r>
          </w:p>
        </w:tc>
      </w:tr>
    </w:tbl>
    <w:p w14:paraId="427EF3CD">
      <w:pPr>
        <w:rPr>
          <w:rFonts w:ascii="Arial" w:hAnsi="Arial" w:eastAsia="黑体"/>
          <w:b/>
          <w:bCs/>
          <w:color w:val="auto"/>
          <w:sz w:val="32"/>
          <w:szCs w:val="32"/>
          <w:highlight w:val="none"/>
        </w:rPr>
      </w:pPr>
    </w:p>
    <w:p w14:paraId="23AA798F">
      <w:pPr>
        <w:pStyle w:val="19"/>
        <w:rPr>
          <w:rFonts w:ascii="Arial" w:hAnsi="Arial" w:eastAsia="黑体"/>
          <w:b/>
          <w:bCs/>
          <w:color w:val="auto"/>
          <w:sz w:val="32"/>
          <w:szCs w:val="32"/>
          <w:highlight w:val="none"/>
        </w:rPr>
      </w:pPr>
    </w:p>
    <w:p w14:paraId="23224B3B">
      <w:pPr>
        <w:rPr>
          <w:color w:val="auto"/>
          <w:highlight w:val="none"/>
        </w:rPr>
        <w:sectPr>
          <w:footerReference r:id="rId6" w:type="default"/>
          <w:pgSz w:w="11905" w:h="16838"/>
          <w:pgMar w:top="1134" w:right="1134" w:bottom="1134" w:left="1134" w:header="850" w:footer="850" w:gutter="0"/>
          <w:pgNumType w:fmt="decimal"/>
          <w:cols w:space="0" w:num="1"/>
          <w:titlePg/>
          <w:rtlGutter w:val="0"/>
          <w:docGrid w:linePitch="331" w:charSpace="0"/>
        </w:sectPr>
      </w:pPr>
    </w:p>
    <w:p w14:paraId="2BC86760">
      <w:pPr>
        <w:pStyle w:val="3"/>
        <w:jc w:val="center"/>
        <w:rPr>
          <w:rFonts w:cs="Times New Roman"/>
          <w:color w:val="auto"/>
          <w:highlight w:val="none"/>
        </w:rPr>
      </w:pPr>
      <w:bookmarkStart w:id="107" w:name="_Toc29311"/>
      <w:bookmarkStart w:id="108" w:name="_Toc13813"/>
      <w:bookmarkStart w:id="109" w:name="_Toc453"/>
      <w:bookmarkStart w:id="110" w:name="_Toc24313"/>
      <w:bookmarkStart w:id="111" w:name="_Toc25117"/>
      <w:bookmarkStart w:id="112" w:name="_Toc7784"/>
      <w:bookmarkStart w:id="113" w:name="_Toc30841"/>
      <w:bookmarkStart w:id="114" w:name="_Toc8807"/>
      <w:bookmarkStart w:id="115" w:name="_Toc11336"/>
      <w:bookmarkStart w:id="116" w:name="_Toc1030"/>
      <w:r>
        <w:rPr>
          <w:rFonts w:hint="eastAsia" w:cs="Times New Roman"/>
          <w:color w:val="auto"/>
          <w:highlight w:val="none"/>
        </w:rPr>
        <w:t>第二节</w:t>
      </w:r>
      <w:r>
        <w:rPr>
          <w:rFonts w:cs="Times New Roman"/>
          <w:color w:val="auto"/>
          <w:highlight w:val="none"/>
        </w:rPr>
        <w:t xml:space="preserve"> </w:t>
      </w:r>
      <w:r>
        <w:rPr>
          <w:rFonts w:hint="eastAsia" w:cs="Times New Roman"/>
          <w:color w:val="auto"/>
          <w:highlight w:val="none"/>
        </w:rPr>
        <w:t>投标人须知正文</w:t>
      </w:r>
      <w:bookmarkEnd w:id="107"/>
      <w:bookmarkEnd w:id="108"/>
      <w:bookmarkEnd w:id="109"/>
      <w:bookmarkEnd w:id="110"/>
      <w:bookmarkEnd w:id="111"/>
      <w:bookmarkEnd w:id="112"/>
      <w:bookmarkEnd w:id="113"/>
      <w:bookmarkEnd w:id="114"/>
      <w:bookmarkEnd w:id="115"/>
      <w:bookmarkEnd w:id="116"/>
    </w:p>
    <w:p w14:paraId="7C62FA4A">
      <w:pPr>
        <w:pStyle w:val="5"/>
        <w:keepNext w:val="0"/>
        <w:keepLines w:val="0"/>
        <w:spacing w:line="400" w:lineRule="exact"/>
        <w:jc w:val="center"/>
        <w:rPr>
          <w:rFonts w:ascii="Times New Roman" w:hAnsi="Times New Roman" w:eastAsia="宋体" w:cs="Times New Roman"/>
          <w:color w:val="auto"/>
          <w:highlight w:val="none"/>
        </w:rPr>
      </w:pPr>
      <w:bookmarkStart w:id="117" w:name="_Toc19454"/>
      <w:bookmarkStart w:id="118" w:name="_Toc15523"/>
      <w:bookmarkStart w:id="119" w:name="_Toc22266"/>
      <w:bookmarkStart w:id="120" w:name="_Toc21176"/>
      <w:bookmarkStart w:id="121" w:name="_Toc6594"/>
      <w:bookmarkStart w:id="122" w:name="_Toc28360"/>
      <w:bookmarkStart w:id="123" w:name="_Toc3522"/>
      <w:bookmarkStart w:id="124" w:name="_Toc30794"/>
      <w:bookmarkStart w:id="125" w:name="_Toc18594"/>
      <w:bookmarkStart w:id="126" w:name="_Toc3607"/>
      <w:r>
        <w:rPr>
          <w:rFonts w:hint="eastAsia" w:ascii="Times New Roman" w:hAnsi="Times New Roman" w:eastAsia="宋体" w:cs="Times New Roman"/>
          <w:color w:val="auto"/>
          <w:highlight w:val="none"/>
        </w:rPr>
        <w:t>一、总</w:t>
      </w:r>
      <w:r>
        <w:rPr>
          <w:rFonts w:ascii="Times New Roman" w:hAnsi="Times New Roman" w:eastAsia="宋体" w:cs="Times New Roman"/>
          <w:color w:val="auto"/>
          <w:highlight w:val="none"/>
        </w:rPr>
        <w:t xml:space="preserve">  </w:t>
      </w:r>
      <w:r>
        <w:rPr>
          <w:rFonts w:hint="eastAsia" w:ascii="Times New Roman" w:hAnsi="Times New Roman" w:eastAsia="宋体" w:cs="Times New Roman"/>
          <w:color w:val="auto"/>
          <w:highlight w:val="none"/>
        </w:rPr>
        <w:t>则</w:t>
      </w:r>
      <w:bookmarkEnd w:id="117"/>
      <w:bookmarkEnd w:id="118"/>
      <w:bookmarkEnd w:id="119"/>
      <w:bookmarkEnd w:id="120"/>
      <w:bookmarkEnd w:id="121"/>
      <w:bookmarkEnd w:id="122"/>
      <w:bookmarkEnd w:id="123"/>
      <w:bookmarkEnd w:id="124"/>
      <w:bookmarkEnd w:id="125"/>
      <w:bookmarkEnd w:id="126"/>
    </w:p>
    <w:p w14:paraId="1E10BFF7">
      <w:pPr>
        <w:rPr>
          <w:rFonts w:hint="eastAsia"/>
          <w:color w:val="auto"/>
          <w:highlight w:val="none"/>
        </w:rPr>
      </w:pPr>
      <w:bookmarkStart w:id="127" w:name="_Toc254970527"/>
      <w:bookmarkStart w:id="128" w:name="_Toc254970668"/>
    </w:p>
    <w:p w14:paraId="2838746C">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1.适用范围</w:t>
      </w:r>
      <w:bookmarkEnd w:id="127"/>
      <w:bookmarkEnd w:id="128"/>
    </w:p>
    <w:p w14:paraId="555A0AF5">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49B80716">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1.2本招标文件</w:t>
      </w:r>
      <w:r>
        <w:rPr>
          <w:rFonts w:hint="eastAsia" w:ascii="宋体" w:hAnsi="宋体" w:eastAsia="宋体" w:cs="宋体"/>
          <w:color w:val="auto"/>
          <w:spacing w:val="-6"/>
          <w:szCs w:val="21"/>
          <w:highlight w:val="none"/>
        </w:rPr>
        <w:t>适用于本项目的所有采购程序和环节（法律、法规另有规定的，从其规定）。</w:t>
      </w:r>
    </w:p>
    <w:p w14:paraId="7E6374C2">
      <w:pPr>
        <w:spacing w:line="360" w:lineRule="auto"/>
        <w:ind w:firstLine="480" w:firstLineChars="200"/>
        <w:rPr>
          <w:rFonts w:hint="eastAsia" w:ascii="黑体" w:hAnsi="黑体" w:eastAsia="黑体" w:cs="Times New Roman"/>
          <w:color w:val="auto"/>
          <w:sz w:val="24"/>
          <w:highlight w:val="none"/>
        </w:rPr>
      </w:pPr>
      <w:bookmarkStart w:id="129" w:name="_Toc254970528"/>
      <w:bookmarkStart w:id="130" w:name="_Toc254970669"/>
      <w:r>
        <w:rPr>
          <w:rFonts w:hint="eastAsia" w:ascii="黑体" w:hAnsi="黑体" w:eastAsia="黑体" w:cs="Times New Roman"/>
          <w:color w:val="auto"/>
          <w:sz w:val="24"/>
          <w:highlight w:val="none"/>
        </w:rPr>
        <w:t>2.定义</w:t>
      </w:r>
      <w:bookmarkEnd w:id="129"/>
      <w:bookmarkEnd w:id="130"/>
    </w:p>
    <w:p w14:paraId="47FB1695">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2.1“采购人”是指依法进行政府采购的国家机关、事业单位、团体组织。</w:t>
      </w:r>
    </w:p>
    <w:p w14:paraId="6030F8ED">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2.2“采购代理机构” 指政府采购集中采购机构和集中采购机构以外的采购代理机构。</w:t>
      </w:r>
    </w:p>
    <w:p w14:paraId="155FC3EF">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2.3“供应商”是指向采购人提供货物、工程或者服务的法人、其他组织或者自然人。</w:t>
      </w:r>
    </w:p>
    <w:p w14:paraId="5372692E">
      <w:pPr>
        <w:spacing w:line="360" w:lineRule="auto"/>
        <w:ind w:firstLine="422" w:firstLineChars="200"/>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2.4“投标人”是指响应招标、参加投标竞争的法人、非法人组织或者自然人。</w:t>
      </w:r>
    </w:p>
    <w:p w14:paraId="32ABE552">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2.5“服务”是指除货物和工程以外的其他政府采购对象。</w:t>
      </w:r>
    </w:p>
    <w:p w14:paraId="334061A7">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2.6“书面形式”是指合同书、信件和数据电文（包括电报、电传、传真、短信、电子数据交换和电子邮件）等可以有形地表现所载内容的形式。</w:t>
      </w:r>
    </w:p>
    <w:p w14:paraId="6D82BBFE">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2.7“实质性要求”是指招标文件中已经指明不满足则投标无效的条款，或者不能负偏离的条款，或者采购需求中带“</w:t>
      </w:r>
      <w:r>
        <w:rPr>
          <w:rFonts w:hint="eastAsia" w:ascii="宋体" w:hAnsi="宋体" w:eastAsia="宋体" w:cs="Times New Roman"/>
          <w:b/>
          <w:bCs/>
          <w:color w:val="auto"/>
          <w:szCs w:val="21"/>
          <w:highlight w:val="none"/>
        </w:rPr>
        <w:t>▲</w:t>
      </w:r>
      <w:r>
        <w:rPr>
          <w:rFonts w:hint="eastAsia" w:ascii="宋体" w:hAnsi="宋体" w:eastAsia="宋体" w:cs="Times New Roman"/>
          <w:b/>
          <w:color w:val="auto"/>
          <w:szCs w:val="21"/>
          <w:highlight w:val="none"/>
        </w:rPr>
        <w:t>”的条款。</w:t>
      </w:r>
    </w:p>
    <w:p w14:paraId="6D32E6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2.8</w:t>
      </w:r>
      <w:r>
        <w:rPr>
          <w:rFonts w:hint="eastAsia" w:ascii="宋体" w:hAnsi="宋体" w:eastAsia="宋体" w:cs="宋体"/>
          <w:color w:val="auto"/>
          <w:szCs w:val="21"/>
          <w:highlight w:val="none"/>
        </w:rPr>
        <w:t>“正偏离”，是指投标文件对招标文件“采购需求”中有关条款作出的响应优于条款要求并有利于采购人的情形。</w:t>
      </w:r>
    </w:p>
    <w:p w14:paraId="3126D52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2.9“负偏离”，是指投标文件对招标文件“采购需求”中有关条款作出的响应不满足条款要求，导致采购人要求不能得到满足的情形。</w:t>
      </w:r>
    </w:p>
    <w:p w14:paraId="0B475F54">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2.10</w:t>
      </w:r>
      <w:r>
        <w:rPr>
          <w:rFonts w:hint="eastAsia" w:ascii="宋体" w:hAnsi="宋体" w:eastAsia="宋体" w:cs="宋体"/>
          <w:color w:val="auto"/>
          <w:szCs w:val="21"/>
          <w:highlight w:val="none"/>
        </w:rPr>
        <w:t>“允许负偏离的条款”是指采购需求中的不属于“实质性要求”的条款。</w:t>
      </w:r>
      <w:bookmarkStart w:id="131" w:name="_Toc254970670"/>
      <w:bookmarkStart w:id="132" w:name="_Toc254970529"/>
    </w:p>
    <w:p w14:paraId="41713874">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w:t>
      </w:r>
      <w:bookmarkEnd w:id="131"/>
      <w:bookmarkEnd w:id="132"/>
      <w:r>
        <w:rPr>
          <w:rFonts w:hint="eastAsia" w:ascii="黑体" w:hAnsi="黑体" w:eastAsia="黑体" w:cs="Times New Roman"/>
          <w:color w:val="auto"/>
          <w:sz w:val="24"/>
          <w:highlight w:val="none"/>
        </w:rPr>
        <w:t>投标人的资格要求</w:t>
      </w:r>
    </w:p>
    <w:p w14:paraId="6259499B">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投标人的资格要求详见“招标公告”。</w:t>
      </w:r>
    </w:p>
    <w:p w14:paraId="07FA7E64">
      <w:pPr>
        <w:spacing w:line="360" w:lineRule="auto"/>
        <w:ind w:firstLine="480" w:firstLineChars="200"/>
        <w:rPr>
          <w:rFonts w:hint="eastAsia" w:ascii="黑体" w:hAnsi="黑体" w:eastAsia="黑体" w:cs="Times New Roman"/>
          <w:color w:val="auto"/>
          <w:sz w:val="24"/>
          <w:highlight w:val="none"/>
        </w:rPr>
      </w:pPr>
      <w:bookmarkStart w:id="133" w:name="_Toc254970530"/>
      <w:bookmarkStart w:id="134" w:name="_Toc254970671"/>
      <w:r>
        <w:rPr>
          <w:rFonts w:hint="eastAsia" w:ascii="黑体" w:hAnsi="黑体" w:eastAsia="黑体" w:cs="Times New Roman"/>
          <w:color w:val="auto"/>
          <w:sz w:val="24"/>
          <w:highlight w:val="none"/>
        </w:rPr>
        <w:t>4.投标委托</w:t>
      </w:r>
      <w:bookmarkEnd w:id="133"/>
      <w:bookmarkEnd w:id="134"/>
    </w:p>
    <w:p w14:paraId="23E49EC0">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投标人代表参加投标活动过程中必须携带个人有效身份证件。如投标人代表不是法定代表人，须持有法定代表人授权委托书（按第六章要求格式填写）。</w:t>
      </w:r>
    </w:p>
    <w:p w14:paraId="71994CAA">
      <w:pPr>
        <w:spacing w:line="360" w:lineRule="auto"/>
        <w:ind w:firstLine="480" w:firstLineChars="200"/>
        <w:rPr>
          <w:rFonts w:hint="eastAsia" w:ascii="黑体" w:hAnsi="黑体" w:eastAsia="黑体" w:cs="Times New Roman"/>
          <w:color w:val="auto"/>
          <w:sz w:val="24"/>
          <w:highlight w:val="none"/>
        </w:rPr>
      </w:pPr>
      <w:bookmarkStart w:id="135" w:name="_5.投标费用"/>
      <w:bookmarkEnd w:id="135"/>
      <w:bookmarkStart w:id="136" w:name="_Toc254970531"/>
      <w:bookmarkStart w:id="137" w:name="_Toc254970672"/>
      <w:r>
        <w:rPr>
          <w:rFonts w:hint="eastAsia" w:ascii="黑体" w:hAnsi="黑体" w:eastAsia="黑体" w:cs="Times New Roman"/>
          <w:color w:val="auto"/>
          <w:sz w:val="24"/>
          <w:highlight w:val="none"/>
        </w:rPr>
        <w:t>5.投标费用</w:t>
      </w:r>
      <w:bookmarkEnd w:id="136"/>
      <w:bookmarkEnd w:id="137"/>
    </w:p>
    <w:p w14:paraId="2838D8D9">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5D667A43">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6.联合体投标</w:t>
      </w:r>
    </w:p>
    <w:p w14:paraId="23685423">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6.1本项目是否接受联合体投标，详见“投标人须知前附表”。</w:t>
      </w:r>
    </w:p>
    <w:p w14:paraId="5C733BC0">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6.2如接受联合体投标，联合体投标要求详见“投标人须知前附表”。</w:t>
      </w:r>
    </w:p>
    <w:p w14:paraId="44349F20">
      <w:pPr>
        <w:spacing w:line="360" w:lineRule="auto"/>
        <w:ind w:firstLine="420" w:firstLineChars="200"/>
        <w:rPr>
          <w:rFonts w:hint="eastAsia" w:ascii="宋体" w:hAnsi="宋体" w:eastAsia="宋体" w:cs="宋体"/>
          <w:bCs/>
          <w:color w:val="auto"/>
          <w:sz w:val="24"/>
          <w:szCs w:val="21"/>
          <w:highlight w:val="none"/>
          <w:shd w:val="clear" w:color="auto" w:fill="FFFFFF"/>
        </w:rPr>
      </w:pPr>
      <w:r>
        <w:rPr>
          <w:rFonts w:hint="eastAsia" w:ascii="宋体" w:hAnsi="宋体" w:eastAsia="宋体" w:cs="宋体"/>
          <w:bCs/>
          <w:color w:val="auto"/>
          <w:szCs w:val="21"/>
          <w:highlight w:val="none"/>
        </w:rPr>
        <w:t>6.3根据《政府采购促进中小企业发展管理办法》（财库[2020]46号）第九条、</w:t>
      </w:r>
      <w:r>
        <w:rPr>
          <w:rFonts w:hint="eastAsia" w:ascii="宋体" w:hAnsi="宋体" w:eastAsia="宋体" w:cs="宋体"/>
          <w:color w:val="auto"/>
          <w:highlight w:val="none"/>
        </w:rPr>
        <w:t>《广西壮族自治区财政厅关于贯彻落实政府采购支持中小企业发展政策的通知》（桂财采〔2022〕31号）</w:t>
      </w:r>
      <w:r>
        <w:rPr>
          <w:rFonts w:hint="eastAsia" w:ascii="宋体" w:hAnsi="宋体" w:eastAsia="宋体" w:cs="宋体"/>
          <w:bCs/>
          <w:color w:val="auto"/>
          <w:szCs w:val="21"/>
          <w:highlight w:val="none"/>
        </w:rPr>
        <w:t>规定，接受大中型企业与小微企业组成联合体的采购项目，对于联合协议约定小微企业的合同份额占到合同总金额30%以上的，采购人、采购代理机构应当对联合体的报价给予4%-6%的扣除，用扣除后的价格参加评审。组成联合体的小微企业与联合体内其他企业、分包企业之间存在直接控股、管理关系的，不享受价格扣除优惠政策。</w:t>
      </w:r>
    </w:p>
    <w:p w14:paraId="602ECA18">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7.转包与分包</w:t>
      </w:r>
    </w:p>
    <w:p w14:paraId="0E724918">
      <w:pPr>
        <w:spacing w:line="360" w:lineRule="auto"/>
        <w:ind w:firstLine="422" w:firstLineChars="200"/>
        <w:rPr>
          <w:rFonts w:hint="default" w:ascii="宋体" w:hAnsi="宋体" w:eastAsia="宋体" w:cs="Times New Roman"/>
          <w:b/>
          <w:color w:val="auto"/>
          <w:szCs w:val="21"/>
          <w:highlight w:val="none"/>
          <w:lang w:val="en-US" w:eastAsia="zh-CN"/>
        </w:rPr>
      </w:pPr>
      <w:r>
        <w:rPr>
          <w:rFonts w:hint="eastAsia" w:ascii="宋体" w:hAnsi="宋体" w:cs="Times New Roman"/>
          <w:b/>
          <w:color w:val="auto"/>
          <w:szCs w:val="21"/>
          <w:highlight w:val="none"/>
          <w:lang w:val="en-US" w:eastAsia="zh-CN"/>
        </w:rPr>
        <w:t>7.1 本项目不允许转包。</w:t>
      </w:r>
    </w:p>
    <w:p w14:paraId="6B209D2D">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7.</w:t>
      </w:r>
      <w:r>
        <w:rPr>
          <w:rFonts w:hint="eastAsia" w:ascii="宋体" w:hAnsi="宋体" w:cs="Times New Roman"/>
          <w:b/>
          <w:color w:val="auto"/>
          <w:szCs w:val="21"/>
          <w:highlight w:val="none"/>
          <w:lang w:val="en-US" w:eastAsia="zh-CN"/>
        </w:rPr>
        <w:t>2</w:t>
      </w:r>
      <w:r>
        <w:rPr>
          <w:rFonts w:hint="eastAsia" w:ascii="宋体" w:hAnsi="宋体" w:eastAsia="宋体" w:cs="Times New Roman"/>
          <w:b/>
          <w:color w:val="auto"/>
          <w:szCs w:val="21"/>
          <w:highlight w:val="none"/>
        </w:rPr>
        <w:t>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76BBEB92">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w:t>
      </w:r>
      <w:r>
        <w:rPr>
          <w:rFonts w:hint="eastAsia" w:ascii="宋体" w:hAnsi="宋体" w:cs="宋体"/>
          <w:bCs/>
          <w:color w:val="auto"/>
          <w:szCs w:val="21"/>
          <w:highlight w:val="none"/>
          <w:lang w:val="en-US" w:eastAsia="zh-CN"/>
        </w:rPr>
        <w:t>3</w:t>
      </w:r>
      <w:r>
        <w:rPr>
          <w:rFonts w:hint="eastAsia" w:ascii="宋体" w:hAnsi="宋体" w:eastAsia="宋体" w:cs="宋体"/>
          <w:bCs/>
          <w:color w:val="auto"/>
          <w:szCs w:val="21"/>
          <w:highlight w:val="none"/>
        </w:rPr>
        <w:t>根据《政府采购促进中小企业发展管理办法》（财库[2020]46号）第九条及</w:t>
      </w:r>
      <w:r>
        <w:rPr>
          <w:rFonts w:hint="eastAsia" w:ascii="宋体" w:hAnsi="宋体" w:eastAsia="宋体" w:cs="宋体"/>
          <w:color w:val="auto"/>
          <w:highlight w:val="none"/>
        </w:rPr>
        <w:t>《广西壮族自治区财政厅关于贯彻落实政府采购支持中小企业发展政策的通知》（桂财采〔2022〕31号）</w:t>
      </w:r>
      <w:r>
        <w:rPr>
          <w:rFonts w:hint="eastAsia" w:ascii="宋体" w:hAnsi="宋体" w:eastAsia="宋体" w:cs="宋体"/>
          <w:bCs/>
          <w:color w:val="auto"/>
          <w:szCs w:val="21"/>
          <w:highlight w:val="none"/>
        </w:rPr>
        <w:t>规定，允许大中型企业向一家或者多家小微企业分包的采购项目，对于分包意向协议约定小微企业的合同份额占到合同总金额30%以上的，采购人、采购代理机构应当对大中型企业的报价给予4%-6%的扣除，用扣除后的价格参加评审。接受分包的小微企业与分包企业之间存在直接控股、管理关系的，不享受价格扣除优惠政策。</w:t>
      </w:r>
    </w:p>
    <w:p w14:paraId="1FE270D1">
      <w:pPr>
        <w:spacing w:line="360" w:lineRule="auto"/>
        <w:ind w:firstLine="480" w:firstLineChars="200"/>
        <w:rPr>
          <w:rFonts w:hint="eastAsia" w:ascii="黑体" w:hAnsi="黑体" w:eastAsia="黑体" w:cs="Times New Roman"/>
          <w:color w:val="auto"/>
          <w:sz w:val="24"/>
          <w:highlight w:val="none"/>
        </w:rPr>
      </w:pPr>
      <w:bookmarkStart w:id="138" w:name="_Toc254970673"/>
      <w:bookmarkStart w:id="139" w:name="_Toc254970532"/>
      <w:r>
        <w:rPr>
          <w:rFonts w:hint="eastAsia" w:ascii="黑体" w:hAnsi="黑体" w:eastAsia="黑体" w:cs="Times New Roman"/>
          <w:color w:val="auto"/>
          <w:sz w:val="24"/>
          <w:highlight w:val="none"/>
        </w:rPr>
        <w:t>8.特别说明</w:t>
      </w:r>
      <w:bookmarkEnd w:id="138"/>
      <w:bookmarkEnd w:id="139"/>
      <w:bookmarkStart w:id="140" w:name="_8.1提供相同品牌产品且通过资格审查、符合性审查的不同投标人参加同一合"/>
      <w:bookmarkEnd w:id="140"/>
    </w:p>
    <w:p w14:paraId="0A69DBE9">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8.1如果本招标文件要求投标人提供资格、信誉、荣誉、业绩与企业认证等材料的，则投标人所提供的以上材料必须为</w:t>
      </w:r>
      <w:r>
        <w:rPr>
          <w:rFonts w:hint="eastAsia" w:ascii="宋体" w:hAnsi="宋体" w:cs="Times New Roman"/>
          <w:b/>
          <w:color w:val="auto"/>
          <w:szCs w:val="21"/>
          <w:highlight w:val="none"/>
          <w:lang w:eastAsia="zh-CN"/>
        </w:rPr>
        <w:t>该</w:t>
      </w:r>
      <w:r>
        <w:rPr>
          <w:rFonts w:hint="eastAsia" w:ascii="宋体" w:hAnsi="宋体" w:eastAsia="宋体" w:cs="Times New Roman"/>
          <w:b/>
          <w:color w:val="auto"/>
          <w:szCs w:val="21"/>
          <w:highlight w:val="none"/>
        </w:rPr>
        <w:t>投标人所拥有。</w:t>
      </w:r>
    </w:p>
    <w:p w14:paraId="7683FC6C">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8.2投标人应仔细阅读招标文件的所有内容，按照招标文件的要求提交投标文件，并对所提供的全部资料的真实性承担法律责任。</w:t>
      </w:r>
    </w:p>
    <w:p w14:paraId="542A0865">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522B794C">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9.回避与串通投标</w:t>
      </w:r>
    </w:p>
    <w:p w14:paraId="729FABB4">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9.1在政府采购活动中，采购人员及相关人员与供应商有下列利害关系之一的，应当回避：</w:t>
      </w:r>
    </w:p>
    <w:p w14:paraId="08EDC7F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（1）参加采购活动前3年内与供应商存在劳动关系；</w:t>
      </w:r>
    </w:p>
    <w:p w14:paraId="6C33328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（2）参加采购活动前3年内担任供应商的董事、监事；</w:t>
      </w:r>
    </w:p>
    <w:p w14:paraId="3A3AF82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（3）参加采购活动前3年内是供应商的控股股东或者实际控制人；</w:t>
      </w:r>
    </w:p>
    <w:p w14:paraId="76F7DD6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（4）与供应商的法定代表人或者负责人有夫妻、直系血亲、三代以内旁系血亲或者近姻亲关系；</w:t>
      </w:r>
    </w:p>
    <w:p w14:paraId="2D93434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（5）与供应商有其他可能影响政府采购活动公平、公正进行的关系。</w:t>
      </w:r>
    </w:p>
    <w:p w14:paraId="3D52EA4D">
      <w:pPr>
        <w:spacing w:line="360" w:lineRule="auto"/>
        <w:ind w:firstLine="420" w:firstLineChars="200"/>
        <w:rPr>
          <w:rFonts w:ascii="Times New Roman" w:hAnsi="宋体" w:eastAsia="宋体" w:cs="Times New Roman"/>
          <w:color w:val="auto"/>
          <w:highlight w:val="none"/>
        </w:rPr>
      </w:pPr>
      <w:r>
        <w:rPr>
          <w:rFonts w:hint="eastAsia" w:ascii="Times New Roman" w:hAnsi="宋体" w:eastAsia="宋体" w:cs="Times New Roman"/>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BAF40D8">
      <w:pPr>
        <w:spacing w:line="360" w:lineRule="auto"/>
        <w:ind w:firstLine="422" w:firstLineChars="200"/>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9.2有下列情形之一的视为投标人相互串通投标，投标文件将被视为无效：</w:t>
      </w:r>
    </w:p>
    <w:p w14:paraId="1B54B1EC">
      <w:pPr>
        <w:spacing w:line="360" w:lineRule="auto"/>
        <w:ind w:firstLine="422" w:firstLineChars="200"/>
        <w:rPr>
          <w:rFonts w:hint="eastAsia" w:ascii="宋体" w:hAnsi="宋体" w:eastAsia="宋体" w:cs="宋体"/>
          <w:b/>
          <w:color w:val="auto"/>
          <w:highlight w:val="none"/>
          <w:lang w:eastAsia="zh-CN"/>
        </w:rPr>
      </w:pPr>
      <w:r>
        <w:rPr>
          <w:rFonts w:hint="eastAsia" w:ascii="宋体" w:hAnsi="宋体" w:eastAsia="宋体" w:cs="宋体"/>
          <w:b/>
          <w:color w:val="auto"/>
          <w:highlight w:val="none"/>
        </w:rPr>
        <w:t>（1）不同投标人的投标文件由同一单位或者个人编制；</w:t>
      </w:r>
      <w:r>
        <w:rPr>
          <w:rFonts w:hint="eastAsia" w:cs="宋体"/>
          <w:b/>
          <w:color w:val="auto"/>
          <w:szCs w:val="21"/>
          <w:highlight w:val="none"/>
        </w:rPr>
        <w:t>或者不同投标人报名的IP地址一致的；</w:t>
      </w:r>
    </w:p>
    <w:p w14:paraId="08F22A53">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（2）不同投标人委托同一单位或者个人办理投标事宜；</w:t>
      </w:r>
    </w:p>
    <w:p w14:paraId="4DCBE244">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（3）不同的投标人的投标文件载明的项目管理员为同一个人；</w:t>
      </w:r>
    </w:p>
    <w:p w14:paraId="256C9EDE">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（4）不同投标人的电子投标文件异常一致或者投标报价呈规律性差异；</w:t>
      </w:r>
    </w:p>
    <w:p w14:paraId="11506AB2">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（5）不同投标人的投标文件相互混装；</w:t>
      </w:r>
    </w:p>
    <w:p w14:paraId="30CDCFF0">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w:t>
      </w:r>
      <w:r>
        <w:rPr>
          <w:rFonts w:hint="eastAsia" w:ascii="宋体" w:hAnsi="宋体" w:eastAsia="宋体" w:cs="宋体"/>
          <w:b/>
          <w:color w:val="auto"/>
          <w:highlight w:val="none"/>
          <w:lang w:eastAsia="zh-CN"/>
        </w:rPr>
        <w:t>6</w:t>
      </w:r>
      <w:r>
        <w:rPr>
          <w:rFonts w:hint="eastAsia" w:ascii="宋体" w:hAnsi="宋体" w:eastAsia="宋体" w:cs="宋体"/>
          <w:b/>
          <w:color w:val="auto"/>
          <w:highlight w:val="none"/>
        </w:rPr>
        <w:t>）不同投标人的</w:t>
      </w:r>
      <w:r>
        <w:rPr>
          <w:rFonts w:hint="eastAsia" w:ascii="宋体" w:hAnsi="宋体" w:eastAsia="宋体" w:cs="宋体"/>
          <w:b/>
          <w:color w:val="auto"/>
          <w:highlight w:val="none"/>
          <w:lang w:eastAsia="zh-CN"/>
        </w:rPr>
        <w:t>投标</w:t>
      </w:r>
      <w:r>
        <w:rPr>
          <w:rFonts w:hint="eastAsia" w:ascii="宋体" w:hAnsi="宋体" w:eastAsia="宋体" w:cs="宋体"/>
          <w:b/>
          <w:color w:val="auto"/>
          <w:highlight w:val="none"/>
        </w:rPr>
        <w:t>保证金从同一单位或者个人账户转出。</w:t>
      </w:r>
    </w:p>
    <w:p w14:paraId="35371BB1">
      <w:pPr>
        <w:spacing w:line="360" w:lineRule="auto"/>
        <w:ind w:firstLine="422" w:firstLineChars="200"/>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9.3供应商有下列情形之一的，属于恶意串通行为，将报同级监督管理部门：</w:t>
      </w:r>
    </w:p>
    <w:p w14:paraId="03A6216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（1）供应商直接或者间接从采购人或者采购代理机构处获得其他供应商的相关信息并修改其投标文件；</w:t>
      </w:r>
    </w:p>
    <w:p w14:paraId="71C0A45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（2）供应商按照采购人或者采购代理机构的授意撤换、修改投标文件；</w:t>
      </w:r>
    </w:p>
    <w:p w14:paraId="1140B09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（3）供应商之间协商报价、技术方案等投标文件的实质性内容；</w:t>
      </w:r>
    </w:p>
    <w:p w14:paraId="3196E78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（4）属于同一集团、协会、商会等组织成员的供应商按照该组织要求协同参加政府采购活动；</w:t>
      </w:r>
    </w:p>
    <w:p w14:paraId="45B60D3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（5）供应商之间事先约定一致抬高或者压低投标报价，或者在招标项目中事先约定轮流以高价位或者低价位中标，或者事先约定由某一特定供应商中标，然后再参加投标；</w:t>
      </w:r>
    </w:p>
    <w:p w14:paraId="1A9C370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（6）供应商之间商定部分供应商放弃参加政府采购活动或者放弃中标；</w:t>
      </w:r>
    </w:p>
    <w:p w14:paraId="2EDEBA1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（7）供应商与采购人或者采购代理机构之间、供应商相互之间，为谋求特定供应商中标或者排斥其他供应商的其他串通行为。</w:t>
      </w:r>
    </w:p>
    <w:p w14:paraId="330E4070">
      <w:pPr>
        <w:pStyle w:val="17"/>
        <w:snapToGrid w:val="0"/>
        <w:spacing w:line="360" w:lineRule="auto"/>
        <w:ind w:left="2" w:leftChars="1" w:firstLine="422" w:firstLineChars="200"/>
        <w:rPr>
          <w:rFonts w:hAnsi="宋体" w:eastAsia="宋体" w:cs="Times New Roman"/>
          <w:b/>
          <w:color w:val="auto"/>
          <w:highlight w:val="none"/>
        </w:rPr>
      </w:pPr>
    </w:p>
    <w:p w14:paraId="04729627">
      <w:pPr>
        <w:pStyle w:val="5"/>
        <w:keepNext w:val="0"/>
        <w:keepLines w:val="0"/>
        <w:spacing w:line="400" w:lineRule="exact"/>
        <w:jc w:val="center"/>
        <w:rPr>
          <w:rFonts w:hint="eastAsia" w:ascii="Times New Roman" w:hAnsi="Times New Roman" w:eastAsia="宋体" w:cs="Times New Roman"/>
          <w:color w:val="auto"/>
          <w:highlight w:val="none"/>
        </w:rPr>
      </w:pPr>
      <w:bookmarkStart w:id="141" w:name="_Toc254970675"/>
      <w:bookmarkStart w:id="142" w:name="_Toc17855"/>
      <w:bookmarkStart w:id="143" w:name="_Toc254970534"/>
      <w:bookmarkStart w:id="144" w:name="_Toc10320"/>
      <w:bookmarkStart w:id="145" w:name="_Toc25104"/>
      <w:bookmarkStart w:id="146" w:name="_Toc22911"/>
      <w:bookmarkStart w:id="147" w:name="_Toc18580"/>
      <w:bookmarkStart w:id="148" w:name="_Toc11054"/>
      <w:bookmarkStart w:id="149" w:name="_Toc128"/>
      <w:bookmarkStart w:id="150" w:name="_Toc6920"/>
      <w:bookmarkStart w:id="151" w:name="_Toc9988"/>
      <w:bookmarkStart w:id="152" w:name="_Toc19016"/>
      <w:r>
        <w:rPr>
          <w:rFonts w:hint="eastAsia" w:ascii="Times New Roman" w:hAnsi="Times New Roman" w:eastAsia="宋体" w:cs="Times New Roman"/>
          <w:color w:val="auto"/>
          <w:highlight w:val="none"/>
        </w:rPr>
        <w:t>二、招标文件</w:t>
      </w:r>
      <w:bookmarkEnd w:id="141"/>
      <w:bookmarkEnd w:id="142"/>
      <w:bookmarkEnd w:id="143"/>
      <w:bookmarkEnd w:id="144"/>
      <w:bookmarkEnd w:id="145"/>
      <w:bookmarkEnd w:id="146"/>
      <w:bookmarkEnd w:id="147"/>
      <w:bookmarkEnd w:id="148"/>
      <w:bookmarkEnd w:id="149"/>
      <w:bookmarkEnd w:id="150"/>
      <w:bookmarkEnd w:id="151"/>
      <w:bookmarkEnd w:id="152"/>
    </w:p>
    <w:p w14:paraId="60D10F1D">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10.招标文件的组成</w:t>
      </w:r>
    </w:p>
    <w:p w14:paraId="4BF8C8A2">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第一章 招标公告；</w:t>
      </w:r>
    </w:p>
    <w:p w14:paraId="6ED9FEFB">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第二章 采购需求； </w:t>
      </w:r>
    </w:p>
    <w:p w14:paraId="18D3BAF0">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第三章 投标人须知；</w:t>
      </w:r>
    </w:p>
    <w:p w14:paraId="058F95E5">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第四章 评标方法</w:t>
      </w:r>
      <w:r>
        <w:rPr>
          <w:rFonts w:hint="eastAsia" w:ascii="宋体" w:hAnsi="宋体" w:cs="Times New Roman"/>
          <w:color w:val="auto"/>
          <w:szCs w:val="21"/>
          <w:highlight w:val="none"/>
          <w:lang w:eastAsia="zh-CN"/>
        </w:rPr>
        <w:t>和</w:t>
      </w:r>
      <w:r>
        <w:rPr>
          <w:rFonts w:hint="eastAsia" w:ascii="宋体" w:hAnsi="宋体" w:eastAsia="宋体" w:cs="Times New Roman"/>
          <w:color w:val="auto"/>
          <w:szCs w:val="21"/>
          <w:highlight w:val="none"/>
        </w:rPr>
        <w:t>评标标准；</w:t>
      </w:r>
    </w:p>
    <w:p w14:paraId="7809F658">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第五章 拟签订的合同文本；</w:t>
      </w:r>
    </w:p>
    <w:p w14:paraId="7EA5D50C">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第六章 投标文件格式；</w:t>
      </w:r>
    </w:p>
    <w:p w14:paraId="21FDB14A">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第七章 质疑、投诉材料格式</w:t>
      </w:r>
    </w:p>
    <w:p w14:paraId="49AC7103">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根据本章</w:t>
      </w:r>
      <w:r>
        <w:rPr>
          <w:rFonts w:hint="eastAsia" w:ascii="宋体" w:hAnsi="宋体" w:eastAsia="宋体" w:cs="宋体"/>
          <w:color w:val="auto"/>
          <w:highlight w:val="none"/>
        </w:rPr>
        <w:t>第11.1</w:t>
      </w:r>
      <w:r>
        <w:rPr>
          <w:rFonts w:hint="eastAsia" w:ascii="Times New Roman" w:hAnsi="宋体" w:eastAsia="宋体" w:cs="Times New Roman"/>
          <w:color w:val="auto"/>
          <w:highlight w:val="none"/>
        </w:rPr>
        <w:t>项的规定对招标文件所做的澄清、修改，构成招标文件的组成部分。当招标文件与招标文件的澄清和修改就同一内容的表述不一致时，</w:t>
      </w:r>
      <w:r>
        <w:rPr>
          <w:rFonts w:hint="eastAsia" w:ascii="Times New Roman" w:hAnsi="Times New Roman" w:eastAsia="宋体" w:cs="Times New Roman"/>
          <w:color w:val="auto"/>
          <w:highlight w:val="none"/>
        </w:rPr>
        <w:t>以最后澄清或修改公告为准。</w:t>
      </w:r>
    </w:p>
    <w:p w14:paraId="6C7A8459">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11.招标文件的澄清、修改 、现场考察和答疑会</w:t>
      </w:r>
    </w:p>
    <w:p w14:paraId="7B1A3328">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11.1</w:t>
      </w:r>
      <w:r>
        <w:rPr>
          <w:rFonts w:hint="eastAsia" w:ascii="宋体" w:hAnsi="宋体" w:cs="Times New Roman"/>
          <w:b/>
          <w:color w:val="auto"/>
          <w:szCs w:val="21"/>
          <w:highlight w:val="none"/>
          <w:lang w:val="en-US" w:eastAsia="zh-CN"/>
        </w:rPr>
        <w:t xml:space="preserve"> </w:t>
      </w:r>
      <w:r>
        <w:rPr>
          <w:rFonts w:hint="eastAsia" w:ascii="宋体" w:hAnsi="宋体" w:eastAsia="宋体" w:cs="Times New Roman"/>
          <w:b/>
          <w:color w:val="auto"/>
          <w:szCs w:val="21"/>
          <w:highlight w:val="none"/>
        </w:rPr>
        <w:t>采购人或者采购代理机构可以对已发出的招标文件进行必要的澄清或者修改，但不得改变采购标的和资格条件。澄清或者修改应当在原</w:t>
      </w:r>
      <w:r>
        <w:rPr>
          <w:rFonts w:hint="eastAsia" w:ascii="宋体" w:hAnsi="宋体" w:cs="Times New Roman"/>
          <w:b/>
          <w:color w:val="auto"/>
          <w:szCs w:val="21"/>
          <w:highlight w:val="none"/>
          <w:lang w:eastAsia="zh-CN"/>
        </w:rPr>
        <w:t>招标</w:t>
      </w:r>
      <w:r>
        <w:rPr>
          <w:rFonts w:hint="eastAsia" w:ascii="宋体" w:hAnsi="宋体" w:eastAsia="宋体" w:cs="Times New Roman"/>
          <w:b/>
          <w:color w:val="auto"/>
          <w:szCs w:val="21"/>
          <w:highlight w:val="none"/>
        </w:rPr>
        <w:t>公告发布媒体上发布澄清公告。澄清或者修改的内容为招标文件的组成部分。</w:t>
      </w:r>
    </w:p>
    <w:p w14:paraId="438A353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11.2 投标人应认真审阅本招标文件，如有疑问，或发现其中有误或有要求不合理的，应在投标人须知前附表规定的</w:t>
      </w:r>
      <w:r>
        <w:rPr>
          <w:rFonts w:hint="eastAsia" w:ascii="宋体" w:hAnsi="宋体" w:eastAsia="宋体" w:cs="宋体"/>
          <w:color w:val="auto"/>
          <w:kern w:val="0"/>
          <w:szCs w:val="21"/>
          <w:highlight w:val="none"/>
        </w:rPr>
        <w:t>投标截止时间</w:t>
      </w:r>
      <w:r>
        <w:rPr>
          <w:rFonts w:hint="eastAsia" w:ascii="宋体" w:hAnsi="宋体" w:eastAsia="宋体" w:cs="宋体"/>
          <w:color w:val="auto"/>
          <w:highlight w:val="none"/>
        </w:rPr>
        <w:t>前以书面形式要求采购人或采购代理机构对招标文件予以澄清；否则，由此产生的后果由投标人自行负责。</w:t>
      </w:r>
    </w:p>
    <w:p w14:paraId="09BD503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hAnsi="宋体" w:eastAsia="宋体" w:cs="宋体"/>
          <w:color w:val="auto"/>
          <w:szCs w:val="21"/>
          <w:highlight w:val="none"/>
        </w:rPr>
        <w:t>投标人须知前附表”</w:t>
      </w:r>
      <w:r>
        <w:rPr>
          <w:rFonts w:hint="eastAsia" w:ascii="宋体" w:hAnsi="宋体" w:eastAsia="宋体" w:cs="宋体"/>
          <w:color w:val="auto"/>
          <w:highlight w:val="none"/>
        </w:rPr>
        <w:t>规定的政府采购信息发布媒体上发布更正公告及平台短信通知)所有获取招标文件的潜在投标人；不足15日的，采购人或者采购代理机构应当顺延提交投标文件的截止时间。</w:t>
      </w:r>
    </w:p>
    <w:p w14:paraId="7AC65C9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14:paraId="741CD9B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11.4 采购人和采购代理机构可以视采购具体情况，变更投标截止时间和开标时间，将变更时间将在“</w:t>
      </w:r>
      <w:r>
        <w:rPr>
          <w:rFonts w:hint="eastAsia" w:ascii="宋体" w:hAnsi="宋体" w:eastAsia="宋体" w:cs="宋体"/>
          <w:color w:val="auto"/>
          <w:szCs w:val="21"/>
          <w:highlight w:val="none"/>
        </w:rPr>
        <w:t>投标人须知前附表”</w:t>
      </w:r>
      <w:r>
        <w:rPr>
          <w:rFonts w:hint="eastAsia" w:ascii="宋体" w:hAnsi="宋体" w:eastAsia="宋体" w:cs="宋体"/>
          <w:color w:val="auto"/>
          <w:kern w:val="0"/>
          <w:szCs w:val="21"/>
          <w:highlight w:val="none"/>
        </w:rPr>
        <w:t>规定的政府采购信息发布媒体上</w:t>
      </w:r>
      <w:r>
        <w:rPr>
          <w:rFonts w:hint="eastAsia" w:ascii="宋体" w:hAnsi="宋体" w:eastAsia="宋体" w:cs="宋体"/>
          <w:color w:val="auto"/>
          <w:highlight w:val="none"/>
        </w:rPr>
        <w:t>发布更正公告。</w:t>
      </w:r>
    </w:p>
    <w:p w14:paraId="2660447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w:t>
      </w:r>
      <w:bookmarkStart w:id="153" w:name="_Hlk53134511"/>
      <w:r>
        <w:rPr>
          <w:rFonts w:hint="eastAsia" w:ascii="宋体" w:hAnsi="宋体" w:eastAsia="宋体" w:cs="宋体"/>
          <w:color w:val="auto"/>
          <w:highlight w:val="none"/>
        </w:rPr>
        <w:t>5采购人或者采购代理机构可以在招标文件提供期限截止后，组织已获取招标文件的潜在投标人现场考察或者召开开标前答疑会，具体详见“投标人须知前附表”。</w:t>
      </w:r>
    </w:p>
    <w:p w14:paraId="2748DF56">
      <w:pPr>
        <w:pStyle w:val="19"/>
        <w:rPr>
          <w:rFonts w:hint="eastAsia"/>
          <w:color w:val="auto"/>
          <w:highlight w:val="none"/>
        </w:rPr>
      </w:pPr>
    </w:p>
    <w:bookmarkEnd w:id="153"/>
    <w:p w14:paraId="2D3F77B5">
      <w:pPr>
        <w:pStyle w:val="5"/>
        <w:keepNext w:val="0"/>
        <w:keepLines w:val="0"/>
        <w:spacing w:line="400" w:lineRule="exact"/>
        <w:jc w:val="center"/>
        <w:rPr>
          <w:rFonts w:ascii="Times New Roman" w:hAnsi="Times New Roman" w:eastAsia="宋体" w:cs="Times New Roman"/>
          <w:color w:val="auto"/>
          <w:highlight w:val="none"/>
        </w:rPr>
      </w:pPr>
      <w:bookmarkStart w:id="154" w:name="_Toc32154"/>
      <w:bookmarkStart w:id="155" w:name="_Toc28419"/>
      <w:bookmarkStart w:id="156" w:name="_Toc27367"/>
      <w:bookmarkStart w:id="157" w:name="_Toc254970676"/>
      <w:bookmarkStart w:id="158" w:name="_Toc12080"/>
      <w:bookmarkStart w:id="159" w:name="_Toc20"/>
      <w:bookmarkStart w:id="160" w:name="_Toc32499"/>
      <w:bookmarkStart w:id="161" w:name="_Toc7841"/>
      <w:bookmarkStart w:id="162" w:name="_Toc2635"/>
      <w:bookmarkStart w:id="163" w:name="_Toc24872"/>
      <w:bookmarkStart w:id="164" w:name="_Toc16623"/>
      <w:bookmarkStart w:id="165" w:name="_Toc254970535"/>
      <w:r>
        <w:rPr>
          <w:rFonts w:hint="eastAsia" w:ascii="Times New Roman" w:hAnsi="Times New Roman" w:eastAsia="宋体" w:cs="Times New Roman"/>
          <w:color w:val="auto"/>
          <w:highlight w:val="none"/>
        </w:rPr>
        <w:t>三、投标文件的编制</w:t>
      </w:r>
      <w:bookmarkEnd w:id="154"/>
      <w:bookmarkEnd w:id="155"/>
      <w:bookmarkEnd w:id="156"/>
      <w:bookmarkEnd w:id="157"/>
      <w:bookmarkEnd w:id="158"/>
      <w:bookmarkEnd w:id="159"/>
      <w:bookmarkEnd w:id="160"/>
      <w:bookmarkEnd w:id="161"/>
      <w:bookmarkEnd w:id="162"/>
      <w:bookmarkEnd w:id="163"/>
      <w:bookmarkEnd w:id="164"/>
      <w:bookmarkEnd w:id="165"/>
    </w:p>
    <w:p w14:paraId="2FCA00AE">
      <w:pPr>
        <w:spacing w:line="360" w:lineRule="auto"/>
        <w:ind w:firstLine="480" w:firstLineChars="200"/>
        <w:rPr>
          <w:rFonts w:ascii="黑体" w:hAnsi="黑体" w:eastAsia="黑体" w:cs="Times New Roman"/>
          <w:color w:val="auto"/>
          <w:sz w:val="24"/>
          <w:highlight w:val="none"/>
        </w:rPr>
      </w:pPr>
      <w:bookmarkStart w:id="166" w:name="_Toc254970677"/>
      <w:bookmarkStart w:id="167" w:name="_Toc254970536"/>
      <w:r>
        <w:rPr>
          <w:rFonts w:hint="eastAsia" w:ascii="黑体" w:hAnsi="黑体" w:eastAsia="黑体" w:cs="Times New Roman"/>
          <w:color w:val="auto"/>
          <w:sz w:val="24"/>
          <w:highlight w:val="none"/>
        </w:rPr>
        <w:t>12.投标文件的编制原则</w:t>
      </w:r>
    </w:p>
    <w:p w14:paraId="0A150B01">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投标人必须按照招标文件的要求编制投标文件。投标文件必须对招标文件提出的要求和条件作出明确响应。</w:t>
      </w:r>
    </w:p>
    <w:p w14:paraId="1AA419DA">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13.投标文件的组成</w:t>
      </w:r>
      <w:bookmarkEnd w:id="166"/>
      <w:bookmarkEnd w:id="167"/>
    </w:p>
    <w:p w14:paraId="3F9E8739">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13.1投标文件由报价文件、资格证明文件、商务文件、技术文件四部分组成。</w:t>
      </w:r>
    </w:p>
    <w:p w14:paraId="4DCE27F3">
      <w:pPr>
        <w:spacing w:line="360" w:lineRule="auto"/>
        <w:ind w:firstLine="420" w:firstLineChars="200"/>
        <w:rPr>
          <w:rFonts w:hint="eastAsia" w:ascii="宋体" w:hAnsi="宋体" w:eastAsia="宋体" w:cs="Times New Roman"/>
          <w:bCs/>
          <w:color w:val="auto"/>
          <w:szCs w:val="21"/>
          <w:highlight w:val="none"/>
        </w:rPr>
      </w:pPr>
      <w:bookmarkStart w:id="168" w:name="_13.2资格证明文件：具体材料见“投标人须知前附表”。"/>
      <w:bookmarkEnd w:id="168"/>
      <w:bookmarkStart w:id="169" w:name="_13.1报价文件:_具体材料见“投标人须知前附表”。"/>
      <w:bookmarkEnd w:id="169"/>
      <w:r>
        <w:rPr>
          <w:rFonts w:hint="eastAsia" w:ascii="宋体" w:hAnsi="宋体" w:eastAsia="宋体" w:cs="Times New Roman"/>
          <w:bCs/>
          <w:color w:val="auto"/>
          <w:szCs w:val="21"/>
          <w:highlight w:val="none"/>
        </w:rPr>
        <w:t>（1）资格证明文件：具体材料见“投标人须知前附表”。</w:t>
      </w:r>
    </w:p>
    <w:p w14:paraId="2E510DE6">
      <w:pPr>
        <w:spacing w:line="360" w:lineRule="auto"/>
        <w:ind w:firstLine="420" w:firstLineChars="200"/>
        <w:rPr>
          <w:rFonts w:hint="eastAsia" w:ascii="宋体" w:hAnsi="宋体" w:eastAsia="宋体" w:cs="Times New Roman"/>
          <w:bCs/>
          <w:color w:val="auto"/>
          <w:szCs w:val="21"/>
          <w:highlight w:val="none"/>
        </w:rPr>
      </w:pPr>
      <w:bookmarkStart w:id="170" w:name="_13.3商务文件:_具体材料见“投标人须知前附表”。"/>
      <w:bookmarkEnd w:id="170"/>
      <w:r>
        <w:rPr>
          <w:rFonts w:hint="eastAsia" w:ascii="宋体" w:hAnsi="宋体" w:eastAsia="宋体" w:cs="Times New Roman"/>
          <w:bCs/>
          <w:color w:val="auto"/>
          <w:szCs w:val="21"/>
          <w:highlight w:val="none"/>
        </w:rPr>
        <w:t>（2）商务文件：具体材料见“投标人须知前附表”。</w:t>
      </w:r>
    </w:p>
    <w:p w14:paraId="215E802F">
      <w:pPr>
        <w:spacing w:line="360" w:lineRule="auto"/>
        <w:ind w:firstLine="420" w:firstLineChars="200"/>
        <w:rPr>
          <w:rFonts w:hint="eastAsia" w:ascii="宋体" w:hAnsi="宋体" w:eastAsia="宋体" w:cs="Times New Roman"/>
          <w:bCs/>
          <w:color w:val="auto"/>
          <w:szCs w:val="21"/>
          <w:highlight w:val="none"/>
        </w:rPr>
      </w:pPr>
      <w:bookmarkStart w:id="171" w:name="_13.4技术文件：具体材料见“投标人须知前附表”。"/>
      <w:bookmarkEnd w:id="171"/>
      <w:r>
        <w:rPr>
          <w:rFonts w:hint="eastAsia" w:ascii="宋体" w:hAnsi="宋体" w:eastAsia="宋体" w:cs="Times New Roman"/>
          <w:bCs/>
          <w:color w:val="auto"/>
          <w:szCs w:val="21"/>
          <w:highlight w:val="none"/>
        </w:rPr>
        <w:t xml:space="preserve">（3）技术文件：具体材料见“投标人须知前附表”。 </w:t>
      </w:r>
    </w:p>
    <w:p w14:paraId="1A209FAC">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（4）报价文件： 具体材料见“投标人须知前附表”。</w:t>
      </w:r>
    </w:p>
    <w:p w14:paraId="524D123D">
      <w:pPr>
        <w:spacing w:line="360" w:lineRule="auto"/>
        <w:ind w:firstLine="420" w:firstLineChars="200"/>
        <w:rPr>
          <w:rFonts w:hint="eastAsia" w:ascii="宋体" w:hAnsi="宋体" w:eastAsia="宋体" w:cs="Times New Roman"/>
          <w:bCs/>
          <w:color w:val="auto"/>
          <w:szCs w:val="21"/>
          <w:highlight w:val="none"/>
        </w:rPr>
      </w:pPr>
      <w:bookmarkStart w:id="172" w:name="_13.5投标文件电子版：具体材料见“投标人须知前附表”。"/>
      <w:bookmarkEnd w:id="172"/>
      <w:r>
        <w:rPr>
          <w:rFonts w:hint="eastAsia" w:ascii="宋体" w:hAnsi="宋体" w:eastAsia="宋体" w:cs="Times New Roman"/>
          <w:bCs/>
          <w:color w:val="auto"/>
          <w:szCs w:val="21"/>
          <w:highlight w:val="none"/>
        </w:rPr>
        <w:t>13.2投标文件电子版：具体要求见本节19.投标文件编制。</w:t>
      </w:r>
    </w:p>
    <w:p w14:paraId="7EA3B6EA">
      <w:pPr>
        <w:spacing w:line="360" w:lineRule="auto"/>
        <w:ind w:firstLine="480" w:firstLineChars="200"/>
        <w:rPr>
          <w:rFonts w:hint="eastAsia" w:ascii="黑体" w:hAnsi="黑体" w:eastAsia="黑体" w:cs="Times New Roman"/>
          <w:color w:val="auto"/>
          <w:sz w:val="24"/>
          <w:highlight w:val="none"/>
        </w:rPr>
      </w:pPr>
      <w:bookmarkStart w:id="173" w:name="_Toc254970678"/>
      <w:bookmarkStart w:id="174" w:name="_Toc254970537"/>
      <w:r>
        <w:rPr>
          <w:rFonts w:hint="eastAsia" w:ascii="黑体" w:hAnsi="黑体" w:eastAsia="黑体" w:cs="Times New Roman"/>
          <w:color w:val="auto"/>
          <w:sz w:val="24"/>
          <w:highlight w:val="none"/>
        </w:rPr>
        <w:t>14.投标文件的语言及计量</w:t>
      </w:r>
      <w:bookmarkEnd w:id="173"/>
      <w:bookmarkEnd w:id="174"/>
    </w:p>
    <w:p w14:paraId="34103B9D">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14.1语言文字</w:t>
      </w:r>
    </w:p>
    <w:p w14:paraId="6594BE34">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192469AA">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14.2投标计量单位</w:t>
      </w:r>
    </w:p>
    <w:p w14:paraId="668E8830">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招标文件已有明确规定的，使用招标文件规定的计量单位；招标文件没有规定的，应采用中华人民共和国法定计量单位，货币种类为人民币，否则视同未响应。</w:t>
      </w:r>
    </w:p>
    <w:p w14:paraId="06C92556">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15.投标</w:t>
      </w:r>
      <w:r>
        <w:rPr>
          <w:rFonts w:hint="eastAsia" w:ascii="黑体" w:hAnsi="黑体" w:eastAsia="黑体" w:cs="Times New Roman"/>
          <w:color w:val="auto"/>
          <w:sz w:val="24"/>
          <w:highlight w:val="none"/>
          <w:lang w:val="en-US" w:eastAsia="zh-CN"/>
        </w:rPr>
        <w:t>文件提交</w:t>
      </w:r>
      <w:r>
        <w:rPr>
          <w:rFonts w:hint="eastAsia" w:ascii="黑体" w:hAnsi="黑体" w:eastAsia="黑体" w:cs="Times New Roman"/>
          <w:color w:val="auto"/>
          <w:sz w:val="24"/>
          <w:highlight w:val="none"/>
        </w:rPr>
        <w:t>的风险</w:t>
      </w:r>
    </w:p>
    <w:p w14:paraId="42713CEC">
      <w:pPr>
        <w:spacing w:line="360" w:lineRule="auto"/>
        <w:ind w:firstLine="420" w:firstLineChars="200"/>
        <w:rPr>
          <w:rFonts w:hint="eastAsia" w:ascii="Times New Roman" w:hAnsi="宋体" w:eastAsia="宋体" w:cs="Times New Roman"/>
          <w:b/>
          <w:bCs/>
          <w:color w:val="auto"/>
          <w:highlight w:val="none"/>
        </w:rPr>
      </w:pPr>
      <w:r>
        <w:rPr>
          <w:rFonts w:hint="eastAsia" w:ascii="Times New Roman" w:hAnsi="宋体" w:eastAsia="宋体" w:cs="Times New Roman"/>
          <w:color w:val="auto"/>
          <w:highlight w:val="none"/>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投标人没有按照招标文件要求提供全部资料，或者投标人没有对招标文件作出实质性响应是投标人的风险，可能导致其投标被拒绝。</w:t>
      </w:r>
    </w:p>
    <w:p w14:paraId="3D3EE35B">
      <w:pPr>
        <w:spacing w:line="360" w:lineRule="auto"/>
        <w:ind w:firstLine="480" w:firstLineChars="200"/>
        <w:rPr>
          <w:rFonts w:ascii="黑体" w:hAnsi="黑体" w:eastAsia="黑体" w:cs="Times New Roman"/>
          <w:color w:val="auto"/>
          <w:sz w:val="24"/>
          <w:highlight w:val="none"/>
        </w:rPr>
      </w:pPr>
      <w:bookmarkStart w:id="175" w:name="_Toc254970538"/>
      <w:bookmarkStart w:id="176" w:name="_Toc254970679"/>
      <w:r>
        <w:rPr>
          <w:rFonts w:hint="eastAsia" w:ascii="黑体" w:hAnsi="黑体" w:eastAsia="黑体" w:cs="Times New Roman"/>
          <w:color w:val="auto"/>
          <w:sz w:val="24"/>
          <w:highlight w:val="none"/>
        </w:rPr>
        <w:t>16.投标报价</w:t>
      </w:r>
      <w:bookmarkEnd w:id="175"/>
      <w:bookmarkEnd w:id="176"/>
    </w:p>
    <w:p w14:paraId="270DAEDB">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16.1投标报价应</w:t>
      </w:r>
      <w:r>
        <w:rPr>
          <w:rFonts w:hint="eastAsia" w:ascii="宋体" w:hAnsi="宋体" w:eastAsia="宋体" w:cs="Times New Roman"/>
          <w:bCs/>
          <w:color w:val="auto"/>
          <w:szCs w:val="20"/>
          <w:highlight w:val="none"/>
        </w:rPr>
        <w:t>按“第六章</w:t>
      </w:r>
      <w:r>
        <w:rPr>
          <w:rFonts w:hint="eastAsia" w:ascii="宋体" w:hAnsi="宋体" w:cs="Times New Roman"/>
          <w:bCs/>
          <w:color w:val="auto"/>
          <w:szCs w:val="20"/>
          <w:highlight w:val="none"/>
          <w:lang w:val="en-US" w:eastAsia="zh-CN"/>
        </w:rPr>
        <w:t xml:space="preserve"> </w:t>
      </w:r>
      <w:r>
        <w:rPr>
          <w:rFonts w:hint="eastAsia" w:ascii="宋体" w:hAnsi="宋体" w:eastAsia="宋体" w:cs="Times New Roman"/>
          <w:bCs/>
          <w:color w:val="auto"/>
          <w:szCs w:val="20"/>
          <w:highlight w:val="none"/>
        </w:rPr>
        <w:t>投标文件格式”中“开标一览表”格式填写。</w:t>
      </w:r>
    </w:p>
    <w:p w14:paraId="4184C3C8">
      <w:pPr>
        <w:spacing w:line="360" w:lineRule="auto"/>
        <w:ind w:firstLine="420" w:firstLineChars="200"/>
        <w:rPr>
          <w:rFonts w:hint="eastAsia" w:ascii="宋体" w:hAnsi="宋体" w:eastAsia="宋体" w:cs="Times New Roman"/>
          <w:bCs/>
          <w:color w:val="auto"/>
          <w:szCs w:val="21"/>
          <w:highlight w:val="none"/>
        </w:rPr>
      </w:pPr>
      <w:bookmarkStart w:id="177" w:name="_16.2投标报价具体定义见投标人须知前附表。"/>
      <w:bookmarkEnd w:id="177"/>
      <w:r>
        <w:rPr>
          <w:rFonts w:hint="eastAsia" w:ascii="宋体" w:hAnsi="宋体" w:eastAsia="宋体" w:cs="Times New Roman"/>
          <w:bCs/>
          <w:color w:val="auto"/>
          <w:szCs w:val="21"/>
          <w:highlight w:val="none"/>
        </w:rPr>
        <w:t>16.2投标报价具体包括内容详见“投标人须知前附表”。</w:t>
      </w:r>
    </w:p>
    <w:p w14:paraId="7125204B">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16.3投标人必须就所投每个分标的全部内容分别作完整唯一总价报价，不得存在漏项报价；投标人必须就所投</w:t>
      </w:r>
      <w:r>
        <w:rPr>
          <w:rFonts w:hint="eastAsia" w:ascii="宋体" w:hAnsi="宋体" w:cs="Times New Roman"/>
          <w:bCs/>
          <w:color w:val="auto"/>
          <w:szCs w:val="21"/>
          <w:highlight w:val="none"/>
          <w:lang w:eastAsia="zh-CN"/>
        </w:rPr>
        <w:t>分标</w:t>
      </w:r>
      <w:r>
        <w:rPr>
          <w:rFonts w:hint="eastAsia" w:ascii="宋体" w:hAnsi="宋体" w:eastAsia="宋体" w:cs="Times New Roman"/>
          <w:bCs/>
          <w:color w:val="auto"/>
          <w:szCs w:val="21"/>
          <w:highlight w:val="none"/>
        </w:rPr>
        <w:t>的单项内容作唯一报价。</w:t>
      </w:r>
    </w:p>
    <w:p w14:paraId="6F12AF89">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17.投标有效期</w:t>
      </w:r>
    </w:p>
    <w:p w14:paraId="02C295DF">
      <w:pPr>
        <w:spacing w:line="360" w:lineRule="auto"/>
        <w:ind w:firstLine="420" w:firstLineChars="200"/>
        <w:rPr>
          <w:rFonts w:hint="eastAsia" w:ascii="宋体" w:hAnsi="宋体" w:eastAsia="宋体" w:cs="Times New Roman"/>
          <w:bCs/>
          <w:color w:val="auto"/>
          <w:szCs w:val="21"/>
          <w:highlight w:val="none"/>
        </w:rPr>
      </w:pPr>
      <w:bookmarkStart w:id="178" w:name="_17.1投标有效期应按“投标人须知中的前附表”规定的期限。"/>
      <w:bookmarkEnd w:id="178"/>
      <w:r>
        <w:rPr>
          <w:rFonts w:hint="eastAsia" w:ascii="宋体" w:hAnsi="宋体" w:eastAsia="宋体" w:cs="Times New Roman"/>
          <w:bCs/>
          <w:color w:val="auto"/>
          <w:szCs w:val="21"/>
          <w:highlight w:val="none"/>
        </w:rPr>
        <w:t>17.1投标有效期是指为保证采购人有足够的时间在开标后完成评标、定标、合同签订等工作而要求投标人提交的投标文件在一定时间内保持有效的期限。</w:t>
      </w:r>
    </w:p>
    <w:p w14:paraId="11B7D66B">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17.2</w:t>
      </w:r>
      <w:bookmarkStart w:id="179" w:name="_Toc254970540"/>
      <w:bookmarkStart w:id="180" w:name="_Toc254970681"/>
      <w:r>
        <w:rPr>
          <w:rFonts w:hint="eastAsia" w:ascii="宋体" w:hAnsi="宋体" w:eastAsia="宋体" w:cs="Times New Roman"/>
          <w:bCs/>
          <w:color w:val="auto"/>
          <w:szCs w:val="21"/>
          <w:highlight w:val="none"/>
        </w:rPr>
        <w:t xml:space="preserve"> 投标有效期应按规定的期限作出承诺，具体详见“投标人须知前附表”。</w:t>
      </w:r>
    </w:p>
    <w:p w14:paraId="1CF7B44B">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17.3投标人的投标文件在投标有效期内均保持有效。</w:t>
      </w:r>
      <w:bookmarkEnd w:id="179"/>
      <w:bookmarkEnd w:id="180"/>
    </w:p>
    <w:p w14:paraId="6ACE1F08">
      <w:pPr>
        <w:spacing w:line="360" w:lineRule="auto"/>
        <w:ind w:firstLine="480" w:firstLineChars="200"/>
        <w:rPr>
          <w:rFonts w:hint="eastAsia" w:ascii="黑体" w:hAnsi="黑体" w:eastAsia="黑体" w:cs="Times New Roman"/>
          <w:color w:val="auto"/>
          <w:sz w:val="24"/>
          <w:highlight w:val="none"/>
        </w:rPr>
      </w:pPr>
      <w:bookmarkStart w:id="181" w:name="_18.投标保证金"/>
      <w:bookmarkEnd w:id="181"/>
      <w:bookmarkStart w:id="182" w:name="_Toc254970541"/>
      <w:bookmarkStart w:id="183" w:name="_Toc254970682"/>
      <w:r>
        <w:rPr>
          <w:rFonts w:hint="eastAsia" w:ascii="黑体" w:hAnsi="黑体" w:eastAsia="黑体" w:cs="Times New Roman"/>
          <w:color w:val="auto"/>
          <w:sz w:val="24"/>
          <w:highlight w:val="none"/>
        </w:rPr>
        <w:t>18.投标保证金</w:t>
      </w:r>
      <w:bookmarkEnd w:id="182"/>
      <w:bookmarkEnd w:id="183"/>
    </w:p>
    <w:p w14:paraId="47341218">
      <w:pPr>
        <w:spacing w:line="360" w:lineRule="auto"/>
        <w:ind w:firstLine="420" w:firstLineChars="200"/>
        <w:rPr>
          <w:rFonts w:hint="eastAsia" w:ascii="宋体" w:hAnsi="宋体" w:eastAsia="宋体" w:cs="Times New Roman"/>
          <w:bCs/>
          <w:color w:val="auto"/>
          <w:szCs w:val="21"/>
          <w:highlight w:val="none"/>
        </w:rPr>
      </w:pPr>
      <w:bookmarkStart w:id="184" w:name="_Toc254970542"/>
      <w:bookmarkStart w:id="185" w:name="_Toc254970683"/>
      <w:r>
        <w:rPr>
          <w:rFonts w:hint="eastAsia" w:ascii="宋体" w:hAnsi="宋体" w:eastAsia="宋体" w:cs="Times New Roman"/>
          <w:bCs/>
          <w:color w:val="auto"/>
          <w:szCs w:val="21"/>
          <w:highlight w:val="none"/>
        </w:rPr>
        <w:t>18.1投标人须按“投标人须知前附表” 的规定提交投标保证金。</w:t>
      </w:r>
    </w:p>
    <w:p w14:paraId="42845993">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18.2投标保证金的退还</w:t>
      </w:r>
    </w:p>
    <w:p w14:paraId="699EF89D">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18.2.1未中标人的投标保证金自中标通知书发出之日起</w:t>
      </w:r>
      <w:r>
        <w:rPr>
          <w:rFonts w:hint="eastAsia" w:ascii="宋体" w:hAnsi="宋体" w:eastAsia="宋体" w:cs="Times New Roman"/>
          <w:bCs/>
          <w:color w:val="auto"/>
          <w:szCs w:val="21"/>
          <w:highlight w:val="none"/>
          <w:lang w:val="en-US" w:eastAsia="zh-CN"/>
        </w:rPr>
        <w:t>5</w:t>
      </w:r>
      <w:r>
        <w:rPr>
          <w:rFonts w:hint="eastAsia" w:ascii="宋体" w:hAnsi="宋体" w:eastAsia="宋体" w:cs="Times New Roman"/>
          <w:bCs/>
          <w:color w:val="auto"/>
          <w:szCs w:val="21"/>
          <w:highlight w:val="none"/>
        </w:rPr>
        <w:t>个工作日内退还，退还方式如下：</w:t>
      </w:r>
    </w:p>
    <w:p w14:paraId="1D1F7271">
      <w:pPr>
        <w:ind w:firstLine="420" w:firstLineChars="200"/>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（1）采用银行转账方式的，以转账方式退回到投标人银行账户。</w:t>
      </w:r>
    </w:p>
    <w:p w14:paraId="44CE392C">
      <w:pPr>
        <w:pStyle w:val="8"/>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（2）采用支票、汇票、本票或者金融机构、担保机构出具的保函</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方式的，由投标人代表持相关授权证明材料至采购代理机构办理支票、汇票、本票或者金融机构、担保机构出具的保函</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原件退还手续。</w:t>
      </w:r>
    </w:p>
    <w:p w14:paraId="0521983D">
      <w:pPr>
        <w:ind w:left="420" w:leftChars="200" w:firstLine="0" w:firstLineChars="0"/>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18.2.2中标人的投标保证金自采购合同签订之日起</w:t>
      </w:r>
      <w:r>
        <w:rPr>
          <w:rFonts w:hint="eastAsia" w:ascii="宋体" w:hAnsi="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个工作日内退还，退还方式同本须知正文第18.2.1</w:t>
      </w:r>
      <w:r>
        <w:rPr>
          <w:rFonts w:hint="eastAsia" w:ascii="宋体" w:hAnsi="宋体" w:cs="宋体"/>
          <w:b w:val="0"/>
          <w:color w:val="auto"/>
          <w:sz w:val="21"/>
          <w:szCs w:val="21"/>
          <w:highlight w:val="none"/>
          <w:lang w:eastAsia="zh-CN"/>
        </w:rPr>
        <w:t>，</w:t>
      </w:r>
      <w:r>
        <w:rPr>
          <w:rFonts w:hint="eastAsia" w:ascii="宋体" w:hAnsi="宋体" w:eastAsia="宋体" w:cs="宋体"/>
          <w:b w:val="0"/>
          <w:color w:val="auto"/>
          <w:sz w:val="21"/>
          <w:szCs w:val="21"/>
          <w:highlight w:val="none"/>
        </w:rPr>
        <w:t>或者转为中标人的履约保证金。</w:t>
      </w:r>
    </w:p>
    <w:p w14:paraId="2FA3F57E">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18.3除逾期退还投标保证金和终止招标的情形以外，投标保证金不计息。</w:t>
      </w:r>
    </w:p>
    <w:p w14:paraId="40FF5183">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 xml:space="preserve">18.4投标人有下列情形之一的，投标保证金将不予退还： </w:t>
      </w:r>
    </w:p>
    <w:p w14:paraId="6792CE6E">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（1）投标人在投标有效期内撤销投标文件的；</w:t>
      </w:r>
    </w:p>
    <w:p w14:paraId="51ED1940">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（2）未按规定提交履约保证金的；</w:t>
      </w:r>
    </w:p>
    <w:p w14:paraId="1F5273EA">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（3）投标人在投标过程中弄虚作假，提供虚假材料的；</w:t>
      </w:r>
    </w:p>
    <w:p w14:paraId="3CFCA98E">
      <w:pPr>
        <w:snapToGrid w:val="0"/>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（4）中标人无正当理由不与采购人签订合同的；</w:t>
      </w:r>
    </w:p>
    <w:p w14:paraId="45C00AD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（5）投标人出现本章第9.2、9.3情形的；</w:t>
      </w:r>
    </w:p>
    <w:p w14:paraId="016269B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严重扰乱招投标程序的。</w:t>
      </w:r>
    </w:p>
    <w:p w14:paraId="7C83D448">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19.投标文件的</w:t>
      </w:r>
      <w:bookmarkEnd w:id="184"/>
      <w:bookmarkEnd w:id="185"/>
      <w:r>
        <w:rPr>
          <w:rFonts w:hint="eastAsia" w:ascii="黑体" w:hAnsi="黑体" w:eastAsia="黑体" w:cs="Times New Roman"/>
          <w:color w:val="auto"/>
          <w:sz w:val="24"/>
          <w:highlight w:val="none"/>
        </w:rPr>
        <w:t>编制</w:t>
      </w:r>
    </w:p>
    <w:p w14:paraId="60B62D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投标文件编制要求详见“投标人须知前附表”。投标人应按本招标文件规定的格式和顺序编制投标文件并标注页码，投标文件内容不完整、编排混乱导致投标文件被误读、漏读或者查找不到相关内容的，由此引发的后果由投标人承担。</w:t>
      </w:r>
      <w:bookmarkStart w:id="186" w:name="_19.2投标文件应按报价文件、资格证明文件、商务文件、技术文件分别编制"/>
      <w:bookmarkEnd w:id="186"/>
      <w:r>
        <w:rPr>
          <w:rFonts w:hint="eastAsia" w:ascii="宋体" w:hAnsi="宋体" w:eastAsia="宋体" w:cs="宋体"/>
          <w:color w:val="auto"/>
          <w:szCs w:val="21"/>
          <w:highlight w:val="none"/>
        </w:rPr>
        <w:t xml:space="preserve"> </w:t>
      </w:r>
    </w:p>
    <w:p w14:paraId="6E507B26">
      <w:pPr>
        <w:pStyle w:val="34"/>
        <w:snapToGrid w:val="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19.2投标文件按照招标文件第六章格式要求进行签署、盖章。投标人的投标文件未按照招标文件要求签署、盖章的，</w:t>
      </w:r>
      <w:r>
        <w:rPr>
          <w:rFonts w:hint="eastAsia" w:ascii="宋体" w:hAnsi="宋体" w:eastAsia="宋体" w:cs="宋体"/>
          <w:b/>
          <w:color w:val="auto"/>
          <w:sz w:val="21"/>
          <w:szCs w:val="21"/>
          <w:highlight w:val="none"/>
        </w:rPr>
        <w:t>其投标无效。</w:t>
      </w:r>
    </w:p>
    <w:p w14:paraId="6D9BA5CA">
      <w:pPr>
        <w:pStyle w:val="34"/>
        <w:snapToGrid w:val="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19.3为确保网上操作合法、有效和安全，投标人应当在投标截止时间前完成在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 w:val="21"/>
          <w:szCs w:val="21"/>
          <w:highlight w:val="none"/>
        </w:rPr>
        <w:t>的身份认证，确保在电子投标过程中能够对相关数据电文进行加密和使用电子签名。</w:t>
      </w:r>
    </w:p>
    <w:p w14:paraId="5EE0A6B3">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eastAsia="宋体" w:cs="宋体"/>
          <w:color w:val="auto"/>
          <w:szCs w:val="21"/>
          <w:highlight w:val="none"/>
        </w:rPr>
        <w:t>否则作无效投标处理</w:t>
      </w:r>
      <w:r>
        <w:rPr>
          <w:rFonts w:hint="eastAsia" w:ascii="宋体" w:hAnsi="宋体" w:eastAsia="宋体" w:cs="宋体"/>
          <w:b/>
          <w:color w:val="auto"/>
          <w:szCs w:val="21"/>
          <w:highlight w:val="none"/>
        </w:rPr>
        <w:t>。</w:t>
      </w:r>
    </w:p>
    <w:p w14:paraId="45152C29">
      <w:pPr>
        <w:spacing w:line="360" w:lineRule="auto"/>
        <w:ind w:firstLine="630" w:firstLineChars="3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19.5投标文件应避免涂改、行间插字或者删除</w:t>
      </w:r>
      <w:r>
        <w:rPr>
          <w:rFonts w:hint="eastAsia" w:ascii="宋体" w:hAnsi="宋体" w:eastAsia="宋体" w:cs="宋体"/>
          <w:color w:val="auto"/>
          <w:szCs w:val="21"/>
          <w:highlight w:val="none"/>
          <w:lang w:eastAsia="zh-CN"/>
        </w:rPr>
        <w:t>。</w:t>
      </w:r>
    </w:p>
    <w:p w14:paraId="2E87E2FB">
      <w:pPr>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19.6 对招标文件的实质性要求和条件作出响应是指投标人必须对招标文件中标注为实质性要求和条件的</w:t>
      </w:r>
      <w:r>
        <w:rPr>
          <w:rFonts w:hint="eastAsia" w:ascii="宋体" w:hAnsi="宋体" w:eastAsia="宋体" w:cs="宋体"/>
          <w:color w:val="auto"/>
          <w:szCs w:val="21"/>
          <w:highlight w:val="none"/>
        </w:rPr>
        <w:t>服务内容及要求</w:t>
      </w:r>
      <w:r>
        <w:rPr>
          <w:rFonts w:hint="eastAsia" w:ascii="宋体" w:hAnsi="宋体" w:eastAsia="宋体" w:cs="宋体"/>
          <w:color w:val="auto"/>
          <w:highlight w:val="none"/>
        </w:rPr>
        <w:t>、商务条款及其它内容</w:t>
      </w:r>
      <w:r>
        <w:rPr>
          <w:rFonts w:hint="eastAsia" w:ascii="宋体" w:hAnsi="宋体" w:eastAsia="宋体" w:cs="宋体"/>
          <w:b/>
          <w:color w:val="auto"/>
          <w:highlight w:val="none"/>
        </w:rPr>
        <w:t>作出满足或者优于原要求和条件的承诺</w:t>
      </w:r>
      <w:r>
        <w:rPr>
          <w:rFonts w:hint="eastAsia" w:ascii="宋体" w:hAnsi="宋体" w:eastAsia="宋体" w:cs="宋体"/>
          <w:color w:val="auto"/>
          <w:highlight w:val="none"/>
        </w:rPr>
        <w:t>。</w:t>
      </w:r>
    </w:p>
    <w:p w14:paraId="28B63622">
      <w:pPr>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19.7本项目为全流程电子化项目，异常情况见“第二节 投标人须知正文”中“四、24.2开标程序。</w:t>
      </w:r>
    </w:p>
    <w:p w14:paraId="2AE0054C">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20.备份投标文件</w:t>
      </w:r>
    </w:p>
    <w:p w14:paraId="3EF8E791">
      <w:pPr>
        <w:spacing w:line="360" w:lineRule="auto"/>
        <w:ind w:firstLine="420" w:firstLineChars="200"/>
        <w:rPr>
          <w:rFonts w:hint="eastAsia" w:ascii="黑体" w:hAnsi="黑体" w:eastAsia="黑体" w:cs="Times New Roman"/>
          <w:color w:val="auto"/>
          <w:sz w:val="24"/>
          <w:highlight w:val="none"/>
        </w:rPr>
      </w:pPr>
      <w:r>
        <w:rPr>
          <w:rFonts w:hint="eastAsia" w:ascii="Times New Roman" w:hAnsi="宋体" w:eastAsia="宋体" w:cs="Times New Roman"/>
          <w:bCs/>
          <w:color w:val="auto"/>
          <w:szCs w:val="21"/>
          <w:highlight w:val="none"/>
        </w:rPr>
        <w:t>详见在“投标人须知前附表”。</w:t>
      </w:r>
    </w:p>
    <w:p w14:paraId="29CE28AE">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21.投标文件的提交</w:t>
      </w:r>
    </w:p>
    <w:p w14:paraId="7471EB21">
      <w:pPr>
        <w:spacing w:line="360" w:lineRule="auto"/>
        <w:ind w:firstLine="420" w:firstLineChars="200"/>
        <w:rPr>
          <w:rFonts w:hint="eastAsia" w:ascii="Times New Roman" w:hAnsi="宋体" w:eastAsia="宋体" w:cs="Times New Roman"/>
          <w:b/>
          <w:color w:val="auto"/>
          <w:highlight w:val="none"/>
        </w:rPr>
      </w:pPr>
      <w:bookmarkStart w:id="187" w:name="_21.1投标人必须在“投标人须知中的前附表”规定的投标文件接收时间和投"/>
      <w:bookmarkEnd w:id="187"/>
      <w:r>
        <w:rPr>
          <w:rFonts w:hint="eastAsia" w:ascii="宋体" w:hAnsi="宋体" w:eastAsia="宋体" w:cs="宋体"/>
          <w:bCs/>
          <w:color w:val="auto"/>
          <w:szCs w:val="21"/>
          <w:highlight w:val="none"/>
        </w:rPr>
        <w:t>21.1</w:t>
      </w:r>
      <w:r>
        <w:rPr>
          <w:rFonts w:hint="eastAsia" w:ascii="Times New Roman" w:hAnsi="宋体" w:eastAsia="宋体" w:cs="Times New Roman"/>
          <w:bCs/>
          <w:color w:val="auto"/>
          <w:szCs w:val="21"/>
          <w:highlight w:val="none"/>
        </w:rPr>
        <w:t>投标人必须在“投标人须知前附表”规定的投标文件接收时间和投标地点提交电子版投标文件。电子投标文件应在制作完成后，在投标截止时间前通过有效数字证书（</w:t>
      </w:r>
      <w:r>
        <w:rPr>
          <w:rFonts w:ascii="Times New Roman" w:hAnsi="宋体" w:eastAsia="宋体" w:cs="Times New Roman"/>
          <w:bCs/>
          <w:color w:val="auto"/>
          <w:szCs w:val="21"/>
          <w:highlight w:val="none"/>
        </w:rPr>
        <w:t>CA</w:t>
      </w:r>
      <w:r>
        <w:rPr>
          <w:rFonts w:hint="eastAsia" w:ascii="Times New Roman" w:hAnsi="宋体" w:eastAsia="宋体" w:cs="Times New Roman"/>
          <w:bCs/>
          <w:color w:val="auto"/>
          <w:szCs w:val="21"/>
          <w:highlight w:val="none"/>
        </w:rPr>
        <w:t>认证锁）进行电子签章、加密，然后通过网络将加密的电子投标文件递交至</w:t>
      </w:r>
      <w:r>
        <w:rPr>
          <w:rFonts w:hint="eastAsia" w:ascii="宋体" w:hAnsi="宋体" w:cs="宋体"/>
          <w:b w:val="0"/>
          <w:bCs w:val="0"/>
          <w:color w:val="auto"/>
          <w:sz w:val="21"/>
          <w:szCs w:val="21"/>
          <w:highlight w:val="none"/>
          <w:lang w:val="en-US" w:eastAsia="zh-CN"/>
        </w:rPr>
        <w:t>广西政府采购云平台</w:t>
      </w:r>
      <w:r>
        <w:rPr>
          <w:rFonts w:hint="eastAsia" w:ascii="Times New Roman" w:hAnsi="宋体" w:eastAsia="宋体" w:cs="Times New Roman"/>
          <w:bCs/>
          <w:color w:val="auto"/>
          <w:szCs w:val="21"/>
          <w:highlight w:val="none"/>
        </w:rPr>
        <w:t>。</w:t>
      </w:r>
    </w:p>
    <w:p w14:paraId="4AAD0473">
      <w:pPr>
        <w:spacing w:line="360" w:lineRule="auto"/>
        <w:ind w:firstLine="422" w:firstLineChars="200"/>
        <w:rPr>
          <w:rFonts w:ascii="宋体" w:hAnsi="宋体" w:eastAsia="宋体" w:cs="Times New Roman"/>
          <w:b/>
          <w:color w:val="auto"/>
          <w:szCs w:val="20"/>
          <w:highlight w:val="none"/>
        </w:rPr>
      </w:pPr>
      <w:r>
        <w:rPr>
          <w:rFonts w:hint="eastAsia" w:ascii="宋体" w:hAnsi="宋体" w:eastAsia="宋体" w:cs="Times New Roman"/>
          <w:b/>
          <w:color w:val="auto"/>
          <w:szCs w:val="21"/>
          <w:highlight w:val="none"/>
        </w:rPr>
        <w:t>21.2未在规定时间内提交或者未按照招标文件要求密封或者标记的电子投标文件，</w:t>
      </w:r>
      <w:r>
        <w:rPr>
          <w:rFonts w:hint="eastAsia" w:ascii="宋体" w:hAnsi="宋体" w:cs="Times New Roman"/>
          <w:b/>
          <w:bCs w:val="0"/>
          <w:color w:val="auto"/>
          <w:sz w:val="21"/>
          <w:szCs w:val="21"/>
          <w:highlight w:val="none"/>
          <w:lang w:val="en-US" w:eastAsia="zh-CN"/>
        </w:rPr>
        <w:t>广西政府采购云平台</w:t>
      </w:r>
      <w:r>
        <w:rPr>
          <w:rFonts w:hint="eastAsia" w:ascii="宋体" w:hAnsi="宋体" w:eastAsia="宋体" w:cs="Times New Roman"/>
          <w:b/>
          <w:color w:val="auto"/>
          <w:szCs w:val="21"/>
          <w:highlight w:val="none"/>
        </w:rPr>
        <w:t>将拒收。</w:t>
      </w:r>
    </w:p>
    <w:p w14:paraId="5DACAC2A">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21.3电子版投标文件提交方式见“招标公告”</w:t>
      </w:r>
      <w:r>
        <w:rPr>
          <w:rFonts w:hint="eastAsia" w:ascii="宋体" w:hAnsi="宋体" w:cs="Times New Roman"/>
          <w:color w:val="auto"/>
          <w:szCs w:val="21"/>
          <w:highlight w:val="none"/>
          <w:lang w:eastAsia="zh-CN"/>
        </w:rPr>
        <w:t>。</w:t>
      </w:r>
    </w:p>
    <w:p w14:paraId="05C8C4AF">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22.投标文件的补充、修改、撤回</w:t>
      </w:r>
      <w:bookmarkStart w:id="188" w:name="_Toc254970543"/>
      <w:bookmarkStart w:id="189" w:name="_Toc254970684"/>
    </w:p>
    <w:p w14:paraId="143CCC8A">
      <w:pPr>
        <w:spacing w:line="360" w:lineRule="auto"/>
        <w:ind w:firstLine="420" w:firstLineChars="200"/>
        <w:rPr>
          <w:rFonts w:hint="eastAsia" w:ascii="黑体" w:hAnsi="黑体" w:eastAsia="黑体" w:cs="Times New Roman"/>
          <w:color w:val="auto"/>
          <w:sz w:val="24"/>
          <w:highlight w:val="none"/>
        </w:rPr>
      </w:pPr>
      <w:r>
        <w:rPr>
          <w:rFonts w:hint="eastAsia" w:ascii="宋体" w:hAnsi="宋体" w:eastAsia="宋体" w:cs="宋体"/>
          <w:color w:val="auto"/>
          <w:szCs w:val="21"/>
          <w:highlight w:val="none"/>
        </w:rPr>
        <w:t xml:space="preserve">22.1 </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w:t>
      </w:r>
      <w:r>
        <w:rPr>
          <w:rFonts w:hint="eastAsia" w:ascii="宋体" w:hAnsi="宋体" w:cs="宋体"/>
          <w:color w:val="auto"/>
          <w:szCs w:val="21"/>
          <w:highlight w:val="none"/>
          <w:lang w:eastAsia="zh-CN"/>
        </w:rPr>
        <w:t>提</w:t>
      </w:r>
      <w:r>
        <w:rPr>
          <w:rFonts w:hint="eastAsia" w:ascii="宋体" w:hAnsi="宋体" w:eastAsia="宋体" w:cs="宋体"/>
          <w:color w:val="auto"/>
          <w:szCs w:val="21"/>
          <w:highlight w:val="none"/>
        </w:rPr>
        <w:t>交的投标文件，</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将拒收。</w:t>
      </w:r>
    </w:p>
    <w:p w14:paraId="36F20255">
      <w:pPr>
        <w:pStyle w:val="34"/>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r>
        <w:rPr>
          <w:rFonts w:hint="eastAsia" w:ascii="宋体" w:hAnsi="宋体" w:cs="宋体"/>
          <w:color w:val="auto"/>
          <w:sz w:val="21"/>
          <w:szCs w:val="21"/>
          <w:highlight w:val="none"/>
          <w:lang w:val="en-US" w:eastAsia="zh-CN"/>
        </w:rPr>
        <w:t xml:space="preserve"> </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 w:val="21"/>
          <w:szCs w:val="21"/>
          <w:highlight w:val="none"/>
        </w:rPr>
        <w:t>收到投标文件，将妥善保存并即时向</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发出确认回执通知。在投标截止时间前，除</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补充、修改或者撤回投标文件外，任何单位和个人不得解密或提取投标文件。</w:t>
      </w:r>
    </w:p>
    <w:bookmarkEnd w:id="188"/>
    <w:bookmarkEnd w:id="189"/>
    <w:p w14:paraId="4B42267C">
      <w:pPr>
        <w:pStyle w:val="13"/>
        <w:snapToGrid w:val="0"/>
        <w:spacing w:line="400" w:lineRule="exact"/>
        <w:ind w:firstLine="739"/>
        <w:rPr>
          <w:rFonts w:hint="eastAsia" w:hAnsi="宋体" w:eastAsia="宋体" w:cs="Times New Roman"/>
          <w:snapToGrid w:val="0"/>
          <w:color w:val="auto"/>
          <w:sz w:val="21"/>
          <w:szCs w:val="21"/>
          <w:highlight w:val="none"/>
        </w:rPr>
      </w:pPr>
    </w:p>
    <w:p w14:paraId="3E7A2D03">
      <w:pPr>
        <w:pStyle w:val="5"/>
        <w:keepNext w:val="0"/>
        <w:keepLines w:val="0"/>
        <w:spacing w:line="400" w:lineRule="exact"/>
        <w:jc w:val="center"/>
        <w:rPr>
          <w:rFonts w:hint="eastAsia" w:ascii="Times New Roman" w:hAnsi="Times New Roman" w:eastAsia="宋体" w:cs="Times New Roman"/>
          <w:color w:val="auto"/>
          <w:highlight w:val="none"/>
        </w:rPr>
      </w:pPr>
      <w:bookmarkStart w:id="190" w:name="_Toc12790"/>
      <w:bookmarkStart w:id="191" w:name="_Toc254970685"/>
      <w:bookmarkStart w:id="192" w:name="_Toc27037"/>
      <w:bookmarkStart w:id="193" w:name="_Toc14091"/>
      <w:bookmarkStart w:id="194" w:name="_Toc2573"/>
      <w:bookmarkStart w:id="195" w:name="_Toc32494"/>
      <w:bookmarkStart w:id="196" w:name="_Toc810"/>
      <w:bookmarkStart w:id="197" w:name="_Toc1586"/>
      <w:bookmarkStart w:id="198" w:name="_Toc1356"/>
      <w:bookmarkStart w:id="199" w:name="_Toc22661"/>
      <w:bookmarkStart w:id="200" w:name="_Toc13250"/>
      <w:bookmarkStart w:id="201" w:name="_Toc254970544"/>
      <w:r>
        <w:rPr>
          <w:rFonts w:hint="eastAsia" w:ascii="Times New Roman" w:hAnsi="Times New Roman" w:eastAsia="宋体" w:cs="Times New Roman"/>
          <w:color w:val="auto"/>
          <w:highlight w:val="none"/>
        </w:rPr>
        <w:t>四、开</w:t>
      </w:r>
      <w:r>
        <w:rPr>
          <w:rFonts w:ascii="Times New Roman" w:hAnsi="Times New Roman" w:eastAsia="宋体" w:cs="Times New Roman"/>
          <w:color w:val="auto"/>
          <w:highlight w:val="none"/>
        </w:rPr>
        <w:t xml:space="preserve">    </w:t>
      </w:r>
      <w:r>
        <w:rPr>
          <w:rFonts w:hint="eastAsia" w:ascii="Times New Roman" w:hAnsi="Times New Roman" w:eastAsia="宋体" w:cs="Times New Roman"/>
          <w:color w:val="auto"/>
          <w:highlight w:val="none"/>
        </w:rPr>
        <w:t>标</w:t>
      </w:r>
      <w:bookmarkEnd w:id="190"/>
      <w:bookmarkEnd w:id="191"/>
      <w:bookmarkEnd w:id="192"/>
      <w:bookmarkEnd w:id="193"/>
      <w:bookmarkEnd w:id="194"/>
      <w:bookmarkEnd w:id="195"/>
      <w:bookmarkEnd w:id="196"/>
      <w:bookmarkEnd w:id="197"/>
      <w:bookmarkEnd w:id="198"/>
      <w:bookmarkEnd w:id="199"/>
      <w:bookmarkEnd w:id="200"/>
      <w:bookmarkEnd w:id="201"/>
    </w:p>
    <w:p w14:paraId="1DC7EF2C">
      <w:pPr>
        <w:spacing w:line="360" w:lineRule="auto"/>
        <w:ind w:firstLine="480" w:firstLineChars="200"/>
        <w:rPr>
          <w:rFonts w:ascii="黑体" w:hAnsi="黑体" w:eastAsia="黑体" w:cs="Times New Roman"/>
          <w:color w:val="auto"/>
          <w:sz w:val="24"/>
          <w:highlight w:val="none"/>
        </w:rPr>
      </w:pPr>
      <w:bookmarkStart w:id="202" w:name="_23.开标时间和地点"/>
      <w:bookmarkEnd w:id="202"/>
      <w:r>
        <w:rPr>
          <w:rFonts w:hint="eastAsia" w:ascii="黑体" w:hAnsi="黑体" w:eastAsia="黑体" w:cs="Times New Roman"/>
          <w:color w:val="auto"/>
          <w:sz w:val="24"/>
          <w:highlight w:val="none"/>
        </w:rPr>
        <w:t>23.开标时间和地点</w:t>
      </w:r>
    </w:p>
    <w:p w14:paraId="7638DCE5">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23.1开标时间及地点详见“投标人须知前附表”</w:t>
      </w:r>
    </w:p>
    <w:p w14:paraId="03983EF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23.2如</w:t>
      </w:r>
      <w:r>
        <w:rPr>
          <w:rFonts w:hint="eastAsia" w:ascii="宋体" w:hAnsi="宋体" w:eastAsia="宋体" w:cs="宋体"/>
          <w:bCs/>
          <w:color w:val="auto"/>
          <w:highlight w:val="none"/>
        </w:rPr>
        <w:t>投标人成功解密投标文件，但未在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bCs/>
          <w:color w:val="auto"/>
          <w:highlight w:val="none"/>
        </w:rPr>
        <w:t>电子开标大厅参加开标的，视同认可开标过程和结果，</w:t>
      </w:r>
      <w:r>
        <w:rPr>
          <w:rFonts w:hint="eastAsia" w:ascii="宋体" w:hAnsi="宋体" w:eastAsia="宋体" w:cs="宋体"/>
          <w:color w:val="auto"/>
          <w:highlight w:val="none"/>
        </w:rPr>
        <w:t>由此产生的后果由投标人自行负责。 投标人不足3家的，不得开标。</w:t>
      </w:r>
    </w:p>
    <w:p w14:paraId="51C2B967">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24.开标程序</w:t>
      </w:r>
    </w:p>
    <w:p w14:paraId="560694B2">
      <w:pPr>
        <w:autoSpaceDE w:val="0"/>
        <w:autoSpaceDN w:val="0"/>
        <w:adjustRightInd w:val="0"/>
        <w:spacing w:line="440" w:lineRule="exact"/>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bCs/>
          <w:color w:val="auto"/>
          <w:szCs w:val="21"/>
          <w:highlight w:val="none"/>
        </w:rPr>
        <w:t>24.1</w:t>
      </w:r>
      <w:r>
        <w:rPr>
          <w:rFonts w:hint="eastAsia" w:ascii="宋体" w:hAnsi="宋体" w:eastAsia="宋体" w:cs="Times New Roman"/>
          <w:color w:val="auto"/>
          <w:kern w:val="0"/>
          <w:szCs w:val="21"/>
          <w:highlight w:val="none"/>
        </w:rPr>
        <w:t>开标形式：</w:t>
      </w:r>
    </w:p>
    <w:p w14:paraId="263F619B">
      <w:pPr>
        <w:autoSpaceDE w:val="0"/>
        <w:autoSpaceDN w:val="0"/>
        <w:adjustRightInd w:val="0"/>
        <w:spacing w:line="44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bCs/>
          <w:color w:val="auto"/>
          <w:szCs w:val="21"/>
          <w:highlight w:val="none"/>
        </w:rPr>
        <w:t>开标的准备工作由采购代理机构负责落实，采购代理机构必须基于</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Times New Roman"/>
          <w:bCs/>
          <w:color w:val="auto"/>
          <w:szCs w:val="21"/>
          <w:highlight w:val="none"/>
          <w:lang w:eastAsia="zh-CN"/>
        </w:rPr>
        <w:t>依法抽取</w:t>
      </w:r>
      <w:r>
        <w:rPr>
          <w:rFonts w:hint="eastAsia" w:ascii="宋体" w:hAnsi="宋体" w:eastAsia="宋体" w:cs="Times New Roman"/>
          <w:bCs/>
          <w:color w:val="auto"/>
          <w:szCs w:val="21"/>
          <w:highlight w:val="none"/>
        </w:rPr>
        <w:t>评审专家，如采购代理机构未按规定</w:t>
      </w:r>
      <w:r>
        <w:rPr>
          <w:rFonts w:hint="eastAsia" w:ascii="宋体" w:hAnsi="宋体" w:cs="Times New Roman"/>
          <w:bCs/>
          <w:color w:val="auto"/>
          <w:szCs w:val="21"/>
          <w:highlight w:val="none"/>
          <w:lang w:eastAsia="zh-CN"/>
        </w:rPr>
        <w:t>抽</w:t>
      </w:r>
      <w:r>
        <w:rPr>
          <w:rFonts w:hint="eastAsia" w:ascii="宋体" w:hAnsi="宋体" w:eastAsia="宋体" w:cs="Times New Roman"/>
          <w:bCs/>
          <w:color w:val="auto"/>
          <w:szCs w:val="21"/>
          <w:highlight w:val="none"/>
        </w:rPr>
        <w:t>取专家的，视为本次开评标无效，应当重新采购；</w:t>
      </w:r>
    </w:p>
    <w:p w14:paraId="3CBC5BD1">
      <w:pPr>
        <w:autoSpaceDE w:val="0"/>
        <w:autoSpaceDN w:val="0"/>
        <w:adjustRightInd w:val="0"/>
        <w:spacing w:line="44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（2）采购代理机构将按照招标文件规定的时间通过</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bCs/>
          <w:color w:val="auto"/>
          <w:szCs w:val="21"/>
          <w:highlight w:val="none"/>
        </w:rPr>
        <w:t>组织线上开标活动、开启投标文件，所有</w:t>
      </w:r>
      <w:r>
        <w:rPr>
          <w:rFonts w:hint="eastAsia" w:ascii="宋体" w:hAnsi="宋体" w:cs="Times New Roman"/>
          <w:bCs/>
          <w:color w:val="auto"/>
          <w:szCs w:val="21"/>
          <w:highlight w:val="none"/>
          <w:lang w:eastAsia="zh-CN"/>
        </w:rPr>
        <w:t>投标人</w:t>
      </w:r>
      <w:r>
        <w:rPr>
          <w:rFonts w:hint="eastAsia" w:ascii="宋体" w:hAnsi="宋体" w:eastAsia="宋体" w:cs="Times New Roman"/>
          <w:bCs/>
          <w:color w:val="auto"/>
          <w:szCs w:val="21"/>
          <w:highlight w:val="none"/>
        </w:rPr>
        <w:t>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012D1A99">
      <w:pPr>
        <w:autoSpaceDE w:val="0"/>
        <w:autoSpaceDN w:val="0"/>
        <w:adjustRightInd w:val="0"/>
        <w:spacing w:line="44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24.2开标程序：</w:t>
      </w:r>
    </w:p>
    <w:p w14:paraId="22CB0146">
      <w:pPr>
        <w:pStyle w:val="17"/>
        <w:snapToGrid w:val="0"/>
        <w:spacing w:line="440" w:lineRule="exact"/>
        <w:ind w:firstLine="422" w:firstLineChars="200"/>
        <w:rPr>
          <w:rFonts w:hint="eastAsia" w:hAnsi="宋体" w:eastAsia="宋体" w:cs="Times New Roman"/>
          <w:color w:val="auto"/>
          <w:szCs w:val="21"/>
          <w:highlight w:val="none"/>
        </w:rPr>
      </w:pPr>
      <w:r>
        <w:rPr>
          <w:rFonts w:hint="eastAsia" w:hAnsi="宋体" w:eastAsia="宋体" w:cs="Times New Roman"/>
          <w:b/>
          <w:color w:val="auto"/>
          <w:szCs w:val="21"/>
          <w:highlight w:val="none"/>
        </w:rPr>
        <w:t>（1）解密电子投标文件。</w:t>
      </w:r>
      <w:r>
        <w:rPr>
          <w:rFonts w:hint="eastAsia" w:ascii="宋体" w:hAnsi="宋体" w:cs="宋体"/>
          <w:b w:val="0"/>
          <w:bCs w:val="0"/>
          <w:color w:val="auto"/>
          <w:sz w:val="21"/>
          <w:szCs w:val="21"/>
          <w:highlight w:val="none"/>
          <w:lang w:val="en-US" w:eastAsia="zh-CN"/>
        </w:rPr>
        <w:t>广西政府采购云平台</w:t>
      </w:r>
      <w:r>
        <w:rPr>
          <w:rFonts w:hint="eastAsia" w:hAnsi="宋体" w:eastAsia="宋体" w:cs="仿宋_GB2312"/>
          <w:color w:val="auto"/>
          <w:szCs w:val="21"/>
          <w:highlight w:val="none"/>
        </w:rPr>
        <w:t>按开标时间自动提取所有投标文件。采购代理机构依托</w:t>
      </w:r>
      <w:r>
        <w:rPr>
          <w:rFonts w:hint="eastAsia" w:ascii="宋体" w:hAnsi="宋体" w:cs="宋体"/>
          <w:b w:val="0"/>
          <w:bCs w:val="0"/>
          <w:color w:val="auto"/>
          <w:sz w:val="21"/>
          <w:szCs w:val="21"/>
          <w:highlight w:val="none"/>
          <w:lang w:val="en-US" w:eastAsia="zh-CN"/>
        </w:rPr>
        <w:t>广西政府采购云平台</w:t>
      </w:r>
      <w:r>
        <w:rPr>
          <w:rFonts w:hint="eastAsia" w:hAnsi="宋体" w:eastAsia="宋体" w:cs="Times New Roman"/>
          <w:color w:val="auto"/>
          <w:szCs w:val="21"/>
          <w:highlight w:val="none"/>
        </w:rPr>
        <w:t>向各投标人发出电子加密投标文件【开始解密】通知，由投标人在规定的时间内自行将投标文件在线解密。投标人的法定代表人或其委托代理人</w:t>
      </w:r>
      <w:r>
        <w:rPr>
          <w:rFonts w:hint="eastAsia" w:hAnsi="宋体" w:eastAsia="宋体" w:cs="Times New Roman"/>
          <w:b/>
          <w:color w:val="auto"/>
          <w:szCs w:val="21"/>
          <w:highlight w:val="none"/>
        </w:rPr>
        <w:t>须携带加密时所用的CA锁准时登录到</w:t>
      </w:r>
      <w:r>
        <w:rPr>
          <w:rFonts w:hint="eastAsia" w:ascii="宋体" w:hAnsi="宋体" w:cs="Times New Roman"/>
          <w:b/>
          <w:bCs w:val="0"/>
          <w:color w:val="auto"/>
          <w:sz w:val="21"/>
          <w:szCs w:val="21"/>
          <w:highlight w:val="none"/>
          <w:lang w:val="en-US" w:eastAsia="zh-CN"/>
        </w:rPr>
        <w:t>广西政府采购云平台</w:t>
      </w:r>
      <w:r>
        <w:rPr>
          <w:rFonts w:hint="eastAsia" w:hAnsi="宋体" w:eastAsia="宋体" w:cs="Times New Roman"/>
          <w:b/>
          <w:color w:val="auto"/>
          <w:szCs w:val="21"/>
          <w:highlight w:val="none"/>
        </w:rPr>
        <w:t>电子开标大厅签到并对电子投标文件</w:t>
      </w:r>
      <w:r>
        <w:rPr>
          <w:rFonts w:hint="eastAsia" w:hAnsi="宋体" w:cs="Times New Roman"/>
          <w:b/>
          <w:color w:val="auto"/>
          <w:szCs w:val="21"/>
          <w:highlight w:val="none"/>
          <w:lang w:eastAsia="zh-CN"/>
        </w:rPr>
        <w:t>在线</w:t>
      </w:r>
      <w:r>
        <w:rPr>
          <w:rFonts w:hint="eastAsia" w:hAnsi="宋体" w:eastAsia="宋体" w:cs="Times New Roman"/>
          <w:b/>
          <w:color w:val="auto"/>
          <w:szCs w:val="21"/>
          <w:highlight w:val="none"/>
        </w:rPr>
        <w:t>解密</w:t>
      </w:r>
      <w:r>
        <w:rPr>
          <w:rFonts w:hint="eastAsia" w:hAnsi="宋体" w:eastAsia="宋体" w:cs="Times New Roman"/>
          <w:color w:val="auto"/>
          <w:szCs w:val="21"/>
          <w:highlight w:val="none"/>
        </w:rPr>
        <w:t>。</w:t>
      </w:r>
      <w:r>
        <w:rPr>
          <w:rFonts w:hint="eastAsia" w:hAnsi="宋体" w:eastAsia="宋体" w:cs="Times New Roman"/>
          <w:b/>
          <w:bCs/>
          <w:color w:val="auto"/>
          <w:szCs w:val="21"/>
          <w:highlight w:val="none"/>
        </w:rPr>
        <w:t>投标文件未按时解密的，</w:t>
      </w:r>
      <w:r>
        <w:rPr>
          <w:rFonts w:hint="eastAsia" w:hAnsi="宋体" w:eastAsia="宋体" w:cs="Times New Roman"/>
          <w:b/>
          <w:color w:val="auto"/>
          <w:szCs w:val="21"/>
          <w:highlight w:val="none"/>
        </w:rPr>
        <w:t>均视为无效投标。</w:t>
      </w:r>
    </w:p>
    <w:p w14:paraId="6C4C5B37">
      <w:pPr>
        <w:pStyle w:val="17"/>
        <w:snapToGrid w:val="0"/>
        <w:spacing w:line="440" w:lineRule="exact"/>
        <w:ind w:firstLine="420" w:firstLineChars="200"/>
        <w:rPr>
          <w:rFonts w:hint="eastAsia" w:hAnsi="宋体" w:eastAsia="宋体" w:cs="Times New Roman"/>
          <w:color w:val="auto"/>
          <w:szCs w:val="21"/>
          <w:highlight w:val="none"/>
        </w:rPr>
      </w:pPr>
      <w:r>
        <w:rPr>
          <w:rFonts w:hint="eastAsia" w:hAnsi="宋体" w:eastAsia="宋体" w:cs="Times New Roman"/>
          <w:color w:val="auto"/>
          <w:szCs w:val="21"/>
          <w:highlight w:val="none"/>
        </w:rPr>
        <w:t>（解密</w:t>
      </w:r>
      <w:r>
        <w:rPr>
          <w:rFonts w:hint="eastAsia" w:hAnsi="宋体" w:eastAsia="宋体" w:cs="Times New Roman"/>
          <w:bCs/>
          <w:color w:val="auto"/>
          <w:szCs w:val="21"/>
          <w:highlight w:val="none"/>
        </w:rPr>
        <w:t>异常情况处理：详见本章</w:t>
      </w:r>
      <w:r>
        <w:rPr>
          <w:rFonts w:hint="eastAsia" w:hAnsi="宋体" w:eastAsia="宋体" w:cs="Times New Roman"/>
          <w:color w:val="auto"/>
          <w:highlight w:val="none"/>
        </w:rPr>
        <w:t>29.3 电子交易活动的中止。</w:t>
      </w:r>
      <w:r>
        <w:rPr>
          <w:rFonts w:hint="eastAsia" w:hAnsi="宋体" w:eastAsia="宋体" w:cs="Times New Roman"/>
          <w:color w:val="auto"/>
          <w:szCs w:val="21"/>
          <w:highlight w:val="none"/>
        </w:rPr>
        <w:t>）</w:t>
      </w:r>
    </w:p>
    <w:p w14:paraId="2A77D4B2">
      <w:pPr>
        <w:rPr>
          <w:rFonts w:hint="eastAsia"/>
          <w:color w:val="auto"/>
          <w:highlight w:val="none"/>
        </w:rPr>
      </w:pPr>
    </w:p>
    <w:p w14:paraId="73065B37">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Times New Roman"/>
          <w:b/>
          <w:color w:val="auto"/>
          <w:szCs w:val="21"/>
          <w:highlight w:val="none"/>
        </w:rPr>
        <w:t>电子唱标。</w:t>
      </w:r>
      <w:r>
        <w:rPr>
          <w:rFonts w:hint="eastAsia" w:ascii="宋体" w:hAnsi="宋体" w:eastAsia="宋体" w:cs="Times New Roman"/>
          <w:color w:val="auto"/>
          <w:szCs w:val="21"/>
          <w:highlight w:val="none"/>
        </w:rPr>
        <w:t>投标文件解密结束，各投标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报价均在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color w:val="auto"/>
          <w:szCs w:val="21"/>
          <w:highlight w:val="none"/>
        </w:rPr>
        <w:t>远程不见面开标大厅展示；</w:t>
      </w:r>
    </w:p>
    <w:p w14:paraId="2A49FA00">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（3）</w:t>
      </w:r>
      <w:r>
        <w:rPr>
          <w:rFonts w:hint="eastAsia" w:ascii="宋体" w:hAnsi="宋体" w:eastAsia="宋体" w:cs="Times New Roman"/>
          <w:bCs/>
          <w:color w:val="auto"/>
          <w:szCs w:val="21"/>
          <w:highlight w:val="none"/>
        </w:rPr>
        <w:t>开标过程由采购代理机构如实记录，并电子留痕，由参加电子开标的各投标人代表对电子开标记录在开标记录公布后15分钟内进行当场校核及勘误，并线上确认，未确认的视同认可开标结果。</w:t>
      </w:r>
    </w:p>
    <w:p w14:paraId="3109327C">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w:t>
      </w:r>
      <w:r>
        <w:rPr>
          <w:rFonts w:hint="eastAsia" w:ascii="宋体" w:hAnsi="宋体" w:cs="Times New Roman"/>
          <w:bCs/>
          <w:color w:val="auto"/>
          <w:szCs w:val="21"/>
          <w:highlight w:val="none"/>
          <w:lang w:val="en-US" w:eastAsia="zh-CN"/>
        </w:rPr>
        <w:t>4</w:t>
      </w:r>
      <w:r>
        <w:rPr>
          <w:rFonts w:hint="eastAsia" w:ascii="宋体" w:hAnsi="宋体" w:eastAsia="宋体" w:cs="Times New Roman"/>
          <w:bCs/>
          <w:color w:val="auto"/>
          <w:szCs w:val="21"/>
          <w:highlight w:val="none"/>
        </w:rPr>
        <w:t>）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15FD4F53">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w:t>
      </w:r>
      <w:r>
        <w:rPr>
          <w:rFonts w:hint="eastAsia" w:ascii="宋体" w:hAnsi="宋体" w:cs="Times New Roman"/>
          <w:bCs/>
          <w:color w:val="auto"/>
          <w:szCs w:val="21"/>
          <w:highlight w:val="none"/>
          <w:lang w:val="en-US" w:eastAsia="zh-CN"/>
        </w:rPr>
        <w:t>5</w:t>
      </w:r>
      <w:r>
        <w:rPr>
          <w:rFonts w:hint="eastAsia" w:ascii="宋体" w:hAnsi="宋体" w:eastAsia="宋体" w:cs="Times New Roman"/>
          <w:bCs/>
          <w:color w:val="auto"/>
          <w:szCs w:val="21"/>
          <w:highlight w:val="none"/>
        </w:rPr>
        <w:t>）开标结束。</w:t>
      </w:r>
    </w:p>
    <w:p w14:paraId="2E587CC6">
      <w:pPr>
        <w:pStyle w:val="17"/>
        <w:snapToGrid w:val="0"/>
        <w:spacing w:line="440" w:lineRule="exact"/>
        <w:ind w:firstLine="422" w:firstLineChars="200"/>
        <w:rPr>
          <w:rFonts w:hint="eastAsia" w:hAnsi="宋体" w:eastAsia="宋体" w:cs="Times New Roman"/>
          <w:color w:val="auto"/>
          <w:szCs w:val="21"/>
          <w:highlight w:val="none"/>
        </w:rPr>
      </w:pPr>
      <w:r>
        <w:rPr>
          <w:rFonts w:hint="eastAsia" w:hAnsi="宋体" w:eastAsia="宋体" w:cs="Times New Roman"/>
          <w:b/>
          <w:bCs/>
          <w:color w:val="auto"/>
          <w:szCs w:val="21"/>
          <w:highlight w:val="none"/>
        </w:rPr>
        <w:t>特别说明：</w:t>
      </w:r>
      <w:r>
        <w:rPr>
          <w:rFonts w:hint="eastAsia" w:hAnsi="宋体" w:eastAsia="宋体" w:cs="Times New Roman"/>
          <w:color w:val="auto"/>
          <w:szCs w:val="21"/>
          <w:highlight w:val="none"/>
        </w:rPr>
        <w:t>如遇</w:t>
      </w:r>
      <w:r>
        <w:rPr>
          <w:rFonts w:hint="eastAsia" w:ascii="宋体" w:hAnsi="宋体" w:cs="宋体"/>
          <w:b w:val="0"/>
          <w:bCs w:val="0"/>
          <w:color w:val="auto"/>
          <w:sz w:val="21"/>
          <w:szCs w:val="21"/>
          <w:highlight w:val="none"/>
          <w:lang w:val="en-US" w:eastAsia="zh-CN"/>
        </w:rPr>
        <w:t>广西政府采购云平台</w:t>
      </w:r>
      <w:r>
        <w:rPr>
          <w:rFonts w:hint="eastAsia" w:hAnsi="宋体" w:eastAsia="宋体" w:cs="Times New Roman"/>
          <w:color w:val="auto"/>
          <w:szCs w:val="21"/>
          <w:highlight w:val="none"/>
        </w:rPr>
        <w:t>电子化开标或评审程序调整的，按调整后执行。</w:t>
      </w:r>
    </w:p>
    <w:p w14:paraId="13A33ADC">
      <w:pPr>
        <w:pStyle w:val="17"/>
        <w:snapToGrid w:val="0"/>
        <w:spacing w:line="400" w:lineRule="exact"/>
        <w:ind w:left="689" w:leftChars="228" w:hanging="210" w:hangingChars="100"/>
        <w:rPr>
          <w:rFonts w:hint="eastAsia" w:hAnsi="宋体" w:eastAsia="宋体" w:cs="Times New Roman"/>
          <w:color w:val="auto"/>
          <w:highlight w:val="none"/>
        </w:rPr>
      </w:pPr>
    </w:p>
    <w:p w14:paraId="50E8A755">
      <w:pPr>
        <w:pStyle w:val="5"/>
        <w:keepNext w:val="0"/>
        <w:keepLines w:val="0"/>
        <w:spacing w:line="400" w:lineRule="exact"/>
        <w:jc w:val="center"/>
        <w:rPr>
          <w:rFonts w:hint="eastAsia" w:ascii="Times New Roman" w:hAnsi="Times New Roman" w:eastAsia="宋体" w:cs="Times New Roman"/>
          <w:color w:val="auto"/>
          <w:highlight w:val="none"/>
        </w:rPr>
      </w:pPr>
      <w:bookmarkStart w:id="203" w:name="_Toc23512"/>
      <w:bookmarkStart w:id="204" w:name="_Toc29189"/>
      <w:bookmarkStart w:id="205" w:name="_Toc22509"/>
      <w:bookmarkStart w:id="206" w:name="_Toc31994"/>
      <w:bookmarkStart w:id="207" w:name="_Toc1489"/>
      <w:bookmarkStart w:id="208" w:name="_Toc2575"/>
      <w:bookmarkStart w:id="209" w:name="_Toc25053"/>
      <w:bookmarkStart w:id="210" w:name="_Toc6866"/>
      <w:bookmarkStart w:id="211" w:name="_Toc8919"/>
      <w:bookmarkStart w:id="212" w:name="_Toc19053"/>
      <w:r>
        <w:rPr>
          <w:rFonts w:hint="eastAsia" w:ascii="Times New Roman" w:hAnsi="Times New Roman" w:eastAsia="宋体" w:cs="Times New Roman"/>
          <w:color w:val="auto"/>
          <w:highlight w:val="none"/>
        </w:rPr>
        <w:t>五、资格审查</w:t>
      </w:r>
      <w:bookmarkEnd w:id="203"/>
      <w:bookmarkEnd w:id="204"/>
      <w:bookmarkEnd w:id="205"/>
      <w:bookmarkEnd w:id="206"/>
      <w:bookmarkEnd w:id="207"/>
      <w:bookmarkEnd w:id="208"/>
      <w:bookmarkEnd w:id="209"/>
      <w:bookmarkEnd w:id="210"/>
      <w:bookmarkEnd w:id="211"/>
      <w:bookmarkEnd w:id="212"/>
    </w:p>
    <w:p w14:paraId="2581B3B6">
      <w:pPr>
        <w:outlineLvl w:val="9"/>
        <w:rPr>
          <w:rFonts w:ascii="黑体" w:hAnsi="黑体" w:eastAsia="黑体" w:cs="Times New Roman"/>
          <w:color w:val="auto"/>
          <w:sz w:val="24"/>
          <w:highlight w:val="none"/>
        </w:rPr>
      </w:pPr>
      <w:r>
        <w:rPr>
          <w:rFonts w:hint="eastAsia" w:ascii="黑体" w:hAnsi="黑体" w:eastAsia="黑体" w:cs="Times New Roman"/>
          <w:color w:val="auto"/>
          <w:sz w:val="24"/>
          <w:highlight w:val="none"/>
        </w:rPr>
        <w:t>25.资格审查</w:t>
      </w:r>
    </w:p>
    <w:p w14:paraId="7F875EFB">
      <w:pPr>
        <w:spacing w:line="360" w:lineRule="auto"/>
        <w:ind w:firstLine="422" w:firstLineChars="200"/>
        <w:rPr>
          <w:rFonts w:hint="eastAsia" w:ascii="宋体" w:hAnsi="宋体" w:eastAsia="宋体" w:cs="Times New Roman"/>
          <w:b/>
          <w:bCs/>
          <w:color w:val="auto"/>
          <w:szCs w:val="20"/>
          <w:highlight w:val="none"/>
        </w:rPr>
      </w:pPr>
      <w:r>
        <w:rPr>
          <w:rFonts w:hint="eastAsia" w:ascii="宋体" w:hAnsi="宋体" w:eastAsia="宋体" w:cs="Times New Roman"/>
          <w:b/>
          <w:bCs/>
          <w:color w:val="auto"/>
          <w:szCs w:val="20"/>
          <w:highlight w:val="none"/>
        </w:rPr>
        <w:t xml:space="preserve"> 25.1开标结束后，采购人或采购</w:t>
      </w:r>
      <w:r>
        <w:rPr>
          <w:rFonts w:hint="eastAsia" w:ascii="宋体" w:hAnsi="宋体" w:cs="Times New Roman"/>
          <w:b/>
          <w:bCs/>
          <w:color w:val="auto"/>
          <w:szCs w:val="20"/>
          <w:highlight w:val="none"/>
          <w:lang w:eastAsia="zh-CN"/>
        </w:rPr>
        <w:t>代理</w:t>
      </w:r>
      <w:r>
        <w:rPr>
          <w:rFonts w:hint="eastAsia" w:ascii="宋体" w:hAnsi="宋体" w:eastAsia="宋体" w:cs="Times New Roman"/>
          <w:b/>
          <w:bCs/>
          <w:color w:val="auto"/>
          <w:szCs w:val="20"/>
          <w:highlight w:val="none"/>
        </w:rPr>
        <w:t>机构依法通过电子投标文件对投标人的资格进行线上审查。</w:t>
      </w:r>
    </w:p>
    <w:p w14:paraId="3EC2757B">
      <w:pPr>
        <w:spacing w:line="360" w:lineRule="auto"/>
        <w:ind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25.</w:t>
      </w:r>
      <w:r>
        <w:rPr>
          <w:rFonts w:hint="eastAsia" w:ascii="宋体" w:hAnsi="宋体" w:cs="Times New Roman"/>
          <w:color w:val="auto"/>
          <w:highlight w:val="none"/>
          <w:lang w:val="en-US" w:eastAsia="zh-CN"/>
        </w:rPr>
        <w:t>2</w:t>
      </w:r>
      <w:r>
        <w:rPr>
          <w:rFonts w:hint="eastAsia" w:ascii="宋体" w:hAnsi="宋体" w:eastAsia="宋体" w:cs="Times New Roman"/>
          <w:color w:val="auto"/>
          <w:highlight w:val="none"/>
        </w:rPr>
        <w:t>资格审查标准为本“招标文件”中“投标人须知前附表”13.1点载明对投标人资格要求的条件。本项目资格审查采用合格制，凡符合招标文件规定的投标人资格要求的投标人均通过资格审查。</w:t>
      </w:r>
    </w:p>
    <w:p w14:paraId="00320489">
      <w:pPr>
        <w:spacing w:line="360" w:lineRule="auto"/>
        <w:ind w:firstLine="422" w:firstLineChars="200"/>
        <w:rPr>
          <w:rFonts w:hint="eastAsia" w:ascii="宋体" w:hAnsi="宋体" w:eastAsia="宋体" w:cs="Times New Roman"/>
          <w:b/>
          <w:bCs/>
          <w:color w:val="auto"/>
          <w:szCs w:val="20"/>
          <w:highlight w:val="none"/>
        </w:rPr>
      </w:pPr>
      <w:bookmarkStart w:id="213" w:name="_25.3_投标人有下列情形之一的，资格审查不通过而导致其投标无效："/>
      <w:bookmarkEnd w:id="213"/>
      <w:r>
        <w:rPr>
          <w:rFonts w:hint="eastAsia" w:ascii="宋体" w:hAnsi="宋体" w:eastAsia="宋体" w:cs="Times New Roman"/>
          <w:b/>
          <w:bCs/>
          <w:color w:val="auto"/>
          <w:szCs w:val="20"/>
          <w:highlight w:val="none"/>
        </w:rPr>
        <w:t>25.</w:t>
      </w:r>
      <w:r>
        <w:rPr>
          <w:rFonts w:hint="eastAsia" w:ascii="宋体" w:hAnsi="宋体" w:cs="Times New Roman"/>
          <w:b/>
          <w:bCs/>
          <w:color w:val="auto"/>
          <w:szCs w:val="20"/>
          <w:highlight w:val="none"/>
          <w:lang w:val="en-US" w:eastAsia="zh-CN"/>
        </w:rPr>
        <w:t>3</w:t>
      </w:r>
      <w:r>
        <w:rPr>
          <w:rFonts w:hint="eastAsia" w:ascii="宋体" w:hAnsi="宋体" w:eastAsia="宋体" w:cs="Times New Roman"/>
          <w:b/>
          <w:bCs/>
          <w:color w:val="auto"/>
          <w:szCs w:val="20"/>
          <w:highlight w:val="none"/>
        </w:rPr>
        <w:t>投标人有下列情形之一的，资格审查不通过，作无效投标处理：</w:t>
      </w:r>
    </w:p>
    <w:p w14:paraId="1388010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（1）不具备招标文件中规定的资格要求的；（注：其中信用查询规则见“投标人须知前附表”，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highlight w:val="none"/>
        </w:rPr>
        <w:t>已与“信用中国”平台做接口，采购人或者采购代理机构可直接在线查询）</w:t>
      </w:r>
    </w:p>
    <w:p w14:paraId="0D39890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（2）投标文件未提供任一项“投标人须知前附表”资格证明文件规定的“必须提供”的文件资料的；</w:t>
      </w:r>
    </w:p>
    <w:p w14:paraId="3112DAF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（3）投标文件提供的资格证明文件出现任一项不符合“投标人须知前附表”资格证明文件规定的“必须提供”的文件资料要求或者无效的。</w:t>
      </w:r>
    </w:p>
    <w:p w14:paraId="33EFC3E3">
      <w:pP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（4）同一合同项下的不同供应商，单位负责人为同一人或者存在直接控股、管理关系的；为本项目提供过整体设计、规范编制或者项目管理、监理、检测等服务的。</w:t>
      </w:r>
    </w:p>
    <w:p w14:paraId="2BEA0DF4">
      <w:pPr>
        <w:ind w:firstLine="422"/>
        <w:rPr>
          <w:rFonts w:hint="eastAsia" w:ascii="宋体" w:hAnsi="宋体" w:eastAsia="宋体" w:cs="Times New Roman"/>
          <w:b/>
          <w:bCs/>
          <w:color w:val="auto"/>
          <w:sz w:val="21"/>
          <w:szCs w:val="20"/>
          <w:highlight w:val="none"/>
        </w:rPr>
      </w:pPr>
      <w:r>
        <w:rPr>
          <w:rFonts w:hint="eastAsia" w:ascii="宋体" w:hAnsi="宋体" w:eastAsia="宋体" w:cs="Times New Roman"/>
          <w:b/>
          <w:bCs/>
          <w:color w:val="auto"/>
          <w:sz w:val="21"/>
          <w:szCs w:val="20"/>
          <w:highlight w:val="none"/>
        </w:rPr>
        <w:t>25.</w:t>
      </w:r>
      <w:r>
        <w:rPr>
          <w:rFonts w:hint="eastAsia" w:ascii="宋体" w:hAnsi="宋体" w:eastAsia="宋体" w:cs="Times New Roman"/>
          <w:b/>
          <w:bCs/>
          <w:color w:val="auto"/>
          <w:sz w:val="21"/>
          <w:szCs w:val="20"/>
          <w:highlight w:val="none"/>
          <w:lang w:val="en-US" w:eastAsia="zh-CN"/>
        </w:rPr>
        <w:t>4</w:t>
      </w:r>
      <w:r>
        <w:rPr>
          <w:rFonts w:hint="eastAsia" w:ascii="宋体" w:hAnsi="宋体" w:eastAsia="宋体" w:cs="Times New Roman"/>
          <w:b/>
          <w:bCs/>
          <w:color w:val="auto"/>
          <w:sz w:val="21"/>
          <w:szCs w:val="20"/>
          <w:highlight w:val="none"/>
        </w:rPr>
        <w:t>资格审查的合格投标人不足3家的，不得评标。</w:t>
      </w:r>
    </w:p>
    <w:p w14:paraId="7ED71518">
      <w:pPr>
        <w:rPr>
          <w:rFonts w:hint="eastAsia"/>
          <w:color w:val="auto"/>
          <w:highlight w:val="none"/>
        </w:rPr>
      </w:pPr>
    </w:p>
    <w:p w14:paraId="2C4FB7EE">
      <w:pPr>
        <w:pStyle w:val="5"/>
        <w:keepNext w:val="0"/>
        <w:keepLines w:val="0"/>
        <w:spacing w:line="360" w:lineRule="auto"/>
        <w:jc w:val="center"/>
        <w:rPr>
          <w:rFonts w:hint="eastAsia" w:ascii="Times New Roman" w:hAnsi="Times New Roman" w:eastAsia="宋体" w:cs="Times New Roman"/>
          <w:color w:val="auto"/>
          <w:highlight w:val="none"/>
        </w:rPr>
      </w:pPr>
      <w:bookmarkStart w:id="214" w:name="_Toc15749"/>
      <w:bookmarkStart w:id="215" w:name="_Toc1454"/>
      <w:bookmarkStart w:id="216" w:name="_Toc19035"/>
      <w:bookmarkStart w:id="217" w:name="_Toc20446"/>
      <w:bookmarkStart w:id="218" w:name="_Toc21152"/>
      <w:bookmarkStart w:id="219" w:name="_Toc20983"/>
      <w:bookmarkStart w:id="220" w:name="_Toc11169"/>
      <w:bookmarkStart w:id="221" w:name="_Toc29412"/>
      <w:bookmarkStart w:id="222" w:name="_Toc3548"/>
      <w:bookmarkStart w:id="223" w:name="_Toc2770"/>
      <w:r>
        <w:rPr>
          <w:rFonts w:hint="eastAsia" w:ascii="Times New Roman" w:hAnsi="Times New Roman" w:eastAsia="宋体" w:cs="Times New Roman"/>
          <w:color w:val="auto"/>
          <w:highlight w:val="none"/>
        </w:rPr>
        <w:t>六、评</w:t>
      </w:r>
      <w:r>
        <w:rPr>
          <w:rFonts w:ascii="Times New Roman" w:hAnsi="Times New Roman" w:eastAsia="宋体" w:cs="Times New Roman"/>
          <w:color w:val="auto"/>
          <w:highlight w:val="none"/>
        </w:rPr>
        <w:t xml:space="preserve">   </w:t>
      </w:r>
      <w:r>
        <w:rPr>
          <w:rFonts w:hint="eastAsia" w:ascii="Times New Roman" w:hAnsi="Times New Roman" w:eastAsia="宋体" w:cs="Times New Roman"/>
          <w:color w:val="auto"/>
          <w:highlight w:val="none"/>
        </w:rPr>
        <w:t>标</w:t>
      </w:r>
      <w:bookmarkEnd w:id="214"/>
      <w:bookmarkEnd w:id="215"/>
      <w:bookmarkEnd w:id="216"/>
      <w:bookmarkEnd w:id="217"/>
      <w:bookmarkEnd w:id="218"/>
      <w:bookmarkEnd w:id="219"/>
      <w:bookmarkEnd w:id="220"/>
      <w:bookmarkEnd w:id="221"/>
      <w:bookmarkEnd w:id="222"/>
      <w:bookmarkEnd w:id="223"/>
    </w:p>
    <w:p w14:paraId="66AA4206">
      <w:pPr>
        <w:spacing w:line="360" w:lineRule="auto"/>
        <w:ind w:firstLine="480" w:firstLineChars="200"/>
        <w:rPr>
          <w:rFonts w:ascii="黑体" w:hAnsi="黑体" w:eastAsia="黑体" w:cs="Times New Roman"/>
          <w:color w:val="auto"/>
          <w:sz w:val="24"/>
          <w:highlight w:val="none"/>
        </w:rPr>
      </w:pPr>
      <w:bookmarkStart w:id="224" w:name="_26.组建评标委员会"/>
      <w:bookmarkEnd w:id="224"/>
      <w:r>
        <w:rPr>
          <w:rFonts w:hint="eastAsia" w:ascii="黑体" w:hAnsi="黑体" w:eastAsia="黑体" w:cs="Times New Roman"/>
          <w:color w:val="auto"/>
          <w:sz w:val="24"/>
          <w:highlight w:val="none"/>
        </w:rPr>
        <w:t>26.组建评标委员会</w:t>
      </w:r>
    </w:p>
    <w:p w14:paraId="1B8EB759">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评标委员会由采购人代表和评审专家组成，人数为</w:t>
      </w:r>
      <w:r>
        <w:rPr>
          <w:rFonts w:ascii="Times New Roman" w:hAnsi="宋体" w:eastAsia="宋体" w:cs="Times New Roman"/>
          <w:color w:val="auto"/>
          <w:highlight w:val="none"/>
        </w:rPr>
        <w:t>5</w:t>
      </w:r>
      <w:r>
        <w:rPr>
          <w:rFonts w:hint="eastAsia" w:ascii="Times New Roman" w:hAnsi="宋体" w:eastAsia="宋体" w:cs="Times New Roman"/>
          <w:color w:val="auto"/>
          <w:highlight w:val="none"/>
        </w:rPr>
        <w:t>人以上单数，其中评审专家不得少于成员总数的三分之二。</w:t>
      </w:r>
    </w:p>
    <w:p w14:paraId="355013AB">
      <w:pPr>
        <w:spacing w:line="360" w:lineRule="auto"/>
        <w:ind w:firstLine="420" w:firstLineChars="200"/>
        <w:rPr>
          <w:rFonts w:ascii="Times New Roman" w:hAnsi="宋体" w:eastAsia="宋体" w:cs="Times New Roman"/>
          <w:color w:val="auto"/>
          <w:highlight w:val="none"/>
        </w:rPr>
      </w:pPr>
      <w:r>
        <w:rPr>
          <w:rFonts w:hint="eastAsia" w:ascii="Times New Roman" w:hAnsi="宋体" w:eastAsia="宋体" w:cs="Times New Roman"/>
          <w:color w:val="auto"/>
          <w:highlight w:val="none"/>
        </w:rPr>
        <w:t>参加过采购项目前期咨询论证的专家，不得参加该采购项目的评审活动。</w:t>
      </w:r>
    </w:p>
    <w:p w14:paraId="5708C0CA">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27.评标的依据</w:t>
      </w:r>
    </w:p>
    <w:p w14:paraId="721D5B45">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评标委员会以招标文件为依据对投标文件进行评审，</w:t>
      </w:r>
      <w:r>
        <w:rPr>
          <w:rFonts w:hint="eastAsia" w:ascii="Times New Roman" w:hAnsi="宋体" w:eastAsia="宋体" w:cs="宋体"/>
          <w:color w:val="auto"/>
          <w:highlight w:val="none"/>
        </w:rPr>
        <w:t>“第四章</w:t>
      </w:r>
      <w:r>
        <w:rPr>
          <w:rFonts w:ascii="Times New Roman" w:hAnsi="宋体" w:eastAsia="宋体" w:cs="宋体"/>
          <w:color w:val="auto"/>
          <w:highlight w:val="none"/>
        </w:rPr>
        <w:t xml:space="preserve"> </w:t>
      </w:r>
      <w:r>
        <w:rPr>
          <w:rFonts w:hint="eastAsia" w:ascii="Times New Roman" w:hAnsi="宋体" w:eastAsia="宋体" w:cs="宋体"/>
          <w:color w:val="auto"/>
          <w:highlight w:val="none"/>
        </w:rPr>
        <w:t>评标方法和评标标准”</w:t>
      </w:r>
      <w:r>
        <w:rPr>
          <w:rFonts w:hint="eastAsia" w:ascii="Times New Roman" w:hAnsi="宋体" w:eastAsia="宋体" w:cs="Times New Roman"/>
          <w:color w:val="auto"/>
          <w:highlight w:val="none"/>
        </w:rPr>
        <w:t>没有规定的方法、评审因素和标准，不作为评标依据。</w:t>
      </w:r>
    </w:p>
    <w:p w14:paraId="752F5750">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28.评标原则</w:t>
      </w:r>
    </w:p>
    <w:p w14:paraId="1F4B2FAF">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2AE8EBFF">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28.</w:t>
      </w:r>
      <w:r>
        <w:rPr>
          <w:rFonts w:hint="eastAsia" w:ascii="Times New Roman" w:hAnsi="宋体" w:eastAsia="宋体" w:cs="Times New Roman"/>
          <w:color w:val="auto"/>
          <w:highlight w:val="none"/>
          <w:lang w:val="en-US" w:eastAsia="zh-CN"/>
        </w:rPr>
        <w:t>2</w:t>
      </w:r>
      <w:r>
        <w:rPr>
          <w:rFonts w:hint="eastAsia" w:ascii="Times New Roman" w:hAnsi="宋体" w:eastAsia="宋体" w:cs="Times New Roman"/>
          <w:color w:val="auto"/>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2D35A3BB">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28.</w:t>
      </w:r>
      <w:r>
        <w:rPr>
          <w:rFonts w:hint="eastAsia" w:ascii="Times New Roman" w:hAnsi="宋体" w:eastAsia="宋体" w:cs="Times New Roman"/>
          <w:color w:val="auto"/>
          <w:highlight w:val="none"/>
          <w:lang w:val="en-US" w:eastAsia="zh-CN"/>
        </w:rPr>
        <w:t>3</w:t>
      </w:r>
      <w:r>
        <w:rPr>
          <w:rFonts w:hint="eastAsia" w:ascii="Times New Roman" w:hAnsi="宋体" w:eastAsia="宋体" w:cs="Times New Roman"/>
          <w:color w:val="auto"/>
          <w:highlight w:val="none"/>
        </w:rPr>
        <w:t>评标过程的监控。本项目电子评标过程实行网上留痕、全程录音、录像监控，投标人在评标过程中所进行的试图影响评标结果的不公正活动，可能导致其投标</w:t>
      </w:r>
      <w:r>
        <w:rPr>
          <w:rFonts w:hint="eastAsia" w:ascii="Times New Roman" w:hAnsi="宋体" w:eastAsia="宋体" w:cs="Times New Roman"/>
          <w:color w:val="auto"/>
          <w:highlight w:val="none"/>
          <w:lang w:eastAsia="zh-CN"/>
        </w:rPr>
        <w:t>作</w:t>
      </w:r>
      <w:r>
        <w:rPr>
          <w:rFonts w:hint="eastAsia" w:ascii="Times New Roman" w:hAnsi="宋体" w:eastAsia="宋体" w:cs="Times New Roman"/>
          <w:color w:val="auto"/>
          <w:highlight w:val="none"/>
        </w:rPr>
        <w:t>无效处理。</w:t>
      </w:r>
    </w:p>
    <w:p w14:paraId="3CBB0EAA">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28.</w:t>
      </w:r>
      <w:r>
        <w:rPr>
          <w:rFonts w:hint="eastAsia" w:ascii="Times New Roman" w:hAnsi="宋体" w:eastAsia="宋体" w:cs="Times New Roman"/>
          <w:color w:val="auto"/>
          <w:highlight w:val="none"/>
          <w:lang w:val="en-US" w:eastAsia="zh-CN"/>
        </w:rPr>
        <w:t>4</w:t>
      </w:r>
      <w:r>
        <w:rPr>
          <w:rFonts w:hint="eastAsia" w:ascii="Times New Roman" w:hAnsi="宋体" w:eastAsia="宋体" w:cs="Times New Roman"/>
          <w:color w:val="auto"/>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6C8578C">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29.评标方法</w:t>
      </w:r>
      <w:r>
        <w:rPr>
          <w:rFonts w:hint="eastAsia" w:ascii="黑体" w:hAnsi="黑体" w:eastAsia="黑体" w:cs="Times New Roman"/>
          <w:color w:val="auto"/>
          <w:sz w:val="24"/>
          <w:highlight w:val="none"/>
          <w:lang w:eastAsia="zh-CN"/>
        </w:rPr>
        <w:t>和</w:t>
      </w:r>
      <w:r>
        <w:rPr>
          <w:rFonts w:hint="eastAsia" w:ascii="黑体" w:hAnsi="黑体" w:eastAsia="黑体" w:cs="Times New Roman"/>
          <w:color w:val="auto"/>
          <w:sz w:val="24"/>
          <w:highlight w:val="none"/>
        </w:rPr>
        <w:t>评标标准</w:t>
      </w:r>
    </w:p>
    <w:p w14:paraId="17D1D48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29.1</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本项目的评标方法详见“投标人须知前附表”。</w:t>
      </w:r>
    </w:p>
    <w:p w14:paraId="5EAC05B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29.2 评标委员会按照</w:t>
      </w:r>
      <w:r>
        <w:rPr>
          <w:rFonts w:hint="eastAsia" w:ascii="宋体" w:hAnsi="宋体" w:eastAsia="宋体" w:cs="宋体"/>
          <w:b/>
          <w:color w:val="auto"/>
          <w:highlight w:val="none"/>
        </w:rPr>
        <w:t>“第四章 评标方法和评标标准”</w:t>
      </w:r>
      <w:r>
        <w:rPr>
          <w:rFonts w:hint="eastAsia" w:ascii="宋体" w:hAnsi="宋体" w:eastAsia="宋体" w:cs="宋体"/>
          <w:color w:val="auto"/>
          <w:highlight w:val="none"/>
        </w:rPr>
        <w:t>规定的方法、评审因素、标准和程序对投标文件进行评审。</w:t>
      </w:r>
    </w:p>
    <w:p w14:paraId="65968456">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29.3 电子交易活动的中止。采购过程中出现以下情形，导致电子交易平台无法正常运行，或者无法保证电子交易的公平、公正和安全时，采购机构可中止电子交易活动：</w:t>
      </w:r>
    </w:p>
    <w:p w14:paraId="4E501793">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（1）电子交易平台发生故障而无法登录访问的；</w:t>
      </w:r>
    </w:p>
    <w:p w14:paraId="6E0A1662">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（2）电子交易平台应用或数据库出现错误，不能进行正常操作的；</w:t>
      </w:r>
    </w:p>
    <w:p w14:paraId="2286587E">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（3）电子交易平台发现严重安全漏洞，有潜在泄密危险的；</w:t>
      </w:r>
    </w:p>
    <w:p w14:paraId="36D91420">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（4）病毒发作导致不能进行正常操作的；</w:t>
      </w:r>
    </w:p>
    <w:p w14:paraId="34CD6F07">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w:t>
      </w:r>
      <w:r>
        <w:rPr>
          <w:rFonts w:hint="eastAsia" w:ascii="Times New Roman" w:hAnsi="宋体" w:eastAsia="宋体" w:cs="Times New Roman"/>
          <w:color w:val="auto"/>
          <w:highlight w:val="none"/>
          <w:lang w:val="en-US" w:eastAsia="zh-CN"/>
        </w:rPr>
        <w:t>5</w:t>
      </w:r>
      <w:r>
        <w:rPr>
          <w:rFonts w:hint="eastAsia" w:ascii="Times New Roman" w:hAnsi="宋体" w:eastAsia="宋体" w:cs="Times New Roman"/>
          <w:color w:val="auto"/>
          <w:highlight w:val="none"/>
        </w:rPr>
        <w:t>）其他无法保证电子交易的公平、公正和安全的情况。</w:t>
      </w:r>
    </w:p>
    <w:p w14:paraId="55BF9366">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29.4</w:t>
      </w:r>
      <w:r>
        <w:rPr>
          <w:rFonts w:hint="eastAsia" w:hAnsi="宋体" w:cs="Times New Roman"/>
          <w:color w:val="auto"/>
          <w:highlight w:val="none"/>
          <w:lang w:val="en-US" w:eastAsia="zh-CN"/>
        </w:rPr>
        <w:t xml:space="preserve"> </w:t>
      </w:r>
      <w:r>
        <w:rPr>
          <w:rFonts w:hint="eastAsia" w:ascii="Times New Roman" w:hAnsi="宋体" w:eastAsia="宋体" w:cs="Times New Roman"/>
          <w:color w:val="auto"/>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3F752EA7">
      <w:pPr>
        <w:rPr>
          <w:color w:val="auto"/>
          <w:highlight w:val="none"/>
        </w:rPr>
      </w:pPr>
    </w:p>
    <w:p w14:paraId="298BD355">
      <w:pPr>
        <w:pStyle w:val="5"/>
        <w:keepNext w:val="0"/>
        <w:keepLines w:val="0"/>
        <w:spacing w:line="400" w:lineRule="exact"/>
        <w:jc w:val="center"/>
        <w:rPr>
          <w:rFonts w:hint="eastAsia" w:ascii="Times New Roman" w:hAnsi="Times New Roman" w:eastAsia="宋体" w:cs="Times New Roman"/>
          <w:color w:val="auto"/>
          <w:highlight w:val="none"/>
        </w:rPr>
      </w:pPr>
      <w:bookmarkStart w:id="225" w:name="_Toc254970687"/>
      <w:bookmarkStart w:id="226" w:name="_Toc254970546"/>
      <w:bookmarkStart w:id="227" w:name="_Toc10427"/>
      <w:bookmarkStart w:id="228" w:name="_Toc15452"/>
      <w:bookmarkStart w:id="229" w:name="_Toc31226"/>
      <w:bookmarkStart w:id="230" w:name="_Toc4688"/>
      <w:bookmarkStart w:id="231" w:name="_Toc24771"/>
      <w:bookmarkStart w:id="232" w:name="_Toc32339"/>
      <w:bookmarkStart w:id="233" w:name="_Toc14661"/>
      <w:bookmarkStart w:id="234" w:name="_Toc2302"/>
      <w:bookmarkStart w:id="235" w:name="_Toc10518"/>
      <w:bookmarkStart w:id="236" w:name="_Toc31698"/>
      <w:r>
        <w:rPr>
          <w:rFonts w:hint="eastAsia" w:ascii="Times New Roman" w:hAnsi="Times New Roman" w:eastAsia="宋体" w:cs="Times New Roman"/>
          <w:color w:val="auto"/>
          <w:highlight w:val="none"/>
        </w:rPr>
        <w:t>七、</w:t>
      </w:r>
      <w:bookmarkEnd w:id="225"/>
      <w:bookmarkEnd w:id="226"/>
      <w:r>
        <w:rPr>
          <w:rFonts w:hint="eastAsia" w:ascii="Times New Roman" w:hAnsi="Times New Roman" w:eastAsia="宋体" w:cs="Times New Roman"/>
          <w:color w:val="auto"/>
          <w:highlight w:val="none"/>
        </w:rPr>
        <w:t>中标和合同</w:t>
      </w:r>
      <w:bookmarkEnd w:id="227"/>
      <w:bookmarkEnd w:id="228"/>
      <w:bookmarkEnd w:id="229"/>
      <w:bookmarkEnd w:id="230"/>
      <w:bookmarkEnd w:id="231"/>
      <w:bookmarkEnd w:id="232"/>
      <w:bookmarkEnd w:id="233"/>
      <w:bookmarkEnd w:id="234"/>
      <w:bookmarkEnd w:id="235"/>
      <w:bookmarkEnd w:id="236"/>
    </w:p>
    <w:p w14:paraId="0FB9B30E">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30.确定中标人</w:t>
      </w:r>
    </w:p>
    <w:p w14:paraId="6C1FDA1C">
      <w:pPr>
        <w:spacing w:line="360" w:lineRule="auto"/>
        <w:ind w:firstLine="420" w:firstLineChars="200"/>
        <w:rPr>
          <w:rFonts w:hint="eastAsia" w:ascii="宋体" w:hAnsi="宋体" w:eastAsia="宋体" w:cs="Courier New"/>
          <w:b/>
          <w:bCs/>
          <w:color w:val="auto"/>
          <w:szCs w:val="21"/>
          <w:highlight w:val="none"/>
        </w:rPr>
      </w:pPr>
      <w:r>
        <w:rPr>
          <w:rFonts w:hint="eastAsia" w:ascii="宋体" w:hAnsi="宋体" w:cs="宋体"/>
          <w:b w:val="0"/>
          <w:bCs w:val="0"/>
          <w:color w:val="auto"/>
          <w:szCs w:val="21"/>
          <w:highlight w:val="none"/>
        </w:rPr>
        <w:t>30.1</w:t>
      </w:r>
      <w:r>
        <w:rPr>
          <w:rFonts w:hint="eastAsia" w:ascii="宋体" w:hAnsi="宋体" w:eastAsia="宋体" w:cs="宋体"/>
          <w:color w:val="auto"/>
          <w:sz w:val="21"/>
          <w:highlight w:val="none"/>
        </w:rPr>
        <w:t>采购人在收到</w:t>
      </w:r>
      <w:r>
        <w:rPr>
          <w:rFonts w:hint="eastAsia" w:ascii="宋体" w:hAnsi="宋体" w:cs="宋体"/>
          <w:color w:val="auto"/>
          <w:sz w:val="21"/>
          <w:highlight w:val="none"/>
          <w:lang w:eastAsia="zh-CN"/>
        </w:rPr>
        <w:t>评标委员会出具的</w:t>
      </w:r>
      <w:r>
        <w:rPr>
          <w:rFonts w:hint="eastAsia" w:ascii="宋体" w:hAnsi="宋体" w:eastAsia="宋体" w:cs="宋体"/>
          <w:color w:val="auto"/>
          <w:sz w:val="21"/>
          <w:highlight w:val="none"/>
        </w:rPr>
        <w:t>评标报告之日起</w:t>
      </w:r>
      <w:r>
        <w:rPr>
          <w:rFonts w:hint="eastAsia" w:ascii="宋体" w:hAnsi="宋体" w:cs="宋体"/>
          <w:color w:val="auto"/>
          <w:sz w:val="21"/>
          <w:highlight w:val="none"/>
          <w:lang w:val="en-US" w:eastAsia="zh-CN"/>
        </w:rPr>
        <w:t>2</w:t>
      </w:r>
      <w:r>
        <w:rPr>
          <w:rFonts w:hint="eastAsia" w:ascii="宋体" w:hAnsi="宋体" w:eastAsia="宋体" w:cs="宋体"/>
          <w:color w:val="auto"/>
          <w:sz w:val="21"/>
          <w:highlight w:val="none"/>
        </w:rPr>
        <w:t>个工作日内在评标报告推荐的中标候选人名单中按顺序确定中标人。采购人也可以事先授权评标委员会直接确定中标人。</w:t>
      </w:r>
      <w:r>
        <w:rPr>
          <w:rFonts w:ascii="宋体" w:hAnsi="宋体" w:eastAsia="宋体" w:cs="宋体"/>
          <w:color w:val="auto"/>
          <w:sz w:val="21"/>
          <w:highlight w:val="none"/>
        </w:rPr>
        <w:t>中标候选人并列的，由采购人或者采购人委托评标委员会按照</w:t>
      </w:r>
      <w:r>
        <w:rPr>
          <w:rFonts w:hint="eastAsia"/>
          <w:color w:val="auto"/>
          <w:highlight w:val="none"/>
          <w:lang w:eastAsia="zh-CN"/>
        </w:rPr>
        <w:t>“投标人须知前附表”</w:t>
      </w:r>
      <w:r>
        <w:rPr>
          <w:rFonts w:ascii="宋体" w:hAnsi="宋体" w:eastAsia="宋体" w:cs="宋体"/>
          <w:color w:val="auto"/>
          <w:sz w:val="21"/>
          <w:highlight w:val="none"/>
        </w:rPr>
        <w:t>规定的方式确定中标人；招标文件未规定的，采取随机抽取的方式确定。</w:t>
      </w:r>
    </w:p>
    <w:p w14:paraId="23235DCE">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2C21D7BE">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30.3中标</w:t>
      </w:r>
      <w:r>
        <w:rPr>
          <w:rFonts w:hint="eastAsia" w:ascii="宋体" w:hAnsi="宋体" w:cs="Courier New"/>
          <w:color w:val="auto"/>
          <w:szCs w:val="21"/>
          <w:highlight w:val="none"/>
          <w:lang w:eastAsia="zh-CN"/>
        </w:rPr>
        <w:t>人</w:t>
      </w:r>
      <w:r>
        <w:rPr>
          <w:rFonts w:hint="eastAsia" w:ascii="宋体" w:hAnsi="宋体" w:eastAsia="宋体" w:cs="Courier New"/>
          <w:color w:val="auto"/>
          <w:szCs w:val="21"/>
          <w:highlight w:val="none"/>
        </w:rPr>
        <w:t>无正当理由拒签合同的，根据《中华人民共和国政府采购法》第七十七条第一款规定处理。</w:t>
      </w:r>
    </w:p>
    <w:p w14:paraId="55DB6CC8">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30.4根据《中华人民共和国民法典》</w:t>
      </w:r>
      <w:r>
        <w:rPr>
          <w:rFonts w:hint="eastAsia" w:ascii="Times New Roman" w:hAnsi="Times New Roman" w:eastAsia="宋体" w:cs="Times New Roman"/>
          <w:color w:val="auto"/>
          <w:sz w:val="19"/>
          <w:szCs w:val="19"/>
          <w:highlight w:val="none"/>
        </w:rPr>
        <w:t>第五百六十三条</w:t>
      </w:r>
      <w:r>
        <w:rPr>
          <w:rFonts w:hint="eastAsia" w:ascii="宋体" w:hAnsi="宋体" w:eastAsia="宋体" w:cs="Courier New"/>
          <w:color w:val="auto"/>
          <w:szCs w:val="21"/>
          <w:highlight w:val="none"/>
        </w:rPr>
        <w:t>，因不可抗力致使不能实现合同目的的，当事人可以解除合同。</w:t>
      </w:r>
    </w:p>
    <w:p w14:paraId="3ADD1625">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31.结果公告</w:t>
      </w:r>
    </w:p>
    <w:p w14:paraId="2511498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31.1</w:t>
      </w:r>
      <w:r>
        <w:rPr>
          <w:rFonts w:hint="eastAsia" w:ascii="宋体" w:hAnsi="宋体" w:eastAsia="宋体" w:cs="宋体"/>
          <w:color w:val="auto"/>
          <w:highlight w:val="none"/>
        </w:rPr>
        <w:t>在中标</w:t>
      </w:r>
      <w:r>
        <w:rPr>
          <w:rFonts w:hint="eastAsia" w:ascii="宋体" w:hAnsi="宋体" w:eastAsia="宋体" w:cs="宋体"/>
          <w:color w:val="auto"/>
          <w:highlight w:val="none"/>
          <w:lang w:eastAsia="zh-CN"/>
        </w:rPr>
        <w:t>人</w:t>
      </w:r>
      <w:r>
        <w:rPr>
          <w:rFonts w:hint="eastAsia" w:ascii="宋体" w:hAnsi="宋体" w:eastAsia="宋体" w:cs="宋体"/>
          <w:color w:val="auto"/>
          <w:highlight w:val="none"/>
        </w:rPr>
        <w:t>确定之日起2个工作日内，由采购代理机构</w:t>
      </w:r>
      <w:r>
        <w:rPr>
          <w:rFonts w:hint="eastAsia" w:ascii="宋体" w:hAnsi="宋体" w:eastAsia="宋体" w:cs="宋体"/>
          <w:b/>
          <w:color w:val="auto"/>
          <w:szCs w:val="21"/>
          <w:highlight w:val="none"/>
        </w:rPr>
        <w:t>在招标公告发布媒体上</w:t>
      </w:r>
      <w:r>
        <w:rPr>
          <w:rFonts w:hint="eastAsia" w:ascii="宋体" w:hAnsi="宋体" w:eastAsia="宋体" w:cs="宋体"/>
          <w:color w:val="auto"/>
          <w:highlight w:val="none"/>
        </w:rPr>
        <w:t>发布中标结果公告，中标结果公告期限为1个工作日，发布中标结果公告的同时向中标</w:t>
      </w:r>
      <w:r>
        <w:rPr>
          <w:rFonts w:hint="eastAsia" w:ascii="宋体" w:hAnsi="宋体" w:eastAsia="宋体" w:cs="宋体"/>
          <w:color w:val="auto"/>
          <w:highlight w:val="none"/>
          <w:lang w:eastAsia="zh-CN"/>
        </w:rPr>
        <w:t>人</w:t>
      </w:r>
      <w:r>
        <w:rPr>
          <w:rFonts w:hint="eastAsia" w:ascii="宋体" w:hAnsi="宋体" w:eastAsia="宋体" w:cs="宋体"/>
          <w:color w:val="auto"/>
          <w:highlight w:val="none"/>
        </w:rPr>
        <w:t>发出中标通知书。</w:t>
      </w:r>
      <w:r>
        <w:rPr>
          <w:rFonts w:hint="eastAsia" w:ascii="宋体" w:hAnsi="宋体" w:eastAsia="宋体" w:cs="宋体"/>
          <w:b/>
          <w:color w:val="auto"/>
          <w:szCs w:val="21"/>
          <w:highlight w:val="none"/>
        </w:rPr>
        <w:t>采购代理机构发出中标通知书前，应当对中标人信用进行核实，对列入失信被执行人、</w:t>
      </w:r>
      <w:r>
        <w:rPr>
          <w:rFonts w:hint="eastAsia" w:ascii="宋体" w:hAnsi="宋体" w:eastAsia="宋体" w:cs="宋体"/>
          <w:b/>
          <w:color w:val="auto"/>
          <w:szCs w:val="21"/>
          <w:highlight w:val="none"/>
          <w:lang w:eastAsia="zh-CN"/>
        </w:rPr>
        <w:t>重大税收违法失信主体</w:t>
      </w:r>
      <w:r>
        <w:rPr>
          <w:rFonts w:hint="eastAsia" w:ascii="宋体" w:hAnsi="宋体" w:eastAsia="宋体" w:cs="宋体"/>
          <w:b/>
          <w:color w:val="auto"/>
          <w:szCs w:val="21"/>
          <w:highlight w:val="none"/>
        </w:rPr>
        <w:t>、政府采购严重违法失信行为记录名单及其他不符合《中华人民共和国政府采购法》第二十二条规定条件的投标人，取消其中标资格，并</w:t>
      </w:r>
      <w:r>
        <w:rPr>
          <w:rFonts w:hint="eastAsia" w:ascii="宋体" w:hAnsi="宋体" w:eastAsia="宋体" w:cs="宋体"/>
          <w:b/>
          <w:color w:val="auto"/>
          <w:szCs w:val="21"/>
          <w:highlight w:val="none"/>
          <w:lang w:eastAsia="zh-CN"/>
        </w:rPr>
        <w:t>依法</w:t>
      </w:r>
      <w:r>
        <w:rPr>
          <w:rFonts w:hint="eastAsia" w:ascii="宋体" w:hAnsi="宋体" w:eastAsia="宋体" w:cs="宋体"/>
          <w:b/>
          <w:color w:val="auto"/>
          <w:szCs w:val="21"/>
          <w:highlight w:val="none"/>
        </w:rPr>
        <w:t>确定排名第二的中标候选人为中标人。</w:t>
      </w:r>
      <w:r>
        <w:rPr>
          <w:rFonts w:hint="eastAsia" w:ascii="宋体" w:hAnsi="宋体" w:eastAsia="宋体" w:cs="宋体"/>
          <w:color w:val="auto"/>
          <w:szCs w:val="21"/>
          <w:highlight w:val="none"/>
        </w:rPr>
        <w:t>排名第二的中标候选人因前款规定的同样原因被取消中标资格的，</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可以</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确定排名第三的中标候选人为中标人，以此类推。</w:t>
      </w:r>
    </w:p>
    <w:p w14:paraId="149B906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以上信息查询记录及相关证据与采购文件一并保存。</w:t>
      </w:r>
    </w:p>
    <w:p w14:paraId="64B7CF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31.2中小企业在政府采购活动过程中，请根据企业的真实情况出具《中小企业声明函》。依法享受中小企业</w:t>
      </w:r>
      <w:r>
        <w:rPr>
          <w:rFonts w:hint="eastAsia" w:ascii="宋体" w:hAnsi="宋体" w:eastAsia="宋体" w:cs="宋体"/>
          <w:color w:val="auto"/>
          <w:szCs w:val="21"/>
          <w:highlight w:val="none"/>
          <w:lang w:eastAsia="zh-CN"/>
        </w:rPr>
        <w:t>扶持</w:t>
      </w:r>
      <w:r>
        <w:rPr>
          <w:rFonts w:hint="eastAsia" w:ascii="宋体" w:hAnsi="宋体" w:eastAsia="宋体" w:cs="宋体"/>
          <w:color w:val="auto"/>
          <w:szCs w:val="21"/>
          <w:highlight w:val="none"/>
        </w:rPr>
        <w:t>政策的，采购人或者采购代理机构在公告中标结果时，同时公告其《中小企业声明函》，接受社会监督。</w:t>
      </w:r>
    </w:p>
    <w:p w14:paraId="66EAE7AF">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32.发出中标通知书</w:t>
      </w:r>
    </w:p>
    <w:p w14:paraId="5BB37864">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32.1在发布中标公告的同时，采购代理机构向中标人通过</w:t>
      </w:r>
      <w:r>
        <w:rPr>
          <w:rFonts w:hint="eastAsia" w:ascii="宋体" w:hAnsi="宋体" w:cs="Times New Roman"/>
          <w:b/>
          <w:bCs w:val="0"/>
          <w:color w:val="auto"/>
          <w:sz w:val="21"/>
          <w:szCs w:val="21"/>
          <w:highlight w:val="none"/>
          <w:lang w:val="en-US" w:eastAsia="zh-CN"/>
        </w:rPr>
        <w:t>广西政府采购云平台</w:t>
      </w:r>
      <w:r>
        <w:rPr>
          <w:rFonts w:hint="eastAsia" w:ascii="宋体" w:hAnsi="宋体" w:eastAsia="宋体" w:cs="Times New Roman"/>
          <w:b/>
          <w:color w:val="auto"/>
          <w:szCs w:val="21"/>
          <w:highlight w:val="none"/>
        </w:rPr>
        <w:t>发出电子中标通知书。</w:t>
      </w:r>
    </w:p>
    <w:p w14:paraId="5948CF92">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32.2对未通过资格审查的投标人，采购人或采购</w:t>
      </w:r>
      <w:r>
        <w:rPr>
          <w:rFonts w:hint="eastAsia" w:ascii="宋体" w:hAnsi="宋体" w:cs="Times New Roman"/>
          <w:b/>
          <w:color w:val="auto"/>
          <w:szCs w:val="21"/>
          <w:highlight w:val="none"/>
          <w:lang w:eastAsia="zh-CN"/>
        </w:rPr>
        <w:t>代理</w:t>
      </w:r>
      <w:r>
        <w:rPr>
          <w:rFonts w:hint="eastAsia" w:ascii="宋体" w:hAnsi="宋体" w:eastAsia="宋体" w:cs="Times New Roman"/>
          <w:b/>
          <w:color w:val="auto"/>
          <w:szCs w:val="21"/>
          <w:highlight w:val="none"/>
        </w:rPr>
        <w:t>机构应当告知其未通过的原因；采用综合评分办法评审的，采购人或采购机构还应当告知未中标人本人的评审得分与排序。</w:t>
      </w:r>
    </w:p>
    <w:p w14:paraId="5FBB466C">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33. 无义务解释未中标原因</w:t>
      </w:r>
    </w:p>
    <w:p w14:paraId="3490502B">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采购代理机构无义务向未中标的投标人解释未中标原因和退还投标文件。</w:t>
      </w:r>
    </w:p>
    <w:p w14:paraId="08EC188C">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34.合同授予标准</w:t>
      </w:r>
    </w:p>
    <w:p w14:paraId="10FE0047">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Courier New"/>
          <w:color w:val="auto"/>
          <w:szCs w:val="21"/>
          <w:highlight w:val="none"/>
        </w:rPr>
        <w:t>合同将授予被确定实质上响应招标文件要求，具备履行合同能力的中标人（招标文件另有约定多名中标人的除外）。</w:t>
      </w:r>
    </w:p>
    <w:p w14:paraId="302AFEF0">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35.履约保证金</w:t>
      </w:r>
    </w:p>
    <w:p w14:paraId="257F1A02">
      <w:pPr>
        <w:ind w:firstLine="420" w:firstLineChars="200"/>
        <w:rPr>
          <w:rFonts w:hint="eastAsia" w:ascii="宋体" w:hAnsi="宋体" w:eastAsia="宋体" w:cs="Courier New"/>
          <w:b w:val="0"/>
          <w:color w:val="auto"/>
          <w:sz w:val="21"/>
          <w:szCs w:val="21"/>
          <w:highlight w:val="none"/>
        </w:rPr>
      </w:pPr>
      <w:bookmarkStart w:id="237" w:name="_39.1中标人须于签订合同前按本须知前附表规定的金额转账或电汇到指定账"/>
      <w:bookmarkEnd w:id="237"/>
      <w:r>
        <w:rPr>
          <w:rFonts w:hint="eastAsia" w:ascii="宋体" w:hAnsi="宋体" w:eastAsia="宋体" w:cs="Courier New"/>
          <w:b w:val="0"/>
          <w:color w:val="auto"/>
          <w:sz w:val="21"/>
          <w:szCs w:val="21"/>
          <w:highlight w:val="none"/>
        </w:rPr>
        <w:t>35.1 履约保证金的金额、提交方式、退付的时间和条件详见 “投标人须知前附表”。中标人未按规定提交履约保证金的，视为拒绝与采购人签订合同，采购人可以按照评标报告推荐的中标候选人名单排序，</w:t>
      </w:r>
      <w:r>
        <w:rPr>
          <w:rFonts w:hint="eastAsia" w:ascii="宋体" w:hAnsi="宋体" w:eastAsia="宋体" w:cs="Courier New"/>
          <w:b w:val="0"/>
          <w:color w:val="auto"/>
          <w:sz w:val="21"/>
          <w:szCs w:val="21"/>
          <w:highlight w:val="none"/>
          <w:lang w:eastAsia="zh-CN"/>
        </w:rPr>
        <w:t>依法</w:t>
      </w:r>
      <w:r>
        <w:rPr>
          <w:rFonts w:hint="eastAsia" w:ascii="宋体" w:hAnsi="宋体" w:eastAsia="宋体" w:cs="Courier New"/>
          <w:b w:val="0"/>
          <w:color w:val="auto"/>
          <w:sz w:val="21"/>
          <w:szCs w:val="21"/>
          <w:highlight w:val="none"/>
        </w:rPr>
        <w:t>确定下一候选人为中标人，也可以重新开展政府采购活动。</w:t>
      </w:r>
    </w:p>
    <w:p w14:paraId="690FD01D">
      <w:pPr>
        <w:ind w:firstLine="420" w:firstLineChars="200"/>
        <w:rPr>
          <w:rFonts w:hint="eastAsia" w:ascii="宋体" w:hAnsi="宋体" w:eastAsia="宋体" w:cs="Courier New"/>
          <w:b w:val="0"/>
          <w:color w:val="auto"/>
          <w:sz w:val="21"/>
          <w:szCs w:val="21"/>
          <w:highlight w:val="none"/>
        </w:rPr>
      </w:pPr>
      <w:r>
        <w:rPr>
          <w:rFonts w:hint="eastAsia" w:ascii="宋体" w:hAnsi="宋体" w:eastAsia="宋体" w:cs="Courier New"/>
          <w:b w:val="0"/>
          <w:color w:val="auto"/>
          <w:sz w:val="21"/>
          <w:szCs w:val="21"/>
          <w:highlight w:val="none"/>
        </w:rPr>
        <w:t>35.2</w:t>
      </w:r>
      <w:r>
        <w:rPr>
          <w:rFonts w:hint="eastAsia" w:ascii="宋体" w:hAnsi="宋体" w:cs="Courier New"/>
          <w:b w:val="0"/>
          <w:color w:val="auto"/>
          <w:sz w:val="21"/>
          <w:szCs w:val="21"/>
          <w:highlight w:val="none"/>
          <w:lang w:val="en-US" w:eastAsia="zh-CN"/>
        </w:rPr>
        <w:t xml:space="preserve"> </w:t>
      </w:r>
      <w:r>
        <w:rPr>
          <w:rFonts w:hint="eastAsia" w:ascii="宋体" w:hAnsi="宋体" w:eastAsia="宋体" w:cs="Courier New"/>
          <w:b w:val="0"/>
          <w:color w:val="auto"/>
          <w:sz w:val="21"/>
          <w:szCs w:val="21"/>
          <w:highlight w:val="none"/>
        </w:rPr>
        <w:t>签订合同后，如中标人不按双方签订的合同规定履约，则没收其全部履约保证金，履约保证金不足以赔偿损失的，按实际损失赔偿。</w:t>
      </w:r>
    </w:p>
    <w:p w14:paraId="0C4D63E7">
      <w:pPr>
        <w:ind w:firstLine="420" w:firstLineChars="200"/>
        <w:outlineLvl w:val="9"/>
        <w:rPr>
          <w:rFonts w:hint="eastAsia" w:ascii="宋体" w:hAnsi="宋体" w:eastAsia="宋体" w:cs="Courier New"/>
          <w:b w:val="0"/>
          <w:color w:val="auto"/>
          <w:sz w:val="21"/>
          <w:szCs w:val="21"/>
          <w:highlight w:val="none"/>
        </w:rPr>
      </w:pPr>
      <w:r>
        <w:rPr>
          <w:rFonts w:hint="eastAsia" w:ascii="宋体" w:hAnsi="宋体" w:eastAsia="宋体" w:cs="Courier New"/>
          <w:b w:val="0"/>
          <w:color w:val="auto"/>
          <w:sz w:val="21"/>
          <w:szCs w:val="21"/>
          <w:highlight w:val="none"/>
        </w:rPr>
        <w:t>35.3</w:t>
      </w:r>
      <w:r>
        <w:rPr>
          <w:rFonts w:hint="eastAsia" w:ascii="宋体" w:hAnsi="宋体" w:cs="Courier New"/>
          <w:b w:val="0"/>
          <w:color w:val="auto"/>
          <w:sz w:val="21"/>
          <w:szCs w:val="21"/>
          <w:highlight w:val="none"/>
          <w:lang w:val="en-US" w:eastAsia="zh-CN"/>
        </w:rPr>
        <w:t xml:space="preserve"> </w:t>
      </w:r>
      <w:r>
        <w:rPr>
          <w:rFonts w:hint="eastAsia" w:ascii="宋体" w:hAnsi="宋体" w:eastAsia="宋体" w:cs="Courier New"/>
          <w:b w:val="0"/>
          <w:color w:val="auto"/>
          <w:sz w:val="21"/>
          <w:szCs w:val="21"/>
          <w:highlight w:val="none"/>
        </w:rPr>
        <w:t>在履约保证金退还日期前，若中标人的开户名称、开户银行、</w:t>
      </w:r>
      <w:r>
        <w:rPr>
          <w:rFonts w:hint="eastAsia" w:ascii="宋体" w:hAnsi="宋体" w:eastAsia="宋体" w:cs="Courier New"/>
          <w:b w:val="0"/>
          <w:color w:val="auto"/>
          <w:sz w:val="21"/>
          <w:szCs w:val="21"/>
          <w:highlight w:val="none"/>
          <w:lang w:eastAsia="zh-CN"/>
        </w:rPr>
        <w:t>账</w:t>
      </w:r>
      <w:r>
        <w:rPr>
          <w:rFonts w:hint="eastAsia" w:ascii="宋体" w:hAnsi="宋体" w:eastAsia="宋体" w:cs="Courier New"/>
          <w:b w:val="0"/>
          <w:color w:val="auto"/>
          <w:sz w:val="21"/>
          <w:szCs w:val="21"/>
          <w:highlight w:val="none"/>
        </w:rPr>
        <w:t>号有变动的，请以书面形式通知履约保证金收取单位，否则由此产生的后果由中标人自行承担。</w:t>
      </w:r>
    </w:p>
    <w:p w14:paraId="03ECC725">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36.签订合同</w:t>
      </w:r>
    </w:p>
    <w:p w14:paraId="01B8E672">
      <w:pPr>
        <w:spacing w:line="360" w:lineRule="auto"/>
        <w:ind w:firstLine="422" w:firstLineChars="200"/>
        <w:rPr>
          <w:rFonts w:hint="eastAsia"/>
          <w:b/>
          <w:bCs/>
          <w:i/>
          <w:iCs/>
          <w:color w:val="auto"/>
          <w:szCs w:val="21"/>
          <w:highlight w:val="none"/>
          <w:lang w:eastAsia="zh-CN"/>
        </w:rPr>
      </w:pPr>
      <w:bookmarkStart w:id="238" w:name="_40.1投标人接到中标通知书后，按须知前附表规定向采购人出示相关资格证"/>
      <w:bookmarkEnd w:id="238"/>
      <w:r>
        <w:rPr>
          <w:rFonts w:hint="eastAsia" w:ascii="宋体" w:hAnsi="宋体" w:cs="宋体"/>
          <w:b/>
          <w:bCs/>
          <w:color w:val="auto"/>
          <w:sz w:val="21"/>
          <w:szCs w:val="21"/>
          <w:highlight w:val="none"/>
          <w:lang w:eastAsia="zh-CN"/>
        </w:rPr>
        <w:t>36.1中标人在中标通知书发出之日起</w:t>
      </w:r>
      <w:r>
        <w:rPr>
          <w:rFonts w:hint="eastAsia" w:ascii="宋体" w:hAnsi="宋体" w:eastAsia="宋体" w:cs="宋体"/>
          <w:b/>
          <w:bCs/>
          <w:color w:val="auto"/>
          <w:sz w:val="21"/>
          <w:szCs w:val="21"/>
          <w:highlight w:val="none"/>
        </w:rPr>
        <w:t>，</w:t>
      </w:r>
      <w:r>
        <w:rPr>
          <w:rFonts w:hint="eastAsia" w:ascii="宋体" w:hAnsi="宋体" w:eastAsia="宋体" w:cs="宋体"/>
          <w:b w:val="0"/>
          <w:bCs w:val="0"/>
          <w:color w:val="auto"/>
          <w:sz w:val="21"/>
          <w:szCs w:val="21"/>
          <w:highlight w:val="none"/>
        </w:rPr>
        <w:t>按规定的日期、时间、地点，由法定代表人或其授权代表与采购人代表签订采购合同。如中标人为联合体的，由联合体成员各方法定代表人或其授权代表与采购人代表签订合同，签订携带资料详见“投标人须知前附表”</w:t>
      </w:r>
      <w:r>
        <w:rPr>
          <w:rFonts w:hint="eastAsia" w:ascii="宋体" w:hAnsi="宋体" w:eastAsia="宋体" w:cs="宋体"/>
          <w:b w:val="0"/>
          <w:color w:val="auto"/>
          <w:sz w:val="21"/>
          <w:szCs w:val="21"/>
          <w:highlight w:val="none"/>
        </w:rPr>
        <w:t>。</w:t>
      </w:r>
    </w:p>
    <w:p w14:paraId="2E0E2DF7">
      <w:pPr>
        <w:spacing w:line="360" w:lineRule="auto"/>
        <w:ind w:firstLine="420" w:firstLineChars="200"/>
        <w:rPr>
          <w:rFonts w:hint="eastAsia"/>
          <w:b/>
          <w:bCs/>
          <w:i/>
          <w:iCs/>
          <w:color w:val="auto"/>
          <w:szCs w:val="21"/>
          <w:highlight w:val="none"/>
          <w:lang w:eastAsia="zh-CN"/>
        </w:rPr>
      </w:pPr>
      <w:r>
        <w:rPr>
          <w:rFonts w:hint="eastAsia" w:ascii="宋体" w:hAnsi="宋体" w:cs="Times New Roman"/>
          <w:b w:val="0"/>
          <w:bCs w:val="0"/>
          <w:i w:val="0"/>
          <w:iCs w:val="0"/>
          <w:color w:val="auto"/>
          <w:sz w:val="21"/>
          <w:szCs w:val="21"/>
          <w:highlight w:val="none"/>
          <w:lang w:val="zh-CN" w:eastAsia="zh-CN"/>
        </w:rPr>
        <w:t>36.2采购合同由采购人与中标人根据招标文件、投标文件等内容签订。</w:t>
      </w:r>
    </w:p>
    <w:p w14:paraId="325FA975">
      <w:pPr>
        <w:pStyle w:val="34"/>
        <w:snapToGrid w:val="0"/>
        <w:spacing w:before="0"/>
        <w:ind w:firstLine="420"/>
        <w:rPr>
          <w:rFonts w:hint="eastAsia" w:ascii="宋体" w:hAnsi="宋体" w:eastAsia="宋体" w:cs="仿宋_GB2312"/>
          <w:color w:val="auto"/>
          <w:sz w:val="21"/>
          <w:szCs w:val="21"/>
          <w:highlight w:val="none"/>
        </w:rPr>
      </w:pPr>
      <w:r>
        <w:rPr>
          <w:rFonts w:hint="eastAsia" w:ascii="宋体" w:hAnsi="宋体" w:eastAsia="宋体" w:cs="Times New Roman"/>
          <w:color w:val="auto"/>
          <w:sz w:val="21"/>
          <w:szCs w:val="21"/>
          <w:highlight w:val="none"/>
        </w:rPr>
        <w:t>36.3签订合同时间：按中标通知书规定的时间与采购人签订合同。</w:t>
      </w:r>
    </w:p>
    <w:p w14:paraId="13F34EA9">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36.4中标人拒绝与采购人签订合同的，采购人可以按照评审报告推荐的中标候选人名单排序，</w:t>
      </w:r>
      <w:r>
        <w:rPr>
          <w:rFonts w:hint="eastAsia" w:ascii="宋体" w:hAnsi="宋体" w:cs="Times New Roman"/>
          <w:color w:val="auto"/>
          <w:szCs w:val="21"/>
          <w:highlight w:val="none"/>
          <w:lang w:eastAsia="zh-CN"/>
        </w:rPr>
        <w:t>依法</w:t>
      </w:r>
      <w:r>
        <w:rPr>
          <w:rFonts w:hint="eastAsia" w:ascii="宋体" w:hAnsi="宋体" w:eastAsia="宋体" w:cs="Times New Roman"/>
          <w:color w:val="auto"/>
          <w:szCs w:val="21"/>
          <w:highlight w:val="none"/>
        </w:rPr>
        <w:t>确定下一候选人为中标人，也可以重新开展政府采购活动。如采购人无正当理由拒签合同的，给中标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造成损失的，中标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可追究采购人承担相应的法律责任。</w:t>
      </w:r>
    </w:p>
    <w:p w14:paraId="1406E83C">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36.5政府采购合同是政府采购项目验收的依据，中标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A3E4230">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36.6采购人或中标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不得单方面向合同另一方提出任何招标文件没有约定的条件或不合理的要求，作为签订合同的条件；也不得协商另行订立背离招标文件和合同实质性内容的协议。</w:t>
      </w:r>
    </w:p>
    <w:p w14:paraId="6FB7680E">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36.7</w:t>
      </w:r>
      <w:r>
        <w:rPr>
          <w:rFonts w:hint="eastAsia" w:ascii="宋体" w:hAnsi="宋体" w:eastAsia="宋体" w:cs="仿宋_GB2312"/>
          <w:color w:val="auto"/>
          <w:szCs w:val="21"/>
          <w:highlight w:val="none"/>
        </w:rPr>
        <w:t>如签订合同并生效后，</w:t>
      </w:r>
      <w:r>
        <w:rPr>
          <w:rFonts w:hint="eastAsia" w:ascii="宋体" w:hAnsi="宋体" w:cs="仿宋_GB2312"/>
          <w:color w:val="auto"/>
          <w:szCs w:val="21"/>
          <w:highlight w:val="none"/>
          <w:lang w:eastAsia="zh-CN"/>
        </w:rPr>
        <w:t>中标人</w:t>
      </w:r>
      <w:r>
        <w:rPr>
          <w:rFonts w:hint="eastAsia" w:ascii="宋体" w:hAnsi="宋体" w:eastAsia="宋体" w:cs="仿宋_GB2312"/>
          <w:color w:val="auto"/>
          <w:szCs w:val="21"/>
          <w:highlight w:val="none"/>
        </w:rPr>
        <w:t>无故拒绝或延期，除按照合同条款处理外，将承担相应的法律责任。</w:t>
      </w:r>
    </w:p>
    <w:p w14:paraId="39A2FF8D">
      <w:pPr>
        <w:spacing w:line="360" w:lineRule="auto"/>
        <w:ind w:firstLine="480" w:firstLineChars="200"/>
        <w:rPr>
          <w:rFonts w:hint="eastAsia" w:ascii="黑体" w:hAnsi="黑体" w:eastAsia="黑体" w:cs="Times New Roman"/>
          <w:color w:val="auto"/>
          <w:sz w:val="24"/>
          <w:highlight w:val="none"/>
        </w:rPr>
      </w:pPr>
      <w:bookmarkStart w:id="239" w:name="_41.政府采购合同公告"/>
      <w:bookmarkEnd w:id="239"/>
      <w:r>
        <w:rPr>
          <w:rFonts w:hint="eastAsia" w:ascii="黑体" w:hAnsi="黑体" w:eastAsia="黑体" w:cs="Times New Roman"/>
          <w:color w:val="auto"/>
          <w:sz w:val="24"/>
          <w:highlight w:val="none"/>
        </w:rPr>
        <w:t>37.政府采购合同公告</w:t>
      </w:r>
    </w:p>
    <w:p w14:paraId="6BCFC544">
      <w:pPr>
        <w:spacing w:line="360" w:lineRule="auto"/>
        <w:ind w:firstLine="420" w:firstLineChars="200"/>
        <w:rPr>
          <w:rFonts w:hint="eastAsia" w:ascii="宋体" w:hAnsi="宋体" w:eastAsia="宋体" w:cs="Times New Roman"/>
          <w:color w:val="auto"/>
          <w:highlight w:val="none"/>
        </w:rPr>
      </w:pPr>
      <w:r>
        <w:rPr>
          <w:rFonts w:hint="eastAsia" w:ascii="Times New Roman" w:hAnsi="宋体" w:eastAsia="宋体" w:cs="Times New Roman"/>
          <w:color w:val="auto"/>
          <w:highlight w:val="none"/>
        </w:rPr>
        <w:t>采购人应当自政府采购合同签订之日起</w:t>
      </w:r>
      <w:r>
        <w:rPr>
          <w:rFonts w:ascii="Times New Roman" w:hAnsi="宋体" w:eastAsia="宋体" w:cs="Times New Roman"/>
          <w:color w:val="auto"/>
          <w:highlight w:val="none"/>
        </w:rPr>
        <w:t>2</w:t>
      </w:r>
      <w:r>
        <w:rPr>
          <w:rFonts w:hint="eastAsia" w:ascii="Times New Roman" w:hAnsi="宋体" w:eastAsia="宋体" w:cs="Times New Roman"/>
          <w:color w:val="auto"/>
          <w:highlight w:val="none"/>
        </w:rPr>
        <w:t>个工作日内，将政府采购合同</w:t>
      </w:r>
      <w:r>
        <w:rPr>
          <w:rFonts w:hint="eastAsia" w:ascii="宋体" w:hAnsi="宋体" w:eastAsia="宋体" w:cs="Times New Roman"/>
          <w:bCs/>
          <w:color w:val="auto"/>
          <w:highlight w:val="none"/>
        </w:rPr>
        <w:t>在省级以上人民政府财政部门指定的媒体</w:t>
      </w:r>
      <w:r>
        <w:rPr>
          <w:rFonts w:hint="eastAsia" w:ascii="Times New Roman" w:hAnsi="宋体" w:eastAsia="宋体" w:cs="Times New Roman"/>
          <w:color w:val="auto"/>
          <w:highlight w:val="none"/>
        </w:rPr>
        <w:t>上公告，但政府采购合同中涉及国家秘密、商业秘密的内容除外。</w:t>
      </w:r>
    </w:p>
    <w:p w14:paraId="6703FF81">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38.询问、质疑和投诉</w:t>
      </w:r>
    </w:p>
    <w:p w14:paraId="0A48F3EF">
      <w:pPr>
        <w:spacing w:line="360" w:lineRule="auto"/>
        <w:ind w:firstLine="422" w:firstLineChars="200"/>
        <w:rPr>
          <w:rFonts w:hint="eastAsia" w:ascii="Times New Roman" w:hAnsi="宋体" w:eastAsia="宋体" w:cs="Times New Roman"/>
          <w:b/>
          <w:color w:val="auto"/>
          <w:szCs w:val="21"/>
          <w:highlight w:val="none"/>
        </w:rPr>
      </w:pPr>
      <w:r>
        <w:rPr>
          <w:rFonts w:ascii="Times New Roman" w:hAnsi="宋体" w:eastAsia="宋体" w:cs="Times New Roman"/>
          <w:b/>
          <w:color w:val="auto"/>
          <w:szCs w:val="21"/>
          <w:highlight w:val="none"/>
        </w:rPr>
        <w:t>38.1</w:t>
      </w:r>
      <w:r>
        <w:rPr>
          <w:rFonts w:hint="eastAsia" w:ascii="Times New Roman" w:hAnsi="宋体" w:eastAsia="宋体" w:cs="Times New Roman"/>
          <w:b/>
          <w:color w:val="auto"/>
          <w:szCs w:val="21"/>
          <w:highlight w:val="none"/>
        </w:rPr>
        <w:t>询问</w:t>
      </w:r>
    </w:p>
    <w:p w14:paraId="0F6E0317">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38.1.1供应商在开标前对政府采购活动事项有疑问的，可以向采购人或采购代理机构项目负责人提出询问。</w:t>
      </w:r>
    </w:p>
    <w:p w14:paraId="0205D96D">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38.1.2采购人或采购人委托的采购代理机构自受理询问之日起3个工作日内对供应商依法提出的询问作出答复，</w:t>
      </w:r>
      <w:r>
        <w:rPr>
          <w:rFonts w:hint="eastAsia" w:ascii="宋体" w:hAnsi="宋体" w:eastAsia="宋体" w:cs="宋体"/>
          <w:color w:val="auto"/>
          <w:highlight w:val="none"/>
        </w:rPr>
        <w:t>但答复内容不得涉及商业秘密</w:t>
      </w:r>
      <w:r>
        <w:rPr>
          <w:rFonts w:hint="eastAsia" w:ascii="宋体" w:hAnsi="宋体" w:eastAsia="宋体" w:cs="宋体"/>
          <w:bCs/>
          <w:color w:val="auto"/>
          <w:szCs w:val="21"/>
          <w:highlight w:val="none"/>
        </w:rPr>
        <w:t>。</w:t>
      </w:r>
    </w:p>
    <w:p w14:paraId="47929B99">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38.1.3 询问事项可能影响中标结果的，采购人应当暂停签订合同，已经签订合同的，应当中止履行合同。</w:t>
      </w:r>
    </w:p>
    <w:p w14:paraId="46518171">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38.2质疑</w:t>
      </w:r>
    </w:p>
    <w:p w14:paraId="748A3945">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bCs/>
          <w:color w:val="auto"/>
          <w:szCs w:val="21"/>
          <w:highlight w:val="none"/>
        </w:rPr>
        <w:t>38.2.1</w:t>
      </w:r>
      <w:r>
        <w:rPr>
          <w:rFonts w:hint="eastAsia" w:ascii="宋体" w:hAnsi="宋体" w:eastAsia="宋体" w:cs="Times New Roman"/>
          <w:b/>
          <w:color w:val="auto"/>
          <w:szCs w:val="21"/>
          <w:highlight w:val="none"/>
        </w:rPr>
        <w:t>供应商认为招标文件、采购过程或者中标结果使自己的合法权益受到损害的，必须在知道或者应知其权益受到损害之日起7个工作日内，以书面形式向采购人</w:t>
      </w:r>
      <w:r>
        <w:rPr>
          <w:rFonts w:hint="eastAsia" w:ascii="宋体" w:hAnsi="宋体" w:cs="Times New Roman"/>
          <w:b/>
          <w:color w:val="auto"/>
          <w:szCs w:val="21"/>
          <w:highlight w:val="none"/>
          <w:lang w:eastAsia="zh-CN"/>
        </w:rPr>
        <w:t>或</w:t>
      </w:r>
      <w:r>
        <w:rPr>
          <w:rFonts w:hint="eastAsia" w:ascii="宋体" w:hAnsi="宋体" w:eastAsia="宋体" w:cs="Times New Roman"/>
          <w:b/>
          <w:color w:val="auto"/>
          <w:szCs w:val="21"/>
          <w:highlight w:val="none"/>
        </w:rPr>
        <w:t xml:space="preserve">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6FE576FB">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（1）潜在供应商依法获取招标文件后，认为采购文件使自己的权益受到损害的，应当在招标文件公告期限届满之日起7个工作日内提出质疑。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对招标文件中采购需求（含资格要求、采购预算和评分办法）的质疑由采购人受理并负责答复；对招标文件中的采购执行程序的质疑由采购代理机构受理并负责答复。</w:t>
      </w:r>
    </w:p>
    <w:p w14:paraId="5BC55F2D">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w:t>
      </w:r>
      <w:r>
        <w:rPr>
          <w:rFonts w:hint="eastAsia" w:ascii="宋体" w:hAnsi="宋体" w:eastAsia="宋体" w:cs="宋体"/>
          <w:bCs/>
          <w:color w:val="auto"/>
          <w:highlight w:val="none"/>
          <w:lang w:eastAsia="zh-CN"/>
        </w:rPr>
        <w:t>采购</w:t>
      </w:r>
      <w:r>
        <w:rPr>
          <w:rFonts w:hint="eastAsia" w:ascii="宋体" w:hAnsi="宋体" w:eastAsia="宋体" w:cs="宋体"/>
          <w:bCs/>
          <w:color w:val="auto"/>
          <w:highlight w:val="none"/>
        </w:rPr>
        <w:t>代理机构提出，由采购人或</w:t>
      </w:r>
      <w:r>
        <w:rPr>
          <w:rFonts w:hint="eastAsia" w:ascii="宋体" w:hAnsi="宋体" w:eastAsia="宋体" w:cs="宋体"/>
          <w:bCs/>
          <w:color w:val="auto"/>
          <w:highlight w:val="none"/>
          <w:lang w:eastAsia="zh-CN"/>
        </w:rPr>
        <w:t>采购</w:t>
      </w:r>
      <w:r>
        <w:rPr>
          <w:rFonts w:hint="eastAsia" w:ascii="宋体" w:hAnsi="宋体" w:eastAsia="宋体" w:cs="宋体"/>
          <w:bCs/>
          <w:color w:val="auto"/>
          <w:highlight w:val="none"/>
        </w:rPr>
        <w:t>代理机构受理并负责答复；对采购过程中采购执行程序的质疑由采购代理机构受理并负责答复。</w:t>
      </w:r>
    </w:p>
    <w:p w14:paraId="2B08F6D0">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（3）供应商认为中标或者成交结果使自己的权益受到损害的，应当在中标或者成交结果公告期限届满之日起7个工作日内提出质疑，由采购人受理并负责答复。</w:t>
      </w:r>
    </w:p>
    <w:p w14:paraId="60265CA0">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38.2.2</w:t>
      </w:r>
      <w:r>
        <w:rPr>
          <w:rFonts w:hint="eastAsia" w:ascii="宋体" w:hAnsi="宋体" w:eastAsia="宋体" w:cs="宋体"/>
          <w:bCs/>
          <w:color w:val="auto"/>
          <w:szCs w:val="21"/>
          <w:highlight w:val="none"/>
        </w:rPr>
        <w:t>供应商质疑实行实名制，其质疑应当有具体的质疑事项及事实根据，质疑应当坚持依法依规、诚实信用原则，不得进行虚假、恶意质疑。</w:t>
      </w:r>
    </w:p>
    <w:p w14:paraId="2BE1543B">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bCs/>
          <w:color w:val="auto"/>
          <w:highlight w:val="none"/>
        </w:rPr>
        <w:t>38.2.3</w:t>
      </w:r>
      <w:r>
        <w:rPr>
          <w:rFonts w:hint="eastAsia" w:ascii="宋体" w:hAnsi="宋体" w:eastAsia="宋体" w:cs="宋体"/>
          <w:bCs/>
          <w:color w:val="auto"/>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eastAsia="宋体" w:cs="宋体"/>
          <w:color w:val="auto"/>
          <w:highlight w:val="none"/>
        </w:rPr>
        <w:t>。</w:t>
      </w:r>
    </w:p>
    <w:p w14:paraId="26442E79">
      <w:pPr>
        <w:spacing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38.2.4 质疑供应商提起质疑应当符合下列条件：</w:t>
      </w:r>
    </w:p>
    <w:p w14:paraId="75928828">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（1）质疑供应商是参与所质疑</w:t>
      </w:r>
      <w:r>
        <w:rPr>
          <w:rFonts w:hint="eastAsia" w:ascii="宋体" w:hAnsi="宋体" w:eastAsia="宋体" w:cs="宋体"/>
          <w:bCs/>
          <w:color w:val="auto"/>
          <w:szCs w:val="21"/>
          <w:highlight w:val="none"/>
        </w:rPr>
        <w:t>项目</w:t>
      </w:r>
      <w:r>
        <w:rPr>
          <w:rFonts w:hint="eastAsia" w:ascii="宋体" w:hAnsi="宋体" w:eastAsia="宋体" w:cs="宋体"/>
          <w:bCs/>
          <w:color w:val="auto"/>
          <w:highlight w:val="none"/>
        </w:rPr>
        <w:t>采购活动的供应商（潜在供应商已依法获取可</w:t>
      </w:r>
      <w:r>
        <w:rPr>
          <w:rFonts w:hint="eastAsia" w:ascii="宋体" w:hAnsi="宋体" w:eastAsia="宋体" w:cs="宋体"/>
          <w:bCs/>
          <w:color w:val="auto"/>
          <w:highlight w:val="none"/>
          <w:lang w:eastAsia="zh-CN"/>
        </w:rPr>
        <w:t>质疑</w:t>
      </w:r>
      <w:r>
        <w:rPr>
          <w:rFonts w:hint="eastAsia" w:ascii="宋体" w:hAnsi="宋体" w:eastAsia="宋体" w:cs="宋体"/>
          <w:bCs/>
          <w:color w:val="auto"/>
          <w:highlight w:val="none"/>
        </w:rPr>
        <w:t>的采购文件的，可以对该采购文件质疑）；</w:t>
      </w:r>
    </w:p>
    <w:p w14:paraId="2270CBA9">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（2）质疑函内容符合本章第38.2.5项的规定；</w:t>
      </w:r>
    </w:p>
    <w:p w14:paraId="7818BDA3">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（3）在质疑有效期限内提起质疑；</w:t>
      </w:r>
    </w:p>
    <w:p w14:paraId="7D32E635">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（4）属于所质疑的采购人或采购人委托的采购代理机构组织的采购活动；</w:t>
      </w:r>
    </w:p>
    <w:p w14:paraId="13E1F598">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5</w:t>
      </w:r>
      <w:r>
        <w:rPr>
          <w:rFonts w:hint="eastAsia" w:ascii="宋体" w:hAnsi="宋体" w:eastAsia="宋体" w:cs="宋体"/>
          <w:bCs/>
          <w:color w:val="auto"/>
          <w:highlight w:val="none"/>
        </w:rPr>
        <w:t>）供应商对同一采购程序环节的质疑应当在质疑有效期内一次性提出；</w:t>
      </w:r>
    </w:p>
    <w:p w14:paraId="161C59D5">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6</w:t>
      </w:r>
      <w:r>
        <w:rPr>
          <w:rFonts w:hint="eastAsia" w:ascii="宋体" w:hAnsi="宋体" w:eastAsia="宋体" w:cs="宋体"/>
          <w:bCs/>
          <w:color w:val="auto"/>
          <w:highlight w:val="none"/>
        </w:rPr>
        <w:t>）供应商提交质疑应当提交必要的证明材料，证明材料应以合法手段取得；</w:t>
      </w:r>
    </w:p>
    <w:p w14:paraId="1E0E384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7</w:t>
      </w:r>
      <w:r>
        <w:rPr>
          <w:rFonts w:hint="eastAsia" w:ascii="宋体" w:hAnsi="宋体" w:eastAsia="宋体" w:cs="宋体"/>
          <w:bCs/>
          <w:color w:val="auto"/>
          <w:highlight w:val="none"/>
        </w:rPr>
        <w:t>）财政部门规定的其他条件。</w:t>
      </w:r>
    </w:p>
    <w:p w14:paraId="1B2E1B6E">
      <w:pPr>
        <w:spacing w:line="360" w:lineRule="auto"/>
        <w:ind w:firstLine="422" w:firstLineChars="200"/>
        <w:rPr>
          <w:rFonts w:ascii="宋体" w:hAnsi="宋体" w:eastAsia="宋体" w:cs="Times New Roman"/>
          <w:b/>
          <w:bCs/>
          <w:color w:val="auto"/>
          <w:szCs w:val="21"/>
          <w:highlight w:val="none"/>
        </w:rPr>
      </w:pPr>
      <w:bookmarkStart w:id="240" w:name="_9.2质疑、投诉应当采用书面形式，质疑函、投诉书均应明确阐述招标文件、"/>
      <w:bookmarkEnd w:id="240"/>
      <w:r>
        <w:rPr>
          <w:rFonts w:hint="eastAsia" w:ascii="宋体" w:hAnsi="宋体" w:eastAsia="宋体" w:cs="Times New Roman"/>
          <w:b/>
          <w:bCs/>
          <w:color w:val="auto"/>
          <w:szCs w:val="21"/>
          <w:highlight w:val="none"/>
        </w:rPr>
        <w:t xml:space="preserve">38.2.5 </w:t>
      </w:r>
      <w:r>
        <w:rPr>
          <w:rFonts w:hint="eastAsia" w:ascii="Times New Roman" w:hAnsi="宋体" w:eastAsia="宋体" w:cs="Times New Roman"/>
          <w:b/>
          <w:bCs/>
          <w:color w:val="auto"/>
          <w:highlight w:val="none"/>
        </w:rPr>
        <w:t>供应商提出质疑应当提交质疑函和必要的证明材料，针对同一采购程序环节的质疑必须在法定质疑期内一次性提出。质疑函应当包括下列内容（质疑函格式后附）：</w:t>
      </w:r>
    </w:p>
    <w:p w14:paraId="280FDB97">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（1）供应商的姓名或者名称、地址、邮编、联系人及联系电话；</w:t>
      </w:r>
    </w:p>
    <w:p w14:paraId="144CFB46">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（2）质疑项目的名称、编号；</w:t>
      </w:r>
    </w:p>
    <w:p w14:paraId="5439F105">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（3）具体、明确的质疑事项和与质疑事项相关的请求；</w:t>
      </w:r>
    </w:p>
    <w:p w14:paraId="0EE9679C">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（4）事实依据（列明权益受到损害的事实和理由）；</w:t>
      </w:r>
    </w:p>
    <w:p w14:paraId="2566FF60">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（5）必要的法律依据；</w:t>
      </w:r>
    </w:p>
    <w:p w14:paraId="36899CD8">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（6）提出质疑的日期。</w:t>
      </w:r>
    </w:p>
    <w:p w14:paraId="72FCED84">
      <w:pPr>
        <w:spacing w:line="360" w:lineRule="auto"/>
        <w:ind w:firstLine="420" w:firstLineChars="200"/>
        <w:rPr>
          <w:rFonts w:ascii="Times New Roman" w:hAnsi="宋体" w:eastAsia="宋体" w:cs="Times New Roman"/>
          <w:bCs/>
          <w:color w:val="auto"/>
          <w:highlight w:val="none"/>
        </w:rPr>
      </w:pPr>
      <w:r>
        <w:rPr>
          <w:rFonts w:hint="eastAsia" w:ascii="Times New Roman" w:hAnsi="宋体" w:eastAsia="宋体" w:cs="Times New Roman"/>
          <w:bCs/>
          <w:color w:val="auto"/>
          <w:highlight w:val="none"/>
        </w:rPr>
        <w:t>供应商为自然人的，应当由本人签字；供应商为法人或者其他组织的，应当由法定代表人、主要负责人，或者其委托代理人签字或者盖章，并加盖公章。</w:t>
      </w:r>
    </w:p>
    <w:p w14:paraId="5F82FFFC">
      <w:pPr>
        <w:spacing w:line="360" w:lineRule="auto"/>
        <w:ind w:firstLine="422" w:firstLineChars="200"/>
        <w:rPr>
          <w:rFonts w:ascii="宋体" w:hAnsi="宋体" w:eastAsia="宋体" w:cs="Times New Roman"/>
          <w:b/>
          <w:color w:val="auto"/>
          <w:szCs w:val="20"/>
          <w:highlight w:val="none"/>
        </w:rPr>
      </w:pPr>
      <w:r>
        <w:rPr>
          <w:rFonts w:hint="eastAsia" w:ascii="宋体" w:hAnsi="宋体" w:eastAsia="宋体" w:cs="Times New Roman"/>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r>
        <w:rPr>
          <w:rFonts w:hint="eastAsia" w:ascii="宋体" w:hAnsi="宋体" w:cs="宋体"/>
          <w:bCs/>
          <w:color w:val="auto"/>
          <w:highlight w:val="none"/>
        </w:rPr>
        <w:t>。</w:t>
      </w:r>
    </w:p>
    <w:p w14:paraId="5E7C7486">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3</w:t>
      </w:r>
      <w:r>
        <w:rPr>
          <w:rFonts w:hint="eastAsia" w:ascii="宋体" w:hAnsi="宋体" w:eastAsia="宋体" w:cs="Times New Roman"/>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30CA5FAD">
      <w:pPr>
        <w:spacing w:line="360" w:lineRule="auto"/>
        <w:ind w:firstLine="420" w:firstLineChars="200"/>
        <w:rPr>
          <w:rFonts w:hint="eastAsia" w:ascii="Times New Roman" w:hAnsi="宋体" w:eastAsia="宋体" w:cs="Times New Roman"/>
          <w:bCs/>
          <w:color w:val="auto"/>
          <w:highlight w:val="none"/>
        </w:rPr>
      </w:pPr>
      <w:r>
        <w:rPr>
          <w:rFonts w:hint="eastAsia" w:ascii="Times New Roman" w:hAnsi="宋体" w:eastAsia="宋体" w:cs="Times New Roman"/>
          <w:bCs/>
          <w:color w:val="auto"/>
          <w:highlight w:val="none"/>
        </w:rPr>
        <w:t>（一）对招标文件提出的质疑，依法通过澄清或者修改可以继续开展采购活动的，澄清或者修改招标文件后继续开展采购活动；否则应当修改招标文件后重新开展采购活动。</w:t>
      </w:r>
    </w:p>
    <w:p w14:paraId="31E37AFD">
      <w:pPr>
        <w:spacing w:line="360" w:lineRule="auto"/>
        <w:ind w:firstLine="420" w:firstLineChars="200"/>
        <w:rPr>
          <w:rFonts w:ascii="Times New Roman" w:hAnsi="宋体" w:eastAsia="宋体" w:cs="Times New Roman"/>
          <w:bCs/>
          <w:color w:val="auto"/>
          <w:highlight w:val="none"/>
        </w:rPr>
      </w:pPr>
      <w:r>
        <w:rPr>
          <w:rFonts w:hint="eastAsia" w:ascii="Times New Roman" w:hAnsi="宋体" w:eastAsia="宋体" w:cs="Times New Roman"/>
          <w:bCs/>
          <w:color w:val="auto"/>
          <w:highlight w:val="none"/>
        </w:rPr>
        <w:t>（二）对采购过程、中标结果提出的质疑，合格供应商符合法定数量时，可以从合格的中标候选人中另行确定中标供应商的，应当依法另行确定中标供应商；否则应当重新开展采购活动。</w:t>
      </w:r>
    </w:p>
    <w:p w14:paraId="2F742C1B">
      <w:pPr>
        <w:spacing w:line="360" w:lineRule="auto"/>
        <w:ind w:firstLine="420" w:firstLineChars="200"/>
        <w:rPr>
          <w:rFonts w:ascii="Times New Roman" w:hAnsi="宋体" w:eastAsia="宋体" w:cs="Times New Roman"/>
          <w:bCs/>
          <w:color w:val="auto"/>
          <w:highlight w:val="none"/>
        </w:rPr>
      </w:pPr>
      <w:r>
        <w:rPr>
          <w:rFonts w:hint="eastAsia" w:ascii="Times New Roman" w:hAnsi="宋体" w:eastAsia="宋体" w:cs="Times New Roman"/>
          <w:bCs/>
          <w:color w:val="auto"/>
          <w:highlight w:val="none"/>
        </w:rPr>
        <w:t>质疑答复导致中标结果改变的，采购人或者采购代理机构应当将有关情况书面报告本级财政部门。</w:t>
      </w:r>
    </w:p>
    <w:p w14:paraId="4E71E4E5">
      <w:pPr>
        <w:spacing w:line="360" w:lineRule="auto"/>
        <w:ind w:firstLine="422" w:firstLineChars="200"/>
        <w:rPr>
          <w:rFonts w:ascii="Times New Roman" w:hAnsi="宋体" w:eastAsia="宋体" w:cs="Times New Roman"/>
          <w:b/>
          <w:color w:val="auto"/>
          <w:highlight w:val="none"/>
        </w:rPr>
      </w:pPr>
      <w:r>
        <w:rPr>
          <w:rFonts w:ascii="Times New Roman" w:hAnsi="宋体" w:eastAsia="宋体" w:cs="Times New Roman"/>
          <w:b/>
          <w:color w:val="auto"/>
          <w:highlight w:val="none"/>
        </w:rPr>
        <w:t>38.3</w:t>
      </w:r>
      <w:r>
        <w:rPr>
          <w:rFonts w:hint="eastAsia" w:ascii="Times New Roman" w:hAnsi="宋体" w:eastAsia="宋体" w:cs="Times New Roman"/>
          <w:b/>
          <w:color w:val="auto"/>
          <w:highlight w:val="none"/>
        </w:rPr>
        <w:t>投诉</w:t>
      </w:r>
    </w:p>
    <w:p w14:paraId="0BD42CA9">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38.3</w:t>
      </w:r>
      <w:r>
        <w:rPr>
          <w:rFonts w:hint="eastAsia" w:ascii="宋体" w:hAnsi="宋体" w:eastAsia="宋体" w:cs="宋体"/>
          <w:bCs/>
          <w:color w:val="auto"/>
          <w:highlight w:val="none"/>
        </w:rPr>
        <w:t>.</w:t>
      </w:r>
      <w:r>
        <w:rPr>
          <w:rFonts w:hint="eastAsia" w:ascii="宋体" w:hAnsi="宋体" w:eastAsia="宋体" w:cs="宋体"/>
          <w:b/>
          <w:bCs/>
          <w:color w:val="auto"/>
          <w:highlight w:val="none"/>
        </w:rPr>
        <w:t xml:space="preserve">1 </w:t>
      </w:r>
      <w:r>
        <w:rPr>
          <w:rFonts w:hint="eastAsia" w:ascii="宋体" w:hAnsi="宋体" w:eastAsia="宋体" w:cs="宋体"/>
          <w:bCs/>
          <w:color w:val="auto"/>
          <w:highlight w:val="none"/>
        </w:rPr>
        <w:t xml:space="preserve"> 供应商认为采购文件、采购过程、中标和成交结果使自己的合法权益受到损害的，应当首先依法向采购人或采购人委托的</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提出质疑。对采购人</w:t>
      </w:r>
      <w:r>
        <w:rPr>
          <w:rFonts w:hint="eastAsia" w:ascii="宋体" w:hAnsi="宋体" w:eastAsia="宋体" w:cs="宋体"/>
          <w:bCs/>
          <w:color w:val="auto"/>
          <w:highlight w:val="none"/>
          <w:lang w:eastAsia="zh-CN"/>
        </w:rPr>
        <w:t>或</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的答复不满意，或者采购人</w:t>
      </w:r>
      <w:r>
        <w:rPr>
          <w:rFonts w:hint="eastAsia" w:ascii="宋体" w:hAnsi="宋体" w:eastAsia="宋体" w:cs="宋体"/>
          <w:bCs/>
          <w:color w:val="auto"/>
          <w:highlight w:val="none"/>
          <w:lang w:eastAsia="zh-CN"/>
        </w:rPr>
        <w:t>或</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未在规定期限内做出答复的，供应商可以在答复期满后15个工作日内向本级财政部门提起投诉，投诉</w:t>
      </w:r>
      <w:r>
        <w:rPr>
          <w:rFonts w:hint="eastAsia" w:ascii="宋体" w:hAnsi="宋体" w:eastAsia="宋体" w:cs="宋体"/>
          <w:bCs/>
          <w:color w:val="auto"/>
          <w:highlight w:val="none"/>
          <w:lang w:eastAsia="zh-CN"/>
        </w:rPr>
        <w:t>联系</w:t>
      </w:r>
      <w:r>
        <w:rPr>
          <w:rFonts w:hint="eastAsia" w:ascii="宋体" w:hAnsi="宋体" w:eastAsia="宋体" w:cs="宋体"/>
          <w:bCs/>
          <w:color w:val="auto"/>
          <w:highlight w:val="none"/>
        </w:rPr>
        <w:t>方式见“投标人须知前附表”。</w:t>
      </w:r>
    </w:p>
    <w:p w14:paraId="3DEFCD89">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 xml:space="preserve">38.3.2 </w:t>
      </w:r>
      <w:r>
        <w:rPr>
          <w:rFonts w:hint="eastAsia" w:ascii="宋体" w:hAnsi="宋体" w:eastAsia="宋体" w:cs="宋体"/>
          <w:color w:val="auto"/>
          <w:highlight w:val="none"/>
        </w:rPr>
        <w:t xml:space="preserve"> 投诉人投诉时，应当提交投诉书，并按照被投诉采购人、采购代理机构和与投诉事项有关的供应商数量提供投诉书的副本。投诉书</w:t>
      </w:r>
      <w:r>
        <w:rPr>
          <w:rFonts w:hint="eastAsia" w:ascii="宋体" w:hAnsi="宋体" w:eastAsia="宋体" w:cs="宋体"/>
          <w:color w:val="auto"/>
          <w:szCs w:val="21"/>
          <w:highlight w:val="none"/>
        </w:rPr>
        <w:t>应当包括下列主要内容</w:t>
      </w:r>
      <w:r>
        <w:rPr>
          <w:rFonts w:hint="eastAsia" w:ascii="宋体" w:hAnsi="宋体" w:eastAsia="宋体" w:cs="宋体"/>
          <w:color w:val="auto"/>
          <w:highlight w:val="none"/>
        </w:rPr>
        <w:t>（如材料中有外文资料应同时附上对应的中文译本）</w:t>
      </w:r>
      <w:r>
        <w:rPr>
          <w:rFonts w:hint="eastAsia" w:ascii="宋体" w:hAnsi="宋体" w:eastAsia="宋体" w:cs="宋体"/>
          <w:bCs/>
          <w:color w:val="auto"/>
          <w:highlight w:val="none"/>
        </w:rPr>
        <w:t>（投诉书格式后附）</w:t>
      </w:r>
      <w:r>
        <w:rPr>
          <w:rFonts w:hint="eastAsia" w:ascii="宋体" w:hAnsi="宋体" w:eastAsia="宋体" w:cs="宋体"/>
          <w:color w:val="auto"/>
          <w:szCs w:val="21"/>
          <w:highlight w:val="none"/>
        </w:rPr>
        <w:t>：</w:t>
      </w:r>
    </w:p>
    <w:p w14:paraId="4E34509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（1）投诉人和被投诉人的名称、地址、邮编、联系人及联系电话等；</w:t>
      </w:r>
    </w:p>
    <w:p w14:paraId="777C71D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（2）质疑和质疑答复情况及相关证明材料； </w:t>
      </w:r>
    </w:p>
    <w:p w14:paraId="7CBFED9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（3）具体、明确的投诉事项和与投诉事项相关的投诉请求；</w:t>
      </w:r>
    </w:p>
    <w:p w14:paraId="7369883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37CB934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（5）法律依据；</w:t>
      </w:r>
    </w:p>
    <w:p w14:paraId="581E804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（6）提起投诉的日期。</w:t>
      </w:r>
    </w:p>
    <w:p w14:paraId="6301591D">
      <w:pPr>
        <w:spacing w:line="360" w:lineRule="auto"/>
        <w:ind w:firstLine="420" w:firstLineChars="200"/>
        <w:rPr>
          <w:rFonts w:hint="eastAsia" w:ascii="宋体" w:hAnsi="宋体" w:cs="宋体"/>
          <w:b w:val="0"/>
          <w:bCs/>
          <w:color w:val="auto"/>
          <w:highlight w:val="none"/>
        </w:rPr>
      </w:pPr>
      <w:r>
        <w:rPr>
          <w:rFonts w:hint="eastAsia" w:ascii="宋体" w:hAnsi="宋体" w:cs="宋体"/>
          <w:b w:val="0"/>
          <w:bCs/>
          <w:color w:val="auto"/>
          <w:highlight w:val="none"/>
        </w:rPr>
        <w:t>投诉人为自然人的，应当由本人签字；投诉人为法人或者其他组织的，应当由法定代表人、主要负责人，或者其授权代表签字或者盖章，并加盖公章。</w:t>
      </w:r>
    </w:p>
    <w:p w14:paraId="4E86337C">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 xml:space="preserve">38.3.3  </w:t>
      </w:r>
      <w:r>
        <w:rPr>
          <w:rFonts w:hint="eastAsia" w:ascii="宋体" w:hAnsi="宋体" w:eastAsia="宋体" w:cs="宋体"/>
          <w:color w:val="auto"/>
          <w:highlight w:val="none"/>
        </w:rPr>
        <w:t>投诉人可以委托代理人办理投诉事务。</w:t>
      </w:r>
      <w:r>
        <w:rPr>
          <w:rFonts w:hint="eastAsia" w:ascii="宋体" w:hAnsi="宋体" w:eastAsia="宋体" w:cs="宋体"/>
          <w:bCs/>
          <w:color w:val="auto"/>
          <w:highlight w:val="none"/>
        </w:rPr>
        <w:t>委托代理人应熟悉相关业务情况。</w:t>
      </w:r>
      <w:r>
        <w:rPr>
          <w:rFonts w:hint="eastAsia" w:ascii="宋体" w:hAnsi="宋体" w:eastAsia="宋体" w:cs="宋体"/>
          <w:color w:val="auto"/>
          <w:highlight w:val="none"/>
        </w:rPr>
        <w:t>代理人办理投诉事务时，除提交投诉书外，还应当提交投诉人的授权委托书和委托代理人身份证明复印件。</w:t>
      </w:r>
    </w:p>
    <w:p w14:paraId="26BC2FCC">
      <w:pPr>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color w:val="auto"/>
          <w:highlight w:val="none"/>
        </w:rPr>
        <w:t>38.3.4</w:t>
      </w:r>
      <w:r>
        <w:rPr>
          <w:rFonts w:hint="eastAsia" w:ascii="宋体" w:hAnsi="宋体" w:eastAsia="宋体" w:cs="宋体"/>
          <w:color w:val="auto"/>
          <w:highlight w:val="none"/>
        </w:rPr>
        <w:t xml:space="preserve">  投诉人提起投诉应当符合下列条件：</w:t>
      </w:r>
    </w:p>
    <w:p w14:paraId="0CAFF03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（1）投诉人是参与所投诉政府采购活动的供应商；</w:t>
      </w:r>
    </w:p>
    <w:p w14:paraId="4CF9897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（2）提起投诉前已依法进行质疑；</w:t>
      </w:r>
    </w:p>
    <w:p w14:paraId="52FDBEB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（3）投诉书内容符合本章第38.3.2项的规定；</w:t>
      </w:r>
    </w:p>
    <w:p w14:paraId="417518F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（4）在投诉有效期限内提起投诉；</w:t>
      </w:r>
    </w:p>
    <w:p w14:paraId="7EAF637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）同一投诉事项未经</w:t>
      </w:r>
      <w:r>
        <w:rPr>
          <w:rFonts w:hint="eastAsia" w:ascii="宋体" w:hAnsi="宋体" w:eastAsia="宋体" w:cs="宋体"/>
          <w:bCs/>
          <w:color w:val="auto"/>
          <w:highlight w:val="none"/>
          <w:lang w:eastAsia="zh-CN"/>
        </w:rPr>
        <w:t>财政</w:t>
      </w:r>
      <w:r>
        <w:rPr>
          <w:rFonts w:hint="eastAsia" w:ascii="宋体" w:hAnsi="宋体" w:eastAsia="宋体" w:cs="宋体"/>
          <w:bCs/>
          <w:color w:val="auto"/>
          <w:highlight w:val="none"/>
        </w:rPr>
        <w:t>部门</w:t>
      </w:r>
      <w:r>
        <w:rPr>
          <w:rFonts w:hint="eastAsia" w:ascii="宋体" w:hAnsi="宋体" w:eastAsia="宋体" w:cs="宋体"/>
          <w:color w:val="auto"/>
          <w:highlight w:val="none"/>
        </w:rPr>
        <w:t>投诉处理；</w:t>
      </w:r>
    </w:p>
    <w:p w14:paraId="01CE4B5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）国务院财政部门规定的其他条件。</w:t>
      </w:r>
    </w:p>
    <w:p w14:paraId="33759AB9">
      <w:pPr>
        <w:pStyle w:val="19"/>
        <w:rPr>
          <w:rFonts w:hint="eastAsia"/>
          <w:color w:val="auto"/>
          <w:highlight w:val="none"/>
        </w:rPr>
      </w:pPr>
    </w:p>
    <w:p w14:paraId="2492AE70">
      <w:pPr>
        <w:snapToGrid w:val="0"/>
        <w:spacing w:line="360" w:lineRule="auto"/>
        <w:ind w:left="120" w:leftChars="57" w:firstLine="482" w:firstLineChars="150"/>
        <w:jc w:val="center"/>
        <w:outlineLvl w:val="2"/>
        <w:rPr>
          <w:rFonts w:hint="eastAsia" w:ascii="Times New Roman" w:hAnsi="Times New Roman" w:eastAsia="宋体" w:cs="Times New Roman"/>
          <w:b/>
          <w:bCs/>
          <w:color w:val="auto"/>
          <w:sz w:val="32"/>
          <w:szCs w:val="32"/>
          <w:highlight w:val="none"/>
        </w:rPr>
      </w:pPr>
      <w:bookmarkStart w:id="241" w:name="_Toc23239"/>
      <w:bookmarkStart w:id="242" w:name="_Toc27653"/>
      <w:bookmarkStart w:id="243" w:name="_Toc1756"/>
      <w:bookmarkStart w:id="244" w:name="_Toc29288"/>
      <w:bookmarkStart w:id="245" w:name="_Toc26583"/>
      <w:bookmarkStart w:id="246" w:name="_Toc13659"/>
      <w:bookmarkStart w:id="247" w:name="_Toc7828"/>
      <w:bookmarkStart w:id="248" w:name="_Toc14937"/>
      <w:bookmarkStart w:id="249" w:name="_Toc25946"/>
      <w:bookmarkStart w:id="250" w:name="_Toc8731"/>
      <w:r>
        <w:rPr>
          <w:rFonts w:hint="eastAsia" w:ascii="Times New Roman" w:hAnsi="Times New Roman" w:eastAsia="宋体" w:cs="Times New Roman"/>
          <w:b/>
          <w:bCs/>
          <w:color w:val="auto"/>
          <w:sz w:val="32"/>
          <w:szCs w:val="32"/>
          <w:highlight w:val="none"/>
        </w:rPr>
        <w:t>八、验收</w:t>
      </w:r>
      <w:bookmarkEnd w:id="241"/>
      <w:bookmarkEnd w:id="242"/>
      <w:bookmarkEnd w:id="243"/>
      <w:bookmarkEnd w:id="244"/>
      <w:bookmarkEnd w:id="245"/>
      <w:bookmarkEnd w:id="246"/>
      <w:bookmarkEnd w:id="247"/>
      <w:bookmarkEnd w:id="248"/>
      <w:bookmarkEnd w:id="249"/>
      <w:bookmarkEnd w:id="250"/>
    </w:p>
    <w:p w14:paraId="2D942194">
      <w:pPr>
        <w:spacing w:line="360" w:lineRule="auto"/>
        <w:ind w:firstLine="422" w:firstLineChars="200"/>
        <w:rPr>
          <w:rFonts w:ascii="Times New Roman" w:hAnsi="宋体" w:eastAsia="宋体" w:cs="Times New Roman"/>
          <w:b/>
          <w:color w:val="auto"/>
          <w:highlight w:val="none"/>
        </w:rPr>
      </w:pPr>
      <w:r>
        <w:rPr>
          <w:rFonts w:ascii="Times New Roman" w:hAnsi="宋体" w:eastAsia="宋体" w:cs="Times New Roman"/>
          <w:b/>
          <w:color w:val="auto"/>
          <w:highlight w:val="none"/>
        </w:rPr>
        <w:t>39.</w:t>
      </w:r>
      <w:r>
        <w:rPr>
          <w:rFonts w:hint="eastAsia" w:ascii="Times New Roman" w:hAnsi="宋体" w:eastAsia="宋体" w:cs="Times New Roman"/>
          <w:b/>
          <w:color w:val="auto"/>
          <w:highlight w:val="none"/>
        </w:rPr>
        <w:t>验收</w:t>
      </w:r>
    </w:p>
    <w:p w14:paraId="271A3BB5">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39.1采购人组织对</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履约的验收。大型或者复杂的政府采购项目，应当邀请国家认可的质量检测机构参加验收工作。验收方成员应当在验收书上签字，并承担相应的法律责任。如果发现与合同中要求不符，</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须承担由此发生的一切损失和费用，并接受相应的处理。</w:t>
      </w:r>
    </w:p>
    <w:p w14:paraId="7F4C03C0">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39.2采购人可以邀请参加本项目的其他投标人或者第三方机构参与验收。参与验收的投标人或者第三方机构的意见作为验收书的参考资料一并存档。</w:t>
      </w:r>
    </w:p>
    <w:p w14:paraId="52364C75">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39.3严格按照采购合同开展履约验收。采购人成立验收小组，按照采购合同的约定对</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如有</w:t>
      </w:r>
      <w:r>
        <w:rPr>
          <w:rFonts w:hint="eastAsia" w:ascii="宋体" w:hAnsi="宋体" w:cs="宋体"/>
          <w:color w:val="auto"/>
          <w:highlight w:val="none"/>
          <w:lang w:eastAsia="zh-CN"/>
        </w:rPr>
        <w:t>）</w:t>
      </w:r>
      <w:r>
        <w:rPr>
          <w:rFonts w:hint="eastAsia" w:ascii="宋体" w:hAnsi="宋体" w:eastAsia="宋体" w:cs="宋体"/>
          <w:color w:val="auto"/>
          <w:highlight w:val="none"/>
        </w:rPr>
        <w:t>返还条件挂钩。履约验收的各项资料应当存档备查。</w:t>
      </w:r>
    </w:p>
    <w:p w14:paraId="1623714E">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39.4验收合格的项目，采购人将根据采购合同的约定及时向</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支付采购资金。验收不合格的项目，采购人将依法及时处理。采购合同的履行、违约责任和解决争议的方式等适用《中华人民共和国民法典》。</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在履约过程中有政府采购法律法规规定的违法违规情形的，采购人应当及时报告本级财政部门。</w:t>
      </w:r>
    </w:p>
    <w:p w14:paraId="68D74455">
      <w:pPr>
        <w:pStyle w:val="17"/>
        <w:snapToGrid w:val="0"/>
        <w:spacing w:line="400" w:lineRule="exact"/>
        <w:rPr>
          <w:rFonts w:hAnsi="宋体" w:eastAsia="宋体" w:cs="Times New Roman"/>
          <w:color w:val="auto"/>
          <w:highlight w:val="none"/>
        </w:rPr>
      </w:pPr>
    </w:p>
    <w:p w14:paraId="3AFCED54">
      <w:pPr>
        <w:pStyle w:val="5"/>
        <w:keepNext w:val="0"/>
        <w:keepLines w:val="0"/>
        <w:spacing w:line="360" w:lineRule="auto"/>
        <w:jc w:val="center"/>
        <w:rPr>
          <w:rFonts w:hint="eastAsia" w:ascii="Times New Roman" w:hAnsi="Times New Roman" w:eastAsia="宋体" w:cs="Times New Roman"/>
          <w:color w:val="auto"/>
          <w:highlight w:val="none"/>
        </w:rPr>
      </w:pPr>
      <w:bookmarkStart w:id="251" w:name="_八、其他事项"/>
      <w:bookmarkEnd w:id="251"/>
      <w:bookmarkStart w:id="252" w:name="_Toc32163"/>
      <w:bookmarkStart w:id="253" w:name="_Toc13612"/>
      <w:bookmarkStart w:id="254" w:name="_Toc13217"/>
      <w:bookmarkStart w:id="255" w:name="_Toc24348"/>
      <w:bookmarkStart w:id="256" w:name="_Toc31560"/>
      <w:bookmarkStart w:id="257" w:name="_Toc14814"/>
      <w:bookmarkStart w:id="258" w:name="_Toc16509"/>
      <w:bookmarkStart w:id="259" w:name="_Toc5795"/>
      <w:bookmarkStart w:id="260" w:name="_Toc28972"/>
      <w:bookmarkStart w:id="261" w:name="_Toc27249"/>
      <w:r>
        <w:rPr>
          <w:rFonts w:hint="eastAsia" w:ascii="Times New Roman" w:hAnsi="Times New Roman" w:eastAsia="宋体" w:cs="Times New Roman"/>
          <w:color w:val="auto"/>
          <w:highlight w:val="none"/>
        </w:rPr>
        <w:t>九、其他事项</w:t>
      </w:r>
      <w:bookmarkEnd w:id="252"/>
      <w:bookmarkEnd w:id="253"/>
      <w:bookmarkEnd w:id="254"/>
      <w:bookmarkEnd w:id="255"/>
      <w:bookmarkEnd w:id="256"/>
      <w:bookmarkEnd w:id="257"/>
      <w:bookmarkEnd w:id="258"/>
      <w:bookmarkEnd w:id="259"/>
      <w:bookmarkEnd w:id="260"/>
      <w:bookmarkEnd w:id="261"/>
    </w:p>
    <w:p w14:paraId="5E80AA75">
      <w:pPr>
        <w:spacing w:line="360" w:lineRule="auto"/>
        <w:ind w:firstLine="480" w:firstLineChars="200"/>
        <w:rPr>
          <w:rFonts w:ascii="黑体" w:hAnsi="黑体" w:eastAsia="黑体" w:cs="Times New Roman"/>
          <w:color w:val="auto"/>
          <w:sz w:val="24"/>
          <w:highlight w:val="none"/>
        </w:rPr>
      </w:pPr>
      <w:bookmarkStart w:id="262" w:name="_42.代理服务费"/>
      <w:bookmarkEnd w:id="262"/>
      <w:r>
        <w:rPr>
          <w:rFonts w:hint="eastAsia" w:ascii="黑体" w:hAnsi="黑体" w:eastAsia="黑体" w:cs="Times New Roman"/>
          <w:color w:val="auto"/>
          <w:sz w:val="24"/>
          <w:highlight w:val="none"/>
        </w:rPr>
        <w:t>40.</w:t>
      </w:r>
      <w:r>
        <w:rPr>
          <w:rFonts w:hint="eastAsia" w:ascii="黑体" w:hAnsi="黑体" w:eastAsia="黑体" w:cs="Times New Roman"/>
          <w:color w:val="auto"/>
          <w:sz w:val="24"/>
          <w:highlight w:val="none"/>
          <w:lang w:eastAsia="zh-CN"/>
        </w:rPr>
        <w:t>采购</w:t>
      </w:r>
      <w:r>
        <w:rPr>
          <w:rFonts w:hint="eastAsia" w:ascii="黑体" w:hAnsi="黑体" w:eastAsia="黑体" w:cs="Times New Roman"/>
          <w:color w:val="auto"/>
          <w:sz w:val="24"/>
          <w:highlight w:val="none"/>
        </w:rPr>
        <w:t>代理服务费</w:t>
      </w:r>
    </w:p>
    <w:p w14:paraId="1E948B88">
      <w:pPr>
        <w:spacing w:line="360" w:lineRule="auto"/>
        <w:ind w:firstLine="420" w:firstLineChars="200"/>
        <w:rPr>
          <w:rFonts w:hint="eastAsia" w:ascii="宋体" w:hAnsi="宋体" w:eastAsia="宋体" w:cs="Times New Roman"/>
          <w:b/>
          <w:color w:val="auto"/>
          <w:szCs w:val="21"/>
          <w:highlight w:val="none"/>
        </w:rPr>
      </w:pPr>
      <w:r>
        <w:rPr>
          <w:rFonts w:hint="eastAsia" w:ascii="宋体" w:hAnsi="宋体" w:cs="Times New Roman"/>
          <w:b w:val="0"/>
          <w:bCs/>
          <w:color w:val="auto"/>
          <w:szCs w:val="21"/>
          <w:highlight w:val="none"/>
          <w:lang w:val="en-US" w:eastAsia="zh-CN"/>
        </w:rPr>
        <w:t>40.1</w:t>
      </w:r>
      <w:r>
        <w:rPr>
          <w:rFonts w:hint="eastAsia" w:ascii="宋体" w:hAnsi="宋体" w:cs="Times New Roman"/>
          <w:b w:val="0"/>
          <w:bCs/>
          <w:color w:val="auto"/>
          <w:szCs w:val="21"/>
          <w:highlight w:val="none"/>
          <w:lang w:eastAsia="zh-CN"/>
        </w:rPr>
        <w:t>采购</w:t>
      </w:r>
      <w:r>
        <w:rPr>
          <w:rFonts w:hint="eastAsia" w:ascii="宋体" w:hAnsi="宋体" w:eastAsia="宋体" w:cs="Times New Roman"/>
          <w:b w:val="0"/>
          <w:bCs/>
          <w:color w:val="auto"/>
          <w:szCs w:val="21"/>
          <w:highlight w:val="none"/>
        </w:rPr>
        <w:t>代理服务</w:t>
      </w:r>
      <w:r>
        <w:rPr>
          <w:rFonts w:hint="eastAsia" w:ascii="宋体" w:hAnsi="宋体" w:cs="Times New Roman"/>
          <w:b w:val="0"/>
          <w:bCs/>
          <w:color w:val="auto"/>
          <w:szCs w:val="21"/>
          <w:highlight w:val="none"/>
          <w:lang w:eastAsia="zh-CN"/>
        </w:rPr>
        <w:t>费</w:t>
      </w:r>
      <w:r>
        <w:rPr>
          <w:rFonts w:hint="eastAsia" w:ascii="宋体" w:hAnsi="宋体" w:eastAsia="宋体" w:cs="Times New Roman"/>
          <w:b w:val="0"/>
          <w:bCs/>
          <w:color w:val="auto"/>
          <w:szCs w:val="21"/>
          <w:highlight w:val="none"/>
        </w:rPr>
        <w:t>收费标准及缴费账户详见“投标人须知前附表”，投标人为联合体的，可以由联合体中的一方或者多方共同</w:t>
      </w:r>
      <w:r>
        <w:rPr>
          <w:rFonts w:hint="eastAsia" w:ascii="宋体" w:hAnsi="宋体" w:cs="Times New Roman"/>
          <w:b w:val="0"/>
          <w:bCs/>
          <w:color w:val="auto"/>
          <w:szCs w:val="21"/>
          <w:highlight w:val="none"/>
          <w:lang w:eastAsia="zh-CN"/>
        </w:rPr>
        <w:t>缴</w:t>
      </w:r>
      <w:r>
        <w:rPr>
          <w:rFonts w:hint="eastAsia" w:ascii="宋体" w:hAnsi="宋体" w:eastAsia="宋体" w:cs="Times New Roman"/>
          <w:b w:val="0"/>
          <w:bCs/>
          <w:color w:val="auto"/>
          <w:szCs w:val="21"/>
          <w:highlight w:val="none"/>
        </w:rPr>
        <w:t>纳</w:t>
      </w:r>
      <w:r>
        <w:rPr>
          <w:rFonts w:hint="eastAsia" w:ascii="宋体" w:hAnsi="宋体" w:cs="Times New Roman"/>
          <w:b w:val="0"/>
          <w:bCs/>
          <w:color w:val="auto"/>
          <w:szCs w:val="21"/>
          <w:highlight w:val="none"/>
          <w:lang w:eastAsia="zh-CN"/>
        </w:rPr>
        <w:t>采购</w:t>
      </w:r>
      <w:r>
        <w:rPr>
          <w:rFonts w:hint="eastAsia" w:ascii="宋体" w:hAnsi="宋体" w:eastAsia="宋体" w:cs="Times New Roman"/>
          <w:b w:val="0"/>
          <w:bCs/>
          <w:color w:val="auto"/>
          <w:szCs w:val="21"/>
          <w:highlight w:val="none"/>
        </w:rPr>
        <w:t>代理服务费。</w:t>
      </w:r>
    </w:p>
    <w:p w14:paraId="4BBDD928">
      <w:pPr>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40.2</w:t>
      </w:r>
      <w:r>
        <w:rPr>
          <w:rFonts w:hint="eastAsia" w:ascii="宋体" w:hAnsi="宋体" w:eastAsia="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代理服务</w:t>
      </w:r>
      <w:r>
        <w:rPr>
          <w:rFonts w:hint="eastAsia" w:ascii="宋体" w:hAnsi="宋体" w:eastAsia="宋体" w:cs="宋体"/>
          <w:b w:val="0"/>
          <w:color w:val="auto"/>
          <w:sz w:val="21"/>
          <w:szCs w:val="21"/>
          <w:highlight w:val="none"/>
          <w:lang w:eastAsia="zh-CN"/>
        </w:rPr>
        <w:t>费</w:t>
      </w:r>
      <w:r>
        <w:rPr>
          <w:rFonts w:hint="eastAsia" w:ascii="宋体" w:hAnsi="宋体" w:eastAsia="宋体" w:cs="宋体"/>
          <w:b w:val="0"/>
          <w:color w:val="auto"/>
          <w:sz w:val="21"/>
          <w:szCs w:val="21"/>
          <w:highlight w:val="none"/>
        </w:rPr>
        <w:t>收费标准：</w:t>
      </w:r>
    </w:p>
    <w:tbl>
      <w:tblPr>
        <w:tblStyle w:val="25"/>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03BA1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062A25D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14:paraId="5116418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w:t>
            </w:r>
          </w:p>
        </w:tc>
        <w:tc>
          <w:tcPr>
            <w:tcW w:w="1659" w:type="dxa"/>
            <w:noWrap w:val="0"/>
            <w:vAlign w:val="center"/>
          </w:tcPr>
          <w:p w14:paraId="3DF7C048">
            <w:pPr>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货物招标</w:t>
            </w:r>
          </w:p>
        </w:tc>
        <w:tc>
          <w:tcPr>
            <w:tcW w:w="1687" w:type="dxa"/>
            <w:noWrap w:val="0"/>
            <w:vAlign w:val="center"/>
          </w:tcPr>
          <w:p w14:paraId="3C71821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服务招标</w:t>
            </w:r>
          </w:p>
        </w:tc>
        <w:tc>
          <w:tcPr>
            <w:tcW w:w="1659" w:type="dxa"/>
            <w:noWrap w:val="0"/>
            <w:vAlign w:val="center"/>
          </w:tcPr>
          <w:p w14:paraId="6C328AD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工程招标</w:t>
            </w:r>
          </w:p>
        </w:tc>
      </w:tr>
      <w:tr w14:paraId="4FDF3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78B99F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659" w:type="dxa"/>
            <w:noWrap w:val="0"/>
            <w:vAlign w:val="top"/>
          </w:tcPr>
          <w:p w14:paraId="4AE69B8B">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c>
          <w:tcPr>
            <w:tcW w:w="1687" w:type="dxa"/>
            <w:noWrap w:val="0"/>
            <w:vAlign w:val="top"/>
          </w:tcPr>
          <w:p w14:paraId="64C54C27">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659" w:type="dxa"/>
            <w:noWrap w:val="0"/>
            <w:vAlign w:val="top"/>
          </w:tcPr>
          <w:p w14:paraId="6BE7A474">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14:paraId="39AF6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90B6D7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659" w:type="dxa"/>
            <w:noWrap w:val="0"/>
            <w:vAlign w:val="top"/>
          </w:tcPr>
          <w:p w14:paraId="79C4B6CF">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1687" w:type="dxa"/>
            <w:noWrap w:val="0"/>
            <w:vAlign w:val="top"/>
          </w:tcPr>
          <w:p w14:paraId="6B7879E1">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659" w:type="dxa"/>
            <w:noWrap w:val="0"/>
            <w:vAlign w:val="top"/>
          </w:tcPr>
          <w:p w14:paraId="4ABBDE80">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14:paraId="6E4E0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5A40A2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659" w:type="dxa"/>
            <w:noWrap w:val="0"/>
            <w:vAlign w:val="top"/>
          </w:tcPr>
          <w:p w14:paraId="6B101D12">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c>
          <w:tcPr>
            <w:tcW w:w="1687" w:type="dxa"/>
            <w:noWrap w:val="0"/>
            <w:vAlign w:val="top"/>
          </w:tcPr>
          <w:p w14:paraId="391270BF">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659" w:type="dxa"/>
            <w:noWrap w:val="0"/>
            <w:vAlign w:val="top"/>
          </w:tcPr>
          <w:p w14:paraId="29A25654">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14:paraId="63AC2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F946DA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659" w:type="dxa"/>
            <w:noWrap w:val="0"/>
            <w:vAlign w:val="top"/>
          </w:tcPr>
          <w:p w14:paraId="257AC291">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1687" w:type="dxa"/>
            <w:noWrap w:val="0"/>
            <w:vAlign w:val="top"/>
          </w:tcPr>
          <w:p w14:paraId="1009EFFE">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659" w:type="dxa"/>
            <w:noWrap w:val="0"/>
            <w:vAlign w:val="top"/>
          </w:tcPr>
          <w:p w14:paraId="2D98960B">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14:paraId="16938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0A4BC6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659" w:type="dxa"/>
            <w:noWrap w:val="0"/>
            <w:vAlign w:val="top"/>
          </w:tcPr>
          <w:p w14:paraId="60644939">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1687" w:type="dxa"/>
            <w:noWrap w:val="0"/>
            <w:vAlign w:val="top"/>
          </w:tcPr>
          <w:p w14:paraId="5D9630E3">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659" w:type="dxa"/>
            <w:noWrap w:val="0"/>
            <w:vAlign w:val="top"/>
          </w:tcPr>
          <w:p w14:paraId="44853687">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14:paraId="307E2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E68C08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659" w:type="dxa"/>
            <w:noWrap w:val="0"/>
            <w:vAlign w:val="top"/>
          </w:tcPr>
          <w:p w14:paraId="6158F425">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687" w:type="dxa"/>
            <w:noWrap w:val="0"/>
            <w:vAlign w:val="top"/>
          </w:tcPr>
          <w:p w14:paraId="7B87E45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659" w:type="dxa"/>
            <w:noWrap w:val="0"/>
            <w:vAlign w:val="top"/>
          </w:tcPr>
          <w:p w14:paraId="598403C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14:paraId="16E42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D07A4D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659" w:type="dxa"/>
            <w:noWrap w:val="0"/>
            <w:vAlign w:val="top"/>
          </w:tcPr>
          <w:p w14:paraId="54AAF52A">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687" w:type="dxa"/>
            <w:noWrap w:val="0"/>
            <w:vAlign w:val="top"/>
          </w:tcPr>
          <w:p w14:paraId="271EED3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659" w:type="dxa"/>
            <w:noWrap w:val="0"/>
            <w:vAlign w:val="top"/>
          </w:tcPr>
          <w:p w14:paraId="51915747">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449B4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1979E6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659" w:type="dxa"/>
            <w:noWrap w:val="0"/>
            <w:vAlign w:val="top"/>
          </w:tcPr>
          <w:p w14:paraId="0A97D2CA">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687" w:type="dxa"/>
            <w:noWrap w:val="0"/>
            <w:vAlign w:val="top"/>
          </w:tcPr>
          <w:p w14:paraId="39D50BF7">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659" w:type="dxa"/>
            <w:noWrap w:val="0"/>
            <w:vAlign w:val="top"/>
          </w:tcPr>
          <w:p w14:paraId="66D762ED">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65F87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0F04FA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659" w:type="dxa"/>
            <w:noWrap w:val="0"/>
            <w:vAlign w:val="top"/>
          </w:tcPr>
          <w:p w14:paraId="699E8EF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687" w:type="dxa"/>
            <w:noWrap w:val="0"/>
            <w:vAlign w:val="top"/>
          </w:tcPr>
          <w:p w14:paraId="4D4E17B1">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659" w:type="dxa"/>
            <w:noWrap w:val="0"/>
            <w:vAlign w:val="top"/>
          </w:tcPr>
          <w:p w14:paraId="207492BD">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68DA6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FAAEE2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100亿以上</w:t>
            </w:r>
          </w:p>
        </w:tc>
        <w:tc>
          <w:tcPr>
            <w:tcW w:w="1659" w:type="dxa"/>
            <w:noWrap w:val="0"/>
            <w:vAlign w:val="top"/>
          </w:tcPr>
          <w:p w14:paraId="2A7EBA7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687" w:type="dxa"/>
            <w:noWrap w:val="0"/>
            <w:vAlign w:val="top"/>
          </w:tcPr>
          <w:p w14:paraId="7996F801">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659" w:type="dxa"/>
            <w:noWrap w:val="0"/>
            <w:vAlign w:val="top"/>
          </w:tcPr>
          <w:p w14:paraId="08A868C7">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64945A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注: </w:t>
      </w:r>
    </w:p>
    <w:p w14:paraId="04087E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（1）按本表费率计算的收费为采购代理的收费基准价格；</w:t>
      </w:r>
    </w:p>
    <w:p w14:paraId="5E4D9F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（2）采购代理收费按差额定率累进法计算。</w:t>
      </w:r>
    </w:p>
    <w:p w14:paraId="2BF0C0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例如：某服务采购代理业务中标金额或者暂定价为200万元，计算采购代理收费额如下：</w:t>
      </w:r>
    </w:p>
    <w:p w14:paraId="34DEE7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 万元×l.5 ％＝ 1.5 万元</w:t>
      </w:r>
    </w:p>
    <w:p w14:paraId="2D64EA4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200 － 100 ）万元 ×0.8％＝0.8万元</w:t>
      </w:r>
    </w:p>
    <w:p w14:paraId="5F6C94C5">
      <w:pPr>
        <w:pStyle w:val="17"/>
        <w:snapToGrid w:val="0"/>
        <w:spacing w:before="120" w:after="120" w:line="360" w:lineRule="auto"/>
        <w:ind w:firstLine="420" w:firstLineChars="200"/>
        <w:rPr>
          <w:rFonts w:hint="eastAsia" w:hAnsi="宋体" w:eastAsia="宋体" w:cs="宋体"/>
          <w:color w:val="auto"/>
          <w:sz w:val="21"/>
          <w:highlight w:val="none"/>
        </w:rPr>
      </w:pPr>
      <w:r>
        <w:rPr>
          <w:rFonts w:hint="eastAsia" w:hAnsi="宋体" w:eastAsia="宋体" w:cs="宋体"/>
          <w:color w:val="auto"/>
          <w:sz w:val="21"/>
          <w:highlight w:val="none"/>
        </w:rPr>
        <w:t>合计收费＝ 1.5+0.8＝ 2.3（万元）</w:t>
      </w:r>
    </w:p>
    <w:p w14:paraId="2314B8D8">
      <w:pPr>
        <w:pStyle w:val="19"/>
        <w:rPr>
          <w:rFonts w:hint="eastAsia"/>
          <w:color w:val="auto"/>
          <w:highlight w:val="none"/>
        </w:rPr>
      </w:pPr>
    </w:p>
    <w:p w14:paraId="475C4729">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41. 需要补充的其他内容</w:t>
      </w:r>
    </w:p>
    <w:p w14:paraId="50C0501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41.1本招标文件解释规则详见“投标人须知前附表”。</w:t>
      </w:r>
    </w:p>
    <w:p w14:paraId="211901E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41.2 其他事项详见“投标人须知前附表”。</w:t>
      </w:r>
    </w:p>
    <w:p w14:paraId="4A27026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提供的服务的人员为中小企业依照《中华人民共和国劳动合同法》订立劳动合同的从业人员，不对其中涉及的货物的制造商和工程承建商作出要求的，享受本文件规定的中小企业扶持政策。</w:t>
      </w:r>
    </w:p>
    <w:p w14:paraId="28710B5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以联合体形式参加政府采购活动，联合体各方均为中小企业的，联合体视同中小企业。其中，联合体各方均为小微企业的，联合体视同小微企业。</w:t>
      </w:r>
    </w:p>
    <w:p w14:paraId="298BACE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依据本文件规定享受扶持政策获得政府采购合同的，小微企业不得将合同分包给大中型企业，中型企业不得将合同分包给大型企业。</w:t>
      </w:r>
    </w:p>
    <w:p w14:paraId="2671EE65">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42. 广西线上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政采贷</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szCs w:val="24"/>
          <w:highlight w:val="none"/>
        </w:rPr>
        <w:t>政策告知函</w:t>
      </w:r>
    </w:p>
    <w:p w14:paraId="6B53E593">
      <w:pPr>
        <w:spacing w:line="580" w:lineRule="exact"/>
        <w:jc w:val="center"/>
        <w:rPr>
          <w:rFonts w:hint="eastAsia" w:ascii="宋体" w:hAnsi="宋体" w:eastAsia="宋体" w:cs="宋体"/>
          <w:color w:val="auto"/>
          <w:sz w:val="44"/>
          <w:szCs w:val="44"/>
          <w:highlight w:val="none"/>
        </w:rPr>
      </w:pPr>
    </w:p>
    <w:p w14:paraId="37D0FE5B">
      <w:pPr>
        <w:spacing w:line="58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广西线上“政采贷”政策告知函</w:t>
      </w:r>
    </w:p>
    <w:p w14:paraId="25FFE14C">
      <w:pPr>
        <w:spacing w:line="240" w:lineRule="auto"/>
        <w:ind w:firstLine="0" w:firstLineChars="0"/>
        <w:rPr>
          <w:rFonts w:hint="default" w:ascii="Times New Roman" w:hAnsi="Times New Roman" w:cs="Times New Roman"/>
          <w:color w:val="auto"/>
          <w:szCs w:val="24"/>
          <w:highlight w:val="none"/>
        </w:rPr>
      </w:pPr>
    </w:p>
    <w:p w14:paraId="3E1F60E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各供应商：</w:t>
      </w:r>
    </w:p>
    <w:p w14:paraId="4B79D74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欢迎贵公司参与广西政府采购活动！</w:t>
      </w:r>
    </w:p>
    <w:p w14:paraId="39DAE3E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宋体" w:hAnsi="宋体" w:eastAsia="宋体" w:cs="宋体"/>
          <w:color w:val="auto"/>
          <w:kern w:val="2"/>
          <w:sz w:val="21"/>
          <w:szCs w:val="21"/>
          <w:highlight w:val="none"/>
          <w:lang w:val="en-US" w:eastAsia="zh-CN" w:bidi="ar-SA"/>
        </w:rPr>
        <w:t>银行业金融机构</w:t>
      </w:r>
      <w:r>
        <w:rPr>
          <w:rFonts w:hint="eastAsia" w:ascii="宋体" w:hAnsi="宋体" w:cs="宋体"/>
          <w:color w:val="auto"/>
          <w:szCs w:val="21"/>
          <w:highlight w:val="none"/>
        </w:rPr>
        <w:t>申请贷款，融资机构将根据《中国人民银行南宁中心支行 广西壮族自治区财政厅关于推广线上“政采贷”融资模式的通知》（南宁银发〔2021〕</w:t>
      </w:r>
      <w:r>
        <w:rPr>
          <w:rFonts w:hint="eastAsia" w:ascii="宋体" w:hAnsi="宋体" w:cs="宋体"/>
          <w:color w:val="auto"/>
          <w:szCs w:val="21"/>
          <w:highlight w:val="none"/>
          <w:lang w:val="en-US" w:eastAsia="zh-CN"/>
        </w:rPr>
        <w:t>258</w:t>
      </w:r>
      <w:r>
        <w:rPr>
          <w:rFonts w:hint="eastAsia" w:ascii="宋体" w:hAnsi="宋体" w:cs="宋体"/>
          <w:color w:val="auto"/>
          <w:szCs w:val="21"/>
          <w:highlight w:val="none"/>
        </w:rPr>
        <w:t>号），按照双方自愿的原则提供便捷、优惠的贷款服务。</w:t>
      </w:r>
    </w:p>
    <w:p w14:paraId="2D9704B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相关金融产品和</w:t>
      </w:r>
      <w:r>
        <w:rPr>
          <w:rFonts w:hint="eastAsia" w:ascii="宋体" w:hAnsi="宋体" w:eastAsia="宋体" w:cs="宋体"/>
          <w:color w:val="auto"/>
          <w:kern w:val="2"/>
          <w:sz w:val="21"/>
          <w:szCs w:val="21"/>
          <w:highlight w:val="none"/>
          <w:lang w:val="en-US" w:eastAsia="zh-CN" w:bidi="ar-SA"/>
        </w:rPr>
        <w:t>银行业金融机构</w:t>
      </w:r>
      <w:r>
        <w:rPr>
          <w:rFonts w:hint="eastAsia" w:ascii="宋体" w:hAnsi="宋体" w:cs="宋体"/>
          <w:color w:val="auto"/>
          <w:szCs w:val="21"/>
          <w:highlight w:val="none"/>
        </w:rPr>
        <w:t>联系方式，可在中征应收账款融资服务平台查询</w:t>
      </w:r>
      <w:r>
        <w:rPr>
          <w:rFonts w:hint="eastAsia" w:ascii="宋体" w:hAnsi="宋体" w:cs="宋体"/>
          <w:color w:val="auto"/>
          <w:szCs w:val="21"/>
          <w:highlight w:val="none"/>
          <w:lang w:eastAsia="zh-CN"/>
        </w:rPr>
        <w:t>（网址：</w:t>
      </w:r>
      <w:r>
        <w:rPr>
          <w:rFonts w:hint="eastAsia" w:ascii="宋体" w:hAnsi="宋体" w:cs="宋体"/>
          <w:color w:val="auto"/>
          <w:szCs w:val="21"/>
          <w:highlight w:val="none"/>
          <w:lang w:eastAsia="zh-CN"/>
        </w:rPr>
        <w:fldChar w:fldCharType="begin"/>
      </w:r>
      <w:r>
        <w:rPr>
          <w:rFonts w:hint="eastAsia" w:ascii="宋体" w:hAnsi="宋体" w:cs="宋体"/>
          <w:color w:val="auto"/>
          <w:szCs w:val="21"/>
          <w:highlight w:val="none"/>
          <w:lang w:eastAsia="zh-CN"/>
        </w:rPr>
        <w:instrText xml:space="preserve"> HYPERLINK "https://www.crcrfsp.com/" </w:instrText>
      </w:r>
      <w:r>
        <w:rPr>
          <w:rFonts w:hint="eastAsia" w:ascii="宋体" w:hAnsi="宋体" w:cs="宋体"/>
          <w:color w:val="auto"/>
          <w:szCs w:val="21"/>
          <w:highlight w:val="none"/>
          <w:lang w:eastAsia="zh-CN"/>
        </w:rPr>
        <w:fldChar w:fldCharType="separate"/>
      </w:r>
      <w:r>
        <w:rPr>
          <w:rStyle w:val="30"/>
          <w:rFonts w:hint="eastAsia" w:ascii="宋体" w:hAnsi="宋体" w:eastAsia="宋体" w:cs="宋体"/>
          <w:color w:val="auto"/>
          <w:szCs w:val="21"/>
          <w:highlight w:val="none"/>
          <w:lang w:eastAsia="zh-CN"/>
        </w:rPr>
        <w:t>https://www.crcrfsp.com/</w:t>
      </w:r>
      <w:r>
        <w:rPr>
          <w:rFonts w:hint="eastAsia" w:ascii="宋体" w:hAnsi="宋体" w:cs="宋体"/>
          <w:color w:val="auto"/>
          <w:szCs w:val="21"/>
          <w:highlight w:val="none"/>
          <w:lang w:eastAsia="zh-CN"/>
        </w:rPr>
        <w:fldChar w:fldCharType="end"/>
      </w:r>
      <w:r>
        <w:rPr>
          <w:rFonts w:hint="eastAsia" w:ascii="宋体" w:hAnsi="宋体" w:cs="宋体"/>
          <w:color w:val="auto"/>
          <w:szCs w:val="21"/>
          <w:highlight w:val="none"/>
          <w:lang w:eastAsia="zh-CN"/>
        </w:rPr>
        <w:t>，客服电话：</w:t>
      </w:r>
      <w:r>
        <w:rPr>
          <w:rFonts w:hint="eastAsia" w:ascii="宋体" w:hAnsi="宋体" w:cs="宋体"/>
          <w:color w:val="auto"/>
          <w:szCs w:val="21"/>
          <w:highlight w:val="none"/>
          <w:lang w:val="en-US" w:eastAsia="zh-CN"/>
        </w:rPr>
        <w:t>400-009-0001</w:t>
      </w:r>
      <w:r>
        <w:rPr>
          <w:rFonts w:hint="eastAsia" w:ascii="宋体" w:hAnsi="宋体" w:cs="宋体"/>
          <w:color w:val="auto"/>
          <w:szCs w:val="21"/>
          <w:highlight w:val="none"/>
          <w:lang w:eastAsia="zh-CN"/>
        </w:rPr>
        <w:t>）。</w:t>
      </w:r>
    </w:p>
    <w:p w14:paraId="531CE5B6">
      <w:pPr>
        <w:numPr>
          <w:ilvl w:val="0"/>
          <w:numId w:val="2"/>
        </w:numPr>
        <w:spacing w:line="360" w:lineRule="auto"/>
        <w:ind w:firstLine="420" w:firstLineChars="200"/>
        <w:jc w:val="left"/>
        <w:rPr>
          <w:rFonts w:hint="eastAsia" w:ascii="Times New Roman" w:hAnsi="宋体" w:eastAsia="宋体" w:cs="Times New Roman"/>
          <w:color w:val="auto"/>
          <w:highlight w:val="none"/>
        </w:rPr>
      </w:pPr>
      <w:r>
        <w:rPr>
          <w:rFonts w:ascii="Times New Roman" w:hAnsi="宋体" w:eastAsia="宋体" w:cs="Times New Roman"/>
          <w:color w:val="auto"/>
          <w:highlight w:val="none"/>
        </w:rPr>
        <w:br w:type="page"/>
      </w:r>
      <w:bookmarkStart w:id="263" w:name="_Toc532545043"/>
    </w:p>
    <w:p w14:paraId="0153E992">
      <w:pPr>
        <w:pStyle w:val="17"/>
        <w:jc w:val="center"/>
        <w:outlineLvl w:val="0"/>
        <w:rPr>
          <w:rFonts w:hint="eastAsia" w:ascii="Times New Roman" w:hAnsi="Times New Roman" w:eastAsia="宋体" w:cs="Times New Roman"/>
          <w:b/>
          <w:color w:val="auto"/>
          <w:sz w:val="36"/>
          <w:highlight w:val="none"/>
          <w:lang w:eastAsia="zh-CN"/>
        </w:rPr>
      </w:pPr>
      <w:bookmarkStart w:id="264" w:name="_Toc14666"/>
      <w:bookmarkStart w:id="265" w:name="_Toc24569"/>
      <w:bookmarkStart w:id="266" w:name="_Toc18631"/>
      <w:bookmarkStart w:id="267" w:name="_Toc12751"/>
      <w:bookmarkStart w:id="268" w:name="_Toc31952"/>
      <w:bookmarkStart w:id="269" w:name="_Toc26567"/>
      <w:bookmarkStart w:id="270" w:name="_Toc11694"/>
      <w:bookmarkStart w:id="271" w:name="_Toc2789"/>
      <w:bookmarkStart w:id="272" w:name="_Toc10034"/>
      <w:bookmarkStart w:id="273" w:name="_Toc19117"/>
      <w:bookmarkStart w:id="274" w:name="_Toc3584"/>
      <w:bookmarkStart w:id="275" w:name="_Toc28468"/>
      <w:bookmarkStart w:id="276" w:name="_Toc10118"/>
      <w:r>
        <w:rPr>
          <w:rFonts w:hint="eastAsia" w:ascii="Times New Roman" w:hAnsi="Times New Roman" w:eastAsia="宋体" w:cs="Times New Roman"/>
          <w:b/>
          <w:color w:val="auto"/>
          <w:sz w:val="36"/>
          <w:highlight w:val="none"/>
        </w:rPr>
        <w:t>第四章</w:t>
      </w:r>
      <w:r>
        <w:rPr>
          <w:rFonts w:ascii="Times New Roman" w:hAnsi="Times New Roman" w:eastAsia="宋体" w:cs="Times New Roman"/>
          <w:b/>
          <w:color w:val="auto"/>
          <w:sz w:val="36"/>
          <w:highlight w:val="none"/>
        </w:rPr>
        <w:t xml:space="preserve">  </w:t>
      </w:r>
      <w:bookmarkEnd w:id="263"/>
      <w:bookmarkEnd w:id="264"/>
      <w:bookmarkEnd w:id="265"/>
      <w:bookmarkEnd w:id="266"/>
      <w:bookmarkEnd w:id="267"/>
      <w:bookmarkEnd w:id="268"/>
      <w:bookmarkEnd w:id="269"/>
      <w:bookmarkEnd w:id="270"/>
      <w:bookmarkEnd w:id="271"/>
      <w:r>
        <w:rPr>
          <w:rFonts w:hint="eastAsia" w:ascii="Times New Roman" w:hAnsi="Times New Roman" w:cs="Times New Roman"/>
          <w:b/>
          <w:color w:val="auto"/>
          <w:sz w:val="36"/>
          <w:highlight w:val="none"/>
          <w:lang w:eastAsia="zh-CN"/>
        </w:rPr>
        <w:t>评标方法和评标标准</w:t>
      </w:r>
      <w:bookmarkEnd w:id="272"/>
      <w:bookmarkEnd w:id="273"/>
      <w:bookmarkEnd w:id="274"/>
      <w:bookmarkEnd w:id="275"/>
      <w:bookmarkEnd w:id="276"/>
    </w:p>
    <w:p w14:paraId="73F5AEE7">
      <w:pPr>
        <w:pStyle w:val="17"/>
        <w:jc w:val="center"/>
        <w:outlineLvl w:val="1"/>
        <w:rPr>
          <w:rFonts w:ascii="Times New Roman" w:hAnsi="Times New Roman" w:eastAsia="宋体" w:cs="Times New Roman"/>
          <w:b/>
          <w:bCs/>
          <w:color w:val="auto"/>
          <w:sz w:val="32"/>
          <w:szCs w:val="32"/>
          <w:highlight w:val="none"/>
        </w:rPr>
      </w:pPr>
      <w:bookmarkStart w:id="277" w:name="_Toc29945"/>
      <w:bookmarkStart w:id="278" w:name="_Toc14342"/>
      <w:bookmarkStart w:id="279" w:name="_Toc28945"/>
      <w:bookmarkStart w:id="280" w:name="_Toc5889"/>
      <w:bookmarkStart w:id="281" w:name="_Toc20519"/>
      <w:bookmarkStart w:id="282" w:name="_Toc12345"/>
      <w:bookmarkStart w:id="283" w:name="_Toc6104"/>
      <w:bookmarkStart w:id="284" w:name="_Toc9604"/>
      <w:bookmarkStart w:id="285" w:name="_Toc28074"/>
      <w:bookmarkStart w:id="286" w:name="_Toc3574"/>
      <w:r>
        <w:rPr>
          <w:rFonts w:hint="eastAsia" w:ascii="Times New Roman" w:hAnsi="Times New Roman" w:eastAsia="宋体" w:cs="Times New Roman"/>
          <w:b/>
          <w:bCs/>
          <w:color w:val="auto"/>
          <w:sz w:val="32"/>
          <w:szCs w:val="32"/>
          <w:highlight w:val="none"/>
        </w:rPr>
        <w:t>第一节</w:t>
      </w:r>
      <w:r>
        <w:rPr>
          <w:rFonts w:ascii="Times New Roman" w:hAnsi="Times New Roman" w:eastAsia="宋体" w:cs="Times New Roman"/>
          <w:b/>
          <w:bCs/>
          <w:color w:val="auto"/>
          <w:sz w:val="32"/>
          <w:szCs w:val="32"/>
          <w:highlight w:val="none"/>
        </w:rPr>
        <w:t xml:space="preserve"> </w:t>
      </w:r>
      <w:r>
        <w:rPr>
          <w:rFonts w:hint="eastAsia" w:ascii="Times New Roman" w:hAnsi="Times New Roman" w:eastAsia="宋体" w:cs="Times New Roman"/>
          <w:b/>
          <w:bCs/>
          <w:color w:val="auto"/>
          <w:sz w:val="32"/>
          <w:szCs w:val="32"/>
          <w:highlight w:val="none"/>
        </w:rPr>
        <w:t>评标方法</w:t>
      </w:r>
      <w:bookmarkEnd w:id="277"/>
      <w:bookmarkEnd w:id="278"/>
      <w:bookmarkEnd w:id="279"/>
      <w:bookmarkEnd w:id="280"/>
      <w:bookmarkEnd w:id="281"/>
      <w:bookmarkEnd w:id="282"/>
      <w:bookmarkEnd w:id="283"/>
      <w:bookmarkEnd w:id="284"/>
      <w:bookmarkEnd w:id="285"/>
      <w:bookmarkEnd w:id="286"/>
    </w:p>
    <w:p w14:paraId="52B838AE">
      <w:pPr>
        <w:pStyle w:val="17"/>
        <w:tabs>
          <w:tab w:val="left" w:pos="2472"/>
        </w:tabs>
        <w:spacing w:line="360" w:lineRule="auto"/>
        <w:ind w:firstLine="420" w:firstLineChars="200"/>
        <w:rPr>
          <w:rFonts w:eastAsia="宋体" w:cs="Times New Roman"/>
          <w:color w:val="auto"/>
          <w:szCs w:val="21"/>
          <w:highlight w:val="none"/>
        </w:rPr>
      </w:pPr>
      <w:r>
        <w:rPr>
          <w:rFonts w:hint="eastAsia" w:hAnsi="宋体" w:eastAsia="宋体" w:cs="宋体"/>
          <w:color w:val="auto"/>
          <w:szCs w:val="21"/>
          <w:highlight w:val="none"/>
        </w:rPr>
        <w:t>本项目采用</w:t>
      </w:r>
      <w:r>
        <w:rPr>
          <w:rFonts w:hint="eastAsia" w:hAnsi="宋体" w:eastAsia="宋体" w:cs="宋体"/>
          <w:color w:val="auto"/>
          <w:szCs w:val="21"/>
          <w:highlight w:val="none"/>
          <w:u w:val="single"/>
        </w:rPr>
        <w:t xml:space="preserve"> </w:t>
      </w:r>
      <w:r>
        <w:rPr>
          <w:rFonts w:hint="eastAsia" w:hAnsi="宋体" w:cs="宋体"/>
          <w:b/>
          <w:bCs/>
          <w:color w:val="auto"/>
          <w:szCs w:val="21"/>
          <w:highlight w:val="none"/>
          <w:u w:val="single"/>
          <w:lang w:val="en-US" w:eastAsia="zh-CN"/>
        </w:rPr>
        <w:t>综合评分法</w:t>
      </w:r>
      <w:r>
        <w:rPr>
          <w:rFonts w:hint="eastAsia" w:hAnsi="宋体" w:cs="宋体"/>
          <w:color w:val="auto"/>
          <w:szCs w:val="21"/>
          <w:highlight w:val="none"/>
          <w:u w:val="single"/>
          <w:lang w:val="en-US" w:eastAsia="zh-CN"/>
        </w:rPr>
        <w:t xml:space="preserve"> </w:t>
      </w:r>
      <w:r>
        <w:rPr>
          <w:rFonts w:hint="eastAsia" w:hAnsi="宋体" w:eastAsia="宋体" w:cs="宋体"/>
          <w:color w:val="auto"/>
          <w:szCs w:val="21"/>
          <w:highlight w:val="none"/>
        </w:rPr>
        <w:t>进行评审。</w:t>
      </w:r>
    </w:p>
    <w:p w14:paraId="36013DDA">
      <w:pPr>
        <w:autoSpaceDE w:val="0"/>
        <w:autoSpaceDN w:val="0"/>
        <w:adjustRightInd w:val="0"/>
        <w:spacing w:line="360" w:lineRule="auto"/>
        <w:ind w:firstLine="420" w:firstLineChars="200"/>
        <w:rPr>
          <w:rFonts w:hint="eastAsia" w:ascii="宋体" w:hAnsi="宋体" w:eastAsia="宋体" w:cs="Times New Roman"/>
          <w:color w:val="auto"/>
          <w:sz w:val="24"/>
          <w:highlight w:val="none"/>
        </w:rPr>
      </w:pPr>
      <w:r>
        <w:rPr>
          <w:rFonts w:hint="eastAsia" w:ascii="Times New Roman" w:hAnsi="宋体" w:eastAsia="宋体" w:cs="Times New Roman"/>
          <w:color w:val="auto"/>
          <w:highlight w:val="none"/>
        </w:rPr>
        <w:t>综合评分法，</w:t>
      </w:r>
      <w:r>
        <w:rPr>
          <w:rFonts w:hint="eastAsia" w:ascii="宋体" w:hAnsi="宋体" w:eastAsia="宋体" w:cs="Times New Roman"/>
          <w:color w:val="auto"/>
          <w:szCs w:val="20"/>
          <w:highlight w:val="none"/>
        </w:rPr>
        <w:t>是指投标文件满足招标文件全部实质性要求，且按照评审因素的量化指标评审得分最高的投标人为中标候选人的评标方法。评标委员会将对各投标人的</w:t>
      </w:r>
      <w:r>
        <w:rPr>
          <w:rFonts w:hint="eastAsia" w:ascii="宋体" w:hAnsi="宋体" w:cs="Times New Roman"/>
          <w:color w:val="auto"/>
          <w:szCs w:val="20"/>
          <w:highlight w:val="none"/>
          <w:lang w:eastAsia="zh-CN"/>
        </w:rPr>
        <w:t>投标文件</w:t>
      </w:r>
      <w:r>
        <w:rPr>
          <w:rFonts w:hint="eastAsia" w:ascii="宋体" w:hAnsi="宋体" w:eastAsia="宋体" w:cs="Times New Roman"/>
          <w:color w:val="auto"/>
          <w:szCs w:val="20"/>
          <w:highlight w:val="none"/>
        </w:rPr>
        <w:t>进行综合评审，对实质上响应招标文件的投标人，由各评委独立记名打分。经统计，得出各投标人的综合得分,按综合得分由高到低顺序排列。若综合得分相同的，按投标报价由低到高顺序排列。若综合得分且投标报价相同的，服务类采购项目以</w:t>
      </w:r>
      <w:r>
        <w:rPr>
          <w:rFonts w:hint="eastAsia" w:ascii="宋体" w:hAnsi="宋体" w:cs="Times New Roman"/>
          <w:color w:val="auto"/>
          <w:szCs w:val="20"/>
          <w:highlight w:val="none"/>
          <w:lang w:eastAsia="zh-CN"/>
        </w:rPr>
        <w:t>“投标人须知前附表”规定的方式排列</w:t>
      </w:r>
      <w:r>
        <w:rPr>
          <w:rFonts w:hint="eastAsia" w:ascii="宋体" w:hAnsi="宋体" w:eastAsia="宋体" w:cs="Times New Roman"/>
          <w:color w:val="auto"/>
          <w:szCs w:val="20"/>
          <w:highlight w:val="none"/>
        </w:rPr>
        <w:t xml:space="preserve">。 </w:t>
      </w:r>
    </w:p>
    <w:p w14:paraId="3A7DE5F3">
      <w:pPr>
        <w:pStyle w:val="17"/>
        <w:spacing w:line="360" w:lineRule="auto"/>
        <w:ind w:firstLine="420"/>
        <w:rPr>
          <w:rFonts w:hint="eastAsia" w:hAnsi="宋体" w:eastAsia="宋体" w:cs="Times New Roman"/>
          <w:color w:val="auto"/>
          <w:highlight w:val="none"/>
        </w:rPr>
      </w:pPr>
    </w:p>
    <w:p w14:paraId="7A3AC7A4">
      <w:pPr>
        <w:pStyle w:val="17"/>
        <w:tabs>
          <w:tab w:val="left" w:pos="2472"/>
        </w:tabs>
        <w:spacing w:line="360" w:lineRule="auto"/>
        <w:jc w:val="center"/>
        <w:outlineLvl w:val="1"/>
        <w:rPr>
          <w:rFonts w:hint="eastAsia" w:ascii="Times New Roman" w:hAnsi="Times New Roman" w:eastAsia="宋体" w:cs="Times New Roman"/>
          <w:b/>
          <w:bCs/>
          <w:color w:val="auto"/>
          <w:sz w:val="32"/>
          <w:szCs w:val="32"/>
          <w:highlight w:val="none"/>
        </w:rPr>
      </w:pPr>
      <w:bookmarkStart w:id="287" w:name="_Toc4190"/>
      <w:bookmarkStart w:id="288" w:name="_Toc9259"/>
      <w:bookmarkStart w:id="289" w:name="_Toc23151"/>
      <w:bookmarkStart w:id="290" w:name="_Toc9023"/>
      <w:bookmarkStart w:id="291" w:name="_Toc588"/>
      <w:bookmarkStart w:id="292" w:name="_Toc1643"/>
      <w:bookmarkStart w:id="293" w:name="_Toc18477"/>
      <w:bookmarkStart w:id="294" w:name="_Toc10545"/>
      <w:bookmarkStart w:id="295" w:name="_Toc30114"/>
      <w:bookmarkStart w:id="296" w:name="_Toc24507"/>
      <w:r>
        <w:rPr>
          <w:rFonts w:hint="eastAsia" w:ascii="Times New Roman" w:hAnsi="Times New Roman" w:eastAsia="宋体" w:cs="Times New Roman"/>
          <w:b/>
          <w:bCs/>
          <w:color w:val="auto"/>
          <w:sz w:val="32"/>
          <w:szCs w:val="32"/>
          <w:highlight w:val="none"/>
        </w:rPr>
        <w:t>第二节</w:t>
      </w:r>
      <w:r>
        <w:rPr>
          <w:rFonts w:ascii="Times New Roman" w:hAnsi="Times New Roman" w:eastAsia="宋体" w:cs="Times New Roman"/>
          <w:b/>
          <w:bCs/>
          <w:color w:val="auto"/>
          <w:sz w:val="32"/>
          <w:szCs w:val="32"/>
          <w:highlight w:val="none"/>
        </w:rPr>
        <w:t xml:space="preserve"> </w:t>
      </w:r>
      <w:r>
        <w:rPr>
          <w:rFonts w:hint="eastAsia" w:ascii="Times New Roman" w:hAnsi="Times New Roman" w:eastAsia="宋体" w:cs="Times New Roman"/>
          <w:b/>
          <w:bCs/>
          <w:color w:val="auto"/>
          <w:sz w:val="32"/>
          <w:szCs w:val="32"/>
          <w:highlight w:val="none"/>
        </w:rPr>
        <w:t>评标程序</w:t>
      </w:r>
      <w:bookmarkEnd w:id="287"/>
      <w:bookmarkEnd w:id="288"/>
      <w:bookmarkEnd w:id="289"/>
      <w:bookmarkEnd w:id="290"/>
      <w:bookmarkEnd w:id="291"/>
      <w:bookmarkEnd w:id="292"/>
      <w:bookmarkEnd w:id="293"/>
      <w:bookmarkEnd w:id="294"/>
      <w:bookmarkEnd w:id="295"/>
      <w:bookmarkEnd w:id="296"/>
    </w:p>
    <w:p w14:paraId="1DA03A2B">
      <w:pPr>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1.符合性审查</w:t>
      </w:r>
    </w:p>
    <w:p w14:paraId="484E055E">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评标委员会应当对符合资格的投标人的投标文件进行投标报价、商务、技术等实质性内容符合性审查，以确定其是否满足招标文件的实质性要求。</w:t>
      </w:r>
    </w:p>
    <w:p w14:paraId="01C74F83">
      <w:pPr>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2.符合性审查不通过而导致投标无效的情形</w:t>
      </w:r>
    </w:p>
    <w:p w14:paraId="0F931577">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投标人的投标文件中存在对招标文件的任何实质性要求和条件的负偏离，将被视为投标无效。</w:t>
      </w:r>
    </w:p>
    <w:p w14:paraId="4AF8343F">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2.1在报价评审时，如发现下列情形之一的，将被视为投标无效：</w:t>
      </w:r>
    </w:p>
    <w:p w14:paraId="4755860B">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（1）投标文件未提供“投标人须知前附表”第13.1条规定中“必须提供”的文件资料的;</w:t>
      </w:r>
    </w:p>
    <w:p w14:paraId="051FD189">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（2）未采用人民币报价或者未按照招标文件标明的币种报价的；</w:t>
      </w:r>
    </w:p>
    <w:p w14:paraId="2649C566">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（3）报价超出招标文件规定最高限价，或者超出采购预算金额的；</w:t>
      </w:r>
    </w:p>
    <w:p w14:paraId="70752EA7">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（4）投标人未就所投</w:t>
      </w:r>
      <w:r>
        <w:rPr>
          <w:rFonts w:hint="eastAsia" w:ascii="宋体" w:hAnsi="宋体" w:cs="宋体"/>
          <w:color w:val="auto"/>
          <w:szCs w:val="21"/>
          <w:highlight w:val="none"/>
          <w:lang w:eastAsia="zh-CN"/>
        </w:rPr>
        <w:t>分标</w:t>
      </w:r>
      <w:r>
        <w:rPr>
          <w:rFonts w:hint="eastAsia" w:ascii="宋体" w:hAnsi="宋体" w:eastAsia="宋体" w:cs="Times New Roman"/>
          <w:color w:val="auto"/>
          <w:szCs w:val="21"/>
          <w:highlight w:val="none"/>
        </w:rPr>
        <w:t>进行报价或者存在漏项报价；投标人未就所投</w:t>
      </w:r>
      <w:r>
        <w:rPr>
          <w:rFonts w:hint="eastAsia" w:ascii="宋体" w:hAnsi="宋体" w:cs="宋体"/>
          <w:color w:val="auto"/>
          <w:szCs w:val="21"/>
          <w:highlight w:val="none"/>
          <w:lang w:eastAsia="zh-CN"/>
        </w:rPr>
        <w:t>分标</w:t>
      </w:r>
      <w:r>
        <w:rPr>
          <w:rFonts w:hint="eastAsia" w:ascii="宋体" w:hAnsi="宋体" w:eastAsia="宋体" w:cs="Times New Roman"/>
          <w:color w:val="auto"/>
          <w:szCs w:val="21"/>
          <w:highlight w:val="none"/>
        </w:rPr>
        <w:t>的单项内容作唯一报价；投标人未就所投</w:t>
      </w:r>
      <w:r>
        <w:rPr>
          <w:rFonts w:hint="eastAsia" w:ascii="宋体" w:hAnsi="宋体" w:cs="宋体"/>
          <w:color w:val="auto"/>
          <w:szCs w:val="21"/>
          <w:highlight w:val="none"/>
          <w:lang w:eastAsia="zh-CN"/>
        </w:rPr>
        <w:t>分标</w:t>
      </w:r>
      <w:r>
        <w:rPr>
          <w:rFonts w:hint="eastAsia" w:ascii="宋体" w:hAnsi="宋体" w:eastAsia="宋体" w:cs="Times New Roman"/>
          <w:color w:val="auto"/>
          <w:szCs w:val="21"/>
          <w:highlight w:val="none"/>
        </w:rPr>
        <w:t>的全部内容作唯一总价报价；存在有选择、有条件报价的（招标文件允许有备选方案或者其他约定的除外）；</w:t>
      </w:r>
    </w:p>
    <w:p w14:paraId="016BA990">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（5）修正后的报价，投标人不确认的；</w:t>
      </w:r>
    </w:p>
    <w:p w14:paraId="08C55BDA">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（6）投标人属于本章第5条第（2）项情形的。</w:t>
      </w:r>
    </w:p>
    <w:p w14:paraId="0CE8DE6C">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2.2在商务评审时，如发现下列情形之一的，将被视为投标无效：</w:t>
      </w:r>
    </w:p>
    <w:p w14:paraId="0DA4F9FC">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（1）投标文件未按招标文件要求签署、盖章的；</w:t>
      </w:r>
    </w:p>
    <w:p w14:paraId="4984319C">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（2）委托代理人未能出具有效身份证明或者出具的身份证明与授权委托书中的信息不符的；</w:t>
      </w:r>
    </w:p>
    <w:p w14:paraId="34A8BE9A">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（3）为无效投标保证金的或者未按照招标文件的规定提交投标保证金的； </w:t>
      </w:r>
    </w:p>
    <w:p w14:paraId="77E4008B">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rPr>
        <w:t>）投标文件未提供“投标人须知前附表”第13.1条规定中“必须提供”或者“委托时必须提供”的文件资料的;</w:t>
      </w:r>
    </w:p>
    <w:p w14:paraId="06FE0B58">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rPr>
        <w:t>）投标有效期、项目完成时间（交货时间、服务完成时间或者服务期等）、质保期</w:t>
      </w:r>
      <w:r>
        <w:rPr>
          <w:rFonts w:hint="eastAsia" w:ascii="宋体" w:hAnsi="宋体" w:cs="Times New Roman"/>
          <w:color w:val="auto"/>
          <w:szCs w:val="21"/>
          <w:highlight w:val="none"/>
          <w:lang w:eastAsia="zh-CN"/>
        </w:rPr>
        <w:t>及</w:t>
      </w:r>
      <w:r>
        <w:rPr>
          <w:rFonts w:hint="eastAsia" w:ascii="宋体" w:hAnsi="宋体" w:eastAsia="宋体" w:cs="Times New Roman"/>
          <w:color w:val="auto"/>
          <w:szCs w:val="21"/>
          <w:highlight w:val="none"/>
        </w:rPr>
        <w:t>招标文件中标“▲”的商务条款发生负偏离的；</w:t>
      </w:r>
    </w:p>
    <w:p w14:paraId="45B65299">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rPr>
        <w:t>）商务条款评审允许负偏离的条款数超过“投标人须知前附表”规定项数的。</w:t>
      </w:r>
    </w:p>
    <w:p w14:paraId="3CCB1DEA">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7</w:t>
      </w:r>
      <w:r>
        <w:rPr>
          <w:rFonts w:hint="eastAsia" w:ascii="宋体" w:hAnsi="宋体" w:eastAsia="宋体" w:cs="Times New Roman"/>
          <w:color w:val="auto"/>
          <w:szCs w:val="21"/>
          <w:highlight w:val="none"/>
        </w:rPr>
        <w:t>）投标文件的实质性内容未使用中文表述、使用计量单位不符合招标文件要求的；</w:t>
      </w:r>
    </w:p>
    <w:p w14:paraId="28F893E5">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rPr>
        <w:t>）投标文件中的文件资料因填写不齐全或者内容虚假或者出现其他情形而导致被评标委员会认定无效的；</w:t>
      </w:r>
    </w:p>
    <w:p w14:paraId="70E9DD58">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9</w:t>
      </w:r>
      <w:r>
        <w:rPr>
          <w:rFonts w:hint="eastAsia" w:ascii="宋体" w:hAnsi="宋体" w:eastAsia="宋体" w:cs="Times New Roman"/>
          <w:color w:val="auto"/>
          <w:szCs w:val="21"/>
          <w:highlight w:val="none"/>
        </w:rPr>
        <w:t>）投标文件含有采购人不能接受的附加条件的；</w:t>
      </w:r>
    </w:p>
    <w:p w14:paraId="51A73C13">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10</w:t>
      </w:r>
      <w:r>
        <w:rPr>
          <w:rFonts w:hint="eastAsia" w:ascii="宋体" w:hAnsi="宋体" w:eastAsia="宋体" w:cs="Times New Roman"/>
          <w:color w:val="auto"/>
          <w:szCs w:val="21"/>
          <w:highlight w:val="none"/>
        </w:rPr>
        <w:t>）未响应招标文件实质性要求的；</w:t>
      </w:r>
    </w:p>
    <w:p w14:paraId="53D16832">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cs="Times New Roman"/>
          <w:color w:val="auto"/>
          <w:szCs w:val="21"/>
          <w:highlight w:val="none"/>
          <w:lang w:val="en-US" w:eastAsia="zh-CN"/>
        </w:rPr>
        <w:t>1</w:t>
      </w:r>
      <w:r>
        <w:rPr>
          <w:rFonts w:hint="eastAsia" w:ascii="宋体" w:hAnsi="宋体" w:eastAsia="宋体" w:cs="Times New Roman"/>
          <w:color w:val="auto"/>
          <w:szCs w:val="21"/>
          <w:highlight w:val="none"/>
        </w:rPr>
        <w:t>）属于投标人须知正文第9.2条情形的；</w:t>
      </w:r>
    </w:p>
    <w:p w14:paraId="58715B92">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）法律、法规和招标文件规定的其他无效情形。</w:t>
      </w:r>
    </w:p>
    <w:p w14:paraId="31D94DD0">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2.3在技术评审时，如发现下列情形之一的，将被视为投标无效：</w:t>
      </w:r>
    </w:p>
    <w:p w14:paraId="305E285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（1）不满足招标文件要求的服务内容、技术要求、安全、质量标准，或者与招标文件中标“▲”的技术需求发生负偏离的；</w:t>
      </w:r>
    </w:p>
    <w:p w14:paraId="501E20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（2）技术需求评审允许负偏离的条款数超过“投标人须知前附表”规定项数的；</w:t>
      </w:r>
    </w:p>
    <w:p w14:paraId="376437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（3）投标文件未提供“投标人须知前附表”第13.1条规定中“必须提供”的文件资料的;</w:t>
      </w:r>
    </w:p>
    <w:p w14:paraId="61D2B5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（4）虚假投标，或者出现其他情形而导致被评标委员会认定无效的；</w:t>
      </w:r>
    </w:p>
    <w:p w14:paraId="02EA89B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default" w:ascii="宋体" w:hAnsi="宋体" w:eastAsia="宋体" w:cs="宋体"/>
          <w:color w:val="auto"/>
          <w:szCs w:val="21"/>
          <w:highlight w:val="none"/>
          <w:lang w:val="en-US"/>
        </w:rPr>
        <w:t>5</w:t>
      </w:r>
      <w:r>
        <w:rPr>
          <w:rFonts w:hint="eastAsia" w:ascii="宋体" w:hAnsi="宋体" w:eastAsia="宋体" w:cs="宋体"/>
          <w:color w:val="auto"/>
          <w:szCs w:val="21"/>
          <w:highlight w:val="none"/>
        </w:rPr>
        <w:t>）招标文件</w:t>
      </w:r>
      <w:r>
        <w:rPr>
          <w:rFonts w:hint="eastAsia" w:ascii="宋体" w:hAnsi="宋体" w:eastAsia="宋体" w:cs="宋体"/>
          <w:color w:val="auto"/>
          <w:szCs w:val="21"/>
          <w:highlight w:val="none"/>
          <w:lang w:eastAsia="zh-CN"/>
        </w:rPr>
        <w:t>要求</w:t>
      </w:r>
      <w:r>
        <w:rPr>
          <w:rFonts w:hint="eastAsia" w:ascii="宋体" w:hAnsi="宋体" w:eastAsia="宋体" w:cs="宋体"/>
          <w:color w:val="auto"/>
          <w:szCs w:val="21"/>
          <w:highlight w:val="none"/>
        </w:rPr>
        <w:t>提供技术方案的，投标技术方案不明确，招标文件未允许但存在一个或者一个以上备选（替代）投标方案的。</w:t>
      </w:r>
    </w:p>
    <w:p w14:paraId="00D478FC">
      <w:pPr>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3.澄清补正、说明或者补正</w:t>
      </w:r>
    </w:p>
    <w:p w14:paraId="1F1C6434">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对投标文件中含义不明确、同类问题表述不一致或者有明显文字和计算错误的内容，评标委员会应在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Courier New"/>
          <w:color w:val="auto"/>
          <w:szCs w:val="21"/>
          <w:highlight w:val="none"/>
        </w:rPr>
        <w:t>发布电子澄清函，要求投标人在规定时间内作出必要的澄清、说明或者补正。投标人在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Courier New"/>
          <w:color w:val="auto"/>
          <w:szCs w:val="21"/>
          <w:highlight w:val="none"/>
        </w:rPr>
        <w:t>接收到电子澄清函后根据澄清函内容上传PDF格式回函，电子澄清答复函使用CA证书加盖</w:t>
      </w:r>
      <w:r>
        <w:rPr>
          <w:rFonts w:hint="eastAsia" w:ascii="宋体" w:hAnsi="宋体" w:cs="Courier New"/>
          <w:color w:val="auto"/>
          <w:szCs w:val="21"/>
          <w:highlight w:val="none"/>
          <w:lang w:eastAsia="zh-CN"/>
        </w:rPr>
        <w:t>投标人</w:t>
      </w:r>
      <w:r>
        <w:rPr>
          <w:rFonts w:hint="eastAsia" w:ascii="宋体" w:hAnsi="宋体" w:eastAsia="宋体" w:cs="Courier New"/>
          <w:color w:val="auto"/>
          <w:szCs w:val="21"/>
          <w:highlight w:val="none"/>
        </w:rPr>
        <w:t>公章后在线上传至评标委员会。投标人的澄清、说明或者补正不得超出投标文件的范围或者改变投标文件的实质性内容。投标人未在规定时间内进行澄清、说明或者补正的，有可能对评审产生影响。</w:t>
      </w:r>
    </w:p>
    <w:p w14:paraId="235556D7">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11178C4D">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4.投标文件修正</w:t>
      </w:r>
    </w:p>
    <w:p w14:paraId="030E2C65">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4.1投标文件报价出现前后不一致的，按照下列规定修正： </w:t>
      </w:r>
    </w:p>
    <w:p w14:paraId="0351075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（1）报价文件中“开标一览表”内容与投标文件中相应内容不一致的，以“开标一览表”为准；</w:t>
      </w:r>
    </w:p>
    <w:p w14:paraId="413640A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（2）大写金额和小写金额不一致的，以大写金额为准；</w:t>
      </w:r>
    </w:p>
    <w:p w14:paraId="3E0FE6A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（3）单价金额小数点或者百分比有明显错位的，以开标一览表的总价为准，并修改单价；</w:t>
      </w:r>
    </w:p>
    <w:p w14:paraId="62BC544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（4）总价金额与按单价汇总金额不一致的，以单价金额计算结果为准。</w:t>
      </w:r>
    </w:p>
    <w:p w14:paraId="581805C4">
      <w:pPr>
        <w:spacing w:line="360" w:lineRule="auto"/>
        <w:ind w:firstLine="420" w:firstLineChars="200"/>
        <w:rPr>
          <w:rFonts w:ascii="Times New Roman" w:hAnsi="宋体" w:eastAsia="宋体" w:cs="Times New Roman"/>
          <w:color w:val="auto"/>
          <w:highlight w:val="none"/>
        </w:rPr>
      </w:pPr>
      <w:r>
        <w:rPr>
          <w:rFonts w:hint="eastAsia" w:ascii="Times New Roman" w:hAnsi="宋体" w:eastAsia="宋体" w:cs="Times New Roman"/>
          <w:color w:val="auto"/>
          <w:highlight w:val="none"/>
        </w:rPr>
        <w:t>同时出现两种以上不一致的，按照以上（</w:t>
      </w:r>
      <w:r>
        <w:rPr>
          <w:rFonts w:ascii="Times New Roman" w:hAnsi="宋体" w:eastAsia="宋体" w:cs="Times New Roman"/>
          <w:color w:val="auto"/>
          <w:highlight w:val="none"/>
        </w:rPr>
        <w:t>1</w:t>
      </w:r>
      <w:r>
        <w:rPr>
          <w:rFonts w:hint="eastAsia" w:ascii="Times New Roman" w:hAnsi="宋体" w:eastAsia="宋体" w:cs="Times New Roman"/>
          <w:color w:val="auto"/>
          <w:highlight w:val="none"/>
        </w:rPr>
        <w:t>）</w:t>
      </w:r>
      <w:r>
        <w:rPr>
          <w:rFonts w:ascii="Times New Roman" w:hAnsi="宋体" w:eastAsia="宋体" w:cs="Times New Roman"/>
          <w:color w:val="auto"/>
          <w:highlight w:val="none"/>
        </w:rPr>
        <w:t>-</w:t>
      </w:r>
      <w:r>
        <w:rPr>
          <w:rFonts w:hint="eastAsia" w:ascii="Times New Roman" w:hAnsi="宋体" w:eastAsia="宋体" w:cs="Times New Roman"/>
          <w:color w:val="auto"/>
          <w:highlight w:val="none"/>
        </w:rPr>
        <w:t>（</w:t>
      </w:r>
      <w:r>
        <w:rPr>
          <w:rFonts w:ascii="Times New Roman" w:hAnsi="宋体" w:eastAsia="宋体" w:cs="Times New Roman"/>
          <w:color w:val="auto"/>
          <w:highlight w:val="none"/>
        </w:rPr>
        <w:t>4</w:t>
      </w:r>
      <w:r>
        <w:rPr>
          <w:rFonts w:hint="eastAsia" w:ascii="Times New Roman" w:hAnsi="宋体" w:eastAsia="宋体" w:cs="Times New Roman"/>
          <w:color w:val="auto"/>
          <w:highlight w:val="none"/>
        </w:rPr>
        <w:t>）规定的顺序修正。修正后的报价经投标人确认后产生约束力，投标人不确认的，其投标无效。</w:t>
      </w:r>
    </w:p>
    <w:p w14:paraId="64DCADDD">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4.2经投标人确认修正后的报价若超过采购预算金额或者最高限价，投标人的投标文件作无效投标处理。</w:t>
      </w:r>
    </w:p>
    <w:p w14:paraId="1941AB65">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4.3经投标人确认修正后的报价作为签订合同的依据，并以此报价计算价格分。</w:t>
      </w:r>
    </w:p>
    <w:p w14:paraId="104A2764">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5.比较与评价</w:t>
      </w:r>
    </w:p>
    <w:p w14:paraId="484A826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5.1评标委员会按照招标文件中规定的评标方法和评标标准，对符合性审查合格的投标文件进行商务和技术评估，综合比较与评价。</w:t>
      </w:r>
    </w:p>
    <w:p w14:paraId="1BE7AE7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5.2评标委员会</w:t>
      </w:r>
      <w:r>
        <w:rPr>
          <w:rFonts w:hint="eastAsia" w:ascii="宋体" w:hAnsi="宋体" w:eastAsia="宋体" w:cs="宋体"/>
          <w:color w:val="auto"/>
          <w:highlight w:val="none"/>
          <w:lang w:eastAsia="zh-CN"/>
        </w:rPr>
        <w:t>各成员</w:t>
      </w:r>
      <w:r>
        <w:rPr>
          <w:rFonts w:hint="eastAsia" w:ascii="宋体" w:hAnsi="宋体" w:eastAsia="宋体" w:cs="宋体"/>
          <w:color w:val="auto"/>
          <w:highlight w:val="none"/>
        </w:rPr>
        <w:t>独立对每个投标人的投标文件进行评价，并汇总每个投标人的得分。</w:t>
      </w:r>
    </w:p>
    <w:p w14:paraId="7466FE13">
      <w:pPr>
        <w:widowControl/>
        <w:numPr>
          <w:ilvl w:val="0"/>
          <w:numId w:val="0"/>
        </w:numPr>
        <w:spacing w:after="150"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kern w:val="2"/>
          <w:sz w:val="21"/>
          <w:szCs w:val="24"/>
          <w:highlight w:val="none"/>
          <w:lang w:val="en-US" w:eastAsia="zh-CN" w:bidi="ar-SA"/>
        </w:rPr>
        <w:t>（1）</w:t>
      </w:r>
      <w:r>
        <w:rPr>
          <w:rFonts w:hint="eastAsia" w:ascii="宋体" w:hAnsi="宋体" w:eastAsia="宋体" w:cs="宋体"/>
          <w:color w:val="auto"/>
          <w:highlight w:val="none"/>
        </w:rPr>
        <w:t>评审委员会成员要根据政府采购法律法规和</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rPr>
        <w:t>文件所载明的评</w:t>
      </w:r>
      <w:r>
        <w:rPr>
          <w:rFonts w:hint="eastAsia" w:ascii="宋体" w:hAnsi="宋体" w:eastAsia="宋体" w:cs="宋体"/>
          <w:color w:val="auto"/>
          <w:highlight w:val="none"/>
          <w:lang w:eastAsia="zh-CN"/>
        </w:rPr>
        <w:t>标</w:t>
      </w:r>
      <w:r>
        <w:rPr>
          <w:rFonts w:hint="eastAsia" w:ascii="宋体" w:hAnsi="宋体" w:eastAsia="宋体" w:cs="宋体"/>
          <w:color w:val="auto"/>
          <w:highlight w:val="none"/>
        </w:rPr>
        <w:t>方法、标准进行评审。对</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的价格分等客观评分项的评分应当一致，对其他需要借助专业知识评判的主观评分项，应当严格按照评分细则公正评分。</w:t>
      </w:r>
    </w:p>
    <w:p w14:paraId="4DCC7BD2">
      <w:pPr>
        <w:widowControl/>
        <w:numPr>
          <w:ilvl w:val="0"/>
          <w:numId w:val="0"/>
        </w:numPr>
        <w:spacing w:after="150" w:line="360" w:lineRule="auto"/>
        <w:ind w:firstLine="422" w:firstLineChars="200"/>
        <w:jc w:val="left"/>
        <w:rPr>
          <w:rFonts w:hint="eastAsia" w:ascii="宋体" w:hAnsi="宋体" w:eastAsia="宋体" w:cs="宋体"/>
          <w:b/>
          <w:bCs/>
          <w:color w:val="auto"/>
          <w:highlight w:val="none"/>
        </w:rPr>
      </w:pPr>
      <w:r>
        <w:rPr>
          <w:rFonts w:hint="eastAsia" w:ascii="宋体" w:hAnsi="宋体" w:eastAsia="宋体" w:cs="宋体"/>
          <w:b/>
          <w:bCs/>
          <w:color w:val="auto"/>
          <w:kern w:val="2"/>
          <w:sz w:val="21"/>
          <w:szCs w:val="24"/>
          <w:highlight w:val="none"/>
          <w:lang w:val="en-US" w:eastAsia="zh-CN" w:bidi="ar-SA"/>
        </w:rPr>
        <w:t>（2）</w:t>
      </w:r>
      <w:r>
        <w:rPr>
          <w:rFonts w:hint="eastAsia" w:ascii="宋体" w:hAnsi="宋体" w:eastAsia="宋体" w:cs="宋体"/>
          <w:b/>
          <w:bCs/>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34CE2BE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5.3评标委员会按照招标文件中规定的评标方法和标准计算各投标人的报价得分。在评标过程中，不得去掉报价中的最高报价和最低报价。</w:t>
      </w:r>
    </w:p>
    <w:p w14:paraId="60CE9D3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5.4各投标人的得分为评标委员会各成员的有效评分的算术平均数。</w:t>
      </w:r>
    </w:p>
    <w:p w14:paraId="303C253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5.5评标委员会按照招标文件中的规定推荐中标候选人。</w:t>
      </w:r>
    </w:p>
    <w:p w14:paraId="0A5BB7D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5.6起草并签署评标报告。评标委员会根据评标委员会</w:t>
      </w:r>
      <w:r>
        <w:rPr>
          <w:rFonts w:hint="eastAsia" w:ascii="宋体" w:hAnsi="宋体" w:eastAsia="宋体" w:cs="宋体"/>
          <w:color w:val="auto"/>
          <w:highlight w:val="none"/>
          <w:lang w:eastAsia="zh-CN"/>
        </w:rPr>
        <w:t>各</w:t>
      </w:r>
      <w:r>
        <w:rPr>
          <w:rFonts w:hint="eastAsia" w:ascii="宋体" w:hAnsi="宋体" w:eastAsia="宋体" w:cs="宋体"/>
          <w:color w:val="auto"/>
          <w:highlight w:val="none"/>
        </w:rPr>
        <w:t>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6E9B3A08">
      <w:pPr>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6.评审复核</w:t>
      </w:r>
    </w:p>
    <w:p w14:paraId="3F081DF6">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6.1评标报告签署前，评标委员会要对评审结果进行复核，复核意见要体现在评标报告中。</w:t>
      </w:r>
    </w:p>
    <w:p w14:paraId="526C0B42">
      <w:pPr>
        <w:widowControl/>
        <w:spacing w:line="360" w:lineRule="auto"/>
        <w:ind w:firstLine="420" w:firstLineChars="200"/>
        <w:jc w:val="left"/>
        <w:textAlignment w:val="baseline"/>
        <w:rPr>
          <w:rFonts w:hint="eastAsia" w:ascii="Times New Roman" w:hAnsi="宋体" w:eastAsia="宋体" w:cs="Times New Roman"/>
          <w:color w:val="auto"/>
          <w:highlight w:val="none"/>
        </w:rPr>
      </w:pPr>
      <w:r>
        <w:rPr>
          <w:rFonts w:hint="eastAsia" w:ascii="宋体" w:hAnsi="宋体" w:eastAsia="宋体" w:cs="宋体"/>
          <w:color w:val="auto"/>
          <w:highlight w:val="none"/>
        </w:rPr>
        <w:t>6.2</w:t>
      </w:r>
      <w:r>
        <w:rPr>
          <w:rFonts w:hint="eastAsia" w:ascii="Times New Roman" w:hAnsi="宋体" w:eastAsia="宋体" w:cs="Times New Roman"/>
          <w:color w:val="auto"/>
          <w:highlight w:val="none"/>
        </w:rPr>
        <w:t>评标结果汇总完成后，除下列情形外，任何人不得修改评标结果：</w:t>
      </w:r>
    </w:p>
    <w:p w14:paraId="28436F9D">
      <w:pPr>
        <w:widowControl/>
        <w:spacing w:line="360" w:lineRule="auto"/>
        <w:jc w:val="left"/>
        <w:textAlignment w:val="baseline"/>
        <w:rPr>
          <w:rFonts w:ascii="Times New Roman" w:hAnsi="宋体" w:eastAsia="宋体" w:cs="Times New Roman"/>
          <w:color w:val="auto"/>
          <w:highlight w:val="none"/>
        </w:rPr>
      </w:pPr>
      <w:r>
        <w:rPr>
          <w:rFonts w:hint="eastAsia" w:ascii="Times New Roman" w:hAnsi="宋体" w:eastAsia="宋体" w:cs="Times New Roman"/>
          <w:color w:val="auto"/>
          <w:highlight w:val="none"/>
        </w:rPr>
        <w:t>　　（一）分值汇总计算错误的；</w:t>
      </w:r>
    </w:p>
    <w:p w14:paraId="29064F03">
      <w:pPr>
        <w:widowControl/>
        <w:spacing w:line="360" w:lineRule="auto"/>
        <w:jc w:val="left"/>
        <w:textAlignment w:val="baseline"/>
        <w:rPr>
          <w:rFonts w:ascii="Times New Roman" w:hAnsi="宋体" w:eastAsia="宋体" w:cs="Times New Roman"/>
          <w:color w:val="auto"/>
          <w:highlight w:val="none"/>
        </w:rPr>
      </w:pPr>
      <w:r>
        <w:rPr>
          <w:rFonts w:hint="eastAsia" w:ascii="Times New Roman" w:hAnsi="宋体" w:eastAsia="宋体" w:cs="Times New Roman"/>
          <w:color w:val="auto"/>
          <w:highlight w:val="none"/>
        </w:rPr>
        <w:t>　　（二）分项评分超出评分标准范围的；</w:t>
      </w:r>
    </w:p>
    <w:p w14:paraId="05FA15E1">
      <w:pPr>
        <w:widowControl/>
        <w:spacing w:line="360" w:lineRule="auto"/>
        <w:jc w:val="left"/>
        <w:textAlignment w:val="baseline"/>
        <w:rPr>
          <w:rFonts w:ascii="Times New Roman" w:hAnsi="宋体" w:eastAsia="宋体" w:cs="Times New Roman"/>
          <w:color w:val="auto"/>
          <w:highlight w:val="none"/>
        </w:rPr>
      </w:pPr>
      <w:r>
        <w:rPr>
          <w:rFonts w:hint="eastAsia" w:ascii="Times New Roman" w:hAnsi="宋体" w:eastAsia="宋体" w:cs="Times New Roman"/>
          <w:color w:val="auto"/>
          <w:highlight w:val="none"/>
        </w:rPr>
        <w:t>　　（三）评标委员会成员对客观评审因素评分不一致的；</w:t>
      </w:r>
    </w:p>
    <w:p w14:paraId="7BC45B30">
      <w:pPr>
        <w:widowControl/>
        <w:spacing w:line="360" w:lineRule="auto"/>
        <w:jc w:val="left"/>
        <w:textAlignment w:val="baseline"/>
        <w:rPr>
          <w:rFonts w:ascii="Times New Roman" w:hAnsi="宋体" w:eastAsia="宋体" w:cs="Times New Roman"/>
          <w:color w:val="auto"/>
          <w:highlight w:val="none"/>
        </w:rPr>
      </w:pPr>
      <w:r>
        <w:rPr>
          <w:rFonts w:hint="eastAsia" w:ascii="Times New Roman" w:hAnsi="宋体" w:eastAsia="宋体" w:cs="Times New Roman"/>
          <w:color w:val="auto"/>
          <w:highlight w:val="none"/>
        </w:rPr>
        <w:t>　　（四）经评标委员会认定评分畸高、畸低的。</w:t>
      </w:r>
    </w:p>
    <w:p w14:paraId="7C090A74">
      <w:pPr>
        <w:spacing w:line="360" w:lineRule="auto"/>
        <w:ind w:firstLine="420" w:firstLineChars="200"/>
        <w:rPr>
          <w:rFonts w:ascii="Times New Roman" w:hAnsi="宋体" w:eastAsia="宋体" w:cs="Times New Roman"/>
          <w:color w:val="auto"/>
          <w:highlight w:val="none"/>
        </w:rPr>
      </w:pPr>
      <w:r>
        <w:rPr>
          <w:rFonts w:hint="eastAsia" w:ascii="Times New Roman" w:hAnsi="宋体" w:eastAsia="宋体" w:cs="Times New Roman"/>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375CB3F3">
      <w:pPr>
        <w:pStyle w:val="3"/>
        <w:jc w:val="center"/>
        <w:rPr>
          <w:rFonts w:cs="Times New Roman"/>
          <w:b w:val="0"/>
          <w:color w:val="auto"/>
          <w:sz w:val="36"/>
          <w:szCs w:val="36"/>
          <w:highlight w:val="none"/>
        </w:rPr>
      </w:pPr>
      <w:bookmarkStart w:id="297" w:name="_Toc28829"/>
      <w:bookmarkStart w:id="298" w:name="_Toc28193"/>
      <w:bookmarkStart w:id="299" w:name="_Toc27331"/>
      <w:bookmarkStart w:id="300" w:name="_Toc13548"/>
      <w:bookmarkStart w:id="301" w:name="_Toc4866"/>
      <w:bookmarkStart w:id="302" w:name="_Toc17834"/>
      <w:bookmarkStart w:id="303" w:name="_Toc25728"/>
      <w:bookmarkStart w:id="304" w:name="_Toc19942"/>
      <w:bookmarkStart w:id="305" w:name="_Toc5755"/>
      <w:bookmarkStart w:id="306" w:name="_Toc22963"/>
      <w:r>
        <w:rPr>
          <w:rFonts w:hint="eastAsia" w:cs="Times New Roman"/>
          <w:b w:val="0"/>
          <w:color w:val="auto"/>
          <w:sz w:val="36"/>
          <w:szCs w:val="36"/>
          <w:highlight w:val="none"/>
        </w:rPr>
        <w:t>第三节</w:t>
      </w:r>
      <w:r>
        <w:rPr>
          <w:rFonts w:cs="Times New Roman"/>
          <w:b w:val="0"/>
          <w:color w:val="auto"/>
          <w:sz w:val="36"/>
          <w:szCs w:val="36"/>
          <w:highlight w:val="none"/>
        </w:rPr>
        <w:t xml:space="preserve"> </w:t>
      </w:r>
      <w:r>
        <w:rPr>
          <w:rFonts w:hint="eastAsia" w:cs="Times New Roman"/>
          <w:b w:val="0"/>
          <w:color w:val="auto"/>
          <w:sz w:val="36"/>
          <w:szCs w:val="36"/>
          <w:highlight w:val="none"/>
        </w:rPr>
        <w:t>评分标准</w:t>
      </w:r>
      <w:bookmarkEnd w:id="297"/>
      <w:bookmarkEnd w:id="298"/>
      <w:bookmarkEnd w:id="299"/>
      <w:bookmarkEnd w:id="300"/>
      <w:bookmarkEnd w:id="301"/>
      <w:bookmarkEnd w:id="302"/>
      <w:bookmarkEnd w:id="303"/>
      <w:bookmarkEnd w:id="304"/>
      <w:bookmarkEnd w:id="305"/>
      <w:bookmarkEnd w:id="306"/>
    </w:p>
    <w:p w14:paraId="2AB41754">
      <w:pPr>
        <w:pStyle w:val="17"/>
        <w:ind w:firstLine="602" w:firstLineChars="200"/>
        <w:jc w:val="center"/>
        <w:rPr>
          <w:rFonts w:hint="eastAsia" w:ascii="Times New Roman" w:hAnsi="Times New Roman" w:eastAsia="宋体" w:cs="Times New Roman"/>
          <w:b/>
          <w:color w:val="auto"/>
          <w:sz w:val="30"/>
          <w:szCs w:val="30"/>
          <w:highlight w:val="none"/>
          <w:lang w:eastAsia="zh-CN"/>
        </w:rPr>
      </w:pPr>
      <w:r>
        <w:rPr>
          <w:rFonts w:hint="eastAsia" w:ascii="Times New Roman" w:hAnsi="Times New Roman" w:eastAsia="宋体" w:cs="Times New Roman"/>
          <w:b/>
          <w:color w:val="auto"/>
          <w:sz w:val="30"/>
          <w:szCs w:val="30"/>
          <w:highlight w:val="none"/>
        </w:rPr>
        <w:t>综合评分法</w:t>
      </w:r>
      <w:r>
        <w:rPr>
          <w:rFonts w:hint="eastAsia" w:ascii="Times New Roman" w:hAnsi="Times New Roman" w:cs="Times New Roman"/>
          <w:b/>
          <w:color w:val="auto"/>
          <w:sz w:val="30"/>
          <w:szCs w:val="30"/>
          <w:highlight w:val="none"/>
          <w:lang w:eastAsia="zh-CN"/>
        </w:rPr>
        <w:t>（</w:t>
      </w:r>
      <w:r>
        <w:rPr>
          <w:rFonts w:hint="eastAsia" w:ascii="Times New Roman" w:hAnsi="Times New Roman" w:cs="Times New Roman"/>
          <w:b/>
          <w:color w:val="auto"/>
          <w:sz w:val="30"/>
          <w:szCs w:val="30"/>
          <w:highlight w:val="none"/>
          <w:lang w:val="en-US" w:eastAsia="zh-CN"/>
        </w:rPr>
        <w:t>适用所有分标</w:t>
      </w:r>
      <w:r>
        <w:rPr>
          <w:rFonts w:hint="eastAsia" w:ascii="Times New Roman" w:hAnsi="Times New Roman" w:cs="Times New Roman"/>
          <w:b/>
          <w:color w:val="auto"/>
          <w:sz w:val="30"/>
          <w:szCs w:val="30"/>
          <w:highlight w:val="none"/>
          <w:lang w:eastAsia="zh-CN"/>
        </w:rPr>
        <w:t>）</w:t>
      </w:r>
    </w:p>
    <w:p w14:paraId="5A5D1973">
      <w:pPr>
        <w:keepNext w:val="0"/>
        <w:keepLines w:val="0"/>
        <w:pageBreakBefore w:val="0"/>
        <w:widowControl w:val="0"/>
        <w:shd w:val="clear" w:color="auto" w:fill="auto"/>
        <w:kinsoku/>
        <w:wordWrap w:val="0"/>
        <w:overflowPunct/>
        <w:topLinePunct w:val="0"/>
        <w:autoSpaceDE/>
        <w:autoSpaceDN/>
        <w:bidi w:val="0"/>
        <w:adjustRightInd/>
        <w:snapToGrid/>
        <w:spacing w:line="400" w:lineRule="exact"/>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一、评标原则</w:t>
      </w:r>
    </w:p>
    <w:p w14:paraId="0E87A8C8">
      <w:pPr>
        <w:keepNext w:val="0"/>
        <w:keepLines w:val="0"/>
        <w:pageBreakBefore w:val="0"/>
        <w:widowControl w:val="0"/>
        <w:shd w:val="clear" w:color="auto" w:fill="auto"/>
        <w:kinsoku/>
        <w:wordWrap w:val="0"/>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（一）评委构成：本招标采购项目的评委分别由依法组成的评审专家</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4人</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、招标单位代表</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1人</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共</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人构成。</w:t>
      </w:r>
    </w:p>
    <w:p w14:paraId="3E4A227D">
      <w:pPr>
        <w:keepNext w:val="0"/>
        <w:keepLines w:val="0"/>
        <w:pageBreakBefore w:val="0"/>
        <w:widowControl w:val="0"/>
        <w:shd w:val="clear" w:color="auto" w:fill="auto"/>
        <w:kinsoku/>
        <w:wordWrap w:val="0"/>
        <w:overflowPunct/>
        <w:topLinePunct w:val="0"/>
        <w:autoSpaceDE/>
        <w:autoSpaceDN/>
        <w:bidi w:val="0"/>
        <w:adjustRightInd/>
        <w:snapToGrid/>
        <w:spacing w:line="400" w:lineRule="exact"/>
        <w:ind w:firstLine="420" w:firstLineChars="200"/>
        <w:jc w:val="left"/>
        <w:textAlignment w:val="auto"/>
        <w:rPr>
          <w:rFonts w:hint="eastAsia" w:ascii="宋体" w:hAnsi="宋体" w:cs="宋体"/>
          <w:bCs/>
          <w:color w:val="auto"/>
          <w:szCs w:val="21"/>
          <w:highlight w:val="none"/>
        </w:rPr>
      </w:pPr>
      <w:r>
        <w:rPr>
          <w:rFonts w:hint="eastAsia" w:ascii="宋体" w:hAnsi="宋体" w:cs="宋体"/>
          <w:bCs/>
          <w:color w:val="auto"/>
          <w:szCs w:val="21"/>
          <w:highlight w:val="none"/>
        </w:rPr>
        <w:t>（二）评标依据：评委将以招投标文件为评标依据，对投标人的投标报价、服务实施方案分</w:t>
      </w:r>
      <w:r>
        <w:rPr>
          <w:rFonts w:hint="eastAsia" w:ascii="宋体" w:hAnsi="宋体" w:cs="宋体"/>
          <w:bCs/>
          <w:color w:val="auto"/>
          <w:szCs w:val="21"/>
          <w:highlight w:val="none"/>
          <w:lang w:eastAsia="zh-CN"/>
        </w:rPr>
        <w:t>、管理制度分、企业综合实力分</w:t>
      </w:r>
      <w:r>
        <w:rPr>
          <w:rFonts w:hint="eastAsia" w:ascii="宋体" w:hAnsi="宋体" w:cs="宋体"/>
          <w:bCs/>
          <w:color w:val="auto"/>
          <w:szCs w:val="21"/>
          <w:highlight w:val="none"/>
        </w:rPr>
        <w:t>等</w:t>
      </w:r>
      <w:r>
        <w:rPr>
          <w:rFonts w:hint="eastAsia" w:ascii="宋体" w:hAnsi="宋体" w:cs="宋体"/>
          <w:bCs/>
          <w:color w:val="auto"/>
          <w:szCs w:val="21"/>
          <w:highlight w:val="none"/>
          <w:lang w:eastAsia="zh-CN"/>
        </w:rPr>
        <w:t>四</w:t>
      </w:r>
      <w:r>
        <w:rPr>
          <w:rFonts w:hint="eastAsia" w:ascii="宋体" w:hAnsi="宋体" w:cs="宋体"/>
          <w:bCs/>
          <w:color w:val="auto"/>
          <w:szCs w:val="21"/>
          <w:highlight w:val="none"/>
        </w:rPr>
        <w:t>方面内容按百分制打分。</w:t>
      </w:r>
    </w:p>
    <w:p w14:paraId="1E69BDA7">
      <w:pPr>
        <w:keepNext w:val="0"/>
        <w:keepLines w:val="0"/>
        <w:pageBreakBefore w:val="0"/>
        <w:widowControl w:val="0"/>
        <w:shd w:val="clear" w:color="auto" w:fill="auto"/>
        <w:kinsoku/>
        <w:wordWrap w:val="0"/>
        <w:overflowPunct/>
        <w:topLinePunct w:val="0"/>
        <w:autoSpaceDE/>
        <w:autoSpaceDN/>
        <w:bidi w:val="0"/>
        <w:adjustRightInd/>
        <w:snapToGrid/>
        <w:spacing w:line="400" w:lineRule="exact"/>
        <w:ind w:firstLine="420" w:firstLineChars="200"/>
        <w:jc w:val="left"/>
        <w:textAlignment w:val="auto"/>
        <w:rPr>
          <w:rFonts w:hint="eastAsia" w:ascii="宋体" w:hAnsi="宋体" w:cs="宋体"/>
          <w:bCs/>
          <w:color w:val="auto"/>
          <w:szCs w:val="21"/>
          <w:highlight w:val="none"/>
        </w:rPr>
      </w:pPr>
      <w:r>
        <w:rPr>
          <w:rFonts w:hint="eastAsia" w:ascii="宋体" w:hAnsi="宋体" w:cs="宋体"/>
          <w:bCs/>
          <w:color w:val="auto"/>
          <w:szCs w:val="21"/>
          <w:highlight w:val="none"/>
        </w:rPr>
        <w:t>（三）评标方式：以封闭方式进行。</w:t>
      </w:r>
    </w:p>
    <w:p w14:paraId="563299D7">
      <w:pPr>
        <w:keepNext w:val="0"/>
        <w:keepLines w:val="0"/>
        <w:pageBreakBefore w:val="0"/>
        <w:widowControl w:val="0"/>
        <w:shd w:val="clear" w:color="auto" w:fill="auto"/>
        <w:kinsoku/>
        <w:wordWrap w:val="0"/>
        <w:overflowPunct/>
        <w:topLinePunct w:val="0"/>
        <w:autoSpaceDE/>
        <w:autoSpaceDN/>
        <w:bidi w:val="0"/>
        <w:adjustRightInd/>
        <w:snapToGrid/>
        <w:spacing w:line="400" w:lineRule="exact"/>
        <w:ind w:firstLine="422" w:firstLineChars="200"/>
        <w:jc w:val="left"/>
        <w:textAlignment w:val="auto"/>
        <w:rPr>
          <w:rFonts w:hint="eastAsia" w:ascii="宋体" w:hAnsi="宋体" w:cs="宋体"/>
          <w:b/>
          <w:bCs w:val="0"/>
          <w:color w:val="auto"/>
          <w:szCs w:val="21"/>
          <w:highlight w:val="none"/>
          <w:lang w:eastAsia="zh-CN"/>
        </w:rPr>
      </w:pPr>
      <w:r>
        <w:rPr>
          <w:rFonts w:hint="eastAsia" w:ascii="宋体" w:hAnsi="宋体" w:cs="宋体"/>
          <w:b/>
          <w:bCs w:val="0"/>
          <w:color w:val="auto"/>
          <w:szCs w:val="21"/>
          <w:highlight w:val="none"/>
          <w:lang w:eastAsia="zh-CN"/>
        </w:rPr>
        <w:t>（</w:t>
      </w:r>
      <w:r>
        <w:rPr>
          <w:rFonts w:hint="eastAsia" w:ascii="宋体" w:hAnsi="宋体" w:cs="宋体"/>
          <w:b/>
          <w:bCs w:val="0"/>
          <w:color w:val="auto"/>
          <w:szCs w:val="21"/>
          <w:highlight w:val="none"/>
          <w:lang w:val="en-US" w:eastAsia="zh-CN"/>
        </w:rPr>
        <w:t>四</w:t>
      </w:r>
      <w:r>
        <w:rPr>
          <w:rFonts w:hint="eastAsia" w:ascii="宋体" w:hAnsi="宋体" w:cs="宋体"/>
          <w:b/>
          <w:bCs w:val="0"/>
          <w:color w:val="auto"/>
          <w:szCs w:val="21"/>
          <w:highlight w:val="none"/>
          <w:lang w:eastAsia="zh-CN"/>
        </w:rPr>
        <w:t>）</w:t>
      </w:r>
      <w:r>
        <w:rPr>
          <w:rFonts w:hint="eastAsia" w:ascii="宋体" w:hAnsi="宋体" w:cs="宋体"/>
          <w:b/>
          <w:bCs w:val="0"/>
          <w:color w:val="auto"/>
          <w:szCs w:val="21"/>
          <w:highlight w:val="none"/>
          <w:lang w:val="en-US" w:eastAsia="zh-CN"/>
        </w:rPr>
        <w:t>评标顺序：1 分标→2 分标→3 分标→…→5分标</w:t>
      </w:r>
    </w:p>
    <w:p w14:paraId="05BD0DCD">
      <w:pPr>
        <w:keepNext w:val="0"/>
        <w:keepLines w:val="0"/>
        <w:pageBreakBefore w:val="0"/>
        <w:widowControl w:val="0"/>
        <w:shd w:val="clear" w:color="auto" w:fill="auto"/>
        <w:kinsoku/>
        <w:wordWrap w:val="0"/>
        <w:overflowPunct/>
        <w:topLinePunct w:val="0"/>
        <w:autoSpaceDE/>
        <w:autoSpaceDN/>
        <w:bidi w:val="0"/>
        <w:adjustRightInd/>
        <w:snapToGrid/>
        <w:spacing w:line="400" w:lineRule="exact"/>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二、评定方法</w:t>
      </w:r>
    </w:p>
    <w:p w14:paraId="54F38453">
      <w:pPr>
        <w:keepNext w:val="0"/>
        <w:keepLines w:val="0"/>
        <w:pageBreakBefore w:val="0"/>
        <w:widowControl w:val="0"/>
        <w:shd w:val="clear" w:color="auto" w:fill="auto"/>
        <w:kinsoku/>
        <w:wordWrap w:val="0"/>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（一）评标标准：本招标项目评标方法采用综合评分法，实行百分制。</w:t>
      </w:r>
    </w:p>
    <w:p w14:paraId="6BBD1D3F">
      <w:pPr>
        <w:keepNext w:val="0"/>
        <w:keepLines w:val="0"/>
        <w:pageBreakBefore w:val="0"/>
        <w:widowControl w:val="0"/>
        <w:shd w:val="clear" w:color="auto" w:fill="auto"/>
        <w:kinsoku/>
        <w:wordWrap w:val="0"/>
        <w:overflowPunct/>
        <w:topLinePunct w:val="0"/>
        <w:autoSpaceDE/>
        <w:autoSpaceDN/>
        <w:bidi w:val="0"/>
        <w:adjustRightInd/>
        <w:snapToGrid/>
        <w:spacing w:line="400" w:lineRule="exact"/>
        <w:ind w:firstLine="420" w:firstLineChars="200"/>
        <w:jc w:val="left"/>
        <w:textAlignment w:val="auto"/>
        <w:rPr>
          <w:rFonts w:hint="eastAsia"/>
          <w:color w:val="auto"/>
          <w:highlight w:val="none"/>
          <w:lang w:eastAsia="zh-CN"/>
        </w:rPr>
      </w:pPr>
      <w:r>
        <w:rPr>
          <w:rFonts w:hint="eastAsia" w:ascii="宋体" w:hAnsi="宋体" w:cs="宋体"/>
          <w:color w:val="auto"/>
          <w:szCs w:val="21"/>
          <w:highlight w:val="none"/>
        </w:rPr>
        <w:t>（二）计分办法（按四舍五入取至百分位）：</w:t>
      </w:r>
    </w:p>
    <w:tbl>
      <w:tblPr>
        <w:tblStyle w:val="25"/>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585"/>
        <w:gridCol w:w="1520"/>
        <w:gridCol w:w="6096"/>
      </w:tblGrid>
      <w:tr w14:paraId="3A159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147" w:type="dxa"/>
            <w:gridSpan w:val="2"/>
            <w:noWrap w:val="0"/>
            <w:vAlign w:val="center"/>
          </w:tcPr>
          <w:p w14:paraId="1AAC78FF">
            <w:pPr>
              <w:keepNext w:val="0"/>
              <w:keepLines w:val="0"/>
              <w:pageBreakBefore w:val="0"/>
              <w:kinsoku/>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520" w:type="dxa"/>
            <w:noWrap w:val="0"/>
            <w:vAlign w:val="center"/>
          </w:tcPr>
          <w:p w14:paraId="451FFA64">
            <w:pPr>
              <w:keepNext w:val="0"/>
              <w:keepLines w:val="0"/>
              <w:pageBreakBefore w:val="0"/>
              <w:kinsoku/>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w:t>
            </w:r>
            <w:r>
              <w:rPr>
                <w:rFonts w:hint="eastAsia" w:ascii="宋体" w:hAnsi="宋体" w:eastAsia="宋体" w:cs="宋体"/>
                <w:b/>
                <w:color w:val="auto"/>
                <w:sz w:val="21"/>
                <w:szCs w:val="21"/>
                <w:highlight w:val="none"/>
                <w:lang w:eastAsia="zh-CN"/>
              </w:rPr>
              <w:t>审</w:t>
            </w:r>
            <w:r>
              <w:rPr>
                <w:rFonts w:hint="eastAsia" w:ascii="宋体" w:hAnsi="宋体" w:eastAsia="宋体" w:cs="宋体"/>
                <w:b/>
                <w:color w:val="auto"/>
                <w:sz w:val="21"/>
                <w:szCs w:val="21"/>
                <w:highlight w:val="none"/>
              </w:rPr>
              <w:t>因素</w:t>
            </w:r>
          </w:p>
        </w:tc>
        <w:tc>
          <w:tcPr>
            <w:tcW w:w="6096" w:type="dxa"/>
            <w:noWrap w:val="0"/>
            <w:vAlign w:val="center"/>
          </w:tcPr>
          <w:p w14:paraId="42D05EC2">
            <w:pPr>
              <w:keepNext w:val="0"/>
              <w:keepLines w:val="0"/>
              <w:pageBreakBefore w:val="0"/>
              <w:kinsoku/>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r>
      <w:tr w14:paraId="538BE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3" w:hRule="atLeast"/>
          <w:jc w:val="center"/>
        </w:trPr>
        <w:tc>
          <w:tcPr>
            <w:tcW w:w="562" w:type="dxa"/>
            <w:noWrap w:val="0"/>
            <w:vAlign w:val="center"/>
          </w:tcPr>
          <w:p w14:paraId="09E35BF2">
            <w:pPr>
              <w:keepNext w:val="0"/>
              <w:keepLines w:val="0"/>
              <w:pageBreakBefore w:val="0"/>
              <w:kinsoku/>
              <w:overflowPunct/>
              <w:topLinePunct w:val="0"/>
              <w:autoSpaceDE/>
              <w:autoSpaceDN/>
              <w:bidi w:val="0"/>
              <w:adjustRightInd w:val="0"/>
              <w:spacing w:line="360" w:lineRule="exact"/>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585" w:type="dxa"/>
            <w:noWrap w:val="0"/>
            <w:vAlign w:val="center"/>
          </w:tcPr>
          <w:p w14:paraId="63424438">
            <w:pPr>
              <w:keepNext w:val="0"/>
              <w:keepLines w:val="0"/>
              <w:pageBreakBefore w:val="0"/>
              <w:widowControl/>
              <w:kinsoku/>
              <w:overflowPunct/>
              <w:topLinePunct w:val="0"/>
              <w:autoSpaceDE/>
              <w:autoSpaceDN/>
              <w:bidi w:val="0"/>
              <w:snapToGrid w:val="0"/>
              <w:spacing w:line="360" w:lineRule="exact"/>
              <w:jc w:val="center"/>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价格分</w:t>
            </w:r>
          </w:p>
          <w:p w14:paraId="1D8C73DC">
            <w:pPr>
              <w:keepNext w:val="0"/>
              <w:keepLines w:val="0"/>
              <w:pageBreakBefore w:val="0"/>
              <w:widowControl/>
              <w:kinsoku/>
              <w:overflowPunct/>
              <w:topLinePunct w:val="0"/>
              <w:autoSpaceDE/>
              <w:autoSpaceDN/>
              <w:bidi w:val="0"/>
              <w:snapToGrid w:val="0"/>
              <w:spacing w:line="360" w:lineRule="exac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（满分</w:t>
            </w:r>
            <w:r>
              <w:rPr>
                <w:rFonts w:hint="eastAsia" w:ascii="宋体" w:hAnsi="宋体" w:eastAsia="宋体" w:cs="宋体"/>
                <w:bCs/>
                <w:color w:val="auto"/>
                <w:kern w:val="0"/>
                <w:sz w:val="21"/>
                <w:szCs w:val="21"/>
                <w:highlight w:val="none"/>
                <w:u w:val="single"/>
                <w:lang w:val="en-US" w:eastAsia="zh-CN" w:bidi="ar-SA"/>
              </w:rPr>
              <w:t xml:space="preserve"> 10 </w:t>
            </w:r>
            <w:r>
              <w:rPr>
                <w:rFonts w:hint="eastAsia" w:ascii="宋体" w:hAnsi="宋体" w:eastAsia="宋体" w:cs="宋体"/>
                <w:bCs/>
                <w:color w:val="auto"/>
                <w:kern w:val="0"/>
                <w:sz w:val="21"/>
                <w:szCs w:val="21"/>
                <w:highlight w:val="none"/>
                <w:lang w:val="en-US" w:eastAsia="zh-CN" w:bidi="ar-SA"/>
              </w:rPr>
              <w:t>分）</w:t>
            </w:r>
          </w:p>
        </w:tc>
        <w:tc>
          <w:tcPr>
            <w:tcW w:w="1520" w:type="dxa"/>
            <w:noWrap w:val="0"/>
            <w:vAlign w:val="center"/>
          </w:tcPr>
          <w:p w14:paraId="6DC17592">
            <w:pPr>
              <w:keepNext w:val="0"/>
              <w:keepLines w:val="0"/>
              <w:pageBreakBefore w:val="0"/>
              <w:widowControl/>
              <w:kinsoku/>
              <w:overflowPunct/>
              <w:topLinePunct w:val="0"/>
              <w:autoSpaceDE/>
              <w:autoSpaceDN/>
              <w:bidi w:val="0"/>
              <w:snapToGrid w:val="0"/>
              <w:spacing w:line="360" w:lineRule="exact"/>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投标报价</w:t>
            </w:r>
          </w:p>
        </w:tc>
        <w:tc>
          <w:tcPr>
            <w:tcW w:w="6096" w:type="dxa"/>
            <w:noWrap w:val="0"/>
            <w:vAlign w:val="center"/>
          </w:tcPr>
          <w:p w14:paraId="2FD49493">
            <w:pPr>
              <w:keepNext w:val="0"/>
              <w:keepLines w:val="0"/>
              <w:pageBreakBefore w:val="0"/>
              <w:shd w:val="clear"/>
              <w:kinsoku/>
              <w:overflowPunct/>
              <w:topLinePunct w:val="0"/>
              <w:autoSpaceDE/>
              <w:autoSpaceDN/>
              <w:bidi w:val="0"/>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本项目为专门面向中小企业采购的项目，按照《政府采购促进中小企业发展管理办法》（财库〔2020〕46号）的规定，对投标人的投标报价不再执行价格评审优惠的扶持政策。</w:t>
            </w:r>
          </w:p>
          <w:p w14:paraId="5C13E6B7">
            <w:pPr>
              <w:keepNext w:val="0"/>
              <w:keepLines w:val="0"/>
              <w:pageBreakBefore w:val="0"/>
              <w:kinsoku/>
              <w:overflowPunct/>
              <w:topLinePunct w:val="0"/>
              <w:autoSpaceDE/>
              <w:autoSpaceDN/>
              <w:bidi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评</w:t>
            </w:r>
            <w:r>
              <w:rPr>
                <w:rFonts w:hint="eastAsia" w:ascii="宋体" w:hAnsi="宋体" w:eastAsia="宋体" w:cs="宋体"/>
                <w:color w:val="auto"/>
                <w:szCs w:val="21"/>
                <w:highlight w:val="none"/>
                <w:lang w:eastAsia="zh-CN"/>
              </w:rPr>
              <w:t>标报</w:t>
            </w:r>
            <w:r>
              <w:rPr>
                <w:rFonts w:hint="eastAsia" w:ascii="宋体" w:hAnsi="宋体" w:eastAsia="宋体" w:cs="宋体"/>
                <w:color w:val="auto"/>
                <w:szCs w:val="21"/>
                <w:highlight w:val="none"/>
              </w:rPr>
              <w:t>价为</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投标</w:t>
            </w:r>
            <w:r>
              <w:rPr>
                <w:rFonts w:hint="eastAsia" w:ascii="宋体" w:hAnsi="宋体" w:cs="宋体"/>
                <w:color w:val="auto"/>
                <w:szCs w:val="21"/>
                <w:highlight w:val="none"/>
                <w:lang w:val="en-US" w:eastAsia="zh-CN"/>
              </w:rPr>
              <w:t>折扣率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w:t>
            </w:r>
            <w:r>
              <w:rPr>
                <w:rFonts w:hint="eastAsia" w:ascii="宋体" w:hAnsi="宋体" w:eastAsia="宋体" w:cs="宋体"/>
                <w:color w:val="auto"/>
                <w:szCs w:val="21"/>
                <w:highlight w:val="none"/>
                <w:lang w:eastAsia="zh-CN"/>
              </w:rPr>
              <w:t>标报</w:t>
            </w:r>
            <w:r>
              <w:rPr>
                <w:rFonts w:hint="eastAsia" w:ascii="宋体" w:hAnsi="宋体" w:eastAsia="宋体" w:cs="宋体"/>
                <w:color w:val="auto"/>
                <w:szCs w:val="21"/>
                <w:highlight w:val="none"/>
              </w:rPr>
              <w:t>价只是作为评审时使用。最终</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中标</w:t>
            </w:r>
            <w:r>
              <w:rPr>
                <w:rFonts w:hint="eastAsia" w:ascii="宋体" w:hAnsi="宋体" w:cs="宋体"/>
                <w:color w:val="auto"/>
                <w:szCs w:val="21"/>
                <w:highlight w:val="none"/>
                <w:lang w:val="en-US" w:eastAsia="zh-CN"/>
              </w:rPr>
              <w:t>折扣率</w:t>
            </w:r>
            <w:r>
              <w:rPr>
                <w:rFonts w:hint="eastAsia" w:ascii="宋体" w:hAnsi="宋体" w:eastAsia="宋体" w:cs="宋体"/>
                <w:color w:val="auto"/>
                <w:szCs w:val="21"/>
                <w:highlight w:val="none"/>
              </w:rPr>
              <w:t>等于</w:t>
            </w:r>
            <w:r>
              <w:rPr>
                <w:rFonts w:hint="eastAsia" w:ascii="宋体" w:hAnsi="宋体" w:eastAsia="宋体" w:cs="宋体"/>
                <w:color w:val="auto"/>
                <w:szCs w:val="21"/>
                <w:highlight w:val="none"/>
                <w:lang w:eastAsia="zh-CN"/>
              </w:rPr>
              <w:t>投标</w:t>
            </w:r>
            <w:r>
              <w:rPr>
                <w:rFonts w:hint="eastAsia" w:ascii="宋体" w:hAnsi="宋体" w:cs="宋体"/>
                <w:color w:val="auto"/>
                <w:szCs w:val="21"/>
                <w:highlight w:val="none"/>
                <w:lang w:val="en-US" w:eastAsia="zh-CN"/>
              </w:rPr>
              <w:t>折扣率</w:t>
            </w:r>
            <w:r>
              <w:rPr>
                <w:rFonts w:hint="eastAsia" w:ascii="宋体" w:hAnsi="宋体" w:eastAsia="宋体" w:cs="宋体"/>
                <w:color w:val="auto"/>
                <w:szCs w:val="21"/>
                <w:highlight w:val="none"/>
              </w:rPr>
              <w:t>。</w:t>
            </w:r>
          </w:p>
          <w:p w14:paraId="43A36AFB">
            <w:pPr>
              <w:keepNext w:val="0"/>
              <w:keepLines w:val="0"/>
              <w:pageBreakBefore w:val="0"/>
              <w:shd w:val="clear" w:color="auto" w:fill="auto"/>
              <w:kinsoku/>
              <w:wordWrap w:val="0"/>
              <w:overflowPunct/>
              <w:topLinePunct w:val="0"/>
              <w:autoSpaceDE/>
              <w:autoSpaceDN/>
              <w:bidi w:val="0"/>
              <w:spacing w:line="36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）满足招标文件要求且</w:t>
            </w:r>
            <w:r>
              <w:rPr>
                <w:rFonts w:hint="eastAsia" w:ascii="宋体" w:hAnsi="宋体" w:cs="宋体"/>
                <w:bCs/>
                <w:color w:val="auto"/>
                <w:szCs w:val="21"/>
                <w:highlight w:val="none"/>
                <w:lang w:val="en-US" w:eastAsia="zh-CN"/>
              </w:rPr>
              <w:t>投标折扣率</w:t>
            </w:r>
            <w:r>
              <w:rPr>
                <w:rFonts w:hint="eastAsia" w:ascii="宋体" w:hAnsi="宋体" w:eastAsia="宋体" w:cs="宋体"/>
                <w:bCs/>
                <w:color w:val="auto"/>
                <w:szCs w:val="21"/>
                <w:highlight w:val="none"/>
              </w:rPr>
              <w:t xml:space="preserve">最低的为评标基准价，基准价得分为 </w:t>
            </w:r>
            <w:r>
              <w:rPr>
                <w:rFonts w:hint="eastAsia" w:ascii="宋体" w:hAnsi="宋体" w:eastAsia="宋体" w:cs="宋体"/>
                <w:bCs/>
                <w:color w:val="auto"/>
                <w:szCs w:val="21"/>
                <w:highlight w:val="none"/>
                <w:lang w:val="en-US" w:eastAsia="zh-CN"/>
              </w:rPr>
              <w:t>10</w:t>
            </w:r>
            <w:r>
              <w:rPr>
                <w:rFonts w:hint="eastAsia" w:ascii="宋体" w:hAnsi="宋体" w:eastAsia="宋体" w:cs="宋体"/>
                <w:bCs/>
                <w:color w:val="auto"/>
                <w:szCs w:val="21"/>
                <w:highlight w:val="none"/>
              </w:rPr>
              <w:t xml:space="preserve"> 分。</w:t>
            </w:r>
          </w:p>
          <w:p w14:paraId="35D93791">
            <w:pPr>
              <w:keepNext w:val="0"/>
              <w:keepLines w:val="0"/>
              <w:pageBreakBefore w:val="0"/>
              <w:kinsoku/>
              <w:overflowPunct/>
              <w:topLinePunct w:val="0"/>
              <w:autoSpaceDE/>
              <w:autoSpaceDN/>
              <w:bidi w:val="0"/>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rPr>
              <w:t>）价格分计算公式：</w:t>
            </w:r>
          </w:p>
          <w:p w14:paraId="79C810E0">
            <w:pPr>
              <w:keepNext w:val="0"/>
              <w:keepLines w:val="0"/>
              <w:pageBreakBefore w:val="0"/>
              <w:shd w:val="clear" w:color="auto" w:fill="auto"/>
              <w:kinsoku/>
              <w:wordWrap w:val="0"/>
              <w:overflowPunct/>
              <w:topLinePunct w:val="0"/>
              <w:autoSpaceDE/>
              <w:autoSpaceDN/>
              <w:bidi w:val="0"/>
              <w:spacing w:line="360" w:lineRule="exact"/>
              <w:ind w:firstLine="420" w:firstLineChars="20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sz w:val="21"/>
                <w:highlight w:val="none"/>
                <w:lang w:val="en-US" w:eastAsia="zh-CN"/>
              </w:rPr>
              <w:t>价格分</w:t>
            </w:r>
            <w:r>
              <w:rPr>
                <w:rFonts w:hint="eastAsia" w:ascii="宋体" w:hAnsi="宋体" w:eastAsia="宋体" w:cs="宋体"/>
                <w:bCs/>
                <w:color w:val="auto"/>
                <w:kern w:val="2"/>
                <w:sz w:val="21"/>
                <w:highlight w:val="none"/>
                <w:lang w:val="en-US" w:eastAsia="zh-CN"/>
              </w:rPr>
              <w:t>=(评标基准价／</w:t>
            </w:r>
            <w:r>
              <w:rPr>
                <w:rFonts w:hint="eastAsia" w:ascii="宋体" w:hAnsi="宋体" w:eastAsia="宋体" w:cs="宋体"/>
                <w:color w:val="auto"/>
                <w:szCs w:val="21"/>
                <w:highlight w:val="none"/>
              </w:rPr>
              <w:t>评</w:t>
            </w:r>
            <w:r>
              <w:rPr>
                <w:rFonts w:hint="eastAsia" w:ascii="宋体" w:hAnsi="宋体" w:eastAsia="宋体" w:cs="宋体"/>
                <w:color w:val="auto"/>
                <w:szCs w:val="21"/>
                <w:highlight w:val="none"/>
                <w:lang w:eastAsia="zh-CN"/>
              </w:rPr>
              <w:t>标报</w:t>
            </w:r>
            <w:r>
              <w:rPr>
                <w:rFonts w:hint="eastAsia" w:ascii="宋体" w:hAnsi="宋体" w:eastAsia="宋体" w:cs="宋体"/>
                <w:color w:val="auto"/>
                <w:szCs w:val="21"/>
                <w:highlight w:val="none"/>
              </w:rPr>
              <w:t>价</w:t>
            </w:r>
            <w:r>
              <w:rPr>
                <w:rFonts w:hint="eastAsia" w:ascii="宋体" w:hAnsi="宋体" w:eastAsia="宋体" w:cs="宋体"/>
                <w:bCs/>
                <w:color w:val="auto"/>
                <w:kern w:val="2"/>
                <w:sz w:val="21"/>
                <w:highlight w:val="none"/>
                <w:lang w:val="en-US" w:eastAsia="zh-CN"/>
              </w:rPr>
              <w:t>)×</w:t>
            </w:r>
            <w:r>
              <w:rPr>
                <w:rFonts w:hint="eastAsia" w:ascii="宋体" w:hAnsi="宋体" w:eastAsia="宋体" w:cs="宋体"/>
                <w:bCs/>
                <w:color w:val="auto"/>
                <w:sz w:val="21"/>
                <w:highlight w:val="none"/>
                <w:u w:val="none"/>
                <w:lang w:val="en-US" w:eastAsia="zh-CN"/>
              </w:rPr>
              <w:t xml:space="preserve"> </w:t>
            </w:r>
            <w:r>
              <w:rPr>
                <w:rFonts w:hint="eastAsia" w:ascii="宋体" w:hAnsi="宋体" w:cs="宋体"/>
                <w:bCs/>
                <w:strike w:val="0"/>
                <w:dstrike w:val="0"/>
                <w:color w:val="auto"/>
                <w:sz w:val="21"/>
                <w:highlight w:val="none"/>
                <w:u w:val="none"/>
                <w:lang w:val="en-US" w:eastAsia="zh-CN"/>
              </w:rPr>
              <w:t>10</w:t>
            </w:r>
            <w:r>
              <w:rPr>
                <w:rFonts w:hint="eastAsia" w:ascii="宋体" w:hAnsi="宋体" w:eastAsia="宋体" w:cs="宋体"/>
                <w:bCs/>
                <w:strike w:val="0"/>
                <w:dstrike w:val="0"/>
                <w:color w:val="auto"/>
                <w:sz w:val="21"/>
                <w:highlight w:val="none"/>
                <w:u w:val="none"/>
                <w:lang w:val="en-US" w:eastAsia="zh-CN"/>
              </w:rPr>
              <w:t xml:space="preserve"> </w:t>
            </w:r>
            <w:r>
              <w:rPr>
                <w:rFonts w:hint="eastAsia" w:ascii="宋体" w:hAnsi="宋体" w:eastAsia="宋体" w:cs="宋体"/>
                <w:bCs/>
                <w:color w:val="auto"/>
                <w:kern w:val="2"/>
                <w:sz w:val="21"/>
                <w:highlight w:val="none"/>
                <w:lang w:val="en-US" w:eastAsia="zh-CN"/>
              </w:rPr>
              <w:t>分</w:t>
            </w:r>
          </w:p>
        </w:tc>
      </w:tr>
      <w:tr w14:paraId="680E4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62" w:type="dxa"/>
            <w:vMerge w:val="restart"/>
            <w:noWrap w:val="0"/>
            <w:vAlign w:val="center"/>
          </w:tcPr>
          <w:p w14:paraId="61D334EF">
            <w:pPr>
              <w:keepNext w:val="0"/>
              <w:keepLines w:val="0"/>
              <w:pageBreakBefore w:val="0"/>
              <w:kinsoku/>
              <w:overflowPunct/>
              <w:topLinePunct w:val="0"/>
              <w:autoSpaceDE/>
              <w:autoSpaceDN/>
              <w:bidi w:val="0"/>
              <w:adjustRightInd w:val="0"/>
              <w:snapToGrid w:val="0"/>
              <w:spacing w:line="360" w:lineRule="exact"/>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585" w:type="dxa"/>
            <w:vMerge w:val="restart"/>
            <w:noWrap w:val="0"/>
            <w:vAlign w:val="center"/>
          </w:tcPr>
          <w:p w14:paraId="1157815C">
            <w:pPr>
              <w:keepNext w:val="0"/>
              <w:keepLines w:val="0"/>
              <w:pageBreakBefore w:val="0"/>
              <w:kinsoku/>
              <w:overflowPunct/>
              <w:topLinePunct w:val="0"/>
              <w:autoSpaceDE/>
              <w:autoSpaceDN/>
              <w:bidi w:val="0"/>
              <w:adjustRightInd w:val="0"/>
              <w:snapToGrid w:val="0"/>
              <w:spacing w:line="360" w:lineRule="exact"/>
              <w:ind w:left="-105" w:leftChars="-50" w:right="-105" w:rightChars="-50"/>
              <w:jc w:val="center"/>
              <w:textAlignment w:val="baseline"/>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color w:val="auto"/>
                <w:szCs w:val="21"/>
                <w:highlight w:val="none"/>
              </w:rPr>
              <w:t>服务实施方案分</w:t>
            </w:r>
          </w:p>
          <w:p w14:paraId="63732CB0">
            <w:pPr>
              <w:keepNext w:val="0"/>
              <w:keepLines w:val="0"/>
              <w:pageBreakBefore w:val="0"/>
              <w:kinsoku/>
              <w:overflowPunct/>
              <w:topLinePunct w:val="0"/>
              <w:autoSpaceDE/>
              <w:autoSpaceDN/>
              <w:bidi w:val="0"/>
              <w:adjustRightInd w:val="0"/>
              <w:snapToGrid w:val="0"/>
              <w:spacing w:line="360" w:lineRule="exact"/>
              <w:ind w:left="-105" w:leftChars="-50" w:right="-105" w:rightChars="-50"/>
              <w:jc w:val="center"/>
              <w:textAlignment w:val="baseline"/>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（满分</w:t>
            </w:r>
            <w:r>
              <w:rPr>
                <w:rFonts w:hint="eastAsia" w:ascii="宋体" w:hAnsi="宋体" w:eastAsia="宋体" w:cs="宋体"/>
                <w:bCs/>
                <w:color w:val="auto"/>
                <w:kern w:val="0"/>
                <w:sz w:val="21"/>
                <w:szCs w:val="21"/>
                <w:highlight w:val="none"/>
                <w:u w:val="single"/>
                <w:lang w:val="en-US" w:eastAsia="zh-CN" w:bidi="ar-SA"/>
              </w:rPr>
              <w:t>5</w:t>
            </w:r>
            <w:r>
              <w:rPr>
                <w:rFonts w:hint="eastAsia" w:ascii="宋体" w:hAnsi="宋体" w:cs="宋体"/>
                <w:bCs/>
                <w:color w:val="auto"/>
                <w:kern w:val="0"/>
                <w:sz w:val="21"/>
                <w:szCs w:val="21"/>
                <w:highlight w:val="none"/>
                <w:u w:val="single"/>
                <w:lang w:val="en-US" w:eastAsia="zh-CN" w:bidi="ar-SA"/>
              </w:rPr>
              <w:t>0</w:t>
            </w:r>
            <w:r>
              <w:rPr>
                <w:rFonts w:hint="eastAsia" w:ascii="宋体" w:hAnsi="宋体" w:eastAsia="宋体" w:cs="宋体"/>
                <w:bCs/>
                <w:color w:val="auto"/>
                <w:kern w:val="0"/>
                <w:sz w:val="21"/>
                <w:szCs w:val="21"/>
                <w:highlight w:val="none"/>
                <w:lang w:val="en-US" w:eastAsia="zh-CN" w:bidi="ar-SA"/>
              </w:rPr>
              <w:t>分）</w:t>
            </w:r>
          </w:p>
        </w:tc>
        <w:tc>
          <w:tcPr>
            <w:tcW w:w="1520" w:type="dxa"/>
            <w:noWrap w:val="0"/>
            <w:vAlign w:val="center"/>
          </w:tcPr>
          <w:p w14:paraId="00B182AF">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color w:val="auto"/>
                <w:szCs w:val="21"/>
                <w:highlight w:val="none"/>
              </w:rPr>
              <w:t>（1）项目实施方案（满分</w:t>
            </w:r>
            <w:r>
              <w:rPr>
                <w:rFonts w:hint="eastAsia" w:ascii="宋体" w:hAnsi="宋体" w:cs="宋体"/>
                <w:b/>
                <w:bCs/>
                <w:color w:val="auto"/>
                <w:szCs w:val="21"/>
                <w:highlight w:val="none"/>
                <w:u w:val="none"/>
                <w:lang w:val="en-US" w:eastAsia="zh-CN"/>
              </w:rPr>
              <w:t>10</w:t>
            </w:r>
            <w:r>
              <w:rPr>
                <w:rFonts w:hint="eastAsia" w:ascii="宋体" w:hAnsi="宋体" w:eastAsia="宋体" w:cs="宋体"/>
                <w:b/>
                <w:bCs/>
                <w:color w:val="auto"/>
                <w:szCs w:val="21"/>
                <w:highlight w:val="none"/>
              </w:rPr>
              <w:t>分）</w:t>
            </w:r>
          </w:p>
        </w:tc>
        <w:tc>
          <w:tcPr>
            <w:tcW w:w="6096" w:type="dxa"/>
            <w:noWrap w:val="0"/>
            <w:vAlign w:val="center"/>
          </w:tcPr>
          <w:p w14:paraId="6A4E350F">
            <w:pPr>
              <w:keepNext w:val="0"/>
              <w:keepLines w:val="0"/>
              <w:pageBreakBefore w:val="0"/>
              <w:shd w:val="clear" w:color="auto" w:fill="auto"/>
              <w:kinsoku/>
              <w:wordWrap w:val="0"/>
              <w:overflowPunct/>
              <w:topLinePunct w:val="0"/>
              <w:autoSpaceDE/>
              <w:autoSpaceDN/>
              <w:bidi w:val="0"/>
              <w:spacing w:line="360" w:lineRule="exact"/>
              <w:ind w:firstLine="422" w:firstLineChars="200"/>
              <w:jc w:val="left"/>
              <w:rPr>
                <w:rFonts w:hint="eastAsia" w:ascii="宋体" w:hAnsi="宋体" w:eastAsia="宋体" w:cs="宋体"/>
                <w:b w:val="0"/>
                <w:bCs w:val="0"/>
                <w:color w:val="auto"/>
                <w:szCs w:val="21"/>
                <w:highlight w:val="none"/>
              </w:rPr>
            </w:pPr>
            <w:r>
              <w:rPr>
                <w:rFonts w:hint="eastAsia" w:ascii="宋体" w:hAnsi="宋体" w:eastAsia="宋体" w:cs="宋体"/>
                <w:b/>
                <w:bCs/>
                <w:color w:val="auto"/>
                <w:szCs w:val="21"/>
                <w:highlight w:val="none"/>
              </w:rPr>
              <w:t>一档（</w:t>
            </w:r>
            <w:r>
              <w:rPr>
                <w:rFonts w:hint="eastAsia" w:ascii="宋体" w:hAnsi="宋体" w:cs="宋体"/>
                <w:b/>
                <w:bCs/>
                <w:color w:val="auto"/>
                <w:szCs w:val="21"/>
                <w:highlight w:val="none"/>
                <w:lang w:val="en-US" w:eastAsia="zh-CN"/>
              </w:rPr>
              <w:t>2</w:t>
            </w:r>
            <w:r>
              <w:rPr>
                <w:rFonts w:hint="eastAsia" w:ascii="宋体" w:hAnsi="宋体" w:eastAsia="宋体" w:cs="宋体"/>
                <w:b/>
                <w:bCs/>
                <w:color w:val="auto"/>
                <w:szCs w:val="21"/>
                <w:highlight w:val="none"/>
              </w:rPr>
              <w:t>分）</w:t>
            </w:r>
            <w:r>
              <w:rPr>
                <w:rFonts w:hint="eastAsia" w:ascii="宋体" w:hAnsi="宋体" w:eastAsia="宋体" w:cs="宋体"/>
                <w:b w:val="0"/>
                <w:bCs w:val="0"/>
                <w:color w:val="auto"/>
                <w:szCs w:val="21"/>
                <w:highlight w:val="none"/>
              </w:rPr>
              <w:t>：管理制度不够完善，配送服务方案基本符合要求。针对采购人实际需求的描述不够详细，基本能保证配送服务的质量。对于问题食材引发的紧急事件处理预案内容缺乏针对性，且对紧急事件的现场处理时间超过 60 分钟；</w:t>
            </w:r>
          </w:p>
          <w:p w14:paraId="4CE7FA1B">
            <w:pPr>
              <w:keepNext w:val="0"/>
              <w:keepLines w:val="0"/>
              <w:pageBreakBefore w:val="0"/>
              <w:shd w:val="clear" w:color="auto" w:fill="auto"/>
              <w:kinsoku/>
              <w:wordWrap w:val="0"/>
              <w:overflowPunct/>
              <w:topLinePunct w:val="0"/>
              <w:autoSpaceDE/>
              <w:autoSpaceDN/>
              <w:bidi w:val="0"/>
              <w:spacing w:line="360" w:lineRule="exact"/>
              <w:ind w:firstLine="422" w:firstLineChars="200"/>
              <w:jc w:val="left"/>
              <w:rPr>
                <w:rFonts w:hint="eastAsia" w:ascii="宋体" w:hAnsi="宋体" w:eastAsia="宋体" w:cs="宋体"/>
                <w:b w:val="0"/>
                <w:bCs w:val="0"/>
                <w:color w:val="auto"/>
                <w:szCs w:val="21"/>
                <w:highlight w:val="none"/>
              </w:rPr>
            </w:pPr>
            <w:r>
              <w:rPr>
                <w:rFonts w:hint="eastAsia" w:ascii="宋体" w:hAnsi="宋体" w:eastAsia="宋体" w:cs="宋体"/>
                <w:b/>
                <w:bCs/>
                <w:color w:val="auto"/>
                <w:szCs w:val="21"/>
                <w:highlight w:val="none"/>
              </w:rPr>
              <w:t>二档（</w:t>
            </w:r>
            <w:r>
              <w:rPr>
                <w:rFonts w:hint="eastAsia" w:ascii="宋体" w:hAnsi="宋体" w:cs="宋体"/>
                <w:b/>
                <w:bCs/>
                <w:color w:val="auto"/>
                <w:szCs w:val="21"/>
                <w:highlight w:val="none"/>
                <w:lang w:val="en-US" w:eastAsia="zh-CN"/>
              </w:rPr>
              <w:t>4</w:t>
            </w:r>
            <w:r>
              <w:rPr>
                <w:rFonts w:hint="eastAsia" w:ascii="宋体" w:hAnsi="宋体" w:eastAsia="宋体" w:cs="宋体"/>
                <w:b/>
                <w:bCs/>
                <w:color w:val="auto"/>
                <w:szCs w:val="21"/>
                <w:highlight w:val="none"/>
              </w:rPr>
              <w:t>分）</w:t>
            </w:r>
            <w:r>
              <w:rPr>
                <w:rFonts w:hint="eastAsia" w:ascii="宋体" w:hAnsi="宋体" w:eastAsia="宋体" w:cs="宋体"/>
                <w:b w:val="0"/>
                <w:bCs w:val="0"/>
                <w:color w:val="auto"/>
                <w:szCs w:val="21"/>
                <w:highlight w:val="none"/>
              </w:rPr>
              <w:t>：项目配送供货时间安排合理，管理制度简洁明了，配送服务方案基本满足需求。针对采购人实际需求的描述较为简略，具体实施步骤和要求的阐述不够详尽，但能确保配送服务的正常进行。能在</w:t>
            </w:r>
            <w:r>
              <w:rPr>
                <w:rFonts w:hint="eastAsia" w:ascii="宋体" w:hAnsi="宋体" w:cs="宋体"/>
                <w:b w:val="0"/>
                <w:bCs w:val="0"/>
                <w:color w:val="auto"/>
                <w:szCs w:val="21"/>
                <w:highlight w:val="none"/>
                <w:lang w:val="en-US" w:eastAsia="zh-CN"/>
              </w:rPr>
              <w:t>5</w:t>
            </w:r>
            <w:r>
              <w:rPr>
                <w:rFonts w:hint="eastAsia" w:ascii="宋体" w:hAnsi="宋体" w:eastAsia="宋体" w:cs="宋体"/>
                <w:b w:val="0"/>
                <w:bCs w:val="0"/>
                <w:color w:val="auto"/>
                <w:szCs w:val="21"/>
                <w:highlight w:val="none"/>
              </w:rPr>
              <w:t>0 分钟内到达现场处理紧急事件。问题食材发生紧急事件处理预案内容简洁实用；</w:t>
            </w:r>
          </w:p>
          <w:p w14:paraId="2051B5E0">
            <w:pPr>
              <w:keepNext w:val="0"/>
              <w:keepLines w:val="0"/>
              <w:pageBreakBefore w:val="0"/>
              <w:shd w:val="clear" w:color="auto" w:fill="auto"/>
              <w:kinsoku/>
              <w:wordWrap w:val="0"/>
              <w:overflowPunct/>
              <w:topLinePunct w:val="0"/>
              <w:autoSpaceDE/>
              <w:autoSpaceDN/>
              <w:bidi w:val="0"/>
              <w:spacing w:line="360" w:lineRule="exact"/>
              <w:ind w:firstLine="422" w:firstLineChars="200"/>
              <w:jc w:val="left"/>
              <w:rPr>
                <w:rFonts w:hint="eastAsia" w:ascii="宋体" w:hAnsi="宋体" w:eastAsia="宋体" w:cs="宋体"/>
                <w:b w:val="0"/>
                <w:bCs w:val="0"/>
                <w:color w:val="auto"/>
                <w:szCs w:val="21"/>
                <w:highlight w:val="none"/>
              </w:rPr>
            </w:pPr>
            <w:r>
              <w:rPr>
                <w:rFonts w:hint="eastAsia" w:ascii="宋体" w:hAnsi="宋体" w:eastAsia="宋体" w:cs="宋体"/>
                <w:b/>
                <w:bCs/>
                <w:color w:val="auto"/>
                <w:szCs w:val="21"/>
                <w:highlight w:val="none"/>
              </w:rPr>
              <w:t>三档（</w:t>
            </w:r>
            <w:r>
              <w:rPr>
                <w:rFonts w:hint="eastAsia" w:ascii="宋体" w:hAnsi="宋体" w:cs="宋体"/>
                <w:b/>
                <w:bCs/>
                <w:color w:val="auto"/>
                <w:szCs w:val="21"/>
                <w:highlight w:val="none"/>
                <w:lang w:val="en-US" w:eastAsia="zh-CN"/>
              </w:rPr>
              <w:t>6</w:t>
            </w:r>
            <w:r>
              <w:rPr>
                <w:rFonts w:hint="eastAsia" w:ascii="宋体" w:hAnsi="宋体" w:eastAsia="宋体" w:cs="宋体"/>
                <w:b/>
                <w:bCs/>
                <w:color w:val="auto"/>
                <w:szCs w:val="21"/>
                <w:highlight w:val="none"/>
              </w:rPr>
              <w:t>分）</w:t>
            </w:r>
            <w:r>
              <w:rPr>
                <w:rFonts w:hint="eastAsia" w:ascii="宋体" w:hAnsi="宋体" w:eastAsia="宋体" w:cs="宋体"/>
                <w:b w:val="0"/>
                <w:bCs w:val="0"/>
                <w:color w:val="auto"/>
                <w:szCs w:val="21"/>
                <w:highlight w:val="none"/>
              </w:rPr>
              <w:t xml:space="preserve">：项目配送体系合理，供货时间安排得当。管理制度完善，配送服务方案详尽。针对采购人实际需求描述详细，具体实施步骤和要求明确。除保证配送服务业务外，还配备有机动人员应对紧急事件处理。对配送及应急处理的响应时间不超过 10 分钟，对紧急事件的现场处理时间不超过 </w:t>
            </w:r>
            <w:r>
              <w:rPr>
                <w:rFonts w:hint="eastAsia" w:ascii="宋体" w:hAnsi="宋体" w:cs="宋体"/>
                <w:b w:val="0"/>
                <w:bCs w:val="0"/>
                <w:color w:val="auto"/>
                <w:szCs w:val="21"/>
                <w:highlight w:val="none"/>
                <w:lang w:val="en-US" w:eastAsia="zh-CN"/>
              </w:rPr>
              <w:t>4</w:t>
            </w:r>
            <w:r>
              <w:rPr>
                <w:rFonts w:hint="eastAsia" w:ascii="宋体" w:hAnsi="宋体" w:eastAsia="宋体" w:cs="宋体"/>
                <w:b w:val="0"/>
                <w:bCs w:val="0"/>
                <w:color w:val="auto"/>
                <w:szCs w:val="21"/>
                <w:highlight w:val="none"/>
              </w:rPr>
              <w:t>0 分钟。问题食材发生紧急事件处理预案内容具体，具有一定针对性；</w:t>
            </w:r>
          </w:p>
          <w:p w14:paraId="7B429D5C">
            <w:pPr>
              <w:keepNext w:val="0"/>
              <w:keepLines w:val="0"/>
              <w:pageBreakBefore w:val="0"/>
              <w:shd w:val="clear" w:color="auto" w:fill="auto"/>
              <w:kinsoku/>
              <w:wordWrap w:val="0"/>
              <w:overflowPunct/>
              <w:topLinePunct w:val="0"/>
              <w:autoSpaceDE/>
              <w:autoSpaceDN/>
              <w:bidi w:val="0"/>
              <w:spacing w:line="360" w:lineRule="exact"/>
              <w:ind w:firstLine="422" w:firstLineChars="200"/>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四档（</w:t>
            </w:r>
            <w:r>
              <w:rPr>
                <w:rFonts w:hint="eastAsia" w:ascii="宋体" w:hAnsi="宋体" w:cs="宋体"/>
                <w:b/>
                <w:bCs/>
                <w:color w:val="auto"/>
                <w:szCs w:val="21"/>
                <w:highlight w:val="none"/>
                <w:lang w:val="en-US" w:eastAsia="zh-CN"/>
              </w:rPr>
              <w:t>8</w:t>
            </w:r>
            <w:r>
              <w:rPr>
                <w:rFonts w:hint="eastAsia" w:ascii="宋体" w:hAnsi="宋体" w:eastAsia="宋体" w:cs="宋体"/>
                <w:b/>
                <w:bCs/>
                <w:color w:val="auto"/>
                <w:szCs w:val="21"/>
                <w:highlight w:val="none"/>
              </w:rPr>
              <w:t>分）</w:t>
            </w:r>
            <w:r>
              <w:rPr>
                <w:rFonts w:hint="eastAsia" w:ascii="宋体" w:hAnsi="宋体" w:eastAsia="宋体" w:cs="宋体"/>
                <w:b w:val="0"/>
                <w:bCs w:val="0"/>
                <w:color w:val="auto"/>
                <w:szCs w:val="21"/>
                <w:highlight w:val="none"/>
              </w:rPr>
              <w:t xml:space="preserve">：项目具备较强的生产或销售能力，配送工作体系完备。供货时间安排合理，管理制度和配送服务方案较为完善，描述详尽，具体实施步骤和要求明确。除保证常规配送服务外，还配备有机动人员专门处理紧急事件。对配送和应急处理的响应迅速，不超过 5 分钟。处理紧急事件时，能在 </w:t>
            </w:r>
            <w:r>
              <w:rPr>
                <w:rFonts w:hint="eastAsia" w:ascii="宋体" w:hAnsi="宋体" w:cs="宋体"/>
                <w:b w:val="0"/>
                <w:bCs w:val="0"/>
                <w:color w:val="auto"/>
                <w:szCs w:val="21"/>
                <w:highlight w:val="none"/>
                <w:lang w:val="en-US" w:eastAsia="zh-CN"/>
              </w:rPr>
              <w:t>3</w:t>
            </w:r>
            <w:r>
              <w:rPr>
                <w:rFonts w:hint="eastAsia" w:ascii="宋体" w:hAnsi="宋体" w:eastAsia="宋体" w:cs="宋体"/>
                <w:b w:val="0"/>
                <w:bCs w:val="0"/>
                <w:color w:val="auto"/>
                <w:szCs w:val="21"/>
                <w:highlight w:val="none"/>
              </w:rPr>
              <w:t>0 分钟内到达现场。针对问题食材发生的紧急事件，制定了具体且有针对性的处理预案。</w:t>
            </w:r>
          </w:p>
          <w:p w14:paraId="39B7B31E">
            <w:pPr>
              <w:keepNext w:val="0"/>
              <w:keepLines w:val="0"/>
              <w:pageBreakBefore w:val="0"/>
              <w:shd w:val="clear" w:color="auto" w:fill="auto"/>
              <w:kinsoku/>
              <w:wordWrap w:val="0"/>
              <w:overflowPunct/>
              <w:topLinePunct w:val="0"/>
              <w:autoSpaceDE/>
              <w:autoSpaceDN/>
              <w:bidi w:val="0"/>
              <w:spacing w:line="360" w:lineRule="exact"/>
              <w:ind w:firstLine="422" w:firstLineChars="200"/>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color w:val="auto"/>
                <w:szCs w:val="21"/>
                <w:highlight w:val="none"/>
              </w:rPr>
              <w:t>五档（</w:t>
            </w:r>
            <w:r>
              <w:rPr>
                <w:rFonts w:hint="eastAsia" w:ascii="宋体" w:hAnsi="宋体" w:cs="宋体"/>
                <w:b/>
                <w:bCs/>
                <w:color w:val="auto"/>
                <w:szCs w:val="21"/>
                <w:highlight w:val="none"/>
                <w:lang w:val="en-US" w:eastAsia="zh-CN"/>
              </w:rPr>
              <w:t>10</w:t>
            </w:r>
            <w:r>
              <w:rPr>
                <w:rFonts w:hint="eastAsia" w:ascii="宋体" w:hAnsi="宋体" w:eastAsia="宋体" w:cs="宋体"/>
                <w:b/>
                <w:bCs/>
                <w:color w:val="auto"/>
                <w:szCs w:val="21"/>
                <w:highlight w:val="none"/>
              </w:rPr>
              <w:t>分）</w:t>
            </w:r>
            <w:r>
              <w:rPr>
                <w:rFonts w:hint="eastAsia" w:ascii="宋体" w:hAnsi="宋体" w:eastAsia="宋体" w:cs="宋体"/>
                <w:b w:val="0"/>
                <w:bCs w:val="0"/>
                <w:color w:val="auto"/>
                <w:szCs w:val="21"/>
                <w:highlight w:val="none"/>
              </w:rPr>
              <w:t>：项目生产与销售能力出众，配送工作体系成熟完备，供货时间安排合理。针对项目实际，提供全面细致、可靠的管理制度和配送服务方案，描述详尽，实施步骤和要求全面，具备较高的可行性，充分满足项目需求。问题食材紧急事件处理预案具体、全面，在保障配送服务的同时，配备充足的机动人员处理紧急事件，人员配置充足。对配送及应急处理的响应迅速，不超过 1 分钟，紧急事件现场处理时间不超 20 分钟，可行性高。方案具有针对性，重点突出，预案清晰，且能根据具体情况制定全面细致的方案，确保采购食材的卫生安全等重要因素。</w:t>
            </w:r>
          </w:p>
        </w:tc>
      </w:tr>
      <w:tr w14:paraId="240F5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62" w:type="dxa"/>
            <w:vMerge w:val="continue"/>
            <w:noWrap w:val="0"/>
            <w:vAlign w:val="center"/>
          </w:tcPr>
          <w:p w14:paraId="1C6CF38A">
            <w:pPr>
              <w:keepNext w:val="0"/>
              <w:keepLines w:val="0"/>
              <w:pageBreakBefore w:val="0"/>
              <w:kinsoku/>
              <w:overflowPunct/>
              <w:topLinePunct w:val="0"/>
              <w:autoSpaceDE/>
              <w:autoSpaceDN/>
              <w:bidi w:val="0"/>
              <w:adjustRightInd w:val="0"/>
              <w:snapToGrid w:val="0"/>
              <w:spacing w:line="360" w:lineRule="exact"/>
              <w:jc w:val="center"/>
              <w:textAlignment w:val="baseline"/>
              <w:rPr>
                <w:rFonts w:hint="eastAsia" w:ascii="宋体" w:hAnsi="宋体" w:eastAsia="宋体" w:cs="宋体"/>
                <w:color w:val="auto"/>
                <w:sz w:val="24"/>
                <w:highlight w:val="none"/>
              </w:rPr>
            </w:pPr>
          </w:p>
        </w:tc>
        <w:tc>
          <w:tcPr>
            <w:tcW w:w="1585" w:type="dxa"/>
            <w:vMerge w:val="continue"/>
            <w:noWrap w:val="0"/>
            <w:vAlign w:val="center"/>
          </w:tcPr>
          <w:p w14:paraId="577A6445">
            <w:pPr>
              <w:keepNext w:val="0"/>
              <w:keepLines w:val="0"/>
              <w:pageBreakBefore w:val="0"/>
              <w:kinsoku/>
              <w:overflowPunct/>
              <w:topLinePunct w:val="0"/>
              <w:autoSpaceDE/>
              <w:autoSpaceDN/>
              <w:bidi w:val="0"/>
              <w:adjustRightInd w:val="0"/>
              <w:snapToGrid w:val="0"/>
              <w:spacing w:line="360" w:lineRule="exact"/>
              <w:ind w:left="-105" w:leftChars="-50" w:right="-105" w:rightChars="-50"/>
              <w:jc w:val="center"/>
              <w:textAlignment w:val="baseline"/>
              <w:rPr>
                <w:rFonts w:hint="eastAsia" w:ascii="宋体" w:hAnsi="宋体" w:eastAsia="宋体" w:cs="宋体"/>
                <w:bCs/>
                <w:color w:val="auto"/>
                <w:kern w:val="0"/>
                <w:sz w:val="21"/>
                <w:szCs w:val="21"/>
                <w:highlight w:val="none"/>
                <w:lang w:val="en-US" w:eastAsia="zh-CN" w:bidi="ar-SA"/>
              </w:rPr>
            </w:pPr>
          </w:p>
        </w:tc>
        <w:tc>
          <w:tcPr>
            <w:tcW w:w="1520" w:type="dxa"/>
            <w:noWrap w:val="0"/>
            <w:vAlign w:val="center"/>
          </w:tcPr>
          <w:p w14:paraId="52BD10AD">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color w:val="auto"/>
                <w:szCs w:val="21"/>
                <w:highlight w:val="none"/>
              </w:rPr>
              <w:t>（2）食品安全与质量保障能力（满分</w:t>
            </w:r>
            <w:r>
              <w:rPr>
                <w:rFonts w:hint="eastAsia" w:ascii="宋体" w:hAnsi="宋体" w:cs="宋体"/>
                <w:b/>
                <w:bCs/>
                <w:color w:val="auto"/>
                <w:szCs w:val="21"/>
                <w:highlight w:val="none"/>
                <w:lang w:val="en-US" w:eastAsia="zh-CN"/>
              </w:rPr>
              <w:t>30</w:t>
            </w:r>
            <w:r>
              <w:rPr>
                <w:rFonts w:hint="eastAsia" w:ascii="宋体" w:hAnsi="宋体" w:eastAsia="宋体" w:cs="宋体"/>
                <w:b/>
                <w:bCs/>
                <w:color w:val="auto"/>
                <w:szCs w:val="21"/>
                <w:highlight w:val="none"/>
              </w:rPr>
              <w:t>分）</w:t>
            </w:r>
          </w:p>
        </w:tc>
        <w:tc>
          <w:tcPr>
            <w:tcW w:w="6096" w:type="dxa"/>
            <w:noWrap w:val="0"/>
            <w:vAlign w:val="center"/>
          </w:tcPr>
          <w:p w14:paraId="0574B1D8">
            <w:pPr>
              <w:keepNext w:val="0"/>
              <w:keepLines w:val="0"/>
              <w:pageBreakBefore w:val="0"/>
              <w:widowControl w:val="0"/>
              <w:shd w:val="clear" w:color="auto" w:fill="auto"/>
              <w:kinsoku/>
              <w:wordWrap w:val="0"/>
              <w:overflowPunct/>
              <w:topLinePunct w:val="0"/>
              <w:autoSpaceDE/>
              <w:autoSpaceDN/>
              <w:bidi w:val="0"/>
              <w:adjustRightInd/>
              <w:snapToGrid/>
              <w:spacing w:line="340" w:lineRule="exact"/>
              <w:ind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一档（</w:t>
            </w:r>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rPr>
              <w:t>分）：食材安全措施在进货渠道、食材控制管理、检验检疫、质量标准管控和追溯方式等方面的描述较为简略，仅达到采购文件的基本要求。</w:t>
            </w:r>
          </w:p>
          <w:p w14:paraId="52A49CA0">
            <w:pPr>
              <w:keepNext w:val="0"/>
              <w:keepLines w:val="0"/>
              <w:pageBreakBefore w:val="0"/>
              <w:widowControl w:val="0"/>
              <w:shd w:val="clear" w:color="auto" w:fill="auto"/>
              <w:kinsoku/>
              <w:wordWrap w:val="0"/>
              <w:overflowPunct/>
              <w:topLinePunct w:val="0"/>
              <w:autoSpaceDE/>
              <w:autoSpaceDN/>
              <w:bidi w:val="0"/>
              <w:adjustRightInd/>
              <w:snapToGrid/>
              <w:spacing w:line="340" w:lineRule="exact"/>
              <w:ind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二档（</w:t>
            </w:r>
            <w:r>
              <w:rPr>
                <w:rFonts w:hint="eastAsia" w:ascii="宋体" w:hAnsi="宋体" w:eastAsia="宋体" w:cs="宋体"/>
                <w:b/>
                <w:bCs/>
                <w:color w:val="auto"/>
                <w:szCs w:val="21"/>
                <w:highlight w:val="none"/>
                <w:lang w:val="en-US" w:eastAsia="zh-CN"/>
              </w:rPr>
              <w:t>12</w:t>
            </w:r>
            <w:r>
              <w:rPr>
                <w:rFonts w:hint="eastAsia" w:ascii="宋体" w:hAnsi="宋体" w:eastAsia="宋体" w:cs="宋体"/>
                <w:b/>
                <w:bCs/>
                <w:color w:val="auto"/>
                <w:szCs w:val="21"/>
                <w:highlight w:val="none"/>
              </w:rPr>
              <w:t>分）：食材安全措施中，进货渠道、食材控制管理措施、检验检疫措施、食材质量标准管控措施、追溯方式等方面的描述虽清晰，然尚不全面。</w:t>
            </w:r>
          </w:p>
          <w:p w14:paraId="481BFDBF">
            <w:pPr>
              <w:keepNext w:val="0"/>
              <w:keepLines w:val="0"/>
              <w:pageBreakBefore w:val="0"/>
              <w:widowControl w:val="0"/>
              <w:shd w:val="clear" w:color="auto" w:fill="auto"/>
              <w:kinsoku/>
              <w:wordWrap w:val="0"/>
              <w:overflowPunct/>
              <w:topLinePunct w:val="0"/>
              <w:autoSpaceDE/>
              <w:autoSpaceDN/>
              <w:bidi w:val="0"/>
              <w:adjustRightInd/>
              <w:snapToGrid/>
              <w:spacing w:line="340" w:lineRule="exact"/>
              <w:ind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三档（</w:t>
            </w:r>
            <w:r>
              <w:rPr>
                <w:rFonts w:hint="eastAsia" w:ascii="宋体" w:hAnsi="宋体" w:eastAsia="宋体" w:cs="宋体"/>
                <w:b/>
                <w:bCs/>
                <w:color w:val="auto"/>
                <w:szCs w:val="21"/>
                <w:highlight w:val="none"/>
                <w:lang w:val="en-US" w:eastAsia="zh-CN"/>
              </w:rPr>
              <w:t>18</w:t>
            </w:r>
            <w:r>
              <w:rPr>
                <w:rFonts w:hint="eastAsia" w:ascii="宋体" w:hAnsi="宋体" w:eastAsia="宋体" w:cs="宋体"/>
                <w:b/>
                <w:bCs/>
                <w:color w:val="auto"/>
                <w:szCs w:val="21"/>
                <w:highlight w:val="none"/>
              </w:rPr>
              <w:t>分）：食材安全措施涵盖了进货渠道、食材控制管理、检验检疫、质量标准管控和追溯方式等方面，描述清晰、全面、详细，并且主动开展了检验工作。</w:t>
            </w:r>
          </w:p>
          <w:p w14:paraId="5E0F4F6A">
            <w:pPr>
              <w:keepNext w:val="0"/>
              <w:keepLines w:val="0"/>
              <w:pageBreakBefore w:val="0"/>
              <w:widowControl w:val="0"/>
              <w:shd w:val="clear" w:color="auto" w:fill="auto"/>
              <w:kinsoku/>
              <w:wordWrap w:val="0"/>
              <w:overflowPunct/>
              <w:topLinePunct w:val="0"/>
              <w:autoSpaceDE/>
              <w:autoSpaceDN/>
              <w:bidi w:val="0"/>
              <w:adjustRightInd/>
              <w:snapToGrid/>
              <w:spacing w:line="340" w:lineRule="exact"/>
              <w:ind w:firstLine="422" w:firstLineChars="200"/>
              <w:jc w:val="left"/>
              <w:textAlignment w:val="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四档（</w:t>
            </w:r>
            <w:r>
              <w:rPr>
                <w:rFonts w:hint="eastAsia" w:ascii="宋体" w:hAnsi="宋体" w:eastAsia="宋体" w:cs="宋体"/>
                <w:b/>
                <w:bCs/>
                <w:color w:val="auto"/>
                <w:szCs w:val="21"/>
                <w:highlight w:val="none"/>
                <w:lang w:val="en-US" w:eastAsia="zh-CN"/>
              </w:rPr>
              <w:t>24</w:t>
            </w:r>
            <w:r>
              <w:rPr>
                <w:rFonts w:hint="eastAsia" w:ascii="宋体" w:hAnsi="宋体" w:eastAsia="宋体" w:cs="宋体"/>
                <w:b/>
                <w:bCs/>
                <w:color w:val="auto"/>
                <w:szCs w:val="21"/>
                <w:highlight w:val="none"/>
              </w:rPr>
              <w:t>分）：食材安全措施在进货渠道、食材控制管理、检验检疫、质量标准管控以及追溯方式等方面的描述清晰明确、全面系统、详细具体，且主动积极地开展检验工作。</w:t>
            </w:r>
            <w:r>
              <w:rPr>
                <w:rFonts w:hint="eastAsia" w:ascii="宋体" w:hAnsi="宋体" w:eastAsia="宋体" w:cs="宋体"/>
                <w:b/>
                <w:bCs/>
                <w:color w:val="auto"/>
                <w:szCs w:val="21"/>
                <w:highlight w:val="none"/>
                <w:lang w:eastAsia="zh-CN"/>
              </w:rPr>
              <w:t>具备基本的食品质量安全溯源体系，能通过信息化手段实现食品来源、检验检测、批次信息、运输储存、销售流向等部分信息进行记录。</w:t>
            </w:r>
          </w:p>
          <w:p w14:paraId="2540726F">
            <w:pPr>
              <w:keepNext w:val="0"/>
              <w:keepLines w:val="0"/>
              <w:pageBreakBefore w:val="0"/>
              <w:widowControl w:val="0"/>
              <w:shd w:val="clear" w:color="auto" w:fill="auto"/>
              <w:kinsoku/>
              <w:wordWrap w:val="0"/>
              <w:overflowPunct/>
              <w:topLinePunct w:val="0"/>
              <w:autoSpaceDE/>
              <w:autoSpaceDN/>
              <w:bidi w:val="0"/>
              <w:adjustRightInd/>
              <w:snapToGrid/>
              <w:spacing w:line="340" w:lineRule="exact"/>
              <w:ind w:firstLine="422" w:firstLineChars="200"/>
              <w:jc w:val="left"/>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color w:val="auto"/>
                <w:szCs w:val="21"/>
                <w:highlight w:val="none"/>
              </w:rPr>
              <w:t>五档（</w:t>
            </w:r>
            <w:r>
              <w:rPr>
                <w:rFonts w:hint="eastAsia" w:ascii="宋体" w:hAnsi="宋体" w:eastAsia="宋体" w:cs="宋体"/>
                <w:b/>
                <w:bCs/>
                <w:color w:val="auto"/>
                <w:szCs w:val="21"/>
                <w:highlight w:val="none"/>
                <w:lang w:val="en-US" w:eastAsia="zh-CN"/>
              </w:rPr>
              <w:t>30</w:t>
            </w:r>
            <w:r>
              <w:rPr>
                <w:rFonts w:hint="eastAsia" w:ascii="宋体" w:hAnsi="宋体" w:eastAsia="宋体" w:cs="宋体"/>
                <w:b/>
                <w:bCs/>
                <w:color w:val="auto"/>
                <w:szCs w:val="21"/>
                <w:highlight w:val="none"/>
              </w:rPr>
              <w:t>分）：</w:t>
            </w:r>
            <w:r>
              <w:rPr>
                <w:rFonts w:hint="eastAsia" w:ascii="宋体" w:hAnsi="宋体" w:eastAsia="宋体" w:cs="宋体"/>
                <w:b/>
                <w:bCs/>
                <w:color w:val="auto"/>
                <w:szCs w:val="21"/>
                <w:highlight w:val="none"/>
                <w:lang w:val="en-US" w:eastAsia="zh-CN"/>
              </w:rPr>
              <w:t>食材安全措施中进货渠道、食材控制管理措施、检验检疫措施、食材质量标准管控措施、追溯方式等方面描述清晰、完整详细，各种措施具有很强的针对性，能够有效地保障食材的安全和质量。</w:t>
            </w:r>
            <w:r>
              <w:rPr>
                <w:rFonts w:hint="eastAsia" w:ascii="宋体" w:hAnsi="宋体" w:eastAsia="宋体" w:cs="宋体"/>
                <w:b/>
                <w:bCs/>
                <w:color w:val="auto"/>
                <w:szCs w:val="21"/>
                <w:highlight w:val="none"/>
                <w:shd w:val="clear"/>
                <w:lang w:eastAsia="zh-CN"/>
              </w:rPr>
              <w:t>具备完善的食品质量安全溯源体系，能通过信息化手段实现食品来源、检验检测、批次信息、运输储存、销售流向等关键信息进行完整的记录。</w:t>
            </w:r>
          </w:p>
        </w:tc>
      </w:tr>
      <w:tr w14:paraId="22F2C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62" w:type="dxa"/>
            <w:vMerge w:val="continue"/>
            <w:noWrap w:val="0"/>
            <w:vAlign w:val="top"/>
          </w:tcPr>
          <w:p w14:paraId="1B28213B">
            <w:pPr>
              <w:keepNext w:val="0"/>
              <w:keepLines w:val="0"/>
              <w:pageBreakBefore w:val="0"/>
              <w:kinsoku/>
              <w:overflowPunct/>
              <w:topLinePunct w:val="0"/>
              <w:autoSpaceDE/>
              <w:autoSpaceDN/>
              <w:bidi w:val="0"/>
              <w:adjustRightInd w:val="0"/>
              <w:snapToGrid w:val="0"/>
              <w:spacing w:line="360" w:lineRule="exact"/>
              <w:jc w:val="center"/>
              <w:textAlignment w:val="baseline"/>
              <w:rPr>
                <w:rFonts w:hint="eastAsia" w:ascii="宋体" w:hAnsi="宋体" w:eastAsia="宋体" w:cs="宋体"/>
                <w:color w:val="auto"/>
                <w:sz w:val="24"/>
                <w:highlight w:val="none"/>
              </w:rPr>
            </w:pPr>
          </w:p>
        </w:tc>
        <w:tc>
          <w:tcPr>
            <w:tcW w:w="1585" w:type="dxa"/>
            <w:vMerge w:val="continue"/>
            <w:noWrap w:val="0"/>
            <w:vAlign w:val="top"/>
          </w:tcPr>
          <w:p w14:paraId="6222D225">
            <w:pPr>
              <w:keepNext w:val="0"/>
              <w:keepLines w:val="0"/>
              <w:pageBreakBefore w:val="0"/>
              <w:kinsoku/>
              <w:overflowPunct/>
              <w:topLinePunct w:val="0"/>
              <w:autoSpaceDE/>
              <w:autoSpaceDN/>
              <w:bidi w:val="0"/>
              <w:adjustRightInd w:val="0"/>
              <w:snapToGrid w:val="0"/>
              <w:spacing w:line="360" w:lineRule="exact"/>
              <w:jc w:val="center"/>
              <w:textAlignment w:val="baseline"/>
              <w:rPr>
                <w:rFonts w:hint="eastAsia" w:ascii="宋体" w:hAnsi="宋体" w:eastAsia="宋体" w:cs="宋体"/>
                <w:bCs/>
                <w:color w:val="auto"/>
                <w:kern w:val="0"/>
                <w:sz w:val="21"/>
                <w:szCs w:val="21"/>
                <w:highlight w:val="none"/>
                <w:lang w:val="en-US" w:eastAsia="zh-CN" w:bidi="ar-SA"/>
              </w:rPr>
            </w:pPr>
          </w:p>
        </w:tc>
        <w:tc>
          <w:tcPr>
            <w:tcW w:w="1520" w:type="dxa"/>
            <w:noWrap w:val="0"/>
            <w:tcMar>
              <w:left w:w="57" w:type="dxa"/>
              <w:right w:w="57" w:type="dxa"/>
            </w:tcMar>
            <w:vAlign w:val="center"/>
          </w:tcPr>
          <w:p w14:paraId="59A58926">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color w:val="auto"/>
                <w:szCs w:val="21"/>
                <w:highlight w:val="none"/>
              </w:rPr>
              <w:t>（3）服务承诺与售后服务方案（满分1</w:t>
            </w:r>
            <w:r>
              <w:rPr>
                <w:rFonts w:hint="eastAsia" w:ascii="宋体" w:hAnsi="宋体" w:cs="宋体"/>
                <w:b/>
                <w:bCs/>
                <w:color w:val="auto"/>
                <w:szCs w:val="21"/>
                <w:highlight w:val="none"/>
                <w:lang w:val="en-US" w:eastAsia="zh-CN"/>
              </w:rPr>
              <w:t>0</w:t>
            </w:r>
            <w:r>
              <w:rPr>
                <w:rFonts w:hint="eastAsia" w:ascii="宋体" w:hAnsi="宋体" w:eastAsia="宋体" w:cs="宋体"/>
                <w:b/>
                <w:bCs/>
                <w:color w:val="auto"/>
                <w:szCs w:val="21"/>
                <w:highlight w:val="none"/>
              </w:rPr>
              <w:t>分）</w:t>
            </w:r>
          </w:p>
        </w:tc>
        <w:tc>
          <w:tcPr>
            <w:tcW w:w="6096" w:type="dxa"/>
            <w:noWrap w:val="0"/>
            <w:vAlign w:val="center"/>
          </w:tcPr>
          <w:p w14:paraId="32EA0A9D">
            <w:pPr>
              <w:keepNext w:val="0"/>
              <w:keepLines w:val="0"/>
              <w:pageBreakBefore w:val="0"/>
              <w:shd w:val="clear" w:color="auto" w:fill="auto"/>
              <w:kinsoku/>
              <w:wordWrap w:val="0"/>
              <w:overflowPunct/>
              <w:topLinePunct w:val="0"/>
              <w:autoSpaceDE/>
              <w:autoSpaceDN/>
              <w:bidi w:val="0"/>
              <w:spacing w:line="360" w:lineRule="exact"/>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一档（</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分）：承诺退换完成时间超过 10 小时，售后服务承诺仅具备基础性，服务承诺内容单一、浅显。</w:t>
            </w:r>
          </w:p>
          <w:p w14:paraId="266F98A4">
            <w:pPr>
              <w:keepNext w:val="0"/>
              <w:keepLines w:val="0"/>
              <w:pageBreakBefore w:val="0"/>
              <w:shd w:val="clear" w:color="auto" w:fill="auto"/>
              <w:kinsoku/>
              <w:wordWrap w:val="0"/>
              <w:overflowPunct/>
              <w:topLinePunct w:val="0"/>
              <w:autoSpaceDE/>
              <w:autoSpaceDN/>
              <w:bidi w:val="0"/>
              <w:spacing w:line="360" w:lineRule="exact"/>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二档（</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分）：</w:t>
            </w:r>
            <w:r>
              <w:rPr>
                <w:rFonts w:hint="eastAsia" w:ascii="宋体" w:hAnsi="宋体" w:eastAsia="宋体" w:cs="宋体"/>
                <w:b/>
                <w:bCs/>
                <w:color w:val="auto"/>
                <w:szCs w:val="21"/>
                <w:highlight w:val="none"/>
                <w:lang w:val="en-US" w:eastAsia="zh-CN"/>
              </w:rPr>
              <w:t>承诺退换完成时间在 8 小时以内，但服务承诺、措施以及后期服务承诺缺乏针对性。</w:t>
            </w:r>
            <w:r>
              <w:rPr>
                <w:rFonts w:hint="eastAsia" w:ascii="宋体" w:hAnsi="宋体" w:eastAsia="宋体" w:cs="宋体"/>
                <w:b/>
                <w:bCs/>
                <w:color w:val="auto"/>
                <w:szCs w:val="21"/>
                <w:highlight w:val="none"/>
              </w:rPr>
              <w:t xml:space="preserve"> </w:t>
            </w:r>
          </w:p>
          <w:p w14:paraId="4385139F">
            <w:pPr>
              <w:keepNext w:val="0"/>
              <w:keepLines w:val="0"/>
              <w:pageBreakBefore w:val="0"/>
              <w:shd w:val="clear" w:color="auto" w:fill="auto"/>
              <w:kinsoku/>
              <w:wordWrap w:val="0"/>
              <w:overflowPunct/>
              <w:topLinePunct w:val="0"/>
              <w:autoSpaceDE/>
              <w:autoSpaceDN/>
              <w:bidi w:val="0"/>
              <w:spacing w:line="360" w:lineRule="exact"/>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三档（</w:t>
            </w:r>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rPr>
              <w:t xml:space="preserve">分）：承诺退换完成时间在 </w:t>
            </w:r>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rPr>
              <w:t xml:space="preserve"> 小时以内，且服务承诺、措施切实可行，后期服务承诺响应迅速，能够满足项目需求。</w:t>
            </w:r>
          </w:p>
          <w:p w14:paraId="3506BB85">
            <w:pPr>
              <w:keepNext w:val="0"/>
              <w:keepLines w:val="0"/>
              <w:pageBreakBefore w:val="0"/>
              <w:shd w:val="clear" w:color="auto" w:fill="auto"/>
              <w:kinsoku/>
              <w:wordWrap w:val="0"/>
              <w:overflowPunct/>
              <w:topLinePunct w:val="0"/>
              <w:autoSpaceDE/>
              <w:autoSpaceDN/>
              <w:bidi w:val="0"/>
              <w:spacing w:line="360" w:lineRule="exact"/>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四档（</w:t>
            </w:r>
            <w:r>
              <w:rPr>
                <w:rFonts w:hint="eastAsia" w:ascii="宋体" w:hAnsi="宋体" w:eastAsia="宋体" w:cs="宋体"/>
                <w:b/>
                <w:bCs/>
                <w:color w:val="auto"/>
                <w:szCs w:val="21"/>
                <w:highlight w:val="none"/>
                <w:lang w:val="en-US" w:eastAsia="zh-CN"/>
              </w:rPr>
              <w:t>8</w:t>
            </w:r>
            <w:r>
              <w:rPr>
                <w:rFonts w:hint="eastAsia" w:ascii="宋体" w:hAnsi="宋体" w:eastAsia="宋体" w:cs="宋体"/>
                <w:b/>
                <w:bCs/>
                <w:color w:val="auto"/>
                <w:szCs w:val="21"/>
                <w:highlight w:val="none"/>
              </w:rPr>
              <w:t xml:space="preserve">分）：对于紧急事件的处理预案内容详细全面，承诺退换时间在 </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 xml:space="preserve"> 小时以内，并且具有健全、详细的服务承诺和多种有效的后期售后服务方式，措施</w:t>
            </w:r>
            <w:r>
              <w:rPr>
                <w:rFonts w:hint="eastAsia" w:ascii="宋体" w:hAnsi="宋体" w:eastAsia="宋体" w:cs="宋体"/>
                <w:b/>
                <w:bCs/>
                <w:color w:val="auto"/>
                <w:szCs w:val="21"/>
                <w:highlight w:val="none"/>
              </w:rPr>
              <w:fldChar w:fldCharType="begin"/>
            </w:r>
            <w:r>
              <w:rPr>
                <w:rFonts w:hint="eastAsia" w:ascii="宋体" w:hAnsi="宋体" w:eastAsia="宋体" w:cs="宋体"/>
                <w:b/>
                <w:bCs/>
                <w:color w:val="auto"/>
                <w:szCs w:val="21"/>
                <w:highlight w:val="none"/>
              </w:rPr>
              <w:instrText xml:space="preserve"> HYPERLINK "coco://sendMessage?ext={"s$wiki_link":"https://m.baike.com/wikiid/5718075250627280003"}&amp;msg=%E5%BE%97%E5%8A%9B" \t "https://www.doubao.com/chat/_blank" </w:instrText>
            </w:r>
            <w:r>
              <w:rPr>
                <w:rFonts w:hint="eastAsia" w:ascii="宋体" w:hAnsi="宋体" w:eastAsia="宋体" w:cs="宋体"/>
                <w:b/>
                <w:bCs/>
                <w:color w:val="auto"/>
                <w:szCs w:val="21"/>
                <w:highlight w:val="none"/>
              </w:rPr>
              <w:fldChar w:fldCharType="separate"/>
            </w:r>
            <w:r>
              <w:rPr>
                <w:rFonts w:hint="eastAsia" w:ascii="宋体" w:hAnsi="宋体" w:eastAsia="宋体" w:cs="宋体"/>
                <w:b/>
                <w:bCs/>
                <w:color w:val="auto"/>
                <w:szCs w:val="21"/>
                <w:highlight w:val="none"/>
              </w:rPr>
              <w:t>得力</w:t>
            </w:r>
            <w:r>
              <w:rPr>
                <w:rFonts w:hint="eastAsia" w:ascii="宋体" w:hAnsi="宋体" w:eastAsia="宋体" w:cs="宋体"/>
                <w:b/>
                <w:bCs/>
                <w:color w:val="auto"/>
                <w:szCs w:val="21"/>
                <w:highlight w:val="none"/>
              </w:rPr>
              <w:fldChar w:fldCharType="end"/>
            </w:r>
            <w:r>
              <w:rPr>
                <w:rFonts w:hint="eastAsia" w:ascii="宋体" w:hAnsi="宋体" w:eastAsia="宋体" w:cs="宋体"/>
                <w:b/>
                <w:bCs/>
                <w:color w:val="auto"/>
                <w:szCs w:val="21"/>
                <w:highlight w:val="none"/>
              </w:rPr>
              <w:t>，能够满足项目需求。</w:t>
            </w:r>
          </w:p>
          <w:p w14:paraId="128F5C96">
            <w:pPr>
              <w:keepNext w:val="0"/>
              <w:keepLines w:val="0"/>
              <w:pageBreakBefore w:val="0"/>
              <w:shd w:val="clear" w:color="auto" w:fill="auto"/>
              <w:kinsoku/>
              <w:wordWrap w:val="0"/>
              <w:overflowPunct/>
              <w:topLinePunct w:val="0"/>
              <w:autoSpaceDE/>
              <w:autoSpaceDN/>
              <w:bidi w:val="0"/>
              <w:spacing w:line="360" w:lineRule="exact"/>
              <w:ind w:firstLine="422" w:firstLineChars="200"/>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color w:val="auto"/>
                <w:szCs w:val="21"/>
                <w:highlight w:val="none"/>
              </w:rPr>
              <w:t>五档（</w:t>
            </w:r>
            <w:r>
              <w:rPr>
                <w:rFonts w:hint="eastAsia" w:ascii="宋体" w:hAnsi="宋体" w:eastAsia="宋体" w:cs="宋体"/>
                <w:b/>
                <w:bCs/>
                <w:color w:val="auto"/>
                <w:szCs w:val="21"/>
                <w:highlight w:val="none"/>
                <w:lang w:val="en-US" w:eastAsia="zh-CN"/>
              </w:rPr>
              <w:t>10</w:t>
            </w:r>
            <w:r>
              <w:rPr>
                <w:rFonts w:hint="eastAsia" w:ascii="宋体" w:hAnsi="宋体" w:eastAsia="宋体" w:cs="宋体"/>
                <w:b/>
                <w:bCs/>
                <w:color w:val="auto"/>
                <w:szCs w:val="21"/>
                <w:highlight w:val="none"/>
              </w:rPr>
              <w:t xml:space="preserve">分）：针对发生紧急事件的问题处理预案内容详尽、全面，且承诺退换完成时间在 </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 xml:space="preserve"> 小时以内。此外，还具备健全、详细、高效的服务承诺，后期售后服务</w:t>
            </w:r>
            <w:r>
              <w:rPr>
                <w:rFonts w:hint="eastAsia" w:ascii="宋体" w:hAnsi="宋体" w:eastAsia="宋体" w:cs="宋体"/>
                <w:b/>
                <w:bCs/>
                <w:color w:val="auto"/>
                <w:szCs w:val="21"/>
                <w:highlight w:val="none"/>
                <w:lang w:val="en-US" w:eastAsia="zh-CN"/>
              </w:rPr>
              <w:t>方案</w:t>
            </w:r>
            <w:r>
              <w:rPr>
                <w:rFonts w:hint="eastAsia" w:ascii="宋体" w:hAnsi="宋体" w:eastAsia="宋体" w:cs="宋体"/>
                <w:b/>
                <w:bCs/>
                <w:color w:val="auto"/>
                <w:szCs w:val="21"/>
                <w:highlight w:val="none"/>
              </w:rPr>
              <w:t>多样且有效，措施</w:t>
            </w:r>
            <w:r>
              <w:rPr>
                <w:rFonts w:hint="eastAsia" w:ascii="宋体" w:hAnsi="宋体" w:eastAsia="宋体" w:cs="宋体"/>
                <w:b/>
                <w:bCs/>
                <w:color w:val="auto"/>
                <w:szCs w:val="21"/>
                <w:highlight w:val="none"/>
              </w:rPr>
              <w:fldChar w:fldCharType="begin"/>
            </w:r>
            <w:r>
              <w:rPr>
                <w:rFonts w:hint="eastAsia" w:ascii="宋体" w:hAnsi="宋体" w:eastAsia="宋体" w:cs="宋体"/>
                <w:b/>
                <w:bCs/>
                <w:color w:val="auto"/>
                <w:szCs w:val="21"/>
                <w:highlight w:val="none"/>
              </w:rPr>
              <w:instrText xml:space="preserve"> HYPERLINK "coco://sendMessage?ext={"s$wiki_link":"https://m.baike.com/wikiid/5718075250627280003"}&amp;msg=%E5%BE%97%E5%8A%9B" \t "https://www.doubao.com/chat/_blank" </w:instrText>
            </w:r>
            <w:r>
              <w:rPr>
                <w:rFonts w:hint="eastAsia" w:ascii="宋体" w:hAnsi="宋体" w:eastAsia="宋体" w:cs="宋体"/>
                <w:b/>
                <w:bCs/>
                <w:color w:val="auto"/>
                <w:szCs w:val="21"/>
                <w:highlight w:val="none"/>
              </w:rPr>
              <w:fldChar w:fldCharType="separate"/>
            </w:r>
            <w:r>
              <w:rPr>
                <w:rFonts w:hint="eastAsia" w:ascii="宋体" w:hAnsi="宋体" w:eastAsia="宋体" w:cs="宋体"/>
                <w:b/>
                <w:bCs/>
                <w:color w:val="auto"/>
                <w:szCs w:val="21"/>
                <w:highlight w:val="none"/>
              </w:rPr>
              <w:t>得力</w:t>
            </w:r>
            <w:r>
              <w:rPr>
                <w:rFonts w:hint="eastAsia" w:ascii="宋体" w:hAnsi="宋体" w:eastAsia="宋体" w:cs="宋体"/>
                <w:b/>
                <w:bCs/>
                <w:color w:val="auto"/>
                <w:szCs w:val="21"/>
                <w:highlight w:val="none"/>
              </w:rPr>
              <w:fldChar w:fldCharType="end"/>
            </w:r>
            <w:r>
              <w:rPr>
                <w:rFonts w:hint="eastAsia" w:ascii="宋体" w:hAnsi="宋体" w:eastAsia="宋体" w:cs="宋体"/>
                <w:b/>
                <w:bCs/>
                <w:color w:val="auto"/>
                <w:szCs w:val="21"/>
                <w:highlight w:val="none"/>
              </w:rPr>
              <w:t>，完全符合采购需求，服务意识极高。</w:t>
            </w:r>
          </w:p>
        </w:tc>
      </w:tr>
      <w:tr w14:paraId="6006B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62" w:type="dxa"/>
            <w:noWrap w:val="0"/>
            <w:vAlign w:val="center"/>
          </w:tcPr>
          <w:p w14:paraId="37AA95F6">
            <w:pPr>
              <w:keepNext w:val="0"/>
              <w:keepLines w:val="0"/>
              <w:pageBreakBefore w:val="0"/>
              <w:kinsoku/>
              <w:overflowPunct/>
              <w:topLinePunct w:val="0"/>
              <w:autoSpaceDE/>
              <w:autoSpaceDN/>
              <w:bidi w:val="0"/>
              <w:adjustRightInd w:val="0"/>
              <w:snapToGrid w:val="0"/>
              <w:spacing w:line="360" w:lineRule="exact"/>
              <w:jc w:val="center"/>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1585" w:type="dxa"/>
            <w:noWrap w:val="0"/>
            <w:vAlign w:val="center"/>
          </w:tcPr>
          <w:p w14:paraId="39E77332">
            <w:pPr>
              <w:keepNext w:val="0"/>
              <w:keepLines w:val="0"/>
              <w:pageBreakBefore w:val="0"/>
              <w:kinsoku/>
              <w:overflowPunct/>
              <w:topLinePunct w:val="0"/>
              <w:autoSpaceDE/>
              <w:autoSpaceDN/>
              <w:bidi w:val="0"/>
              <w:adjustRightInd w:val="0"/>
              <w:snapToGrid w:val="0"/>
              <w:spacing w:line="360" w:lineRule="exact"/>
              <w:ind w:left="-105" w:leftChars="-50" w:right="-105" w:rightChars="-50"/>
              <w:jc w:val="center"/>
              <w:textAlignment w:val="baseline"/>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color w:val="auto"/>
                <w:szCs w:val="21"/>
                <w:highlight w:val="none"/>
              </w:rPr>
              <w:t>管理制度分</w:t>
            </w:r>
          </w:p>
          <w:p w14:paraId="0F573C3E">
            <w:pPr>
              <w:keepNext w:val="0"/>
              <w:keepLines w:val="0"/>
              <w:pageBreakBefore w:val="0"/>
              <w:kinsoku/>
              <w:overflowPunct/>
              <w:topLinePunct w:val="0"/>
              <w:autoSpaceDE/>
              <w:autoSpaceDN/>
              <w:bidi w:val="0"/>
              <w:adjustRightInd w:val="0"/>
              <w:snapToGrid w:val="0"/>
              <w:spacing w:line="360" w:lineRule="exact"/>
              <w:jc w:val="center"/>
              <w:textAlignment w:val="baseline"/>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（满分</w:t>
            </w:r>
            <w:r>
              <w:rPr>
                <w:rFonts w:hint="eastAsia" w:ascii="宋体" w:hAnsi="宋体" w:eastAsia="宋体" w:cs="宋体"/>
                <w:bCs/>
                <w:color w:val="auto"/>
                <w:kern w:val="0"/>
                <w:sz w:val="21"/>
                <w:szCs w:val="21"/>
                <w:highlight w:val="none"/>
                <w:u w:val="single"/>
                <w:lang w:val="en-US" w:eastAsia="zh-CN" w:bidi="ar-SA"/>
              </w:rPr>
              <w:t xml:space="preserve"> </w:t>
            </w:r>
            <w:r>
              <w:rPr>
                <w:rFonts w:hint="eastAsia" w:ascii="宋体" w:hAnsi="宋体" w:cs="宋体"/>
                <w:bCs/>
                <w:color w:val="auto"/>
                <w:kern w:val="0"/>
                <w:sz w:val="21"/>
                <w:szCs w:val="21"/>
                <w:highlight w:val="none"/>
                <w:u w:val="single"/>
                <w:lang w:val="en-US" w:eastAsia="zh-CN" w:bidi="ar-SA"/>
              </w:rPr>
              <w:t>10</w:t>
            </w:r>
            <w:r>
              <w:rPr>
                <w:rFonts w:hint="eastAsia" w:ascii="宋体" w:hAnsi="宋体" w:eastAsia="宋体" w:cs="宋体"/>
                <w:bCs/>
                <w:color w:val="auto"/>
                <w:kern w:val="0"/>
                <w:sz w:val="21"/>
                <w:szCs w:val="21"/>
                <w:highlight w:val="none"/>
                <w:u w:val="single"/>
                <w:lang w:val="en-US" w:eastAsia="zh-CN" w:bidi="ar-SA"/>
              </w:rPr>
              <w:t xml:space="preserve"> </w:t>
            </w:r>
            <w:r>
              <w:rPr>
                <w:rFonts w:hint="eastAsia" w:ascii="宋体" w:hAnsi="宋体" w:eastAsia="宋体" w:cs="宋体"/>
                <w:bCs/>
                <w:color w:val="auto"/>
                <w:kern w:val="0"/>
                <w:sz w:val="21"/>
                <w:szCs w:val="21"/>
                <w:highlight w:val="none"/>
                <w:lang w:val="en-US" w:eastAsia="zh-CN" w:bidi="ar-SA"/>
              </w:rPr>
              <w:t>分）</w:t>
            </w:r>
          </w:p>
        </w:tc>
        <w:tc>
          <w:tcPr>
            <w:tcW w:w="1520" w:type="dxa"/>
            <w:noWrap w:val="0"/>
            <w:tcMar>
              <w:left w:w="57" w:type="dxa"/>
              <w:right w:w="57" w:type="dxa"/>
            </w:tcMar>
            <w:vAlign w:val="center"/>
          </w:tcPr>
          <w:p w14:paraId="721CF87E">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管理制度分</w:t>
            </w:r>
          </w:p>
          <w:p w14:paraId="387D5FFB">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（满分</w:t>
            </w:r>
            <w:r>
              <w:rPr>
                <w:rFonts w:hint="eastAsia" w:ascii="宋体" w:hAnsi="宋体" w:cs="宋体"/>
                <w:b/>
                <w:bCs/>
                <w:color w:val="auto"/>
                <w:szCs w:val="21"/>
                <w:highlight w:val="none"/>
                <w:lang w:val="en-US" w:eastAsia="zh-CN"/>
              </w:rPr>
              <w:t>10</w:t>
            </w:r>
            <w:r>
              <w:rPr>
                <w:rFonts w:hint="eastAsia" w:ascii="宋体" w:hAnsi="宋体" w:eastAsia="宋体" w:cs="宋体"/>
                <w:b/>
                <w:bCs/>
                <w:color w:val="auto"/>
                <w:szCs w:val="21"/>
                <w:highlight w:val="none"/>
              </w:rPr>
              <w:t>分）</w:t>
            </w:r>
          </w:p>
        </w:tc>
        <w:tc>
          <w:tcPr>
            <w:tcW w:w="6096" w:type="dxa"/>
            <w:noWrap w:val="0"/>
            <w:vAlign w:val="center"/>
          </w:tcPr>
          <w:p w14:paraId="435EF299">
            <w:pPr>
              <w:keepNext w:val="0"/>
              <w:keepLines w:val="0"/>
              <w:pageBreakBefore w:val="0"/>
              <w:widowControl/>
              <w:kinsoku/>
              <w:overflowPunct/>
              <w:topLinePunct w:val="0"/>
              <w:autoSpaceDE/>
              <w:autoSpaceDN/>
              <w:bidi w:val="0"/>
              <w:snapToGrid w:val="0"/>
              <w:spacing w:line="3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一档（</w:t>
            </w:r>
            <w:r>
              <w:rPr>
                <w:rFonts w:hint="eastAsia" w:ascii="宋体" w:hAnsi="宋体" w:eastAsia="宋体" w:cs="宋体"/>
                <w:b/>
                <w:bCs/>
                <w:color w:val="auto"/>
                <w:szCs w:val="21"/>
                <w:highlight w:val="none"/>
                <w:lang w:val="en-US" w:eastAsia="zh-CN"/>
              </w:rPr>
              <w:t>2.5</w:t>
            </w:r>
            <w:r>
              <w:rPr>
                <w:rFonts w:hint="eastAsia" w:ascii="宋体" w:hAnsi="宋体" w:eastAsia="宋体" w:cs="宋体"/>
                <w:b/>
                <w:bCs/>
                <w:color w:val="auto"/>
                <w:szCs w:val="21"/>
                <w:highlight w:val="none"/>
              </w:rPr>
              <w:t>分）：供应商缺乏管理制度方案或管理制度不完备。</w:t>
            </w:r>
          </w:p>
          <w:p w14:paraId="6BF33529">
            <w:pPr>
              <w:keepNext w:val="0"/>
              <w:keepLines w:val="0"/>
              <w:pageBreakBefore w:val="0"/>
              <w:widowControl/>
              <w:kinsoku/>
              <w:overflowPunct/>
              <w:topLinePunct w:val="0"/>
              <w:autoSpaceDE/>
              <w:autoSpaceDN/>
              <w:bidi w:val="0"/>
              <w:snapToGrid w:val="0"/>
              <w:spacing w:line="3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二档（</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分）：供应商具备完整的管理制度，但描述较为简略。</w:t>
            </w:r>
          </w:p>
          <w:p w14:paraId="75890E1D">
            <w:pPr>
              <w:keepNext w:val="0"/>
              <w:keepLines w:val="0"/>
              <w:pageBreakBefore w:val="0"/>
              <w:widowControl/>
              <w:kinsoku/>
              <w:overflowPunct/>
              <w:topLinePunct w:val="0"/>
              <w:autoSpaceDE/>
              <w:autoSpaceDN/>
              <w:bidi w:val="0"/>
              <w:snapToGrid w:val="0"/>
              <w:spacing w:line="3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三档（</w:t>
            </w:r>
            <w:r>
              <w:rPr>
                <w:rFonts w:hint="eastAsia" w:ascii="宋体" w:hAnsi="宋体" w:eastAsia="宋体" w:cs="宋体"/>
                <w:b/>
                <w:bCs/>
                <w:color w:val="auto"/>
                <w:szCs w:val="21"/>
                <w:highlight w:val="none"/>
                <w:lang w:val="en-US" w:eastAsia="zh-CN"/>
              </w:rPr>
              <w:t>7.5</w:t>
            </w:r>
            <w:r>
              <w:rPr>
                <w:rFonts w:hint="eastAsia" w:ascii="宋体" w:hAnsi="宋体" w:eastAsia="宋体" w:cs="宋体"/>
                <w:b/>
                <w:bCs/>
                <w:color w:val="auto"/>
                <w:szCs w:val="21"/>
                <w:highlight w:val="none"/>
              </w:rPr>
              <w:t>分）：供应商管理制度完备，且描述较为清晰明确。</w:t>
            </w:r>
          </w:p>
          <w:p w14:paraId="6646525A">
            <w:pPr>
              <w:keepNext w:val="0"/>
              <w:keepLines w:val="0"/>
              <w:pageBreakBefore w:val="0"/>
              <w:widowControl/>
              <w:kinsoku/>
              <w:overflowPunct/>
              <w:topLinePunct w:val="0"/>
              <w:autoSpaceDE/>
              <w:autoSpaceDN/>
              <w:bidi w:val="0"/>
              <w:snapToGrid w:val="0"/>
              <w:spacing w:line="360" w:lineRule="exact"/>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四档（1</w:t>
            </w:r>
            <w:r>
              <w:rPr>
                <w:rFonts w:hint="eastAsia" w:ascii="宋体" w:hAnsi="宋体" w:eastAsia="宋体" w:cs="宋体"/>
                <w:b/>
                <w:bCs/>
                <w:color w:val="auto"/>
                <w:szCs w:val="21"/>
                <w:highlight w:val="none"/>
                <w:lang w:val="en-US" w:eastAsia="zh-CN"/>
              </w:rPr>
              <w:t>0</w:t>
            </w:r>
            <w:r>
              <w:rPr>
                <w:rFonts w:hint="eastAsia" w:ascii="宋体" w:hAnsi="宋体" w:eastAsia="宋体" w:cs="宋体"/>
                <w:b/>
                <w:bCs/>
                <w:color w:val="auto"/>
                <w:szCs w:val="21"/>
                <w:highlight w:val="none"/>
              </w:rPr>
              <w:t>分）：供应商管理制度完善，描述清晰详尽，且有根据供应商内部管理和项目实际情况制定的各项专项管理制度。</w:t>
            </w:r>
          </w:p>
        </w:tc>
      </w:tr>
      <w:tr w14:paraId="100F5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62" w:type="dxa"/>
            <w:vMerge w:val="restart"/>
            <w:noWrap w:val="0"/>
            <w:vAlign w:val="center"/>
          </w:tcPr>
          <w:p w14:paraId="3AAA07D0">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p>
        </w:tc>
        <w:tc>
          <w:tcPr>
            <w:tcW w:w="1585" w:type="dxa"/>
            <w:vMerge w:val="restart"/>
            <w:noWrap w:val="0"/>
            <w:vAlign w:val="center"/>
          </w:tcPr>
          <w:p w14:paraId="7FCCDF61">
            <w:pPr>
              <w:keepNext w:val="0"/>
              <w:keepLines w:val="0"/>
              <w:pageBreakBefore w:val="0"/>
              <w:kinsoku/>
              <w:overflowPunct/>
              <w:topLinePunct w:val="0"/>
              <w:autoSpaceDE/>
              <w:autoSpaceDN/>
              <w:bidi w:val="0"/>
              <w:adjustRightInd w:val="0"/>
              <w:snapToGrid w:val="0"/>
              <w:spacing w:line="360" w:lineRule="exact"/>
              <w:ind w:left="-105" w:leftChars="-50" w:right="-105" w:rightChars="-50"/>
              <w:jc w:val="center"/>
              <w:textAlignment w:val="baseline"/>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color w:val="auto"/>
                <w:szCs w:val="21"/>
                <w:highlight w:val="none"/>
              </w:rPr>
              <w:t>企业综合实力分</w:t>
            </w:r>
          </w:p>
          <w:p w14:paraId="2D2417EB">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（满分</w:t>
            </w:r>
            <w:r>
              <w:rPr>
                <w:rFonts w:hint="eastAsia" w:ascii="宋体" w:hAnsi="宋体" w:eastAsia="宋体" w:cs="宋体"/>
                <w:bCs/>
                <w:color w:val="auto"/>
                <w:kern w:val="0"/>
                <w:sz w:val="21"/>
                <w:szCs w:val="21"/>
                <w:highlight w:val="none"/>
                <w:u w:val="single"/>
                <w:lang w:val="en-US" w:eastAsia="zh-CN" w:bidi="ar-SA"/>
              </w:rPr>
              <w:t xml:space="preserve"> </w:t>
            </w:r>
            <w:r>
              <w:rPr>
                <w:rFonts w:hint="eastAsia" w:ascii="宋体" w:hAnsi="宋体" w:cs="宋体"/>
                <w:bCs/>
                <w:color w:val="auto"/>
                <w:kern w:val="0"/>
                <w:sz w:val="21"/>
                <w:szCs w:val="21"/>
                <w:highlight w:val="none"/>
                <w:u w:val="single"/>
                <w:lang w:val="en-US" w:eastAsia="zh-CN" w:bidi="ar-SA"/>
              </w:rPr>
              <w:t>30</w:t>
            </w:r>
            <w:r>
              <w:rPr>
                <w:rFonts w:hint="eastAsia" w:ascii="宋体" w:hAnsi="宋体" w:eastAsia="宋体" w:cs="宋体"/>
                <w:bCs/>
                <w:color w:val="auto"/>
                <w:kern w:val="0"/>
                <w:sz w:val="21"/>
                <w:szCs w:val="21"/>
                <w:highlight w:val="none"/>
                <w:u w:val="single"/>
                <w:lang w:val="en-US" w:eastAsia="zh-CN" w:bidi="ar-SA"/>
              </w:rPr>
              <w:t xml:space="preserve"> </w:t>
            </w:r>
            <w:r>
              <w:rPr>
                <w:rFonts w:hint="eastAsia" w:ascii="宋体" w:hAnsi="宋体" w:eastAsia="宋体" w:cs="宋体"/>
                <w:bCs/>
                <w:color w:val="auto"/>
                <w:kern w:val="0"/>
                <w:sz w:val="21"/>
                <w:szCs w:val="21"/>
                <w:highlight w:val="none"/>
                <w:lang w:val="en-US" w:eastAsia="zh-CN" w:bidi="ar-SA"/>
              </w:rPr>
              <w:t>分）</w:t>
            </w:r>
          </w:p>
        </w:tc>
        <w:tc>
          <w:tcPr>
            <w:tcW w:w="1520" w:type="dxa"/>
            <w:noWrap w:val="0"/>
            <w:vAlign w:val="center"/>
          </w:tcPr>
          <w:p w14:paraId="68AA25A5">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color w:val="auto"/>
                <w:szCs w:val="21"/>
                <w:highlight w:val="none"/>
              </w:rPr>
              <w:t>（1）配送能力（</w:t>
            </w:r>
            <w:r>
              <w:rPr>
                <w:rFonts w:hint="eastAsia" w:ascii="宋体" w:hAnsi="宋体" w:eastAsia="宋体" w:cs="宋体"/>
                <w:b/>
                <w:bCs/>
                <w:color w:val="auto"/>
                <w:szCs w:val="21"/>
                <w:highlight w:val="none"/>
                <w:lang w:eastAsia="zh-CN"/>
              </w:rPr>
              <w:t>满分</w:t>
            </w:r>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rPr>
              <w:t>分）</w:t>
            </w:r>
          </w:p>
        </w:tc>
        <w:tc>
          <w:tcPr>
            <w:tcW w:w="6096" w:type="dxa"/>
            <w:noWrap w:val="0"/>
            <w:vAlign w:val="top"/>
          </w:tcPr>
          <w:p w14:paraId="3147FB28">
            <w:pPr>
              <w:keepNext w:val="0"/>
              <w:keepLines w:val="0"/>
              <w:pageBreakBefore w:val="0"/>
              <w:shd w:val="clear" w:color="auto" w:fill="auto"/>
              <w:kinsoku/>
              <w:wordWrap w:val="0"/>
              <w:overflowPunct/>
              <w:topLinePunct w:val="0"/>
              <w:autoSpaceDE/>
              <w:autoSpaceDN/>
              <w:bidi w:val="0"/>
              <w:spacing w:line="36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在满足</w:t>
            </w:r>
            <w:r>
              <w:rPr>
                <w:rFonts w:hint="eastAsia" w:ascii="宋体" w:hAnsi="宋体" w:cs="宋体"/>
                <w:color w:val="auto"/>
                <w:szCs w:val="21"/>
                <w:highlight w:val="none"/>
                <w:lang w:val="en-US" w:eastAsia="zh-CN"/>
              </w:rPr>
              <w:t>至少一辆专业配送车的</w:t>
            </w:r>
            <w:r>
              <w:rPr>
                <w:rFonts w:hint="eastAsia" w:ascii="宋体" w:hAnsi="宋体" w:eastAsia="宋体" w:cs="宋体"/>
                <w:color w:val="auto"/>
                <w:szCs w:val="21"/>
                <w:highlight w:val="none"/>
                <w:lang w:eastAsia="zh-CN"/>
              </w:rPr>
              <w:t>基础上，投标人</w:t>
            </w:r>
            <w:r>
              <w:rPr>
                <w:rFonts w:hint="eastAsia" w:ascii="宋体" w:hAnsi="宋体" w:eastAsia="宋体" w:cs="宋体"/>
                <w:color w:val="auto"/>
                <w:szCs w:val="21"/>
                <w:highlight w:val="none"/>
              </w:rPr>
              <w:t>每增加1辆</w:t>
            </w:r>
            <w:r>
              <w:rPr>
                <w:rFonts w:hint="eastAsia" w:ascii="宋体" w:hAnsi="宋体" w:eastAsia="宋体" w:cs="宋体"/>
                <w:color w:val="auto"/>
                <w:szCs w:val="21"/>
                <w:highlight w:val="none"/>
                <w:lang w:eastAsia="zh-CN"/>
              </w:rPr>
              <w:t>自有或租赁</w:t>
            </w:r>
            <w:r>
              <w:rPr>
                <w:rFonts w:hint="eastAsia" w:ascii="宋体" w:hAnsi="宋体" w:eastAsia="宋体" w:cs="宋体"/>
                <w:color w:val="auto"/>
                <w:szCs w:val="21"/>
                <w:highlight w:val="none"/>
              </w:rPr>
              <w:t>冷藏厢式货车</w:t>
            </w:r>
            <w:r>
              <w:rPr>
                <w:rFonts w:hint="eastAsia" w:ascii="宋体" w:hAnsi="宋体" w:eastAsia="宋体" w:cs="宋体"/>
                <w:color w:val="auto"/>
                <w:szCs w:val="21"/>
                <w:highlight w:val="none"/>
                <w:lang w:eastAsia="zh-CN"/>
              </w:rPr>
              <w:t>得</w:t>
            </w:r>
            <w:r>
              <w:rPr>
                <w:rFonts w:hint="eastAsia" w:ascii="宋体" w:hAnsi="宋体" w:eastAsia="宋体" w:cs="宋体"/>
                <w:color w:val="auto"/>
                <w:szCs w:val="21"/>
                <w:highlight w:val="none"/>
                <w:lang w:val="en-US" w:eastAsia="zh-CN"/>
              </w:rPr>
              <w:t>3分</w:t>
            </w:r>
            <w:r>
              <w:rPr>
                <w:rFonts w:hint="eastAsia" w:ascii="宋体" w:hAnsi="宋体" w:eastAsia="宋体" w:cs="宋体"/>
                <w:color w:val="auto"/>
                <w:szCs w:val="21"/>
                <w:highlight w:val="none"/>
                <w:lang w:eastAsia="zh-CN"/>
              </w:rPr>
              <w:t>，每增加</w:t>
            </w:r>
            <w:r>
              <w:rPr>
                <w:rFonts w:hint="eastAsia" w:ascii="宋体" w:hAnsi="宋体" w:eastAsia="宋体" w:cs="宋体"/>
                <w:color w:val="auto"/>
                <w:szCs w:val="21"/>
                <w:highlight w:val="none"/>
              </w:rPr>
              <w:t>1辆普通货车得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此项满分</w:t>
            </w:r>
            <w:r>
              <w:rPr>
                <w:rFonts w:hint="eastAsia" w:ascii="宋体" w:hAnsi="宋体" w:eastAsia="宋体" w:cs="宋体"/>
                <w:color w:val="auto"/>
                <w:szCs w:val="21"/>
                <w:highlight w:val="none"/>
                <w:lang w:val="en-US" w:eastAsia="zh-CN"/>
              </w:rPr>
              <w:t>6分。</w:t>
            </w:r>
          </w:p>
          <w:p w14:paraId="7ECF24BA">
            <w:pPr>
              <w:keepNext w:val="0"/>
              <w:keepLines w:val="0"/>
              <w:pageBreakBefore w:val="0"/>
              <w:shd w:val="clear" w:color="auto" w:fill="auto"/>
              <w:kinsoku/>
              <w:wordWrap w:val="0"/>
              <w:overflowPunct/>
              <w:topLinePunct w:val="0"/>
              <w:autoSpaceDE/>
              <w:autoSpaceDN/>
              <w:bidi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注：【自有车辆必须提供车辆行驶证或购买车辆发票（车辆所有人为</w:t>
            </w:r>
            <w:r>
              <w:rPr>
                <w:rFonts w:hint="eastAsia" w:ascii="宋体" w:hAnsi="宋体" w:eastAsia="宋体" w:cs="宋体"/>
                <w:color w:val="auto"/>
                <w:szCs w:val="21"/>
                <w:highlight w:val="none"/>
                <w:lang w:eastAsia="zh-CN"/>
              </w:rPr>
              <w:t>法定代表人</w:t>
            </w:r>
            <w:r>
              <w:rPr>
                <w:rFonts w:hint="eastAsia" w:ascii="宋体" w:hAnsi="宋体" w:eastAsia="宋体" w:cs="宋体"/>
                <w:color w:val="auto"/>
                <w:szCs w:val="21"/>
                <w:highlight w:val="none"/>
              </w:rPr>
              <w:t>名字或投标单位名字）复印件，并提供车辆正面、侧面、后面</w:t>
            </w:r>
            <w:r>
              <w:rPr>
                <w:rFonts w:hint="eastAsia" w:ascii="宋体" w:hAnsi="宋体" w:eastAsia="宋体" w:cs="宋体"/>
                <w:color w:val="auto"/>
                <w:kern w:val="2"/>
                <w:sz w:val="21"/>
                <w:szCs w:val="21"/>
                <w:highlight w:val="none"/>
                <w:lang w:val="en-US" w:eastAsia="zh-CN" w:bidi="ar-SA"/>
              </w:rPr>
              <w:t>实拍照片</w:t>
            </w:r>
            <w:r>
              <w:rPr>
                <w:rFonts w:hint="eastAsia" w:ascii="宋体" w:hAnsi="宋体" w:eastAsia="宋体" w:cs="宋体"/>
                <w:color w:val="auto"/>
                <w:szCs w:val="21"/>
                <w:highlight w:val="none"/>
              </w:rPr>
              <w:t>且清晰可辨等</w:t>
            </w:r>
            <w:r>
              <w:rPr>
                <w:rFonts w:hint="eastAsia" w:ascii="宋体" w:hAnsi="宋体" w:eastAsia="宋体" w:cs="宋体"/>
                <w:color w:val="auto"/>
                <w:szCs w:val="21"/>
                <w:highlight w:val="none"/>
                <w:lang w:eastAsia="zh-CN"/>
              </w:rPr>
              <w:t>证明</w:t>
            </w:r>
            <w:r>
              <w:rPr>
                <w:rFonts w:hint="eastAsia" w:ascii="宋体" w:hAnsi="宋体" w:eastAsia="宋体" w:cs="宋体"/>
                <w:color w:val="auto"/>
                <w:szCs w:val="21"/>
                <w:highlight w:val="none"/>
              </w:rPr>
              <w:t>文件】；【租赁车辆必须提供行驶证或购买发票（所有人为出租方）及租赁合同复印件（租车时必须提供，租赁期须包含本项目服务期），并提供车辆正面、侧面、后面</w:t>
            </w:r>
            <w:r>
              <w:rPr>
                <w:rFonts w:hint="eastAsia" w:ascii="宋体" w:hAnsi="宋体" w:cs="宋体"/>
                <w:color w:val="auto"/>
                <w:kern w:val="2"/>
                <w:sz w:val="21"/>
                <w:szCs w:val="21"/>
                <w:highlight w:val="none"/>
                <w:lang w:val="en-US" w:eastAsia="zh-CN" w:bidi="ar-SA"/>
              </w:rPr>
              <w:t>车辆</w:t>
            </w:r>
            <w:r>
              <w:rPr>
                <w:rFonts w:hint="eastAsia" w:ascii="宋体" w:hAnsi="宋体" w:eastAsia="宋体" w:cs="宋体"/>
                <w:color w:val="auto"/>
                <w:kern w:val="2"/>
                <w:sz w:val="21"/>
                <w:szCs w:val="21"/>
                <w:highlight w:val="none"/>
                <w:lang w:val="en-US" w:eastAsia="zh-CN" w:bidi="ar-SA"/>
              </w:rPr>
              <w:t>实拍照片</w:t>
            </w:r>
            <w:r>
              <w:rPr>
                <w:rFonts w:hint="eastAsia" w:ascii="宋体" w:hAnsi="宋体" w:eastAsia="宋体" w:cs="宋体"/>
                <w:color w:val="auto"/>
                <w:szCs w:val="21"/>
                <w:highlight w:val="none"/>
              </w:rPr>
              <w:t>且清晰可辨等</w:t>
            </w:r>
            <w:r>
              <w:rPr>
                <w:rFonts w:hint="eastAsia" w:ascii="宋体" w:hAnsi="宋体" w:eastAsia="宋体" w:cs="宋体"/>
                <w:color w:val="auto"/>
                <w:szCs w:val="21"/>
                <w:highlight w:val="none"/>
                <w:lang w:eastAsia="zh-CN"/>
              </w:rPr>
              <w:t>证明</w:t>
            </w:r>
            <w:r>
              <w:rPr>
                <w:rFonts w:hint="eastAsia" w:ascii="宋体" w:hAnsi="宋体" w:eastAsia="宋体" w:cs="宋体"/>
                <w:color w:val="auto"/>
                <w:szCs w:val="21"/>
                <w:highlight w:val="none"/>
              </w:rPr>
              <w:t>文件】，所提供的复印件须加盖</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公章，未按要求提供相关材料或扫描不清晰导致无法识别的不计得分。</w:t>
            </w:r>
          </w:p>
          <w:p w14:paraId="68A84977">
            <w:pPr>
              <w:keepNext w:val="0"/>
              <w:keepLines w:val="0"/>
              <w:pageBreakBefore w:val="0"/>
              <w:shd w:val="clear" w:color="auto" w:fill="auto"/>
              <w:kinsoku/>
              <w:wordWrap w:val="0"/>
              <w:overflowPunct/>
              <w:topLinePunct w:val="0"/>
              <w:autoSpaceDE/>
              <w:autoSpaceDN/>
              <w:bidi w:val="0"/>
              <w:spacing w:line="360" w:lineRule="exact"/>
              <w:ind w:firstLine="420" w:firstLineChars="200"/>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szCs w:val="21"/>
                <w:highlight w:val="none"/>
              </w:rPr>
              <w:t>中标后核查行驶证、发票及租赁合同原件，如发现虚假应标则取消中标资格，由下一中标候选人递补。</w:t>
            </w:r>
          </w:p>
        </w:tc>
      </w:tr>
      <w:tr w14:paraId="34BAB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62" w:type="dxa"/>
            <w:vMerge w:val="continue"/>
            <w:noWrap w:val="0"/>
            <w:vAlign w:val="center"/>
          </w:tcPr>
          <w:p w14:paraId="50521B62">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color w:val="auto"/>
                <w:sz w:val="24"/>
                <w:highlight w:val="none"/>
                <w:lang w:val="en-US" w:eastAsia="zh-CN"/>
              </w:rPr>
            </w:pPr>
          </w:p>
        </w:tc>
        <w:tc>
          <w:tcPr>
            <w:tcW w:w="1585" w:type="dxa"/>
            <w:vMerge w:val="continue"/>
            <w:noWrap w:val="0"/>
            <w:vAlign w:val="center"/>
          </w:tcPr>
          <w:p w14:paraId="5D8B361C">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bCs/>
                <w:color w:val="auto"/>
                <w:kern w:val="0"/>
                <w:sz w:val="21"/>
                <w:szCs w:val="21"/>
                <w:highlight w:val="none"/>
                <w:lang w:val="en-US" w:eastAsia="zh-CN" w:bidi="ar-SA"/>
              </w:rPr>
            </w:pPr>
          </w:p>
        </w:tc>
        <w:tc>
          <w:tcPr>
            <w:tcW w:w="1520" w:type="dxa"/>
            <w:noWrap w:val="0"/>
            <w:vAlign w:val="center"/>
          </w:tcPr>
          <w:p w14:paraId="2837F1ED">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（2）拟投入人员（</w:t>
            </w:r>
            <w:r>
              <w:rPr>
                <w:rFonts w:hint="eastAsia" w:ascii="宋体" w:hAnsi="宋体" w:eastAsia="宋体" w:cs="宋体"/>
                <w:b/>
                <w:bCs/>
                <w:color w:val="auto"/>
                <w:szCs w:val="21"/>
                <w:highlight w:val="none"/>
                <w:lang w:eastAsia="zh-CN"/>
              </w:rPr>
              <w:t>满分</w:t>
            </w:r>
            <w:r>
              <w:rPr>
                <w:rFonts w:hint="eastAsia" w:ascii="宋体" w:hAnsi="宋体" w:cs="宋体"/>
                <w:b/>
                <w:bCs/>
                <w:color w:val="auto"/>
                <w:szCs w:val="21"/>
                <w:highlight w:val="none"/>
                <w:lang w:val="en-US" w:eastAsia="zh-CN"/>
              </w:rPr>
              <w:t>6</w:t>
            </w:r>
            <w:r>
              <w:rPr>
                <w:rFonts w:hint="eastAsia" w:ascii="宋体" w:hAnsi="宋体" w:eastAsia="宋体" w:cs="宋体"/>
                <w:b/>
                <w:bCs/>
                <w:color w:val="auto"/>
                <w:szCs w:val="21"/>
                <w:highlight w:val="none"/>
              </w:rPr>
              <w:t>分）</w:t>
            </w:r>
          </w:p>
        </w:tc>
        <w:tc>
          <w:tcPr>
            <w:tcW w:w="6096" w:type="dxa"/>
            <w:noWrap w:val="0"/>
            <w:vAlign w:val="top"/>
          </w:tcPr>
          <w:p w14:paraId="08602AC1">
            <w:pPr>
              <w:keepNext w:val="0"/>
              <w:keepLines w:val="0"/>
              <w:pageBreakBefore w:val="0"/>
              <w:shd w:val="clear" w:color="auto" w:fill="auto"/>
              <w:kinsoku/>
              <w:wordWrap w:val="0"/>
              <w:overflowPunct/>
              <w:topLinePunct w:val="0"/>
              <w:autoSpaceDE/>
              <w:autoSpaceDN/>
              <w:bidi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拟投入本项目的项目实施人员</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eastAsia="zh-CN"/>
              </w:rPr>
              <w:t>（含配送司机）</w:t>
            </w:r>
            <w:r>
              <w:rPr>
                <w:rFonts w:hint="eastAsia" w:ascii="宋体" w:hAnsi="宋体" w:eastAsia="宋体" w:cs="宋体"/>
                <w:color w:val="auto"/>
                <w:szCs w:val="21"/>
                <w:highlight w:val="none"/>
              </w:rPr>
              <w:t>得</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分，每增加1人得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分，满分</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分。</w:t>
            </w:r>
          </w:p>
          <w:p w14:paraId="02B24739">
            <w:pPr>
              <w:keepNext w:val="0"/>
              <w:keepLines w:val="0"/>
              <w:pageBreakBefore w:val="0"/>
              <w:shd w:val="clear" w:color="auto" w:fill="auto"/>
              <w:kinsoku/>
              <w:wordWrap w:val="0"/>
              <w:overflowPunct/>
              <w:topLinePunct w:val="0"/>
              <w:autoSpaceDE/>
              <w:autoSpaceDN/>
              <w:bidi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r>
              <w:rPr>
                <w:rFonts w:hint="eastAsia" w:ascii="宋体" w:hAnsi="宋体" w:eastAsia="宋体" w:cs="宋体"/>
                <w:color w:val="auto"/>
                <w:szCs w:val="21"/>
                <w:highlight w:val="none"/>
                <w:lang w:eastAsia="zh-CN"/>
              </w:rPr>
              <w:t>投标</w:t>
            </w:r>
            <w:r>
              <w:rPr>
                <w:rFonts w:hint="eastAsia" w:ascii="宋体" w:hAnsi="宋体" w:eastAsia="宋体" w:cs="宋体"/>
                <w:color w:val="auto"/>
                <w:szCs w:val="21"/>
                <w:highlight w:val="none"/>
              </w:rPr>
              <w:t>文件须附企业与拟投入人员签订的劳动合同复印件、身份证、有效的健康证复印件</w:t>
            </w:r>
            <w:r>
              <w:rPr>
                <w:rFonts w:hint="eastAsia" w:ascii="宋体" w:hAnsi="宋体" w:eastAsia="宋体" w:cs="宋体"/>
                <w:color w:val="auto"/>
                <w:szCs w:val="21"/>
                <w:highlight w:val="none"/>
                <w:lang w:eastAsia="zh-CN"/>
              </w:rPr>
              <w:t>；拟投入配送</w:t>
            </w:r>
            <w:r>
              <w:rPr>
                <w:rFonts w:hint="eastAsia" w:ascii="宋体" w:hAnsi="宋体" w:eastAsia="宋体" w:cs="宋体"/>
                <w:color w:val="auto"/>
                <w:szCs w:val="21"/>
                <w:highlight w:val="none"/>
              </w:rPr>
              <w:t>司机有效的</w:t>
            </w:r>
            <w:r>
              <w:rPr>
                <w:rFonts w:hint="eastAsia" w:ascii="宋体" w:hAnsi="宋体" w:eastAsia="宋体" w:cs="宋体"/>
                <w:color w:val="auto"/>
                <w:szCs w:val="21"/>
                <w:highlight w:val="none"/>
                <w:lang w:eastAsia="zh-CN"/>
              </w:rPr>
              <w:t>健康证、</w:t>
            </w:r>
            <w:r>
              <w:rPr>
                <w:rFonts w:hint="eastAsia" w:ascii="宋体" w:hAnsi="宋体" w:eastAsia="宋体" w:cs="宋体"/>
                <w:color w:val="auto"/>
                <w:szCs w:val="21"/>
                <w:highlight w:val="none"/>
              </w:rPr>
              <w:t>驾驶证</w:t>
            </w:r>
            <w:r>
              <w:rPr>
                <w:rFonts w:hint="eastAsia" w:ascii="宋体" w:hAnsi="宋体" w:eastAsia="宋体" w:cs="宋体"/>
                <w:color w:val="auto"/>
                <w:szCs w:val="21"/>
                <w:highlight w:val="none"/>
                <w:lang w:eastAsia="zh-CN"/>
              </w:rPr>
              <w:t>及劳动合同</w:t>
            </w:r>
            <w:r>
              <w:rPr>
                <w:rFonts w:hint="eastAsia" w:ascii="宋体" w:hAnsi="宋体" w:eastAsia="宋体" w:cs="宋体"/>
                <w:color w:val="auto"/>
                <w:szCs w:val="21"/>
                <w:highlight w:val="none"/>
              </w:rPr>
              <w:t>复印件。</w:t>
            </w:r>
          </w:p>
        </w:tc>
      </w:tr>
      <w:tr w14:paraId="1DA25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62" w:type="dxa"/>
            <w:vMerge w:val="continue"/>
            <w:noWrap w:val="0"/>
            <w:vAlign w:val="center"/>
          </w:tcPr>
          <w:p w14:paraId="6700AF02">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color w:val="auto"/>
                <w:sz w:val="24"/>
                <w:highlight w:val="none"/>
                <w:lang w:val="en-US" w:eastAsia="zh-CN"/>
              </w:rPr>
            </w:pPr>
          </w:p>
        </w:tc>
        <w:tc>
          <w:tcPr>
            <w:tcW w:w="1585" w:type="dxa"/>
            <w:vMerge w:val="continue"/>
            <w:noWrap w:val="0"/>
            <w:vAlign w:val="center"/>
          </w:tcPr>
          <w:p w14:paraId="41B4AC2F">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bCs/>
                <w:color w:val="auto"/>
                <w:kern w:val="0"/>
                <w:sz w:val="21"/>
                <w:szCs w:val="21"/>
                <w:highlight w:val="none"/>
                <w:lang w:val="en-US" w:eastAsia="zh-CN" w:bidi="ar-SA"/>
              </w:rPr>
            </w:pPr>
          </w:p>
        </w:tc>
        <w:tc>
          <w:tcPr>
            <w:tcW w:w="1520" w:type="dxa"/>
            <w:noWrap w:val="0"/>
            <w:vAlign w:val="center"/>
          </w:tcPr>
          <w:p w14:paraId="42970D5E">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color w:val="auto"/>
                <w:szCs w:val="21"/>
                <w:highlight w:val="none"/>
              </w:rPr>
              <w:t>（3）经营场所（</w:t>
            </w:r>
            <w:r>
              <w:rPr>
                <w:rFonts w:hint="eastAsia" w:ascii="宋体" w:hAnsi="宋体" w:eastAsia="宋体" w:cs="宋体"/>
                <w:b/>
                <w:bCs/>
                <w:color w:val="auto"/>
                <w:szCs w:val="21"/>
                <w:highlight w:val="none"/>
                <w:lang w:eastAsia="zh-CN"/>
              </w:rPr>
              <w:t>满分</w:t>
            </w:r>
            <w:r>
              <w:rPr>
                <w:rFonts w:hint="eastAsia" w:ascii="宋体" w:hAnsi="宋体" w:cs="宋体"/>
                <w:b/>
                <w:bCs/>
                <w:color w:val="auto"/>
                <w:szCs w:val="21"/>
                <w:highlight w:val="none"/>
                <w:lang w:val="en-US" w:eastAsia="zh-CN"/>
              </w:rPr>
              <w:t>10</w:t>
            </w:r>
            <w:r>
              <w:rPr>
                <w:rFonts w:hint="eastAsia" w:ascii="宋体" w:hAnsi="宋体" w:eastAsia="宋体" w:cs="宋体"/>
                <w:b/>
                <w:bCs/>
                <w:color w:val="auto"/>
                <w:szCs w:val="21"/>
                <w:highlight w:val="none"/>
              </w:rPr>
              <w:t>分）</w:t>
            </w:r>
          </w:p>
        </w:tc>
        <w:tc>
          <w:tcPr>
            <w:tcW w:w="6096" w:type="dxa"/>
            <w:noWrap w:val="0"/>
            <w:vAlign w:val="top"/>
          </w:tcPr>
          <w:p w14:paraId="2902B6EA">
            <w:pPr>
              <w:keepNext w:val="0"/>
              <w:keepLines w:val="0"/>
              <w:pageBreakBefore w:val="0"/>
              <w:shd w:val="clear" w:color="auto"/>
              <w:kinsoku/>
              <w:wordWrap w:val="0"/>
              <w:overflowPunct/>
              <w:topLinePunct w:val="0"/>
              <w:autoSpaceDE/>
              <w:autoSpaceDN/>
              <w:bidi w:val="0"/>
              <w:spacing w:line="360" w:lineRule="exact"/>
              <w:ind w:firstLine="422" w:firstLineChars="200"/>
              <w:jc w:val="left"/>
              <w:rPr>
                <w:rFonts w:hint="eastAsia" w:ascii="宋体" w:hAnsi="宋体" w:eastAsia="宋体" w:cs="宋体"/>
                <w:color w:val="auto"/>
                <w:szCs w:val="21"/>
                <w:highlight w:val="none"/>
                <w:lang w:eastAsia="zh-CN"/>
              </w:rPr>
            </w:pPr>
            <w:r>
              <w:rPr>
                <w:rFonts w:hint="eastAsia" w:ascii="宋体" w:hAnsi="宋体" w:eastAsia="宋体" w:cs="宋体"/>
                <w:b/>
                <w:bCs/>
                <w:color w:val="auto"/>
                <w:szCs w:val="21"/>
                <w:highlight w:val="none"/>
                <w:lang w:val="en-US" w:eastAsia="zh-CN"/>
              </w:rPr>
              <w:t>分标1(部分调味品、部分副食品)</w:t>
            </w:r>
            <w:r>
              <w:rPr>
                <w:rFonts w:hint="eastAsia" w:ascii="宋体" w:hAnsi="宋体" w:eastAsia="宋体" w:cs="宋体"/>
                <w:color w:val="auto"/>
                <w:szCs w:val="21"/>
                <w:highlight w:val="none"/>
                <w:lang w:eastAsia="zh-CN"/>
              </w:rPr>
              <w:t>：投标人具有固定经营场所或</w:t>
            </w:r>
            <w:r>
              <w:rPr>
                <w:rFonts w:hint="eastAsia" w:ascii="宋体" w:hAnsi="宋体" w:eastAsia="宋体" w:cs="宋体"/>
                <w:color w:val="auto"/>
                <w:szCs w:val="21"/>
                <w:highlight w:val="none"/>
                <w:lang w:val="en-US" w:eastAsia="zh-CN"/>
              </w:rPr>
              <w:t>分拣储备场地200</w:t>
            </w:r>
            <w:r>
              <w:rPr>
                <w:rFonts w:hint="eastAsia" w:ascii="宋体" w:hAnsi="宋体" w:eastAsia="宋体" w:cs="宋体"/>
                <w:color w:val="auto"/>
                <w:szCs w:val="21"/>
                <w:highlight w:val="none"/>
                <w:lang w:eastAsia="zh-CN"/>
              </w:rPr>
              <w:t>平方米以上（含</w:t>
            </w:r>
            <w:r>
              <w:rPr>
                <w:rFonts w:hint="eastAsia" w:ascii="宋体" w:hAnsi="宋体" w:eastAsia="宋体" w:cs="宋体"/>
                <w:color w:val="auto"/>
                <w:szCs w:val="21"/>
                <w:highlight w:val="none"/>
                <w:lang w:val="en-US" w:eastAsia="zh-CN"/>
              </w:rPr>
              <w:t>200</w:t>
            </w:r>
            <w:r>
              <w:rPr>
                <w:rFonts w:hint="eastAsia" w:ascii="宋体" w:hAnsi="宋体" w:eastAsia="宋体" w:cs="宋体"/>
                <w:color w:val="auto"/>
                <w:szCs w:val="21"/>
                <w:highlight w:val="none"/>
                <w:lang w:eastAsia="zh-CN"/>
              </w:rPr>
              <w:t>平方米）得基本分</w:t>
            </w:r>
            <w:r>
              <w:rPr>
                <w:rFonts w:hint="eastAsia" w:ascii="宋体" w:hAnsi="宋体" w:eastAsia="宋体" w:cs="宋体"/>
                <w:color w:val="auto"/>
                <w:szCs w:val="21"/>
                <w:highlight w:val="none"/>
                <w:lang w:val="en-US" w:eastAsia="zh-CN"/>
              </w:rPr>
              <w:t>4分</w:t>
            </w:r>
            <w:r>
              <w:rPr>
                <w:rFonts w:hint="eastAsia" w:ascii="宋体" w:hAnsi="宋体" w:eastAsia="宋体" w:cs="宋体"/>
                <w:color w:val="auto"/>
                <w:szCs w:val="21"/>
                <w:highlight w:val="none"/>
                <w:lang w:eastAsia="zh-CN"/>
              </w:rPr>
              <w:t>，以</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0平方米为单位，每多</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lang w:eastAsia="zh-CN"/>
              </w:rPr>
              <w:t>个平方米得1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分，满分</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eastAsia="zh-CN"/>
              </w:rPr>
              <w:t>分。</w:t>
            </w:r>
          </w:p>
          <w:p w14:paraId="0359917F">
            <w:pPr>
              <w:keepNext w:val="0"/>
              <w:keepLines w:val="0"/>
              <w:pageBreakBefore w:val="0"/>
              <w:shd w:val="clear" w:color="auto"/>
              <w:kinsoku/>
              <w:wordWrap w:val="0"/>
              <w:overflowPunct/>
              <w:topLinePunct w:val="0"/>
              <w:autoSpaceDE/>
              <w:autoSpaceDN/>
              <w:bidi w:val="0"/>
              <w:spacing w:line="360" w:lineRule="exact"/>
              <w:ind w:firstLine="422" w:firstLineChars="200"/>
              <w:jc w:val="left"/>
              <w:rPr>
                <w:rFonts w:hint="eastAsia" w:ascii="宋体" w:hAnsi="宋体" w:eastAsia="宋体" w:cs="宋体"/>
                <w:color w:val="auto"/>
                <w:szCs w:val="21"/>
                <w:highlight w:val="none"/>
                <w:lang w:eastAsia="zh-CN"/>
              </w:rPr>
            </w:pPr>
            <w:r>
              <w:rPr>
                <w:rFonts w:hint="eastAsia" w:ascii="宋体" w:hAnsi="宋体" w:eastAsia="宋体" w:cs="宋体"/>
                <w:b/>
                <w:bCs/>
                <w:color w:val="auto"/>
                <w:szCs w:val="21"/>
                <w:highlight w:val="none"/>
                <w:lang w:val="en-US" w:eastAsia="zh-CN"/>
              </w:rPr>
              <w:t>分标2(学习用品、日用品)</w:t>
            </w:r>
            <w:r>
              <w:rPr>
                <w:rFonts w:hint="eastAsia" w:ascii="宋体" w:hAnsi="宋体" w:eastAsia="宋体" w:cs="宋体"/>
                <w:color w:val="auto"/>
                <w:szCs w:val="21"/>
                <w:highlight w:val="none"/>
                <w:lang w:eastAsia="zh-CN"/>
              </w:rPr>
              <w:t>：投标人具有固定经营场所或</w:t>
            </w:r>
            <w:r>
              <w:rPr>
                <w:rFonts w:hint="eastAsia" w:ascii="宋体" w:hAnsi="宋体" w:eastAsia="宋体" w:cs="宋体"/>
                <w:color w:val="auto"/>
                <w:szCs w:val="21"/>
                <w:highlight w:val="none"/>
                <w:lang w:val="en-US" w:eastAsia="zh-CN"/>
              </w:rPr>
              <w:t>分拣储备场地200</w:t>
            </w:r>
            <w:r>
              <w:rPr>
                <w:rFonts w:hint="eastAsia" w:ascii="宋体" w:hAnsi="宋体" w:eastAsia="宋体" w:cs="宋体"/>
                <w:color w:val="auto"/>
                <w:szCs w:val="21"/>
                <w:highlight w:val="none"/>
                <w:lang w:eastAsia="zh-CN"/>
              </w:rPr>
              <w:t>平方米以上（含</w:t>
            </w:r>
            <w:r>
              <w:rPr>
                <w:rFonts w:hint="eastAsia" w:ascii="宋体" w:hAnsi="宋体" w:eastAsia="宋体" w:cs="宋体"/>
                <w:color w:val="auto"/>
                <w:szCs w:val="21"/>
                <w:highlight w:val="none"/>
                <w:lang w:val="en-US" w:eastAsia="zh-CN"/>
              </w:rPr>
              <w:t>200</w:t>
            </w:r>
            <w:r>
              <w:rPr>
                <w:rFonts w:hint="eastAsia" w:ascii="宋体" w:hAnsi="宋体" w:eastAsia="宋体" w:cs="宋体"/>
                <w:color w:val="auto"/>
                <w:szCs w:val="21"/>
                <w:highlight w:val="none"/>
                <w:lang w:eastAsia="zh-CN"/>
              </w:rPr>
              <w:t>平方米）得基本分</w:t>
            </w:r>
            <w:r>
              <w:rPr>
                <w:rFonts w:hint="eastAsia" w:ascii="宋体" w:hAnsi="宋体" w:eastAsia="宋体" w:cs="宋体"/>
                <w:color w:val="auto"/>
                <w:szCs w:val="21"/>
                <w:highlight w:val="none"/>
                <w:lang w:val="en-US" w:eastAsia="zh-CN"/>
              </w:rPr>
              <w:t>4分</w:t>
            </w:r>
            <w:r>
              <w:rPr>
                <w:rFonts w:hint="eastAsia" w:ascii="宋体" w:hAnsi="宋体" w:eastAsia="宋体" w:cs="宋体"/>
                <w:color w:val="auto"/>
                <w:szCs w:val="21"/>
                <w:highlight w:val="none"/>
                <w:lang w:eastAsia="zh-CN"/>
              </w:rPr>
              <w:t>，以</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0平方米为单位，每多</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lang w:eastAsia="zh-CN"/>
              </w:rPr>
              <w:t>个平方米得1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分，满分</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eastAsia="zh-CN"/>
              </w:rPr>
              <w:t>分。</w:t>
            </w:r>
          </w:p>
          <w:p w14:paraId="394BBF46">
            <w:pPr>
              <w:keepNext w:val="0"/>
              <w:keepLines w:val="0"/>
              <w:pageBreakBefore w:val="0"/>
              <w:shd w:val="clear" w:color="auto"/>
              <w:kinsoku/>
              <w:wordWrap w:val="0"/>
              <w:overflowPunct/>
              <w:topLinePunct w:val="0"/>
              <w:autoSpaceDE/>
              <w:autoSpaceDN/>
              <w:bidi w:val="0"/>
              <w:spacing w:line="360" w:lineRule="exact"/>
              <w:ind w:firstLine="422" w:firstLineChars="200"/>
              <w:jc w:val="left"/>
              <w:rPr>
                <w:rFonts w:hint="eastAsia" w:ascii="宋体" w:hAnsi="宋体" w:eastAsia="宋体" w:cs="宋体"/>
                <w:color w:val="auto"/>
                <w:szCs w:val="21"/>
                <w:highlight w:val="none"/>
                <w:lang w:eastAsia="zh-CN"/>
              </w:rPr>
            </w:pPr>
            <w:r>
              <w:rPr>
                <w:rFonts w:hint="eastAsia" w:ascii="宋体" w:hAnsi="宋体" w:eastAsia="宋体" w:cs="宋体"/>
                <w:b/>
                <w:bCs/>
                <w:color w:val="auto"/>
                <w:szCs w:val="21"/>
                <w:highlight w:val="none"/>
                <w:lang w:val="en-US" w:eastAsia="zh-CN"/>
              </w:rPr>
              <w:t>分标3(矿泉水、饮料、牛奶)</w:t>
            </w:r>
            <w:r>
              <w:rPr>
                <w:rFonts w:hint="eastAsia" w:ascii="宋体" w:hAnsi="宋体" w:eastAsia="宋体" w:cs="宋体"/>
                <w:color w:val="auto"/>
                <w:szCs w:val="21"/>
                <w:highlight w:val="none"/>
                <w:lang w:eastAsia="zh-CN"/>
              </w:rPr>
              <w:t>：投标人具有固定经营场所（或固定加工场所）</w:t>
            </w:r>
            <w:r>
              <w:rPr>
                <w:rFonts w:hint="eastAsia" w:ascii="宋体" w:hAnsi="宋体" w:eastAsia="宋体" w:cs="宋体"/>
                <w:color w:val="auto"/>
                <w:szCs w:val="21"/>
                <w:highlight w:val="none"/>
                <w:lang w:val="en-US" w:eastAsia="zh-CN"/>
              </w:rPr>
              <w:t>100</w:t>
            </w:r>
            <w:r>
              <w:rPr>
                <w:rFonts w:hint="eastAsia" w:ascii="宋体" w:hAnsi="宋体" w:eastAsia="宋体" w:cs="宋体"/>
                <w:color w:val="auto"/>
                <w:szCs w:val="21"/>
                <w:highlight w:val="none"/>
                <w:lang w:eastAsia="zh-CN"/>
              </w:rPr>
              <w:t>平方米以上（含</w:t>
            </w:r>
            <w:r>
              <w:rPr>
                <w:rFonts w:hint="eastAsia" w:ascii="宋体" w:hAnsi="宋体" w:eastAsia="宋体" w:cs="宋体"/>
                <w:color w:val="auto"/>
                <w:szCs w:val="21"/>
                <w:highlight w:val="none"/>
                <w:lang w:val="en-US" w:eastAsia="zh-CN"/>
              </w:rPr>
              <w:t>100</w:t>
            </w:r>
            <w:r>
              <w:rPr>
                <w:rFonts w:hint="eastAsia" w:ascii="宋体" w:hAnsi="宋体" w:eastAsia="宋体" w:cs="宋体"/>
                <w:color w:val="auto"/>
                <w:szCs w:val="21"/>
                <w:highlight w:val="none"/>
                <w:lang w:eastAsia="zh-CN"/>
              </w:rPr>
              <w:t>平方米）得基本分</w:t>
            </w:r>
            <w:r>
              <w:rPr>
                <w:rFonts w:hint="eastAsia" w:ascii="宋体" w:hAnsi="宋体" w:eastAsia="宋体" w:cs="宋体"/>
                <w:color w:val="auto"/>
                <w:szCs w:val="21"/>
                <w:highlight w:val="none"/>
                <w:lang w:val="en-US" w:eastAsia="zh-CN"/>
              </w:rPr>
              <w:t>4分</w:t>
            </w:r>
            <w:r>
              <w:rPr>
                <w:rFonts w:hint="eastAsia" w:ascii="宋体" w:hAnsi="宋体" w:eastAsia="宋体" w:cs="宋体"/>
                <w:color w:val="auto"/>
                <w:szCs w:val="21"/>
                <w:highlight w:val="none"/>
                <w:lang w:eastAsia="zh-CN"/>
              </w:rPr>
              <w:t>，以</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0平方米为单位，每多</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lang w:eastAsia="zh-CN"/>
              </w:rPr>
              <w:t>个平方米得1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分，满分</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eastAsia="zh-CN"/>
              </w:rPr>
              <w:t>分，②经营场所或</w:t>
            </w:r>
            <w:r>
              <w:rPr>
                <w:rFonts w:hint="eastAsia" w:ascii="宋体" w:hAnsi="宋体" w:eastAsia="宋体" w:cs="宋体"/>
                <w:color w:val="auto"/>
                <w:szCs w:val="21"/>
                <w:highlight w:val="none"/>
                <w:lang w:val="en-US" w:eastAsia="zh-CN"/>
              </w:rPr>
              <w:t>分拣储备场地</w:t>
            </w:r>
            <w:r>
              <w:rPr>
                <w:rFonts w:hint="eastAsia" w:ascii="宋体" w:hAnsi="宋体" w:eastAsia="宋体" w:cs="宋体"/>
                <w:color w:val="auto"/>
                <w:szCs w:val="21"/>
                <w:highlight w:val="none"/>
                <w:lang w:eastAsia="zh-CN"/>
              </w:rPr>
              <w:t>配备冷库得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分。</w:t>
            </w:r>
          </w:p>
          <w:p w14:paraId="395778F2">
            <w:pPr>
              <w:keepNext w:val="0"/>
              <w:keepLines w:val="0"/>
              <w:pageBreakBefore w:val="0"/>
              <w:shd w:val="clear" w:color="auto"/>
              <w:kinsoku/>
              <w:wordWrap w:val="0"/>
              <w:overflowPunct/>
              <w:topLinePunct w:val="0"/>
              <w:autoSpaceDE/>
              <w:autoSpaceDN/>
              <w:bidi w:val="0"/>
              <w:spacing w:line="360" w:lineRule="exact"/>
              <w:ind w:firstLine="422" w:firstLineChars="200"/>
              <w:jc w:val="left"/>
              <w:rPr>
                <w:rFonts w:hint="eastAsia" w:ascii="宋体" w:hAnsi="宋体" w:eastAsia="宋体" w:cs="宋体"/>
                <w:color w:val="auto"/>
                <w:szCs w:val="21"/>
                <w:highlight w:val="none"/>
                <w:lang w:eastAsia="zh-CN"/>
              </w:rPr>
            </w:pPr>
            <w:r>
              <w:rPr>
                <w:rFonts w:hint="eastAsia" w:ascii="宋体" w:hAnsi="宋体" w:eastAsia="宋体" w:cs="宋体"/>
                <w:b/>
                <w:bCs/>
                <w:color w:val="auto"/>
                <w:szCs w:val="21"/>
                <w:highlight w:val="none"/>
                <w:lang w:val="en-US" w:eastAsia="zh-CN"/>
              </w:rPr>
              <w:t>分标4(面包、蛋糕)</w:t>
            </w:r>
            <w:r>
              <w:rPr>
                <w:rFonts w:hint="eastAsia" w:ascii="宋体" w:hAnsi="宋体" w:eastAsia="宋体" w:cs="宋体"/>
                <w:color w:val="auto"/>
                <w:szCs w:val="21"/>
                <w:highlight w:val="none"/>
                <w:lang w:eastAsia="zh-CN"/>
              </w:rPr>
              <w:t>：投标人具有固定经营场所（或固定加工场所）</w:t>
            </w:r>
            <w:r>
              <w:rPr>
                <w:rFonts w:hint="eastAsia" w:ascii="宋体" w:hAnsi="宋体" w:eastAsia="宋体" w:cs="宋体"/>
                <w:color w:val="auto"/>
                <w:szCs w:val="21"/>
                <w:highlight w:val="none"/>
                <w:lang w:val="en-US" w:eastAsia="zh-CN"/>
              </w:rPr>
              <w:t>100</w:t>
            </w:r>
            <w:r>
              <w:rPr>
                <w:rFonts w:hint="eastAsia" w:ascii="宋体" w:hAnsi="宋体" w:eastAsia="宋体" w:cs="宋体"/>
                <w:color w:val="auto"/>
                <w:szCs w:val="21"/>
                <w:highlight w:val="none"/>
                <w:lang w:eastAsia="zh-CN"/>
              </w:rPr>
              <w:t>平方米以上（含</w:t>
            </w:r>
            <w:r>
              <w:rPr>
                <w:rFonts w:hint="eastAsia" w:ascii="宋体" w:hAnsi="宋体" w:eastAsia="宋体" w:cs="宋体"/>
                <w:color w:val="auto"/>
                <w:szCs w:val="21"/>
                <w:highlight w:val="none"/>
                <w:lang w:val="en-US" w:eastAsia="zh-CN"/>
              </w:rPr>
              <w:t>100</w:t>
            </w:r>
            <w:r>
              <w:rPr>
                <w:rFonts w:hint="eastAsia" w:ascii="宋体" w:hAnsi="宋体" w:eastAsia="宋体" w:cs="宋体"/>
                <w:color w:val="auto"/>
                <w:szCs w:val="21"/>
                <w:highlight w:val="none"/>
                <w:lang w:eastAsia="zh-CN"/>
              </w:rPr>
              <w:t>平方米）得基本分</w:t>
            </w:r>
            <w:r>
              <w:rPr>
                <w:rFonts w:hint="eastAsia" w:ascii="宋体" w:hAnsi="宋体" w:eastAsia="宋体" w:cs="宋体"/>
                <w:color w:val="auto"/>
                <w:szCs w:val="21"/>
                <w:highlight w:val="none"/>
                <w:lang w:val="en-US" w:eastAsia="zh-CN"/>
              </w:rPr>
              <w:t>4分</w:t>
            </w:r>
            <w:r>
              <w:rPr>
                <w:rFonts w:hint="eastAsia" w:ascii="宋体" w:hAnsi="宋体" w:eastAsia="宋体" w:cs="宋体"/>
                <w:color w:val="auto"/>
                <w:szCs w:val="21"/>
                <w:highlight w:val="none"/>
                <w:lang w:eastAsia="zh-CN"/>
              </w:rPr>
              <w:t>，以</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0平方米为单位，每多</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lang w:eastAsia="zh-CN"/>
              </w:rPr>
              <w:t>个平方米得1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分，满分</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eastAsia="zh-CN"/>
              </w:rPr>
              <w:t>分，②经营场所或</w:t>
            </w:r>
            <w:r>
              <w:rPr>
                <w:rFonts w:hint="eastAsia" w:ascii="宋体" w:hAnsi="宋体" w:eastAsia="宋体" w:cs="宋体"/>
                <w:color w:val="auto"/>
                <w:szCs w:val="21"/>
                <w:highlight w:val="none"/>
                <w:lang w:val="en-US" w:eastAsia="zh-CN"/>
              </w:rPr>
              <w:t>分拣储备场地</w:t>
            </w:r>
            <w:r>
              <w:rPr>
                <w:rFonts w:hint="eastAsia" w:ascii="宋体" w:hAnsi="宋体" w:eastAsia="宋体" w:cs="宋体"/>
                <w:color w:val="auto"/>
                <w:szCs w:val="21"/>
                <w:highlight w:val="none"/>
                <w:lang w:eastAsia="zh-CN"/>
              </w:rPr>
              <w:t>配备冷库得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分。</w:t>
            </w:r>
          </w:p>
          <w:p w14:paraId="789F4C5C">
            <w:pPr>
              <w:keepNext w:val="0"/>
              <w:keepLines w:val="0"/>
              <w:pageBreakBefore w:val="0"/>
              <w:shd w:val="clear" w:color="auto"/>
              <w:kinsoku/>
              <w:wordWrap w:val="0"/>
              <w:overflowPunct/>
              <w:topLinePunct w:val="0"/>
              <w:autoSpaceDE/>
              <w:autoSpaceDN/>
              <w:bidi w:val="0"/>
              <w:spacing w:line="360" w:lineRule="exact"/>
              <w:ind w:firstLine="422" w:firstLineChars="200"/>
              <w:jc w:val="left"/>
              <w:rPr>
                <w:rFonts w:hint="eastAsia" w:ascii="宋体" w:hAnsi="宋体" w:eastAsia="宋体" w:cs="宋体"/>
                <w:color w:val="auto"/>
                <w:szCs w:val="21"/>
                <w:highlight w:val="none"/>
                <w:lang w:eastAsia="zh-CN"/>
              </w:rPr>
            </w:pPr>
            <w:r>
              <w:rPr>
                <w:rFonts w:hint="eastAsia" w:ascii="宋体" w:hAnsi="宋体" w:eastAsia="宋体" w:cs="宋体"/>
                <w:b/>
                <w:bCs/>
                <w:color w:val="auto"/>
                <w:szCs w:val="21"/>
                <w:highlight w:val="none"/>
                <w:lang w:val="en-US" w:eastAsia="zh-CN"/>
              </w:rPr>
              <w:t>分标5(零食（八宝粥、饼干、雪糕等）、方便面)</w:t>
            </w:r>
            <w:r>
              <w:rPr>
                <w:rFonts w:hint="eastAsia" w:ascii="宋体" w:hAnsi="宋体" w:eastAsia="宋体" w:cs="宋体"/>
                <w:color w:val="auto"/>
                <w:szCs w:val="21"/>
                <w:highlight w:val="none"/>
                <w:lang w:eastAsia="zh-CN"/>
              </w:rPr>
              <w:t>：投标人具有固定经营场所（或固定加工场所）</w:t>
            </w:r>
            <w:r>
              <w:rPr>
                <w:rFonts w:hint="eastAsia" w:ascii="宋体" w:hAnsi="宋体" w:eastAsia="宋体" w:cs="宋体"/>
                <w:color w:val="auto"/>
                <w:szCs w:val="21"/>
                <w:highlight w:val="none"/>
                <w:lang w:val="en-US" w:eastAsia="zh-CN"/>
              </w:rPr>
              <w:t>100</w:t>
            </w:r>
            <w:r>
              <w:rPr>
                <w:rFonts w:hint="eastAsia" w:ascii="宋体" w:hAnsi="宋体" w:eastAsia="宋体" w:cs="宋体"/>
                <w:color w:val="auto"/>
                <w:szCs w:val="21"/>
                <w:highlight w:val="none"/>
                <w:lang w:eastAsia="zh-CN"/>
              </w:rPr>
              <w:t>平方米以上（含</w:t>
            </w:r>
            <w:r>
              <w:rPr>
                <w:rFonts w:hint="eastAsia" w:ascii="宋体" w:hAnsi="宋体" w:eastAsia="宋体" w:cs="宋体"/>
                <w:color w:val="auto"/>
                <w:szCs w:val="21"/>
                <w:highlight w:val="none"/>
                <w:lang w:val="en-US" w:eastAsia="zh-CN"/>
              </w:rPr>
              <w:t>100</w:t>
            </w:r>
            <w:r>
              <w:rPr>
                <w:rFonts w:hint="eastAsia" w:ascii="宋体" w:hAnsi="宋体" w:eastAsia="宋体" w:cs="宋体"/>
                <w:color w:val="auto"/>
                <w:szCs w:val="21"/>
                <w:highlight w:val="none"/>
                <w:lang w:eastAsia="zh-CN"/>
              </w:rPr>
              <w:t>平方米）得基本分</w:t>
            </w:r>
            <w:r>
              <w:rPr>
                <w:rFonts w:hint="eastAsia" w:ascii="宋体" w:hAnsi="宋体" w:eastAsia="宋体" w:cs="宋体"/>
                <w:color w:val="auto"/>
                <w:szCs w:val="21"/>
                <w:highlight w:val="none"/>
                <w:lang w:val="en-US" w:eastAsia="zh-CN"/>
              </w:rPr>
              <w:t>4分</w:t>
            </w:r>
            <w:r>
              <w:rPr>
                <w:rFonts w:hint="eastAsia" w:ascii="宋体" w:hAnsi="宋体" w:eastAsia="宋体" w:cs="宋体"/>
                <w:color w:val="auto"/>
                <w:szCs w:val="21"/>
                <w:highlight w:val="none"/>
                <w:lang w:eastAsia="zh-CN"/>
              </w:rPr>
              <w:t>，以</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0平方米为单位，每多</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lang w:eastAsia="zh-CN"/>
              </w:rPr>
              <w:t>个平方米得1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分，满分</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eastAsia="zh-CN"/>
              </w:rPr>
              <w:t>分，②经营场所或</w:t>
            </w:r>
            <w:r>
              <w:rPr>
                <w:rFonts w:hint="eastAsia" w:ascii="宋体" w:hAnsi="宋体" w:eastAsia="宋体" w:cs="宋体"/>
                <w:color w:val="auto"/>
                <w:szCs w:val="21"/>
                <w:highlight w:val="none"/>
                <w:lang w:val="en-US" w:eastAsia="zh-CN"/>
              </w:rPr>
              <w:t>分拣储备场地</w:t>
            </w:r>
            <w:r>
              <w:rPr>
                <w:rFonts w:hint="eastAsia" w:ascii="宋体" w:hAnsi="宋体" w:eastAsia="宋体" w:cs="宋体"/>
                <w:color w:val="auto"/>
                <w:szCs w:val="21"/>
                <w:highlight w:val="none"/>
                <w:lang w:eastAsia="zh-CN"/>
              </w:rPr>
              <w:t>配备冷库得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分。</w:t>
            </w:r>
          </w:p>
          <w:p w14:paraId="7800C780">
            <w:pPr>
              <w:keepNext w:val="0"/>
              <w:keepLines w:val="0"/>
              <w:pageBreakBefore w:val="0"/>
              <w:shd w:val="clear" w:color="auto" w:fill="auto"/>
              <w:kinsoku/>
              <w:wordWrap w:val="0"/>
              <w:overflowPunct/>
              <w:topLinePunct w:val="0"/>
              <w:autoSpaceDE/>
              <w:autoSpaceDN/>
              <w:bidi w:val="0"/>
              <w:spacing w:line="360" w:lineRule="exact"/>
              <w:ind w:firstLine="422" w:firstLineChars="200"/>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
                <w:bCs/>
                <w:color w:val="auto"/>
                <w:szCs w:val="21"/>
                <w:highlight w:val="none"/>
              </w:rPr>
              <w:t>注：经营场所</w:t>
            </w:r>
            <w:r>
              <w:rPr>
                <w:rFonts w:hint="eastAsia" w:ascii="宋体" w:hAnsi="宋体" w:eastAsia="宋体" w:cs="宋体"/>
                <w:b/>
                <w:bCs/>
                <w:color w:val="auto"/>
                <w:szCs w:val="21"/>
                <w:highlight w:val="none"/>
                <w:lang w:eastAsia="zh-CN"/>
              </w:rPr>
              <w:t>及仓库</w:t>
            </w:r>
            <w:r>
              <w:rPr>
                <w:rFonts w:hint="eastAsia" w:ascii="宋体" w:hAnsi="宋体" w:eastAsia="宋体" w:cs="宋体"/>
                <w:b/>
                <w:bCs/>
                <w:color w:val="auto"/>
                <w:szCs w:val="21"/>
                <w:highlight w:val="none"/>
              </w:rPr>
              <w:t>面积可累加计算，涉及到场地的证明材料，</w:t>
            </w:r>
            <w:r>
              <w:rPr>
                <w:rFonts w:hint="eastAsia" w:ascii="宋体" w:hAnsi="宋体" w:eastAsia="宋体" w:cs="宋体"/>
                <w:b/>
                <w:bCs/>
                <w:color w:val="auto"/>
                <w:szCs w:val="21"/>
                <w:highlight w:val="none"/>
                <w:lang w:eastAsia="zh-CN"/>
              </w:rPr>
              <w:t>投标</w:t>
            </w:r>
            <w:r>
              <w:rPr>
                <w:rFonts w:hint="eastAsia" w:ascii="宋体" w:hAnsi="宋体" w:eastAsia="宋体" w:cs="宋体"/>
                <w:b/>
                <w:bCs/>
                <w:color w:val="auto"/>
                <w:szCs w:val="21"/>
                <w:highlight w:val="none"/>
              </w:rPr>
              <w:t>文件需提供</w:t>
            </w:r>
            <w:r>
              <w:rPr>
                <w:rFonts w:hint="eastAsia" w:ascii="宋体" w:hAnsi="宋体" w:eastAsia="宋体" w:cs="宋体"/>
                <w:b/>
                <w:bCs/>
                <w:color w:val="auto"/>
                <w:szCs w:val="21"/>
                <w:highlight w:val="none"/>
                <w:lang w:eastAsia="zh-CN"/>
              </w:rPr>
              <w:t>①</w:t>
            </w:r>
            <w:r>
              <w:rPr>
                <w:rFonts w:hint="eastAsia" w:ascii="宋体" w:hAnsi="宋体" w:eastAsia="宋体" w:cs="宋体"/>
                <w:b/>
                <w:bCs/>
                <w:color w:val="auto"/>
                <w:szCs w:val="21"/>
                <w:highlight w:val="none"/>
              </w:rPr>
              <w:t>不动产登记证等产权证明材料或1年（含）以上的租赁合同的复印件、</w:t>
            </w:r>
            <w:r>
              <w:rPr>
                <w:rFonts w:hint="eastAsia" w:ascii="宋体" w:hAnsi="宋体" w:eastAsia="宋体" w:cs="宋体"/>
                <w:b/>
                <w:bCs/>
                <w:color w:val="auto"/>
                <w:szCs w:val="21"/>
                <w:highlight w:val="none"/>
                <w:lang w:eastAsia="zh-CN"/>
              </w:rPr>
              <w:t>②</w:t>
            </w:r>
            <w:r>
              <w:rPr>
                <w:rFonts w:hint="eastAsia" w:ascii="宋体" w:hAnsi="宋体" w:eastAsia="宋体" w:cs="宋体"/>
                <w:b/>
                <w:bCs/>
                <w:color w:val="auto"/>
                <w:szCs w:val="21"/>
                <w:highlight w:val="none"/>
                <w:lang w:val="en-US" w:eastAsia="zh-CN"/>
              </w:rPr>
              <w:t>分拣储备场地</w:t>
            </w:r>
            <w:r>
              <w:rPr>
                <w:rFonts w:hint="eastAsia" w:ascii="宋体" w:hAnsi="宋体" w:eastAsia="宋体" w:cs="宋体"/>
                <w:b/>
                <w:bCs/>
                <w:color w:val="auto"/>
                <w:szCs w:val="21"/>
                <w:highlight w:val="none"/>
              </w:rPr>
              <w:t>、办公区域现场照片</w:t>
            </w:r>
            <w:r>
              <w:rPr>
                <w:rFonts w:hint="eastAsia" w:ascii="宋体" w:hAnsi="宋体" w:eastAsia="宋体" w:cs="宋体"/>
                <w:b/>
                <w:bCs/>
                <w:color w:val="auto"/>
                <w:szCs w:val="21"/>
                <w:highlight w:val="none"/>
                <w:lang w:eastAsia="zh-CN"/>
              </w:rPr>
              <w:t>、③冷库制冷设备采购发票（或冷库建设安装合同）及发票复印件</w:t>
            </w:r>
            <w:r>
              <w:rPr>
                <w:rFonts w:hint="eastAsia" w:ascii="宋体" w:hAnsi="宋体" w:eastAsia="宋体" w:cs="宋体"/>
                <w:b/>
                <w:bCs/>
                <w:color w:val="auto"/>
                <w:szCs w:val="21"/>
                <w:highlight w:val="none"/>
              </w:rPr>
              <w:t>，未按要求提供者不得分。</w:t>
            </w:r>
          </w:p>
        </w:tc>
      </w:tr>
      <w:tr w14:paraId="3DC86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62" w:type="dxa"/>
            <w:vMerge w:val="continue"/>
            <w:noWrap w:val="0"/>
            <w:vAlign w:val="center"/>
          </w:tcPr>
          <w:p w14:paraId="625A45BC">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color w:val="auto"/>
                <w:sz w:val="24"/>
                <w:highlight w:val="none"/>
                <w:lang w:val="en-US" w:eastAsia="zh-CN"/>
              </w:rPr>
            </w:pPr>
          </w:p>
        </w:tc>
        <w:tc>
          <w:tcPr>
            <w:tcW w:w="1585" w:type="dxa"/>
            <w:vMerge w:val="continue"/>
            <w:noWrap w:val="0"/>
            <w:vAlign w:val="center"/>
          </w:tcPr>
          <w:p w14:paraId="7ED8C49D">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bCs/>
                <w:color w:val="auto"/>
                <w:kern w:val="0"/>
                <w:sz w:val="21"/>
                <w:szCs w:val="21"/>
                <w:highlight w:val="none"/>
                <w:lang w:val="en-US" w:eastAsia="zh-CN" w:bidi="ar-SA"/>
              </w:rPr>
            </w:pPr>
          </w:p>
        </w:tc>
        <w:tc>
          <w:tcPr>
            <w:tcW w:w="1520" w:type="dxa"/>
            <w:noWrap w:val="0"/>
            <w:vAlign w:val="center"/>
          </w:tcPr>
          <w:p w14:paraId="770C5D43">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（4）《食品安全责任保险》（满分</w:t>
            </w:r>
            <w:r>
              <w:rPr>
                <w:rFonts w:hint="eastAsia" w:ascii="宋体" w:hAnsi="宋体" w:cs="宋体"/>
                <w:b/>
                <w:bCs/>
                <w:color w:val="auto"/>
                <w:szCs w:val="21"/>
                <w:highlight w:val="none"/>
                <w:lang w:val="en-US" w:eastAsia="zh-CN"/>
              </w:rPr>
              <w:t>2</w:t>
            </w:r>
            <w:r>
              <w:rPr>
                <w:rFonts w:hint="eastAsia" w:ascii="宋体" w:hAnsi="宋体" w:eastAsia="宋体" w:cs="宋体"/>
                <w:b/>
                <w:bCs/>
                <w:color w:val="auto"/>
                <w:szCs w:val="21"/>
                <w:highlight w:val="none"/>
              </w:rPr>
              <w:t>分）</w:t>
            </w:r>
          </w:p>
        </w:tc>
        <w:tc>
          <w:tcPr>
            <w:tcW w:w="6096" w:type="dxa"/>
            <w:noWrap w:val="0"/>
            <w:vAlign w:val="top"/>
          </w:tcPr>
          <w:p w14:paraId="4358AFF9">
            <w:pPr>
              <w:keepNext w:val="0"/>
              <w:keepLines w:val="0"/>
              <w:pageBreakBefore w:val="0"/>
              <w:shd w:val="clear" w:color="auto" w:fill="auto"/>
              <w:kinsoku/>
              <w:wordWrap w:val="0"/>
              <w:overflowPunct/>
              <w:topLinePunct w:val="0"/>
              <w:autoSpaceDE/>
              <w:autoSpaceDN/>
              <w:bidi w:val="0"/>
              <w:spacing w:line="360" w:lineRule="exact"/>
              <w:ind w:firstLine="422" w:firstLineChars="200"/>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一档（1分）</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lang w:eastAsia="zh-CN"/>
              </w:rPr>
              <w:t>投标人</w:t>
            </w:r>
            <w:r>
              <w:rPr>
                <w:rFonts w:hint="eastAsia" w:ascii="宋体" w:hAnsi="宋体" w:cs="宋体"/>
                <w:b/>
                <w:bCs/>
                <w:color w:val="auto"/>
                <w:szCs w:val="21"/>
                <w:highlight w:val="none"/>
                <w:lang w:val="en-US" w:eastAsia="zh-CN"/>
              </w:rPr>
              <w:t>承诺中标后</w:t>
            </w:r>
            <w:r>
              <w:rPr>
                <w:rFonts w:hint="eastAsia" w:ascii="宋体" w:hAnsi="宋体" w:eastAsia="宋体" w:cs="宋体"/>
                <w:b/>
                <w:bCs/>
                <w:color w:val="auto"/>
                <w:szCs w:val="21"/>
                <w:highlight w:val="none"/>
              </w:rPr>
              <w:t>购买《食品安全责任保险》</w:t>
            </w:r>
            <w:r>
              <w:rPr>
                <w:rFonts w:hint="eastAsia" w:ascii="宋体" w:hAnsi="宋体" w:eastAsia="宋体" w:cs="宋体"/>
                <w:color w:val="auto"/>
                <w:szCs w:val="21"/>
                <w:highlight w:val="none"/>
              </w:rPr>
              <w:t>的得1分。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提供承诺书，格式自拟并盖公章</w:t>
            </w:r>
            <w:r>
              <w:rPr>
                <w:rFonts w:hint="eastAsia" w:ascii="宋体" w:hAnsi="宋体" w:cs="宋体"/>
                <w:color w:val="auto"/>
                <w:szCs w:val="21"/>
                <w:highlight w:val="none"/>
                <w:lang w:eastAsia="zh-CN"/>
              </w:rPr>
              <w:t>）</w:t>
            </w:r>
          </w:p>
          <w:p w14:paraId="60F11DB0">
            <w:pPr>
              <w:keepNext w:val="0"/>
              <w:keepLines w:val="0"/>
              <w:pageBreakBefore w:val="0"/>
              <w:shd w:val="clear" w:color="auto" w:fill="auto"/>
              <w:kinsoku/>
              <w:wordWrap w:val="0"/>
              <w:overflowPunct/>
              <w:topLinePunct w:val="0"/>
              <w:autoSpaceDE/>
              <w:autoSpaceDN/>
              <w:bidi w:val="0"/>
              <w:spacing w:line="360" w:lineRule="exact"/>
              <w:ind w:firstLine="422"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Cs w:val="21"/>
                <w:highlight w:val="none"/>
              </w:rPr>
              <w:t>二档（2分）</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lang w:eastAsia="zh-CN"/>
              </w:rPr>
              <w:t>投标人</w:t>
            </w:r>
            <w:r>
              <w:rPr>
                <w:rFonts w:hint="eastAsia" w:ascii="宋体" w:hAnsi="宋体" w:cs="宋体"/>
                <w:b/>
                <w:bCs/>
                <w:color w:val="auto"/>
                <w:szCs w:val="21"/>
                <w:highlight w:val="none"/>
                <w:lang w:val="en-US" w:eastAsia="zh-CN"/>
              </w:rPr>
              <w:t>已</w:t>
            </w:r>
            <w:r>
              <w:rPr>
                <w:rFonts w:hint="eastAsia" w:ascii="宋体" w:hAnsi="宋体" w:eastAsia="宋体" w:cs="宋体"/>
                <w:b/>
                <w:bCs/>
                <w:color w:val="auto"/>
                <w:szCs w:val="21"/>
                <w:highlight w:val="none"/>
              </w:rPr>
              <w:t>购买《食品安全责任保险》（有效期内）</w:t>
            </w:r>
            <w:r>
              <w:rPr>
                <w:rFonts w:hint="eastAsia" w:ascii="宋体" w:hAnsi="宋体" w:eastAsia="宋体" w:cs="宋体"/>
                <w:color w:val="auto"/>
                <w:szCs w:val="21"/>
                <w:highlight w:val="none"/>
              </w:rPr>
              <w:t>的得</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w:t>
            </w:r>
            <w:r>
              <w:rPr>
                <w:rFonts w:hint="eastAsia" w:ascii="宋体" w:hAnsi="宋体" w:eastAsia="宋体" w:cs="宋体"/>
                <w:b w:val="0"/>
                <w:bCs w:val="0"/>
                <w:color w:val="auto"/>
                <w:szCs w:val="21"/>
                <w:highlight w:val="none"/>
              </w:rPr>
              <w:t>（提供相关保单、发票证明</w:t>
            </w:r>
            <w:r>
              <w:rPr>
                <w:rFonts w:hint="eastAsia" w:ascii="宋体" w:hAnsi="宋体" w:cs="宋体"/>
                <w:b w:val="0"/>
                <w:bCs w:val="0"/>
                <w:color w:val="auto"/>
                <w:szCs w:val="21"/>
                <w:highlight w:val="none"/>
                <w:lang w:val="en-US" w:eastAsia="zh-CN"/>
              </w:rPr>
              <w:t>复印件并盖公章</w:t>
            </w:r>
            <w:r>
              <w:rPr>
                <w:rFonts w:hint="eastAsia" w:ascii="宋体" w:hAnsi="宋体" w:eastAsia="宋体" w:cs="宋体"/>
                <w:b w:val="0"/>
                <w:bCs w:val="0"/>
                <w:color w:val="auto"/>
                <w:szCs w:val="21"/>
                <w:highlight w:val="none"/>
              </w:rPr>
              <w:t>）</w:t>
            </w:r>
          </w:p>
        </w:tc>
      </w:tr>
      <w:tr w14:paraId="45197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62" w:type="dxa"/>
            <w:vMerge w:val="continue"/>
            <w:noWrap w:val="0"/>
            <w:vAlign w:val="center"/>
          </w:tcPr>
          <w:p w14:paraId="398C6931">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color w:val="auto"/>
                <w:sz w:val="24"/>
                <w:highlight w:val="none"/>
                <w:lang w:val="en-US" w:eastAsia="zh-CN"/>
              </w:rPr>
            </w:pPr>
          </w:p>
        </w:tc>
        <w:tc>
          <w:tcPr>
            <w:tcW w:w="1585" w:type="dxa"/>
            <w:vMerge w:val="continue"/>
            <w:noWrap w:val="0"/>
            <w:vAlign w:val="center"/>
          </w:tcPr>
          <w:p w14:paraId="4988DD6E">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bCs/>
                <w:color w:val="auto"/>
                <w:kern w:val="0"/>
                <w:sz w:val="21"/>
                <w:szCs w:val="21"/>
                <w:highlight w:val="none"/>
                <w:lang w:val="en-US" w:eastAsia="zh-CN" w:bidi="ar-SA"/>
              </w:rPr>
            </w:pPr>
          </w:p>
        </w:tc>
        <w:tc>
          <w:tcPr>
            <w:tcW w:w="1520" w:type="dxa"/>
            <w:noWrap w:val="0"/>
            <w:vAlign w:val="center"/>
          </w:tcPr>
          <w:p w14:paraId="1FAF74BA">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（5）业绩（满分</w:t>
            </w:r>
            <w:r>
              <w:rPr>
                <w:rFonts w:hint="eastAsia" w:ascii="宋体" w:hAnsi="宋体" w:cs="宋体"/>
                <w:b/>
                <w:bCs/>
                <w:color w:val="auto"/>
                <w:szCs w:val="21"/>
                <w:highlight w:val="none"/>
                <w:lang w:val="en-US" w:eastAsia="zh-CN"/>
              </w:rPr>
              <w:t>4</w:t>
            </w:r>
            <w:r>
              <w:rPr>
                <w:rFonts w:hint="eastAsia" w:ascii="宋体" w:hAnsi="宋体" w:eastAsia="宋体" w:cs="宋体"/>
                <w:b/>
                <w:bCs/>
                <w:color w:val="auto"/>
                <w:szCs w:val="21"/>
                <w:highlight w:val="none"/>
              </w:rPr>
              <w:t>分）</w:t>
            </w:r>
          </w:p>
        </w:tc>
        <w:tc>
          <w:tcPr>
            <w:tcW w:w="6096" w:type="dxa"/>
            <w:noWrap w:val="0"/>
            <w:vAlign w:val="top"/>
          </w:tcPr>
          <w:p w14:paraId="3BBD8CAF">
            <w:pPr>
              <w:keepNext w:val="0"/>
              <w:keepLines w:val="0"/>
              <w:pageBreakBefore w:val="0"/>
              <w:shd w:val="clear" w:color="auto" w:fill="auto"/>
              <w:kinsoku/>
              <w:wordWrap w:val="0"/>
              <w:overflowPunct/>
              <w:topLinePunct w:val="0"/>
              <w:autoSpaceDE/>
              <w:autoSpaceDN/>
              <w:bidi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年1月1日以来</w:t>
            </w:r>
            <w:r>
              <w:rPr>
                <w:rFonts w:hint="eastAsia" w:ascii="宋体" w:hAnsi="宋体" w:cs="宋体"/>
                <w:color w:val="auto"/>
                <w:szCs w:val="21"/>
                <w:highlight w:val="none"/>
                <w:lang w:val="en-US" w:eastAsia="zh-CN"/>
              </w:rPr>
              <w:t>类似</w:t>
            </w:r>
            <w:r>
              <w:rPr>
                <w:rFonts w:hint="eastAsia" w:ascii="宋体" w:hAnsi="宋体" w:eastAsia="宋体" w:cs="宋体"/>
                <w:color w:val="auto"/>
                <w:szCs w:val="21"/>
                <w:highlight w:val="none"/>
              </w:rPr>
              <w:t>食品供应服务的业绩</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【无不良记录，须在</w:t>
            </w:r>
            <w:r>
              <w:rPr>
                <w:rFonts w:hint="eastAsia" w:ascii="宋体" w:hAnsi="宋体" w:eastAsia="宋体" w:cs="宋体"/>
                <w:color w:val="auto"/>
                <w:szCs w:val="21"/>
                <w:highlight w:val="none"/>
                <w:lang w:eastAsia="zh-CN"/>
              </w:rPr>
              <w:t>投标</w:t>
            </w:r>
            <w:r>
              <w:rPr>
                <w:rFonts w:hint="eastAsia" w:ascii="宋体" w:hAnsi="宋体" w:eastAsia="宋体" w:cs="宋体"/>
                <w:color w:val="auto"/>
                <w:szCs w:val="21"/>
                <w:highlight w:val="none"/>
              </w:rPr>
              <w:t>文件中提供中标</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成交</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通知书复印件</w:t>
            </w:r>
            <w:r>
              <w:rPr>
                <w:rFonts w:hint="eastAsia" w:ascii="宋体" w:hAnsi="宋体" w:eastAsia="宋体" w:cs="宋体"/>
                <w:color w:val="auto"/>
                <w:szCs w:val="21"/>
                <w:highlight w:val="none"/>
                <w:lang w:eastAsia="zh-CN"/>
              </w:rPr>
              <w:t>或</w:t>
            </w:r>
            <w:r>
              <w:rPr>
                <w:rFonts w:hint="eastAsia" w:ascii="宋体" w:hAnsi="宋体" w:eastAsia="宋体" w:cs="宋体"/>
                <w:color w:val="auto"/>
                <w:szCs w:val="21"/>
                <w:highlight w:val="none"/>
              </w:rPr>
              <w:t>签订的合同复印件为准，否则将不予评审】，每个得1分，最多得</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分。</w:t>
            </w:r>
          </w:p>
        </w:tc>
      </w:tr>
      <w:tr w14:paraId="119F3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62" w:type="dxa"/>
            <w:vMerge w:val="continue"/>
            <w:noWrap w:val="0"/>
            <w:vAlign w:val="center"/>
          </w:tcPr>
          <w:p w14:paraId="113E5FC3">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color w:val="auto"/>
                <w:sz w:val="24"/>
                <w:highlight w:val="none"/>
                <w:lang w:val="en-US" w:eastAsia="zh-CN"/>
              </w:rPr>
            </w:pPr>
          </w:p>
        </w:tc>
        <w:tc>
          <w:tcPr>
            <w:tcW w:w="1585" w:type="dxa"/>
            <w:vMerge w:val="continue"/>
            <w:noWrap w:val="0"/>
            <w:vAlign w:val="center"/>
          </w:tcPr>
          <w:p w14:paraId="17B700C7">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bCs/>
                <w:color w:val="auto"/>
                <w:kern w:val="0"/>
                <w:sz w:val="21"/>
                <w:szCs w:val="21"/>
                <w:highlight w:val="none"/>
                <w:lang w:val="en-US" w:eastAsia="zh-CN" w:bidi="ar-SA"/>
              </w:rPr>
            </w:pPr>
          </w:p>
        </w:tc>
        <w:tc>
          <w:tcPr>
            <w:tcW w:w="1520" w:type="dxa"/>
            <w:noWrap w:val="0"/>
            <w:vAlign w:val="center"/>
          </w:tcPr>
          <w:p w14:paraId="01FFF99E">
            <w:pPr>
              <w:keepNext w:val="0"/>
              <w:keepLines w:val="0"/>
              <w:pageBreakBefore w:val="0"/>
              <w:kinsoku/>
              <w:overflowPunct/>
              <w:topLinePunct w:val="0"/>
              <w:autoSpaceDE/>
              <w:autoSpaceDN/>
              <w:bidi w:val="0"/>
              <w:snapToGrid w:val="0"/>
              <w:spacing w:line="36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lang w:eastAsia="zh-CN"/>
              </w:rPr>
              <w:t>）采购渠道正规合法及可追溯性（满分</w:t>
            </w:r>
            <w:r>
              <w:rPr>
                <w:rFonts w:hint="eastAsia" w:ascii="宋体" w:hAnsi="宋体" w:cs="宋体"/>
                <w:b/>
                <w:bCs/>
                <w:color w:val="auto"/>
                <w:szCs w:val="21"/>
                <w:highlight w:val="none"/>
                <w:lang w:val="en-US" w:eastAsia="zh-CN"/>
              </w:rPr>
              <w:t>2</w:t>
            </w:r>
            <w:r>
              <w:rPr>
                <w:rFonts w:hint="eastAsia" w:ascii="宋体" w:hAnsi="宋体" w:eastAsia="宋体" w:cs="宋体"/>
                <w:b/>
                <w:bCs/>
                <w:color w:val="auto"/>
                <w:szCs w:val="21"/>
                <w:highlight w:val="none"/>
                <w:lang w:val="en-US" w:eastAsia="zh-CN"/>
              </w:rPr>
              <w:t>分</w:t>
            </w:r>
            <w:r>
              <w:rPr>
                <w:rFonts w:hint="eastAsia" w:ascii="宋体" w:hAnsi="宋体" w:eastAsia="宋体" w:cs="宋体"/>
                <w:b/>
                <w:bCs/>
                <w:color w:val="auto"/>
                <w:szCs w:val="21"/>
                <w:highlight w:val="none"/>
                <w:lang w:eastAsia="zh-CN"/>
              </w:rPr>
              <w:t>）</w:t>
            </w:r>
          </w:p>
        </w:tc>
        <w:tc>
          <w:tcPr>
            <w:tcW w:w="6096" w:type="dxa"/>
            <w:noWrap w:val="0"/>
            <w:vAlign w:val="top"/>
          </w:tcPr>
          <w:p w14:paraId="741A9B45">
            <w:pPr>
              <w:keepNext w:val="0"/>
              <w:keepLines w:val="0"/>
              <w:pageBreakBefore w:val="0"/>
              <w:shd w:val="clear" w:color="auto" w:fill="auto"/>
              <w:kinsoku/>
              <w:wordWrap w:val="0"/>
              <w:overflowPunct/>
              <w:topLinePunct w:val="0"/>
              <w:autoSpaceDE/>
              <w:autoSpaceDN/>
              <w:bidi w:val="0"/>
              <w:spacing w:line="36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投标人对分标</w:t>
            </w:r>
            <w:r>
              <w:rPr>
                <w:rFonts w:hint="eastAsia" w:ascii="宋体" w:hAnsi="宋体" w:eastAsia="宋体" w:cs="宋体"/>
                <w:color w:val="auto"/>
                <w:szCs w:val="21"/>
                <w:highlight w:val="none"/>
                <w:lang w:eastAsia="zh-CN"/>
              </w:rPr>
              <w:t>品类的</w:t>
            </w:r>
            <w:r>
              <w:rPr>
                <w:rFonts w:hint="eastAsia" w:ascii="宋体" w:hAnsi="宋体" w:eastAsia="宋体" w:cs="宋体"/>
                <w:color w:val="auto"/>
                <w:szCs w:val="21"/>
                <w:highlight w:val="none"/>
              </w:rPr>
              <w:t>供货来源可追溯，所有提供的产品为自养或自有或自种或自有批发销售点的得</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分。（以上须提供供货场所图片或产权证明或租赁合同或营业执照或供货协议</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能证实场地有效的证明材料，原件备查）（满分</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w:t>
            </w:r>
          </w:p>
        </w:tc>
      </w:tr>
      <w:tr w14:paraId="0CCAC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763" w:type="dxa"/>
            <w:gridSpan w:val="4"/>
            <w:noWrap w:val="0"/>
            <w:vAlign w:val="center"/>
          </w:tcPr>
          <w:p w14:paraId="1C462372">
            <w:pPr>
              <w:pStyle w:val="17"/>
              <w:keepNext w:val="0"/>
              <w:keepLines w:val="0"/>
              <w:pageBreakBefore w:val="0"/>
              <w:kinsoku/>
              <w:overflowPunct/>
              <w:topLinePunct w:val="0"/>
              <w:autoSpaceDE/>
              <w:autoSpaceDN/>
              <w:bidi w:val="0"/>
              <w:snapToGrid w:val="0"/>
              <w:spacing w:line="36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总得分=1+2+3</w:t>
            </w:r>
            <w:r>
              <w:rPr>
                <w:rFonts w:hint="eastAsia" w:ascii="宋体" w:hAnsi="宋体" w:eastAsia="宋体" w:cs="宋体"/>
                <w:b/>
                <w:bCs/>
                <w:color w:val="auto"/>
                <w:sz w:val="24"/>
                <w:szCs w:val="24"/>
                <w:highlight w:val="none"/>
                <w:lang w:val="en-US" w:eastAsia="zh-CN"/>
              </w:rPr>
              <w:t>+4</w:t>
            </w:r>
          </w:p>
        </w:tc>
      </w:tr>
    </w:tbl>
    <w:p w14:paraId="29DDFE32">
      <w:pPr>
        <w:rPr>
          <w:rFonts w:hint="eastAsia"/>
          <w:color w:val="auto"/>
          <w:highlight w:val="none"/>
        </w:rPr>
      </w:pPr>
      <w:r>
        <w:rPr>
          <w:rFonts w:hint="eastAsia"/>
          <w:color w:val="auto"/>
          <w:highlight w:val="none"/>
        </w:rPr>
        <w:br w:type="page"/>
      </w:r>
    </w:p>
    <w:p w14:paraId="7584C9AB">
      <w:pPr>
        <w:pStyle w:val="3"/>
        <w:jc w:val="center"/>
        <w:rPr>
          <w:rFonts w:hint="eastAsia" w:cs="Times New Roman"/>
          <w:b w:val="0"/>
          <w:color w:val="auto"/>
          <w:sz w:val="30"/>
          <w:szCs w:val="30"/>
          <w:highlight w:val="none"/>
        </w:rPr>
      </w:pPr>
      <w:r>
        <w:rPr>
          <w:rFonts w:hint="eastAsia" w:cs="Times New Roman"/>
          <w:b w:val="0"/>
          <w:color w:val="auto"/>
          <w:sz w:val="30"/>
          <w:szCs w:val="30"/>
          <w:highlight w:val="none"/>
        </w:rPr>
        <w:t>第四节</w:t>
      </w:r>
      <w:r>
        <w:rPr>
          <w:rFonts w:cs="Times New Roman"/>
          <w:b w:val="0"/>
          <w:color w:val="auto"/>
          <w:sz w:val="30"/>
          <w:szCs w:val="30"/>
          <w:highlight w:val="none"/>
        </w:rPr>
        <w:t xml:space="preserve"> </w:t>
      </w:r>
      <w:r>
        <w:rPr>
          <w:rFonts w:hint="eastAsia" w:cs="Times New Roman"/>
          <w:b w:val="0"/>
          <w:color w:val="auto"/>
          <w:sz w:val="30"/>
          <w:szCs w:val="30"/>
          <w:highlight w:val="none"/>
        </w:rPr>
        <w:t>中标候选人推荐原则</w:t>
      </w:r>
    </w:p>
    <w:p w14:paraId="146CE160">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本次采购招标划分为</w:t>
      </w:r>
      <w:r>
        <w:rPr>
          <w:rFonts w:hint="eastAsia" w:ascii="宋体" w:hAnsi="宋体" w:cs="宋体"/>
          <w:b/>
          <w:bCs/>
          <w:color w:val="auto"/>
          <w:szCs w:val="21"/>
          <w:highlight w:val="none"/>
          <w:u w:val="single"/>
          <w:lang w:val="en-US" w:eastAsia="zh-CN"/>
        </w:rPr>
        <w:t>5个</w:t>
      </w:r>
      <w:r>
        <w:rPr>
          <w:rFonts w:hint="eastAsia" w:ascii="宋体" w:hAnsi="宋体" w:cs="宋体"/>
          <w:b/>
          <w:bCs/>
          <w:color w:val="auto"/>
          <w:szCs w:val="21"/>
          <w:highlight w:val="none"/>
          <w:u w:val="single"/>
          <w:lang w:eastAsia="zh-CN"/>
        </w:rPr>
        <w:t>分标</w:t>
      </w:r>
      <w:r>
        <w:rPr>
          <w:rFonts w:hint="eastAsia" w:ascii="宋体" w:hAnsi="宋体" w:cs="宋体"/>
          <w:b/>
          <w:bCs/>
          <w:color w:val="auto"/>
          <w:szCs w:val="21"/>
          <w:highlight w:val="none"/>
        </w:rPr>
        <w:t>，允许投标人多</w:t>
      </w:r>
      <w:r>
        <w:rPr>
          <w:rFonts w:hint="eastAsia" w:ascii="宋体" w:hAnsi="宋体" w:cs="宋体"/>
          <w:b/>
          <w:bCs/>
          <w:color w:val="auto"/>
          <w:szCs w:val="21"/>
          <w:highlight w:val="none"/>
          <w:lang w:eastAsia="zh-CN"/>
        </w:rPr>
        <w:t>分标</w:t>
      </w:r>
      <w:r>
        <w:rPr>
          <w:rFonts w:hint="eastAsia" w:ascii="宋体" w:hAnsi="宋体" w:cs="宋体"/>
          <w:b/>
          <w:bCs/>
          <w:color w:val="auto"/>
          <w:szCs w:val="21"/>
          <w:highlight w:val="none"/>
        </w:rPr>
        <w:t>兼投，但兼中不得超过</w:t>
      </w:r>
      <w:r>
        <w:rPr>
          <w:rFonts w:hint="eastAsia" w:ascii="宋体" w:hAnsi="宋体" w:cs="宋体"/>
          <w:b/>
          <w:bCs/>
          <w:color w:val="auto"/>
          <w:szCs w:val="21"/>
          <w:highlight w:val="none"/>
          <w:u w:val="single"/>
          <w:lang w:val="en-US" w:eastAsia="zh-CN"/>
        </w:rPr>
        <w:t>两</w:t>
      </w:r>
      <w:r>
        <w:rPr>
          <w:rFonts w:hint="eastAsia" w:ascii="宋体" w:hAnsi="宋体" w:cs="宋体"/>
          <w:b/>
          <w:bCs/>
          <w:color w:val="auto"/>
          <w:szCs w:val="21"/>
          <w:highlight w:val="none"/>
          <w:u w:val="single"/>
        </w:rPr>
        <w:t>个</w:t>
      </w:r>
      <w:r>
        <w:rPr>
          <w:rFonts w:hint="eastAsia" w:ascii="宋体" w:hAnsi="宋体" w:cs="宋体"/>
          <w:b/>
          <w:bCs/>
          <w:color w:val="auto"/>
          <w:szCs w:val="21"/>
          <w:highlight w:val="none"/>
          <w:u w:val="single"/>
          <w:lang w:eastAsia="zh-CN"/>
        </w:rPr>
        <w:t>分标</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zh-CN" w:eastAsia="zh-CN"/>
        </w:rPr>
        <w:t>按分标的自然顺序（</w:t>
      </w:r>
      <w:r>
        <w:rPr>
          <w:rFonts w:hint="eastAsia" w:ascii="宋体" w:hAnsi="宋体" w:cs="宋体"/>
          <w:b/>
          <w:bCs w:val="0"/>
          <w:color w:val="auto"/>
          <w:szCs w:val="21"/>
          <w:highlight w:val="none"/>
          <w:lang w:val="en-US" w:eastAsia="zh-CN"/>
        </w:rPr>
        <w:t>1分标→2分标→3分标→…→5分标</w:t>
      </w:r>
      <w:r>
        <w:rPr>
          <w:rFonts w:hint="eastAsia" w:ascii="宋体" w:hAnsi="宋体" w:cs="宋体"/>
          <w:b/>
          <w:bCs/>
          <w:color w:val="auto"/>
          <w:szCs w:val="21"/>
          <w:highlight w:val="none"/>
          <w:lang w:val="zh-CN" w:eastAsia="zh-CN"/>
        </w:rPr>
        <w:t>）进行评审</w:t>
      </w:r>
      <w:r>
        <w:rPr>
          <w:rFonts w:hint="eastAsia" w:ascii="宋体" w:hAnsi="宋体" w:cs="宋体"/>
          <w:b/>
          <w:bCs/>
          <w:color w:val="auto"/>
          <w:szCs w:val="21"/>
          <w:highlight w:val="none"/>
          <w:lang w:val="en-US" w:eastAsia="zh-CN"/>
        </w:rPr>
        <w:t>，</w:t>
      </w:r>
      <w:r>
        <w:rPr>
          <w:rFonts w:hint="eastAsia" w:ascii="宋体" w:hAnsi="宋体" w:cs="宋体"/>
          <w:b/>
          <w:bCs/>
          <w:color w:val="auto"/>
          <w:szCs w:val="21"/>
          <w:highlight w:val="none"/>
        </w:rPr>
        <w:t>如：同时获得</w:t>
      </w:r>
      <w:r>
        <w:rPr>
          <w:rFonts w:hint="eastAsia" w:ascii="宋体" w:hAnsi="宋体" w:cs="宋体"/>
          <w:b/>
          <w:bCs/>
          <w:color w:val="auto"/>
          <w:szCs w:val="21"/>
          <w:highlight w:val="none"/>
          <w:lang w:val="en-US" w:eastAsia="zh-CN"/>
        </w:rPr>
        <w:t>分标1、分标2、</w:t>
      </w:r>
      <w:r>
        <w:rPr>
          <w:rFonts w:hint="eastAsia" w:ascii="宋体" w:hAnsi="宋体" w:cs="宋体"/>
          <w:b/>
          <w:bCs/>
          <w:color w:val="auto"/>
          <w:szCs w:val="21"/>
          <w:highlight w:val="none"/>
        </w:rPr>
        <w:t>的第一中标候选人，只能获得</w:t>
      </w:r>
      <w:r>
        <w:rPr>
          <w:rFonts w:hint="eastAsia" w:ascii="宋体" w:hAnsi="宋体" w:cs="宋体"/>
          <w:b/>
          <w:bCs/>
          <w:color w:val="auto"/>
          <w:szCs w:val="21"/>
          <w:highlight w:val="none"/>
          <w:lang w:val="en-US" w:eastAsia="zh-CN"/>
        </w:rPr>
        <w:t>分标1和分标2</w:t>
      </w:r>
      <w:r>
        <w:rPr>
          <w:rFonts w:hint="eastAsia" w:ascii="宋体" w:hAnsi="宋体" w:cs="宋体"/>
          <w:b/>
          <w:bCs/>
          <w:color w:val="auto"/>
          <w:szCs w:val="21"/>
          <w:highlight w:val="none"/>
        </w:rPr>
        <w:t>的第一个中标候选人资格，</w:t>
      </w:r>
      <w:r>
        <w:rPr>
          <w:rFonts w:hint="eastAsia" w:ascii="宋体" w:hAnsi="宋体" w:cs="宋体"/>
          <w:b/>
          <w:bCs/>
          <w:color w:val="auto"/>
          <w:szCs w:val="21"/>
          <w:highlight w:val="none"/>
          <w:lang w:val="en-US" w:eastAsia="zh-CN"/>
        </w:rPr>
        <w:t>分标3和分标4</w:t>
      </w:r>
      <w:r>
        <w:rPr>
          <w:rFonts w:hint="eastAsia" w:ascii="宋体" w:hAnsi="宋体" w:cs="宋体"/>
          <w:b/>
          <w:bCs/>
          <w:color w:val="auto"/>
          <w:szCs w:val="21"/>
          <w:highlight w:val="none"/>
        </w:rPr>
        <w:t>不推荐为中标候选人</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以此类推</w:t>
      </w:r>
      <w:r>
        <w:rPr>
          <w:rFonts w:hint="eastAsia" w:ascii="宋体" w:hAnsi="宋体" w:cs="宋体"/>
          <w:b/>
          <w:bCs/>
          <w:color w:val="auto"/>
          <w:szCs w:val="21"/>
          <w:highlight w:val="none"/>
        </w:rPr>
        <w:t>。</w:t>
      </w:r>
    </w:p>
    <w:tbl>
      <w:tblPr>
        <w:tblStyle w:val="39"/>
        <w:tblW w:w="987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97"/>
        <w:gridCol w:w="5865"/>
        <w:gridCol w:w="2716"/>
      </w:tblGrid>
      <w:tr w14:paraId="2C165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 w:hRule="atLeast"/>
          <w:jc w:val="center"/>
        </w:trPr>
        <w:tc>
          <w:tcPr>
            <w:tcW w:w="1297" w:type="dxa"/>
            <w:noWrap w:val="0"/>
            <w:vAlign w:val="center"/>
          </w:tcPr>
          <w:p w14:paraId="4EC0EC2E">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pacing w:val="-3"/>
                <w:sz w:val="21"/>
                <w:szCs w:val="21"/>
                <w:highlight w:val="none"/>
                <w:lang w:val="en-US" w:eastAsia="zh-CN"/>
              </w:rPr>
            </w:pPr>
            <w:r>
              <w:rPr>
                <w:rFonts w:hint="eastAsia" w:ascii="Times New Roman" w:hAnsi="Times New Roman" w:eastAsia="宋体" w:cs="Times New Roman"/>
                <w:b/>
                <w:bCs/>
                <w:color w:val="auto"/>
                <w:spacing w:val="-3"/>
                <w:sz w:val="21"/>
                <w:szCs w:val="21"/>
                <w:highlight w:val="none"/>
                <w:lang w:val="en-US" w:eastAsia="zh-CN"/>
              </w:rPr>
              <w:t>分标号</w:t>
            </w:r>
          </w:p>
        </w:tc>
        <w:tc>
          <w:tcPr>
            <w:tcW w:w="5865" w:type="dxa"/>
            <w:noWrap w:val="0"/>
            <w:vAlign w:val="center"/>
          </w:tcPr>
          <w:p w14:paraId="2C5E7255">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宋体" w:cs="Times New Roman"/>
                <w:b/>
                <w:bCs/>
                <w:color w:val="auto"/>
                <w:spacing w:val="-3"/>
                <w:sz w:val="21"/>
                <w:szCs w:val="21"/>
                <w:highlight w:val="none"/>
                <w:lang w:val="en-US" w:eastAsia="zh-CN"/>
              </w:rPr>
            </w:pPr>
            <w:r>
              <w:rPr>
                <w:rFonts w:hint="eastAsia" w:ascii="Times New Roman" w:hAnsi="Times New Roman" w:eastAsia="宋体" w:cs="Times New Roman"/>
                <w:b/>
                <w:bCs/>
                <w:color w:val="auto"/>
                <w:spacing w:val="-3"/>
                <w:sz w:val="21"/>
                <w:szCs w:val="21"/>
                <w:highlight w:val="none"/>
                <w:lang w:val="en-US" w:eastAsia="zh-CN"/>
              </w:rPr>
              <w:t>标的名称</w:t>
            </w:r>
          </w:p>
        </w:tc>
        <w:tc>
          <w:tcPr>
            <w:tcW w:w="2716" w:type="dxa"/>
            <w:noWrap w:val="0"/>
            <w:vAlign w:val="center"/>
          </w:tcPr>
          <w:p w14:paraId="4BA7732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bCs/>
                <w:color w:val="auto"/>
                <w:spacing w:val="-3"/>
                <w:kern w:val="2"/>
                <w:sz w:val="21"/>
                <w:szCs w:val="21"/>
                <w:highlight w:val="none"/>
                <w:lang w:val="en-US" w:eastAsia="zh-CN" w:bidi="ar-SA"/>
              </w:rPr>
            </w:pPr>
            <w:r>
              <w:rPr>
                <w:rFonts w:hint="eastAsia" w:ascii="Times New Roman" w:hAnsi="Times New Roman" w:eastAsia="宋体" w:cs="Times New Roman"/>
                <w:b/>
                <w:bCs/>
                <w:color w:val="auto"/>
                <w:spacing w:val="-3"/>
                <w:sz w:val="21"/>
                <w:szCs w:val="21"/>
                <w:highlight w:val="none"/>
                <w:lang w:val="en-US" w:eastAsia="zh-CN"/>
              </w:rPr>
              <w:t>选定供应商数量（家）</w:t>
            </w:r>
          </w:p>
        </w:tc>
      </w:tr>
      <w:tr w14:paraId="455EB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 w:hRule="atLeast"/>
          <w:jc w:val="center"/>
        </w:trPr>
        <w:tc>
          <w:tcPr>
            <w:tcW w:w="1297" w:type="dxa"/>
            <w:noWrap w:val="0"/>
            <w:vAlign w:val="center"/>
          </w:tcPr>
          <w:p w14:paraId="22F951C2">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3"/>
                <w:sz w:val="21"/>
                <w:szCs w:val="21"/>
                <w:highlight w:val="none"/>
                <w:lang w:val="en-US" w:eastAsia="zh-CN"/>
              </w:rPr>
            </w:pPr>
            <w:r>
              <w:rPr>
                <w:rFonts w:hint="eastAsia" w:ascii="Times New Roman" w:hAnsi="Times New Roman" w:eastAsia="宋体" w:cs="Times New Roman"/>
                <w:color w:val="auto"/>
                <w:spacing w:val="-3"/>
                <w:sz w:val="21"/>
                <w:szCs w:val="21"/>
                <w:highlight w:val="none"/>
                <w:lang w:val="en-US" w:eastAsia="zh-CN"/>
              </w:rPr>
              <w:t>分标1</w:t>
            </w:r>
          </w:p>
        </w:tc>
        <w:tc>
          <w:tcPr>
            <w:tcW w:w="5865" w:type="dxa"/>
            <w:noWrap w:val="0"/>
            <w:vAlign w:val="center"/>
          </w:tcPr>
          <w:p w14:paraId="09E208C8">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宋体" w:cs="Times New Roman"/>
                <w:color w:val="auto"/>
                <w:spacing w:val="-3"/>
                <w:sz w:val="21"/>
                <w:szCs w:val="21"/>
                <w:highlight w:val="none"/>
                <w:lang w:val="en-US" w:eastAsia="zh-CN"/>
              </w:rPr>
            </w:pPr>
            <w:r>
              <w:rPr>
                <w:rFonts w:hint="eastAsia" w:ascii="Times New Roman" w:hAnsi="Times New Roman" w:eastAsia="宋体" w:cs="Times New Roman"/>
                <w:color w:val="auto"/>
                <w:spacing w:val="-3"/>
                <w:sz w:val="21"/>
                <w:szCs w:val="21"/>
                <w:highlight w:val="none"/>
                <w:lang w:val="en-US" w:eastAsia="zh-CN"/>
              </w:rPr>
              <w:t>部分调味品、部分副食品</w:t>
            </w:r>
          </w:p>
        </w:tc>
        <w:tc>
          <w:tcPr>
            <w:tcW w:w="2716" w:type="dxa"/>
            <w:noWrap w:val="0"/>
            <w:vAlign w:val="center"/>
          </w:tcPr>
          <w:p w14:paraId="49F5604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宋体" w:cs="Times New Roman"/>
                <w:color w:val="auto"/>
                <w:spacing w:val="-3"/>
                <w:sz w:val="21"/>
                <w:szCs w:val="21"/>
                <w:highlight w:val="none"/>
                <w:lang w:val="en-US" w:eastAsia="zh-CN"/>
              </w:rPr>
            </w:pPr>
            <w:r>
              <w:rPr>
                <w:rFonts w:hint="eastAsia" w:ascii="Times New Roman" w:hAnsi="Times New Roman" w:eastAsia="宋体" w:cs="Times New Roman"/>
                <w:color w:val="auto"/>
                <w:spacing w:val="-3"/>
                <w:sz w:val="21"/>
                <w:szCs w:val="21"/>
                <w:highlight w:val="none"/>
                <w:lang w:val="en-US" w:eastAsia="zh-CN"/>
              </w:rPr>
              <w:t>1</w:t>
            </w:r>
          </w:p>
        </w:tc>
      </w:tr>
      <w:tr w14:paraId="78A4B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 w:hRule="atLeast"/>
          <w:jc w:val="center"/>
        </w:trPr>
        <w:tc>
          <w:tcPr>
            <w:tcW w:w="1297" w:type="dxa"/>
            <w:noWrap w:val="0"/>
            <w:vAlign w:val="center"/>
          </w:tcPr>
          <w:p w14:paraId="4D95402A">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3"/>
                <w:sz w:val="21"/>
                <w:szCs w:val="21"/>
                <w:highlight w:val="none"/>
                <w:lang w:val="en-US" w:eastAsia="zh-CN"/>
              </w:rPr>
            </w:pPr>
            <w:r>
              <w:rPr>
                <w:rFonts w:hint="eastAsia" w:ascii="Times New Roman" w:hAnsi="Times New Roman" w:eastAsia="宋体" w:cs="Times New Roman"/>
                <w:color w:val="auto"/>
                <w:spacing w:val="-3"/>
                <w:sz w:val="21"/>
                <w:szCs w:val="21"/>
                <w:highlight w:val="none"/>
                <w:lang w:val="en-US" w:eastAsia="zh-CN"/>
              </w:rPr>
              <w:t>分标2</w:t>
            </w:r>
          </w:p>
        </w:tc>
        <w:tc>
          <w:tcPr>
            <w:tcW w:w="5865" w:type="dxa"/>
            <w:noWrap w:val="0"/>
            <w:vAlign w:val="center"/>
          </w:tcPr>
          <w:p w14:paraId="46B947E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3"/>
                <w:sz w:val="21"/>
                <w:szCs w:val="21"/>
                <w:highlight w:val="none"/>
                <w:lang w:val="en-US" w:eastAsia="zh-CN"/>
              </w:rPr>
            </w:pPr>
            <w:r>
              <w:rPr>
                <w:rFonts w:hint="eastAsia" w:ascii="Times New Roman" w:hAnsi="Times New Roman" w:eastAsia="宋体" w:cs="Times New Roman"/>
                <w:color w:val="auto"/>
                <w:spacing w:val="-3"/>
                <w:sz w:val="21"/>
                <w:szCs w:val="21"/>
                <w:highlight w:val="none"/>
                <w:lang w:val="en-US" w:eastAsia="zh-CN"/>
              </w:rPr>
              <w:t>学习用品、日用品</w:t>
            </w:r>
          </w:p>
        </w:tc>
        <w:tc>
          <w:tcPr>
            <w:tcW w:w="2716" w:type="dxa"/>
            <w:noWrap w:val="0"/>
            <w:vAlign w:val="center"/>
          </w:tcPr>
          <w:p w14:paraId="56D17BE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3"/>
                <w:sz w:val="21"/>
                <w:szCs w:val="21"/>
                <w:highlight w:val="none"/>
                <w:lang w:val="en-US" w:eastAsia="zh-CN"/>
              </w:rPr>
            </w:pPr>
            <w:r>
              <w:rPr>
                <w:rFonts w:hint="eastAsia" w:ascii="Times New Roman" w:hAnsi="Times New Roman" w:eastAsia="宋体" w:cs="Times New Roman"/>
                <w:color w:val="auto"/>
                <w:spacing w:val="-3"/>
                <w:sz w:val="21"/>
                <w:szCs w:val="21"/>
                <w:highlight w:val="none"/>
                <w:lang w:val="en-US" w:eastAsia="zh-CN"/>
              </w:rPr>
              <w:t>1</w:t>
            </w:r>
          </w:p>
        </w:tc>
      </w:tr>
      <w:tr w14:paraId="1FB9E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 w:hRule="atLeast"/>
          <w:jc w:val="center"/>
        </w:trPr>
        <w:tc>
          <w:tcPr>
            <w:tcW w:w="1297" w:type="dxa"/>
            <w:noWrap w:val="0"/>
            <w:vAlign w:val="center"/>
          </w:tcPr>
          <w:p w14:paraId="550757D5">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3"/>
                <w:sz w:val="21"/>
                <w:szCs w:val="21"/>
                <w:highlight w:val="none"/>
                <w:lang w:val="en-US" w:eastAsia="zh-CN"/>
              </w:rPr>
            </w:pPr>
            <w:r>
              <w:rPr>
                <w:rFonts w:hint="eastAsia" w:ascii="Times New Roman" w:hAnsi="Times New Roman" w:eastAsia="宋体" w:cs="Times New Roman"/>
                <w:color w:val="auto"/>
                <w:spacing w:val="-3"/>
                <w:sz w:val="21"/>
                <w:szCs w:val="21"/>
                <w:highlight w:val="none"/>
                <w:lang w:val="en-US" w:eastAsia="zh-CN"/>
              </w:rPr>
              <w:t>分标3</w:t>
            </w:r>
          </w:p>
        </w:tc>
        <w:tc>
          <w:tcPr>
            <w:tcW w:w="5865" w:type="dxa"/>
            <w:noWrap w:val="0"/>
            <w:vAlign w:val="center"/>
          </w:tcPr>
          <w:p w14:paraId="3A7C241D">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宋体" w:cs="Times New Roman"/>
                <w:color w:val="auto"/>
                <w:spacing w:val="-3"/>
                <w:sz w:val="21"/>
                <w:szCs w:val="21"/>
                <w:highlight w:val="none"/>
                <w:lang w:val="en-US" w:eastAsia="zh-CN"/>
              </w:rPr>
            </w:pPr>
            <w:r>
              <w:rPr>
                <w:rFonts w:hint="eastAsia" w:ascii="Times New Roman" w:hAnsi="Times New Roman" w:eastAsia="宋体" w:cs="Times New Roman"/>
                <w:color w:val="auto"/>
                <w:spacing w:val="-3"/>
                <w:sz w:val="21"/>
                <w:szCs w:val="21"/>
                <w:highlight w:val="none"/>
                <w:lang w:val="en-US" w:eastAsia="zh-CN"/>
              </w:rPr>
              <w:t>矿泉水、饮料、牛奶</w:t>
            </w:r>
          </w:p>
        </w:tc>
        <w:tc>
          <w:tcPr>
            <w:tcW w:w="2716" w:type="dxa"/>
            <w:noWrap w:val="0"/>
            <w:vAlign w:val="center"/>
          </w:tcPr>
          <w:p w14:paraId="4AB97B0F">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宋体" w:cs="Times New Roman"/>
                <w:color w:val="auto"/>
                <w:spacing w:val="-3"/>
                <w:sz w:val="21"/>
                <w:szCs w:val="21"/>
                <w:highlight w:val="none"/>
                <w:lang w:val="en-US" w:eastAsia="zh-CN"/>
              </w:rPr>
            </w:pPr>
            <w:r>
              <w:rPr>
                <w:rFonts w:hint="eastAsia" w:ascii="Times New Roman" w:hAnsi="Times New Roman" w:eastAsia="宋体" w:cs="Times New Roman"/>
                <w:color w:val="auto"/>
                <w:spacing w:val="-3"/>
                <w:sz w:val="21"/>
                <w:szCs w:val="21"/>
                <w:highlight w:val="none"/>
                <w:lang w:val="en-US" w:eastAsia="zh-CN"/>
              </w:rPr>
              <w:t>1</w:t>
            </w:r>
          </w:p>
        </w:tc>
      </w:tr>
      <w:tr w14:paraId="00D51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 w:hRule="atLeast"/>
          <w:jc w:val="center"/>
        </w:trPr>
        <w:tc>
          <w:tcPr>
            <w:tcW w:w="1297" w:type="dxa"/>
            <w:noWrap w:val="0"/>
            <w:vAlign w:val="center"/>
          </w:tcPr>
          <w:p w14:paraId="54C8E2F1">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3"/>
                <w:sz w:val="21"/>
                <w:szCs w:val="21"/>
                <w:highlight w:val="none"/>
                <w:lang w:val="en-US" w:eastAsia="zh-CN"/>
              </w:rPr>
            </w:pPr>
            <w:r>
              <w:rPr>
                <w:rFonts w:hint="eastAsia" w:ascii="Times New Roman" w:hAnsi="Times New Roman" w:eastAsia="宋体" w:cs="Times New Roman"/>
                <w:color w:val="auto"/>
                <w:spacing w:val="-3"/>
                <w:sz w:val="21"/>
                <w:szCs w:val="21"/>
                <w:highlight w:val="none"/>
                <w:lang w:val="en-US" w:eastAsia="zh-CN"/>
              </w:rPr>
              <w:t>分标4</w:t>
            </w:r>
          </w:p>
        </w:tc>
        <w:tc>
          <w:tcPr>
            <w:tcW w:w="5865" w:type="dxa"/>
            <w:noWrap w:val="0"/>
            <w:vAlign w:val="center"/>
          </w:tcPr>
          <w:p w14:paraId="216C2A68">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3"/>
                <w:sz w:val="21"/>
                <w:szCs w:val="21"/>
                <w:highlight w:val="none"/>
                <w:lang w:val="en-US" w:eastAsia="zh-CN"/>
              </w:rPr>
            </w:pPr>
            <w:r>
              <w:rPr>
                <w:rFonts w:hint="eastAsia" w:ascii="Times New Roman" w:hAnsi="Times New Roman" w:eastAsia="宋体" w:cs="Times New Roman"/>
                <w:color w:val="auto"/>
                <w:spacing w:val="-3"/>
                <w:sz w:val="21"/>
                <w:szCs w:val="21"/>
                <w:highlight w:val="none"/>
                <w:lang w:val="en-US" w:eastAsia="zh-CN"/>
              </w:rPr>
              <w:t>面包、蛋糕</w:t>
            </w:r>
          </w:p>
        </w:tc>
        <w:tc>
          <w:tcPr>
            <w:tcW w:w="2716" w:type="dxa"/>
            <w:noWrap w:val="0"/>
            <w:vAlign w:val="center"/>
          </w:tcPr>
          <w:p w14:paraId="4EA97777">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宋体" w:cs="Times New Roman"/>
                <w:color w:val="auto"/>
                <w:spacing w:val="-3"/>
                <w:sz w:val="21"/>
                <w:szCs w:val="21"/>
                <w:highlight w:val="none"/>
                <w:lang w:val="en-US" w:eastAsia="zh-CN"/>
              </w:rPr>
            </w:pPr>
            <w:r>
              <w:rPr>
                <w:rFonts w:hint="eastAsia" w:ascii="Times New Roman" w:hAnsi="Times New Roman" w:eastAsia="宋体" w:cs="Times New Roman"/>
                <w:color w:val="auto"/>
                <w:spacing w:val="-3"/>
                <w:sz w:val="21"/>
                <w:szCs w:val="21"/>
                <w:highlight w:val="none"/>
                <w:lang w:val="en-US" w:eastAsia="zh-CN"/>
              </w:rPr>
              <w:t>1</w:t>
            </w:r>
          </w:p>
        </w:tc>
      </w:tr>
      <w:tr w14:paraId="6A128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 w:hRule="atLeast"/>
          <w:jc w:val="center"/>
        </w:trPr>
        <w:tc>
          <w:tcPr>
            <w:tcW w:w="1297" w:type="dxa"/>
            <w:noWrap w:val="0"/>
            <w:vAlign w:val="center"/>
          </w:tcPr>
          <w:p w14:paraId="4772B35E">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宋体" w:cs="Times New Roman"/>
                <w:color w:val="auto"/>
                <w:spacing w:val="-3"/>
                <w:sz w:val="21"/>
                <w:szCs w:val="21"/>
                <w:highlight w:val="none"/>
                <w:lang w:val="en-US" w:eastAsia="zh-CN"/>
              </w:rPr>
            </w:pPr>
            <w:r>
              <w:rPr>
                <w:rFonts w:hint="eastAsia" w:ascii="Times New Roman" w:hAnsi="Times New Roman" w:eastAsia="宋体" w:cs="Times New Roman"/>
                <w:color w:val="auto"/>
                <w:spacing w:val="-3"/>
                <w:sz w:val="21"/>
                <w:szCs w:val="21"/>
                <w:highlight w:val="none"/>
                <w:lang w:val="en-US" w:eastAsia="zh-CN"/>
              </w:rPr>
              <w:t>分标5</w:t>
            </w:r>
          </w:p>
        </w:tc>
        <w:tc>
          <w:tcPr>
            <w:tcW w:w="5865" w:type="dxa"/>
            <w:noWrap w:val="0"/>
            <w:vAlign w:val="center"/>
          </w:tcPr>
          <w:p w14:paraId="312A3C5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3"/>
                <w:sz w:val="21"/>
                <w:szCs w:val="21"/>
                <w:highlight w:val="none"/>
                <w:lang w:val="en-US" w:eastAsia="zh-CN"/>
              </w:rPr>
            </w:pPr>
            <w:r>
              <w:rPr>
                <w:rFonts w:hint="eastAsia" w:ascii="Times New Roman" w:hAnsi="Times New Roman" w:eastAsia="宋体" w:cs="Times New Roman"/>
                <w:color w:val="auto"/>
                <w:spacing w:val="-3"/>
                <w:sz w:val="21"/>
                <w:szCs w:val="21"/>
                <w:highlight w:val="none"/>
                <w:lang w:val="en-US" w:eastAsia="zh-CN"/>
              </w:rPr>
              <w:t>零食（八宝粥、饼干、雪糕等）、方便面</w:t>
            </w:r>
          </w:p>
        </w:tc>
        <w:tc>
          <w:tcPr>
            <w:tcW w:w="2716" w:type="dxa"/>
            <w:noWrap w:val="0"/>
            <w:vAlign w:val="center"/>
          </w:tcPr>
          <w:p w14:paraId="1DB6D23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3"/>
                <w:sz w:val="21"/>
                <w:szCs w:val="21"/>
                <w:highlight w:val="none"/>
                <w:lang w:val="en-US" w:eastAsia="zh-CN"/>
              </w:rPr>
            </w:pPr>
            <w:r>
              <w:rPr>
                <w:rFonts w:hint="eastAsia" w:ascii="Times New Roman" w:hAnsi="Times New Roman" w:eastAsia="宋体" w:cs="Times New Roman"/>
                <w:color w:val="auto"/>
                <w:spacing w:val="-3"/>
                <w:sz w:val="21"/>
                <w:szCs w:val="21"/>
                <w:highlight w:val="none"/>
                <w:lang w:val="en-US" w:eastAsia="zh-CN"/>
              </w:rPr>
              <w:t>1</w:t>
            </w:r>
          </w:p>
        </w:tc>
      </w:tr>
    </w:tbl>
    <w:p w14:paraId="5E712BAB">
      <w:pPr>
        <w:rPr>
          <w:rFonts w:hint="eastAsia"/>
          <w:color w:val="auto"/>
          <w:highlight w:val="none"/>
        </w:rPr>
      </w:pPr>
    </w:p>
    <w:p w14:paraId="006C814D">
      <w:pPr>
        <w:shd w:val="clear" w:color="auto" w:fill="auto"/>
        <w:wordWrap w:val="0"/>
        <w:spacing w:line="24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评标委员会将根据总得分由高到低排列次序（总得分相同时，以投标报价由低到高顺序排列；总得分相同且投标报价相同的，按技术分由高到低顺序排列；总得分相同、投标报价相同且技术分相同的，按商务分</w:t>
      </w:r>
      <w:r>
        <w:rPr>
          <w:rFonts w:hint="eastAsia" w:ascii="宋体" w:hAnsi="宋体" w:cs="宋体"/>
          <w:color w:val="auto"/>
          <w:kern w:val="0"/>
          <w:szCs w:val="21"/>
          <w:highlight w:val="none"/>
          <w:lang w:bidi="ar"/>
        </w:rPr>
        <w:t>由高到低顺序排列</w:t>
      </w:r>
      <w:r>
        <w:rPr>
          <w:rFonts w:hint="eastAsia" w:ascii="宋体" w:hAnsi="宋体" w:cs="宋体"/>
          <w:bCs/>
          <w:color w:val="auto"/>
          <w:szCs w:val="21"/>
          <w:highlight w:val="none"/>
        </w:rPr>
        <w:t>）并推荐三名中标候选供应商。招标人应当确定评审委员会推荐排名第一的中标候选人为中标人。排名第一的中标候选人放弃中标、因不可抗力提出不能履行合同，招标人可以确定排名第二的中标候选人为中标人。排名第二的中标候选人因前款规定的同样原因不能签订合同的，招标人可以确定排名第三的中标候选人为中标人。</w:t>
      </w:r>
    </w:p>
    <w:p w14:paraId="5A418DEC">
      <w:pPr>
        <w:shd w:val="clear" w:color="auto" w:fill="auto"/>
        <w:wordWrap w:val="0"/>
        <w:spacing w:line="24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注：如招标文件存在《广西壮族自治区政府采购当事人行为规则》下列的情形，评标委员会不得作为评审依据：招标代理机构不得在招标文件中列入限制、排斥潜在供应商的商务、技术条款；不得为迎合招标人列入单一品牌的规格技术标准及其他有违公平竞争的条款；不得以不合理的注册资本金、销售业绩及资格条件等条款对潜在供应商实行歧视或差别待遇。</w:t>
      </w:r>
    </w:p>
    <w:p w14:paraId="2972AF47">
      <w:pPr>
        <w:outlineLvl w:val="9"/>
        <w:rPr>
          <w:rFonts w:hint="eastAsia"/>
          <w:color w:val="auto"/>
          <w:highlight w:val="none"/>
        </w:rPr>
      </w:pPr>
    </w:p>
    <w:p w14:paraId="04D67B7A">
      <w:pPr>
        <w:rPr>
          <w:rFonts w:hint="eastAsia"/>
          <w:color w:val="auto"/>
          <w:highlight w:val="none"/>
          <w:lang w:eastAsia="zh-CN"/>
        </w:rPr>
      </w:pPr>
    </w:p>
    <w:p w14:paraId="7A014FF4">
      <w:pPr>
        <w:pStyle w:val="3"/>
        <w:spacing w:before="0" w:after="0" w:line="360" w:lineRule="auto"/>
        <w:ind w:firstLine="600" w:firstLineChars="200"/>
        <w:jc w:val="center"/>
        <w:rPr>
          <w:rFonts w:hint="eastAsia" w:cs="Times New Roman"/>
          <w:b w:val="0"/>
          <w:color w:val="auto"/>
          <w:sz w:val="30"/>
          <w:szCs w:val="30"/>
          <w:highlight w:val="none"/>
        </w:rPr>
      </w:pPr>
      <w:bookmarkStart w:id="307" w:name="_Toc11083"/>
      <w:bookmarkStart w:id="308" w:name="_Toc16466"/>
      <w:bookmarkStart w:id="309" w:name="_Toc15061"/>
      <w:bookmarkStart w:id="310" w:name="_Toc18582"/>
      <w:bookmarkStart w:id="311" w:name="_Toc9480"/>
      <w:bookmarkStart w:id="312" w:name="_Toc2202"/>
      <w:bookmarkStart w:id="313" w:name="_Toc23906"/>
      <w:bookmarkStart w:id="314" w:name="_Toc10751"/>
      <w:bookmarkStart w:id="315" w:name="_Toc20313"/>
      <w:bookmarkStart w:id="316" w:name="_Toc12855"/>
      <w:r>
        <w:rPr>
          <w:rFonts w:hint="eastAsia" w:cs="Times New Roman"/>
          <w:b w:val="0"/>
          <w:color w:val="auto"/>
          <w:sz w:val="30"/>
          <w:szCs w:val="30"/>
          <w:highlight w:val="none"/>
        </w:rPr>
        <w:t>第</w:t>
      </w:r>
      <w:r>
        <w:rPr>
          <w:rFonts w:hint="eastAsia" w:cs="Times New Roman"/>
          <w:b w:val="0"/>
          <w:color w:val="auto"/>
          <w:sz w:val="30"/>
          <w:szCs w:val="30"/>
          <w:highlight w:val="none"/>
          <w:lang w:val="en-US" w:eastAsia="zh-CN"/>
        </w:rPr>
        <w:t>五</w:t>
      </w:r>
      <w:r>
        <w:rPr>
          <w:rFonts w:hint="eastAsia" w:cs="Times New Roman"/>
          <w:b w:val="0"/>
          <w:color w:val="auto"/>
          <w:sz w:val="30"/>
          <w:szCs w:val="30"/>
          <w:highlight w:val="none"/>
        </w:rPr>
        <w:t>节</w:t>
      </w:r>
      <w:bookmarkEnd w:id="307"/>
      <w:bookmarkEnd w:id="308"/>
      <w:bookmarkEnd w:id="309"/>
      <w:bookmarkEnd w:id="310"/>
      <w:bookmarkEnd w:id="311"/>
      <w:bookmarkEnd w:id="312"/>
      <w:bookmarkEnd w:id="313"/>
      <w:bookmarkEnd w:id="314"/>
      <w:bookmarkEnd w:id="315"/>
      <w:bookmarkEnd w:id="316"/>
      <w:bookmarkStart w:id="317" w:name="_Toc9602"/>
      <w:bookmarkStart w:id="318" w:name="_Toc27419"/>
      <w:bookmarkStart w:id="319" w:name="_Toc11073"/>
      <w:bookmarkStart w:id="320" w:name="_Toc13808"/>
      <w:bookmarkStart w:id="321" w:name="_Toc7971"/>
      <w:bookmarkStart w:id="322" w:name="_Toc13625"/>
      <w:bookmarkStart w:id="323" w:name="_Toc11695"/>
      <w:bookmarkStart w:id="324" w:name="_Toc22384"/>
      <w:bookmarkStart w:id="325" w:name="_Toc29218"/>
      <w:bookmarkStart w:id="326" w:name="_Toc11545"/>
      <w:r>
        <w:rPr>
          <w:rFonts w:cs="Times New Roman"/>
          <w:b w:val="0"/>
          <w:color w:val="auto"/>
          <w:sz w:val="30"/>
          <w:szCs w:val="30"/>
          <w:highlight w:val="none"/>
        </w:rPr>
        <w:t xml:space="preserve"> </w:t>
      </w:r>
      <w:r>
        <w:rPr>
          <w:rFonts w:hint="eastAsia" w:cs="Times New Roman"/>
          <w:b w:val="0"/>
          <w:color w:val="auto"/>
          <w:sz w:val="30"/>
          <w:szCs w:val="30"/>
          <w:highlight w:val="none"/>
        </w:rPr>
        <w:t>评标报告</w:t>
      </w:r>
      <w:bookmarkEnd w:id="317"/>
      <w:bookmarkEnd w:id="318"/>
      <w:bookmarkEnd w:id="319"/>
      <w:bookmarkEnd w:id="320"/>
      <w:bookmarkEnd w:id="321"/>
      <w:bookmarkEnd w:id="322"/>
      <w:bookmarkEnd w:id="323"/>
      <w:bookmarkEnd w:id="324"/>
      <w:bookmarkEnd w:id="325"/>
      <w:bookmarkEnd w:id="326"/>
    </w:p>
    <w:p w14:paraId="2EE40B66">
      <w:pPr>
        <w:pStyle w:val="34"/>
        <w:spacing w:before="0"/>
        <w:ind w:firstLine="482"/>
        <w:rPr>
          <w:rFonts w:ascii="宋体" w:hAnsi="宋体" w:eastAsia="宋体" w:cs="Times New Roman"/>
          <w:b/>
          <w:bCs/>
          <w:color w:val="auto"/>
          <w:szCs w:val="24"/>
          <w:highlight w:val="none"/>
        </w:rPr>
      </w:pPr>
      <w:r>
        <w:rPr>
          <w:rFonts w:hint="eastAsia" w:ascii="宋体" w:hAnsi="宋体" w:eastAsia="宋体" w:cs="Times New Roman"/>
          <w:b/>
          <w:bCs/>
          <w:color w:val="auto"/>
          <w:szCs w:val="24"/>
          <w:highlight w:val="none"/>
        </w:rPr>
        <w:t>（一）评标报告与推荐中标候选人</w:t>
      </w:r>
    </w:p>
    <w:p w14:paraId="6DE6C7E5">
      <w:pPr>
        <w:pStyle w:val="17"/>
        <w:tabs>
          <w:tab w:val="left" w:pos="2472"/>
        </w:tabs>
        <w:spacing w:line="360" w:lineRule="auto"/>
        <w:ind w:firstLine="420" w:firstLineChars="200"/>
        <w:rPr>
          <w:rFonts w:hint="eastAsia" w:hAnsi="宋体" w:eastAsia="宋体" w:cs="Times New Roman"/>
          <w:color w:val="auto"/>
          <w:highlight w:val="none"/>
        </w:rPr>
      </w:pPr>
      <w:r>
        <w:rPr>
          <w:rFonts w:hint="eastAsia" w:hAnsi="宋体" w:eastAsia="宋体" w:cs="Times New Roman"/>
          <w:color w:val="auto"/>
          <w:highlight w:val="none"/>
        </w:rPr>
        <w:t>评标委员会根据原始评标记录和评标结果编写评标报告，并通过电子交易平台向采购人、采购代理机构提交。</w:t>
      </w:r>
    </w:p>
    <w:p w14:paraId="5C3138EC">
      <w:pPr>
        <w:widowControl/>
        <w:spacing w:line="360" w:lineRule="auto"/>
        <w:ind w:firstLine="482" w:firstLineChars="200"/>
        <w:jc w:val="left"/>
        <w:rPr>
          <w:rFonts w:hint="eastAsia"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（二）评标争议事项处理</w:t>
      </w:r>
    </w:p>
    <w:p w14:paraId="23E129C4">
      <w:pPr>
        <w:pStyle w:val="17"/>
        <w:tabs>
          <w:tab w:val="left" w:pos="2472"/>
        </w:tabs>
        <w:spacing w:line="360" w:lineRule="auto"/>
        <w:ind w:firstLine="420" w:firstLineChars="200"/>
        <w:rPr>
          <w:rFonts w:hint="eastAsia" w:hAnsi="宋体" w:eastAsia="宋体" w:cs="Times New Roman"/>
          <w:color w:val="auto"/>
          <w:highlight w:val="none"/>
        </w:rPr>
      </w:pPr>
      <w:r>
        <w:rPr>
          <w:rFonts w:hint="eastAsia" w:hAnsi="宋体" w:eastAsia="宋体" w:cs="Times New Roman"/>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0C280D86">
      <w:pPr>
        <w:widowControl/>
        <w:jc w:val="left"/>
        <w:rPr>
          <w:b/>
          <w:color w:val="auto"/>
          <w:sz w:val="36"/>
          <w:szCs w:val="20"/>
          <w:highlight w:val="none"/>
        </w:rPr>
      </w:pPr>
    </w:p>
    <w:p w14:paraId="436CBE3A">
      <w:pPr>
        <w:pStyle w:val="19"/>
        <w:rPr>
          <w:color w:val="auto"/>
          <w:highlight w:val="none"/>
        </w:rPr>
        <w:sectPr>
          <w:pgSz w:w="11905" w:h="16838"/>
          <w:pgMar w:top="1134" w:right="1134" w:bottom="1134" w:left="1134" w:header="850" w:footer="850" w:gutter="0"/>
          <w:pgNumType w:fmt="decimal"/>
          <w:cols w:space="0" w:num="1"/>
          <w:titlePg/>
          <w:rtlGutter w:val="0"/>
          <w:docGrid w:linePitch="331" w:charSpace="0"/>
        </w:sectPr>
      </w:pPr>
    </w:p>
    <w:p w14:paraId="26040B16">
      <w:pPr>
        <w:pStyle w:val="17"/>
        <w:tabs>
          <w:tab w:val="left" w:pos="2472"/>
        </w:tabs>
        <w:spacing w:line="460" w:lineRule="exact"/>
        <w:jc w:val="center"/>
        <w:outlineLvl w:val="0"/>
        <w:rPr>
          <w:rFonts w:hint="eastAsia" w:ascii="Times New Roman" w:hAnsi="Times New Roman" w:eastAsia="宋体" w:cs="Times New Roman"/>
          <w:b/>
          <w:color w:val="auto"/>
          <w:sz w:val="36"/>
          <w:highlight w:val="none"/>
        </w:rPr>
      </w:pPr>
      <w:bookmarkStart w:id="327" w:name="_Toc27014"/>
      <w:bookmarkStart w:id="328" w:name="_Toc29347"/>
      <w:bookmarkStart w:id="329" w:name="_Toc3422"/>
      <w:bookmarkStart w:id="330" w:name="_Toc32021"/>
      <w:bookmarkStart w:id="331" w:name="_Toc9058"/>
      <w:bookmarkStart w:id="332" w:name="_Toc20993"/>
      <w:bookmarkStart w:id="333" w:name="_Toc7167"/>
      <w:bookmarkStart w:id="334" w:name="_Toc25572"/>
      <w:bookmarkStart w:id="335" w:name="_Toc31791"/>
      <w:bookmarkStart w:id="336" w:name="_Toc26262"/>
      <w:bookmarkStart w:id="337" w:name="_Toc3838"/>
      <w:bookmarkStart w:id="338" w:name="_Toc17049"/>
      <w:bookmarkStart w:id="339" w:name="_Toc9012"/>
      <w:r>
        <w:rPr>
          <w:rFonts w:hint="eastAsia" w:ascii="Times New Roman" w:hAnsi="Times New Roman" w:eastAsia="宋体" w:cs="Times New Roman"/>
          <w:b/>
          <w:color w:val="auto"/>
          <w:sz w:val="36"/>
          <w:highlight w:val="none"/>
        </w:rPr>
        <w:t>第五章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拟签订的合同文本</w:t>
      </w:r>
      <w:bookmarkEnd w:id="327"/>
      <w:bookmarkEnd w:id="328"/>
      <w:bookmarkEnd w:id="329"/>
      <w:bookmarkEnd w:id="330"/>
      <w:bookmarkEnd w:id="331"/>
      <w:bookmarkEnd w:id="332"/>
      <w:bookmarkEnd w:id="333"/>
      <w:bookmarkEnd w:id="334"/>
      <w:bookmarkEnd w:id="335"/>
      <w:bookmarkEnd w:id="336"/>
      <w:bookmarkEnd w:id="337"/>
      <w:bookmarkEnd w:id="338"/>
      <w:bookmarkEnd w:id="339"/>
    </w:p>
    <w:p w14:paraId="411A8800">
      <w:pPr>
        <w:pStyle w:val="9"/>
        <w:ind w:left="0"/>
        <w:rPr>
          <w:color w:val="auto"/>
          <w:highlight w:val="none"/>
        </w:rPr>
      </w:pPr>
    </w:p>
    <w:p w14:paraId="715D5782">
      <w:pPr>
        <w:rPr>
          <w:color w:val="auto"/>
          <w:highlight w:val="none"/>
        </w:rPr>
      </w:pPr>
    </w:p>
    <w:p w14:paraId="2387752D">
      <w:pPr>
        <w:pStyle w:val="19"/>
        <w:rPr>
          <w:color w:val="auto"/>
          <w:highlight w:val="none"/>
        </w:rPr>
      </w:pPr>
    </w:p>
    <w:p w14:paraId="3EADE767">
      <w:pPr>
        <w:rPr>
          <w:color w:val="auto"/>
          <w:highlight w:val="none"/>
        </w:rPr>
      </w:pPr>
    </w:p>
    <w:p w14:paraId="0EB00883">
      <w:pPr>
        <w:keepNext w:val="0"/>
        <w:keepLines w:val="0"/>
        <w:widowControl/>
        <w:suppressLineNumbers w:val="0"/>
        <w:jc w:val="center"/>
        <w:rPr>
          <w:color w:val="auto"/>
          <w:highlight w:val="none"/>
        </w:rPr>
      </w:pPr>
      <w:r>
        <w:rPr>
          <w:rFonts w:hint="eastAsia" w:ascii="宋体" w:hAnsi="宋体" w:cs="宋体"/>
          <w:b/>
          <w:bCs/>
          <w:color w:val="auto"/>
          <w:kern w:val="0"/>
          <w:sz w:val="43"/>
          <w:szCs w:val="43"/>
          <w:highlight w:val="none"/>
          <w:lang w:val="en-US" w:eastAsia="zh-CN" w:bidi="ar"/>
        </w:rPr>
        <w:t>贵港市江南中学食堂和小卖部部分大宗食品采购项目（重）</w:t>
      </w:r>
      <w:r>
        <w:rPr>
          <w:rFonts w:hint="eastAsia" w:ascii="宋体" w:hAnsi="宋体" w:eastAsia="宋体" w:cs="宋体"/>
          <w:b/>
          <w:bCs/>
          <w:color w:val="auto"/>
          <w:kern w:val="0"/>
          <w:sz w:val="43"/>
          <w:szCs w:val="43"/>
          <w:highlight w:val="none"/>
          <w:lang w:val="en-US" w:eastAsia="zh-CN" w:bidi="ar"/>
        </w:rPr>
        <w:t>合同</w:t>
      </w:r>
    </w:p>
    <w:p w14:paraId="7A49FC11">
      <w:pPr>
        <w:keepNext w:val="0"/>
        <w:keepLines w:val="0"/>
        <w:widowControl/>
        <w:suppressLineNumbers w:val="0"/>
        <w:jc w:val="left"/>
        <w:rPr>
          <w:rFonts w:hint="eastAsia" w:ascii="宋体" w:hAnsi="宋体" w:eastAsia="宋体" w:cs="宋体"/>
          <w:color w:val="auto"/>
          <w:kern w:val="0"/>
          <w:sz w:val="31"/>
          <w:szCs w:val="31"/>
          <w:highlight w:val="none"/>
          <w:lang w:val="en-US" w:eastAsia="zh-CN" w:bidi="ar"/>
        </w:rPr>
      </w:pPr>
    </w:p>
    <w:p w14:paraId="447C951E">
      <w:pPr>
        <w:keepNext w:val="0"/>
        <w:keepLines w:val="0"/>
        <w:widowControl/>
        <w:suppressLineNumbers w:val="0"/>
        <w:jc w:val="left"/>
        <w:rPr>
          <w:rFonts w:hint="eastAsia" w:ascii="宋体" w:hAnsi="宋体" w:eastAsia="宋体" w:cs="宋体"/>
          <w:color w:val="auto"/>
          <w:kern w:val="0"/>
          <w:sz w:val="31"/>
          <w:szCs w:val="31"/>
          <w:highlight w:val="none"/>
          <w:lang w:val="en-US" w:eastAsia="zh-CN" w:bidi="ar"/>
        </w:rPr>
      </w:pPr>
    </w:p>
    <w:p w14:paraId="359FE0EF">
      <w:pPr>
        <w:keepNext w:val="0"/>
        <w:keepLines w:val="0"/>
        <w:widowControl/>
        <w:suppressLineNumbers w:val="0"/>
        <w:jc w:val="left"/>
        <w:rPr>
          <w:rFonts w:hint="eastAsia" w:ascii="宋体" w:hAnsi="宋体" w:eastAsia="宋体" w:cs="宋体"/>
          <w:color w:val="auto"/>
          <w:kern w:val="0"/>
          <w:sz w:val="31"/>
          <w:szCs w:val="31"/>
          <w:highlight w:val="none"/>
          <w:lang w:val="en-US" w:eastAsia="zh-CN" w:bidi="ar"/>
        </w:rPr>
      </w:pPr>
    </w:p>
    <w:p w14:paraId="71E4F973">
      <w:pPr>
        <w:keepNext w:val="0"/>
        <w:keepLines w:val="0"/>
        <w:widowControl/>
        <w:suppressLineNumbers w:val="0"/>
        <w:spacing w:line="720" w:lineRule="auto"/>
        <w:ind w:left="0" w:leftChars="0" w:firstLine="1221" w:firstLineChars="394"/>
        <w:jc w:val="left"/>
        <w:rPr>
          <w:color w:val="auto"/>
          <w:highlight w:val="none"/>
        </w:rPr>
      </w:pPr>
      <w:r>
        <w:rPr>
          <w:rFonts w:hint="eastAsia" w:ascii="宋体" w:hAnsi="宋体" w:eastAsia="宋体" w:cs="宋体"/>
          <w:color w:val="auto"/>
          <w:kern w:val="0"/>
          <w:sz w:val="31"/>
          <w:szCs w:val="31"/>
          <w:highlight w:val="none"/>
          <w:lang w:val="en-US" w:eastAsia="zh-CN" w:bidi="ar"/>
        </w:rPr>
        <w:t>项目名称：</w:t>
      </w:r>
      <w:r>
        <w:rPr>
          <w:rFonts w:hint="eastAsia" w:ascii="宋体" w:hAnsi="宋体" w:cs="宋体"/>
          <w:color w:val="auto"/>
          <w:kern w:val="0"/>
          <w:sz w:val="31"/>
          <w:szCs w:val="31"/>
          <w:highlight w:val="none"/>
          <w:lang w:val="en-US" w:eastAsia="zh-CN" w:bidi="ar"/>
        </w:rPr>
        <w:t>贵港市江南中学食堂和小卖部部分大宗食品采购项目（重）</w:t>
      </w:r>
    </w:p>
    <w:p w14:paraId="6EA358E0">
      <w:pPr>
        <w:keepNext w:val="0"/>
        <w:keepLines w:val="0"/>
        <w:widowControl/>
        <w:suppressLineNumbers w:val="0"/>
        <w:spacing w:line="720" w:lineRule="auto"/>
        <w:ind w:left="0" w:leftChars="0" w:firstLine="1221" w:firstLineChars="394"/>
        <w:jc w:val="left"/>
        <w:rPr>
          <w:rFonts w:hint="default"/>
          <w:color w:val="auto"/>
          <w:highlight w:val="none"/>
          <w:u w:val="single"/>
          <w:lang w:val="en-US"/>
        </w:rPr>
      </w:pPr>
      <w:r>
        <w:rPr>
          <w:rFonts w:hint="eastAsia" w:ascii="宋体" w:hAnsi="宋体" w:eastAsia="宋体" w:cs="宋体"/>
          <w:color w:val="auto"/>
          <w:kern w:val="0"/>
          <w:sz w:val="31"/>
          <w:szCs w:val="31"/>
          <w:highlight w:val="none"/>
          <w:lang w:val="en-US" w:eastAsia="zh-CN" w:bidi="ar"/>
        </w:rPr>
        <w:t>项目编号：</w:t>
      </w:r>
      <w:r>
        <w:rPr>
          <w:rFonts w:hint="eastAsia" w:ascii="宋体" w:hAnsi="宋体" w:eastAsia="宋体" w:cs="宋体"/>
          <w:color w:val="auto"/>
          <w:kern w:val="0"/>
          <w:sz w:val="31"/>
          <w:szCs w:val="31"/>
          <w:highlight w:val="none"/>
          <w:u w:val="single"/>
          <w:lang w:val="en-US" w:eastAsia="zh-CN" w:bidi="ar"/>
        </w:rPr>
        <w:t xml:space="preserve">                       </w:t>
      </w:r>
    </w:p>
    <w:p w14:paraId="65065884">
      <w:pPr>
        <w:keepNext w:val="0"/>
        <w:keepLines w:val="0"/>
        <w:widowControl/>
        <w:suppressLineNumbers w:val="0"/>
        <w:spacing w:line="720" w:lineRule="auto"/>
        <w:ind w:left="0" w:leftChars="0" w:firstLine="1221" w:firstLineChars="394"/>
        <w:jc w:val="left"/>
        <w:rPr>
          <w:rFonts w:hint="default" w:ascii="宋体" w:hAnsi="宋体" w:eastAsia="宋体" w:cs="宋体"/>
          <w:color w:val="auto"/>
          <w:kern w:val="0"/>
          <w:sz w:val="31"/>
          <w:szCs w:val="31"/>
          <w:highlight w:val="none"/>
          <w:lang w:val="en-US" w:eastAsia="zh-CN" w:bidi="ar"/>
        </w:rPr>
      </w:pPr>
    </w:p>
    <w:p w14:paraId="51204DE5">
      <w:pPr>
        <w:keepNext w:val="0"/>
        <w:keepLines w:val="0"/>
        <w:widowControl/>
        <w:suppressLineNumbers w:val="0"/>
        <w:spacing w:line="720" w:lineRule="auto"/>
        <w:ind w:left="0" w:leftChars="0" w:firstLine="1221" w:firstLineChars="394"/>
        <w:jc w:val="left"/>
        <w:rPr>
          <w:color w:val="auto"/>
          <w:highlight w:val="none"/>
        </w:rPr>
      </w:pPr>
      <w:r>
        <w:rPr>
          <w:rFonts w:hint="eastAsia" w:ascii="宋体" w:hAnsi="宋体" w:eastAsia="宋体" w:cs="宋体"/>
          <w:color w:val="auto"/>
          <w:kern w:val="0"/>
          <w:sz w:val="31"/>
          <w:szCs w:val="31"/>
          <w:highlight w:val="none"/>
          <w:lang w:val="en-US" w:eastAsia="zh-CN" w:bidi="ar"/>
        </w:rPr>
        <w:t>采购人（甲方）：</w:t>
      </w:r>
      <w:r>
        <w:rPr>
          <w:rFonts w:hint="eastAsia" w:ascii="宋体" w:hAnsi="宋体" w:eastAsia="宋体" w:cs="宋体"/>
          <w:color w:val="auto"/>
          <w:kern w:val="0"/>
          <w:sz w:val="31"/>
          <w:szCs w:val="31"/>
          <w:highlight w:val="none"/>
          <w:u w:val="single"/>
          <w:lang w:val="en-US" w:eastAsia="zh-CN" w:bidi="ar"/>
        </w:rPr>
        <w:t xml:space="preserve">                       </w:t>
      </w:r>
    </w:p>
    <w:p w14:paraId="030A1CAE">
      <w:pPr>
        <w:keepNext w:val="0"/>
        <w:keepLines w:val="0"/>
        <w:widowControl/>
        <w:suppressLineNumbers w:val="0"/>
        <w:spacing w:line="720" w:lineRule="auto"/>
        <w:ind w:left="0" w:leftChars="0" w:firstLine="1221" w:firstLineChars="394"/>
        <w:jc w:val="left"/>
        <w:rPr>
          <w:color w:val="auto"/>
          <w:highlight w:val="none"/>
        </w:rPr>
      </w:pPr>
      <w:r>
        <w:rPr>
          <w:rFonts w:hint="eastAsia" w:ascii="宋体" w:hAnsi="宋体" w:eastAsia="宋体" w:cs="宋体"/>
          <w:color w:val="auto"/>
          <w:kern w:val="0"/>
          <w:sz w:val="31"/>
          <w:szCs w:val="31"/>
          <w:highlight w:val="none"/>
          <w:lang w:val="en-US" w:eastAsia="zh-CN" w:bidi="ar"/>
        </w:rPr>
        <w:t>供应商（乙方）：</w:t>
      </w:r>
      <w:r>
        <w:rPr>
          <w:rFonts w:hint="eastAsia" w:ascii="宋体" w:hAnsi="宋体" w:eastAsia="宋体" w:cs="宋体"/>
          <w:color w:val="auto"/>
          <w:kern w:val="0"/>
          <w:sz w:val="31"/>
          <w:szCs w:val="31"/>
          <w:highlight w:val="none"/>
          <w:u w:val="single"/>
          <w:lang w:val="en-US" w:eastAsia="zh-CN" w:bidi="ar"/>
        </w:rPr>
        <w:t xml:space="preserve">                       </w:t>
      </w:r>
    </w:p>
    <w:p w14:paraId="35A63487">
      <w:pPr>
        <w:rPr>
          <w:rFonts w:hint="eastAsia"/>
          <w:color w:val="auto"/>
          <w:highlight w:val="none"/>
          <w:lang w:val="en-US" w:eastAsia="zh-CN"/>
        </w:rPr>
      </w:pPr>
    </w:p>
    <w:p w14:paraId="677BEF69">
      <w:pPr>
        <w:keepNext w:val="0"/>
        <w:keepLines w:val="0"/>
        <w:widowControl/>
        <w:suppressLineNumbers w:val="0"/>
        <w:spacing w:line="720" w:lineRule="auto"/>
        <w:ind w:left="0" w:leftChars="0" w:firstLine="1221" w:firstLineChars="394"/>
        <w:jc w:val="left"/>
        <w:rPr>
          <w:color w:val="auto"/>
          <w:highlight w:val="none"/>
        </w:rPr>
      </w:pPr>
      <w:r>
        <w:rPr>
          <w:rFonts w:hint="eastAsia" w:ascii="宋体" w:hAnsi="宋体" w:eastAsia="宋体" w:cs="宋体"/>
          <w:color w:val="auto"/>
          <w:kern w:val="0"/>
          <w:sz w:val="31"/>
          <w:szCs w:val="31"/>
          <w:highlight w:val="none"/>
          <w:lang w:val="en-US" w:eastAsia="zh-CN" w:bidi="ar"/>
        </w:rPr>
        <w:t>签订合同地点：</w:t>
      </w:r>
      <w:r>
        <w:rPr>
          <w:rFonts w:hint="eastAsia" w:ascii="宋体" w:hAnsi="宋体" w:eastAsia="宋体" w:cs="宋体"/>
          <w:color w:val="auto"/>
          <w:kern w:val="0"/>
          <w:sz w:val="31"/>
          <w:szCs w:val="31"/>
          <w:highlight w:val="none"/>
          <w:u w:val="single"/>
          <w:lang w:val="en-US" w:eastAsia="zh-CN" w:bidi="ar"/>
        </w:rPr>
        <w:t xml:space="preserve">                       </w:t>
      </w:r>
      <w:r>
        <w:rPr>
          <w:rFonts w:hint="eastAsia" w:ascii="宋体" w:hAnsi="宋体" w:eastAsia="宋体" w:cs="宋体"/>
          <w:color w:val="auto"/>
          <w:kern w:val="0"/>
          <w:sz w:val="31"/>
          <w:szCs w:val="31"/>
          <w:highlight w:val="none"/>
          <w:lang w:val="en-US" w:eastAsia="zh-CN" w:bidi="ar"/>
        </w:rPr>
        <w:t xml:space="preserve"> </w:t>
      </w:r>
    </w:p>
    <w:p w14:paraId="02C4826F">
      <w:pPr>
        <w:keepNext w:val="0"/>
        <w:keepLines w:val="0"/>
        <w:widowControl/>
        <w:suppressLineNumbers w:val="0"/>
        <w:spacing w:line="720" w:lineRule="auto"/>
        <w:ind w:left="0" w:leftChars="0" w:firstLine="1221" w:firstLineChars="394"/>
        <w:jc w:val="left"/>
        <w:rPr>
          <w:color w:val="auto"/>
          <w:highlight w:val="none"/>
        </w:rPr>
      </w:pPr>
      <w:r>
        <w:rPr>
          <w:rFonts w:hint="eastAsia" w:ascii="宋体" w:hAnsi="宋体" w:eastAsia="宋体" w:cs="宋体"/>
          <w:color w:val="auto"/>
          <w:kern w:val="0"/>
          <w:sz w:val="31"/>
          <w:szCs w:val="31"/>
          <w:highlight w:val="none"/>
          <w:lang w:val="en-US" w:eastAsia="zh-CN" w:bidi="ar"/>
        </w:rPr>
        <w:t>签订合同时间：</w:t>
      </w:r>
      <w:r>
        <w:rPr>
          <w:rFonts w:hint="eastAsia" w:ascii="宋体" w:hAnsi="宋体" w:eastAsia="宋体" w:cs="宋体"/>
          <w:color w:val="auto"/>
          <w:kern w:val="0"/>
          <w:sz w:val="31"/>
          <w:szCs w:val="31"/>
          <w:highlight w:val="none"/>
          <w:u w:val="single"/>
          <w:lang w:val="en-US" w:eastAsia="zh-CN" w:bidi="ar"/>
        </w:rPr>
        <w:t xml:space="preserve">                       </w:t>
      </w:r>
    </w:p>
    <w:p w14:paraId="043B28AD">
      <w:pPr>
        <w:rPr>
          <w:color w:val="auto"/>
          <w:highlight w:val="none"/>
        </w:rPr>
      </w:pPr>
    </w:p>
    <w:p w14:paraId="34C8C45B">
      <w:pPr>
        <w:shd w:val="clear" w:color="auto" w:fill="auto"/>
        <w:wordWrap w:val="0"/>
        <w:rPr>
          <w:rFonts w:hint="eastAsia"/>
          <w:color w:val="auto"/>
          <w:highlight w:val="none"/>
        </w:rPr>
      </w:pPr>
      <w:r>
        <w:rPr>
          <w:rFonts w:hint="eastAsia"/>
          <w:color w:val="auto"/>
          <w:highlight w:val="none"/>
        </w:rPr>
        <w:t>注：</w:t>
      </w:r>
    </w:p>
    <w:p w14:paraId="786F003E">
      <w:pPr>
        <w:shd w:val="clear" w:color="auto" w:fill="auto"/>
        <w:wordWrap w:val="0"/>
        <w:rPr>
          <w:rFonts w:hint="eastAsia" w:ascii="Times New Roman" w:hAnsi="Times New Roman" w:cs="Times New Roman"/>
          <w:color w:val="auto"/>
          <w:highlight w:val="none"/>
        </w:rPr>
      </w:pPr>
      <w:r>
        <w:rPr>
          <w:rFonts w:hint="eastAsia" w:ascii="Times New Roman" w:hAnsi="Times New Roman" w:cs="Times New Roman"/>
          <w:color w:val="auto"/>
          <w:highlight w:val="none"/>
        </w:rPr>
        <w:t>1、以下合同书仅供签订正式合同时参考用，最终以正式合同为准执行!</w:t>
      </w:r>
    </w:p>
    <w:p w14:paraId="39FA781B">
      <w:pPr>
        <w:shd w:val="clear" w:color="auto" w:fill="auto"/>
        <w:wordWrap w:val="0"/>
        <w:rPr>
          <w:color w:val="auto"/>
          <w:highlight w:val="none"/>
        </w:rPr>
      </w:pPr>
      <w:r>
        <w:rPr>
          <w:rFonts w:hint="eastAsia" w:ascii="Times New Roman" w:hAnsi="Times New Roman" w:cs="Times New Roman"/>
          <w:color w:val="auto"/>
          <w:highlight w:val="none"/>
        </w:rPr>
        <w:t>2、合同签订双方可根据项目的具体要求进行修订，但合同条款不得与招标文件和中标供应商投标文件有实质性偏离。</w:t>
      </w:r>
    </w:p>
    <w:p w14:paraId="126221CA">
      <w:pPr>
        <w:pStyle w:val="19"/>
        <w:rPr>
          <w:color w:val="auto"/>
          <w:highlight w:val="none"/>
        </w:rPr>
      </w:pPr>
    </w:p>
    <w:p w14:paraId="188EA134">
      <w:pPr>
        <w:widowControl/>
        <w:jc w:val="left"/>
        <w:rPr>
          <w:rFonts w:ascii="宋体" w:hAnsi="Courier New"/>
          <w:bCs/>
          <w:color w:val="auto"/>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006E3FCF">
      <w:pPr>
        <w:spacing w:line="360" w:lineRule="auto"/>
        <w:jc w:val="center"/>
        <w:outlineLvl w:val="1"/>
        <w:rPr>
          <w:b/>
          <w:bCs/>
          <w:color w:val="auto"/>
          <w:sz w:val="40"/>
          <w:szCs w:val="40"/>
          <w:highlight w:val="none"/>
        </w:rPr>
      </w:pPr>
      <w:bookmarkStart w:id="340" w:name="_Toc19457"/>
      <w:r>
        <w:rPr>
          <w:rFonts w:hint="eastAsia"/>
          <w:b/>
          <w:bCs/>
          <w:color w:val="auto"/>
          <w:sz w:val="40"/>
          <w:szCs w:val="40"/>
          <w:highlight w:val="none"/>
          <w:lang w:val="en-US" w:eastAsia="zh-CN"/>
        </w:rPr>
        <w:t>分标1：部分调味品、部分副食品</w:t>
      </w:r>
      <w:r>
        <w:rPr>
          <w:rFonts w:hint="eastAsia"/>
          <w:b/>
          <w:bCs/>
          <w:color w:val="auto"/>
          <w:sz w:val="40"/>
          <w:szCs w:val="40"/>
          <w:highlight w:val="none"/>
        </w:rPr>
        <w:t>购销合同</w:t>
      </w:r>
      <w:bookmarkEnd w:id="340"/>
    </w:p>
    <w:p w14:paraId="2F63F0EE">
      <w:pPr>
        <w:spacing w:line="240" w:lineRule="auto"/>
        <w:rPr>
          <w:color w:val="auto"/>
          <w:sz w:val="24"/>
          <w:szCs w:val="24"/>
          <w:highlight w:val="none"/>
        </w:rPr>
      </w:pPr>
    </w:p>
    <w:p w14:paraId="6A4C3A12">
      <w:pPr>
        <w:spacing w:line="360" w:lineRule="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甲方</w:t>
      </w:r>
      <w:r>
        <w:rPr>
          <w:rFonts w:hint="eastAsia" w:ascii="Times New Roman" w:hAnsi="Times New Roman" w:cs="Times New Roman"/>
          <w:color w:val="auto"/>
          <w:sz w:val="24"/>
          <w:szCs w:val="24"/>
          <w:highlight w:val="none"/>
          <w:lang w:val="en-US" w:eastAsia="zh-CN"/>
        </w:rPr>
        <w:t>：</w:t>
      </w:r>
      <w:r>
        <w:rPr>
          <w:rFonts w:hint="eastAsia" w:ascii="Times New Roman" w:hAnsi="Times New Roman" w:cs="Times New Roman"/>
          <w:color w:val="auto"/>
          <w:sz w:val="24"/>
          <w:szCs w:val="24"/>
          <w:highlight w:val="none"/>
        </w:rPr>
        <w:t xml:space="preserve">                       </w:t>
      </w:r>
    </w:p>
    <w:p w14:paraId="6FA1CA2C">
      <w:pPr>
        <w:spacing w:line="360" w:lineRule="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乙方</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 xml:space="preserve">                        </w:t>
      </w:r>
    </w:p>
    <w:p w14:paraId="7EA0FFCA">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经公开招标，确认乙方为</w:t>
      </w:r>
      <w:r>
        <w:rPr>
          <w:rFonts w:hint="eastAsia" w:ascii="宋体" w:hAnsi="宋体"/>
          <w:color w:val="auto"/>
          <w:sz w:val="24"/>
          <w:szCs w:val="24"/>
          <w:highlight w:val="none"/>
          <w:lang w:val="en-US" w:eastAsia="zh-CN"/>
        </w:rPr>
        <w:t>调味品、部分副食品</w:t>
      </w:r>
      <w:r>
        <w:rPr>
          <w:rFonts w:hint="eastAsia" w:ascii="宋体" w:hAnsi="宋体"/>
          <w:color w:val="auto"/>
          <w:sz w:val="24"/>
          <w:szCs w:val="24"/>
          <w:highlight w:val="none"/>
        </w:rPr>
        <w:t>供应商，为进一步明确</w:t>
      </w:r>
      <w:r>
        <w:rPr>
          <w:rFonts w:hint="eastAsia" w:ascii="宋体" w:hAnsi="宋体"/>
          <w:color w:val="auto"/>
          <w:sz w:val="24"/>
          <w:szCs w:val="24"/>
          <w:highlight w:val="none"/>
          <w:lang w:eastAsia="zh-CN"/>
        </w:rPr>
        <w:t>双</w:t>
      </w:r>
      <w:r>
        <w:rPr>
          <w:rFonts w:hint="eastAsia" w:ascii="宋体" w:hAnsi="宋体"/>
          <w:color w:val="auto"/>
          <w:sz w:val="24"/>
          <w:szCs w:val="24"/>
          <w:highlight w:val="none"/>
        </w:rPr>
        <w:t>方的权利和责任，经甲、乙</w:t>
      </w:r>
      <w:r>
        <w:rPr>
          <w:rFonts w:hint="eastAsia" w:ascii="宋体" w:hAnsi="宋体"/>
          <w:color w:val="auto"/>
          <w:sz w:val="24"/>
          <w:szCs w:val="24"/>
          <w:highlight w:val="none"/>
          <w:lang w:eastAsia="zh-CN"/>
        </w:rPr>
        <w:t>双方</w:t>
      </w:r>
      <w:r>
        <w:rPr>
          <w:rFonts w:hint="eastAsia" w:ascii="宋体" w:hAnsi="宋体"/>
          <w:color w:val="auto"/>
          <w:sz w:val="24"/>
          <w:szCs w:val="24"/>
          <w:highlight w:val="none"/>
        </w:rPr>
        <w:t>共同协商，特订立此购销合同，以便</w:t>
      </w:r>
      <w:r>
        <w:rPr>
          <w:rFonts w:hint="eastAsia" w:ascii="宋体" w:hAnsi="宋体"/>
          <w:color w:val="auto"/>
          <w:sz w:val="24"/>
          <w:szCs w:val="24"/>
          <w:highlight w:val="none"/>
          <w:lang w:eastAsia="zh-CN"/>
        </w:rPr>
        <w:t>双方</w:t>
      </w:r>
      <w:r>
        <w:rPr>
          <w:rFonts w:hint="eastAsia" w:ascii="宋体" w:hAnsi="宋体"/>
          <w:color w:val="auto"/>
          <w:sz w:val="24"/>
          <w:szCs w:val="24"/>
          <w:highlight w:val="none"/>
        </w:rPr>
        <w:t>共同遵守：</w:t>
      </w:r>
    </w:p>
    <w:p w14:paraId="2FD471B1">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 xml:space="preserve">  一、乙方同意</w:t>
      </w:r>
      <w:r>
        <w:rPr>
          <w:rFonts w:hint="eastAsia" w:ascii="宋体" w:hAnsi="宋体"/>
          <w:color w:val="auto"/>
          <w:sz w:val="24"/>
          <w:szCs w:val="24"/>
          <w:highlight w:val="none"/>
          <w:lang w:eastAsia="zh-CN"/>
        </w:rPr>
        <w:t>合同折扣率</w:t>
      </w:r>
      <w:r>
        <w:rPr>
          <w:rFonts w:hint="eastAsia" w:ascii="宋体" w:hAnsi="宋体"/>
          <w:color w:val="auto"/>
          <w:sz w:val="24"/>
          <w:szCs w:val="24"/>
          <w:highlight w:val="none"/>
        </w:rPr>
        <w:t>为</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w:t>
      </w:r>
    </w:p>
    <w:p w14:paraId="7882B214">
      <w:pPr>
        <w:spacing w:line="360" w:lineRule="auto"/>
        <w:ind w:firstLine="570"/>
        <w:rPr>
          <w:rFonts w:ascii="宋体" w:hAnsi="宋体"/>
          <w:color w:val="auto"/>
          <w:sz w:val="24"/>
          <w:szCs w:val="24"/>
          <w:highlight w:val="none"/>
        </w:rPr>
      </w:pPr>
      <w:r>
        <w:rPr>
          <w:rFonts w:hint="eastAsia" w:ascii="宋体" w:hAnsi="宋体"/>
          <w:color w:val="auto"/>
          <w:sz w:val="24"/>
          <w:szCs w:val="24"/>
          <w:highlight w:val="none"/>
        </w:rPr>
        <w:t>二、甲方使用的各种</w:t>
      </w:r>
      <w:r>
        <w:rPr>
          <w:rFonts w:hint="eastAsia" w:ascii="宋体" w:hAnsi="宋体"/>
          <w:color w:val="auto"/>
          <w:sz w:val="24"/>
          <w:szCs w:val="24"/>
          <w:highlight w:val="none"/>
          <w:lang w:val="en-US" w:eastAsia="zh-CN"/>
        </w:rPr>
        <w:t>调味品、部分副食品</w:t>
      </w:r>
      <w:r>
        <w:rPr>
          <w:rFonts w:hint="eastAsia" w:ascii="宋体" w:hAnsi="宋体"/>
          <w:color w:val="auto"/>
          <w:sz w:val="24"/>
          <w:szCs w:val="24"/>
          <w:highlight w:val="none"/>
        </w:rPr>
        <w:t>由乙方提供，</w:t>
      </w:r>
      <w:r>
        <w:rPr>
          <w:rFonts w:hint="eastAsia" w:ascii="宋体" w:hAnsi="宋体"/>
          <w:color w:val="auto"/>
          <w:kern w:val="0"/>
          <w:sz w:val="24"/>
          <w:szCs w:val="24"/>
          <w:highlight w:val="none"/>
        </w:rPr>
        <w:t>价格随行就市</w:t>
      </w:r>
      <w:r>
        <w:rPr>
          <w:rFonts w:hint="eastAsia" w:ascii="宋体" w:hAnsi="宋体"/>
          <w:color w:val="auto"/>
          <w:sz w:val="24"/>
          <w:szCs w:val="24"/>
          <w:highlight w:val="none"/>
        </w:rPr>
        <w:t>，甲方不得擅自外出采购。</w:t>
      </w:r>
    </w:p>
    <w:p w14:paraId="4C3425A1">
      <w:pPr>
        <w:spacing w:line="360" w:lineRule="auto"/>
        <w:ind w:firstLine="600"/>
        <w:rPr>
          <w:rFonts w:hint="eastAsia" w:ascii="宋体" w:hAnsi="宋体"/>
          <w:color w:val="auto"/>
          <w:sz w:val="24"/>
          <w:szCs w:val="24"/>
          <w:highlight w:val="none"/>
          <w:lang w:val="en-US" w:eastAsia="zh-CN"/>
        </w:rPr>
      </w:pPr>
      <w:r>
        <w:rPr>
          <w:rFonts w:hint="eastAsia" w:ascii="宋体" w:hAnsi="宋体"/>
          <w:color w:val="auto"/>
          <w:sz w:val="24"/>
          <w:szCs w:val="24"/>
          <w:highlight w:val="none"/>
        </w:rPr>
        <w:t>三、</w:t>
      </w:r>
      <w:r>
        <w:rPr>
          <w:rFonts w:hint="eastAsia" w:ascii="宋体" w:hAnsi="宋体"/>
          <w:color w:val="auto"/>
          <w:sz w:val="24"/>
          <w:szCs w:val="24"/>
          <w:highlight w:val="none"/>
          <w:lang w:val="en-US" w:eastAsia="zh-CN"/>
        </w:rPr>
        <w:t>货物参考单价：</w:t>
      </w:r>
    </w:p>
    <w:p w14:paraId="557A74CF">
      <w:pPr>
        <w:spacing w:line="360" w:lineRule="auto"/>
        <w:ind w:firstLine="57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根据政策要求，由上级领导部门每隔一段时间（每周或每月）召集采购人与供应商开会协商供货价格（三方议价），签订供货价格协议。中标人须按签好的价格协议供应商品。如政策变化，上级领导部门不再组织三方议价，则由采购人与中标人双方共同协商供货价格，签订供货价格协议。投标折扣率将作为食材或货物实际结算的合同折扣率，结算时以学校实际采购量进行结算。</w:t>
      </w:r>
    </w:p>
    <w:p w14:paraId="4B1884C9">
      <w:pPr>
        <w:spacing w:line="360" w:lineRule="auto"/>
        <w:ind w:firstLine="57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采购人根据各分标食材或货物的市场价格情况，每个月在贵港市易农国际农产品交易中心、三合市场、江南市场及兴港副食城四地经过调查得出各食材或货物的市场批发均价，一般取双方在上述市场询价结果的平均值。当期某食材或货物结算价=市场批发均价×合同折扣率×该食材或货物实际采购量。</w:t>
      </w:r>
    </w:p>
    <w:p w14:paraId="1D4B7E27">
      <w:pPr>
        <w:spacing w:line="360" w:lineRule="auto"/>
        <w:ind w:firstLine="570"/>
        <w:rPr>
          <w:rFonts w:hint="eastAsia" w:ascii="宋体" w:hAnsi="宋体"/>
          <w:color w:val="auto"/>
          <w:sz w:val="24"/>
          <w:szCs w:val="24"/>
          <w:highlight w:val="none"/>
          <w:lang w:val="en-US" w:eastAsia="zh-CN"/>
        </w:rPr>
      </w:pPr>
      <w:r>
        <w:rPr>
          <w:rFonts w:hint="eastAsia" w:ascii="宋体" w:hAnsi="宋体" w:eastAsia="宋体" w:cs="宋体"/>
          <w:kern w:val="0"/>
          <w:sz w:val="24"/>
          <w:szCs w:val="24"/>
          <w:lang w:val="en-US" w:eastAsia="zh-CN" w:bidi="ar"/>
        </w:rPr>
        <w:t>3.</w:t>
      </w:r>
      <w:r>
        <w:rPr>
          <w:rFonts w:hint="eastAsia" w:ascii="宋体" w:hAnsi="宋体" w:cs="宋体"/>
          <w:kern w:val="0"/>
          <w:sz w:val="24"/>
          <w:szCs w:val="24"/>
          <w:lang w:val="en-US" w:eastAsia="zh-CN" w:bidi="ar"/>
        </w:rPr>
        <w:t>本合同</w:t>
      </w:r>
      <w:r>
        <w:rPr>
          <w:rFonts w:hint="eastAsia" w:ascii="宋体" w:hAnsi="宋体" w:eastAsia="宋体" w:cs="宋体"/>
          <w:kern w:val="0"/>
          <w:sz w:val="24"/>
          <w:szCs w:val="24"/>
          <w:lang w:val="en-US" w:eastAsia="zh-CN" w:bidi="ar"/>
        </w:rPr>
        <w:t>能自主采购的商品种类及数量，由学校的实际需要决定，同时受上级的有关政策影响，因此</w:t>
      </w:r>
      <w:r>
        <w:rPr>
          <w:rFonts w:hint="eastAsia" w:ascii="宋体" w:hAnsi="宋体" w:cs="宋体"/>
          <w:kern w:val="0"/>
          <w:sz w:val="24"/>
          <w:szCs w:val="24"/>
          <w:lang w:val="en-US" w:eastAsia="zh-CN" w:bidi="ar"/>
        </w:rPr>
        <w:t>招标文件</w:t>
      </w:r>
      <w:r>
        <w:rPr>
          <w:rFonts w:hint="eastAsia" w:ascii="宋体" w:hAnsi="宋体" w:eastAsia="宋体" w:cs="宋体"/>
          <w:kern w:val="0"/>
          <w:sz w:val="24"/>
          <w:szCs w:val="24"/>
          <w:lang w:val="en-US" w:eastAsia="zh-CN" w:bidi="ar"/>
        </w:rPr>
        <w:t>的预估数量仅供参考，不能作为学校承诺的最低采购数量看待。</w:t>
      </w:r>
    </w:p>
    <w:p w14:paraId="32801A7C">
      <w:pPr>
        <w:spacing w:line="360" w:lineRule="auto"/>
        <w:ind w:firstLine="570"/>
        <w:rPr>
          <w:rFonts w:ascii="宋体" w:hAnsi="宋体"/>
          <w:color w:val="auto"/>
          <w:sz w:val="24"/>
          <w:szCs w:val="24"/>
          <w:highlight w:val="none"/>
        </w:rPr>
      </w:pPr>
      <w:r>
        <w:rPr>
          <w:rFonts w:hint="eastAsia" w:ascii="宋体" w:hAnsi="宋体"/>
          <w:color w:val="auto"/>
          <w:sz w:val="24"/>
          <w:szCs w:val="24"/>
          <w:highlight w:val="none"/>
        </w:rPr>
        <w:t>四、1、乙方供应的各种</w:t>
      </w:r>
      <w:r>
        <w:rPr>
          <w:rFonts w:hint="eastAsia" w:ascii="宋体" w:hAnsi="宋体"/>
          <w:color w:val="auto"/>
          <w:sz w:val="24"/>
          <w:szCs w:val="24"/>
          <w:highlight w:val="none"/>
          <w:lang w:val="en-US" w:eastAsia="zh-CN"/>
        </w:rPr>
        <w:t>调味品、部分副食品</w:t>
      </w:r>
      <w:r>
        <w:rPr>
          <w:rFonts w:hint="eastAsia" w:ascii="宋体" w:hAnsi="宋体"/>
          <w:color w:val="auto"/>
          <w:sz w:val="24"/>
          <w:szCs w:val="24"/>
          <w:highlight w:val="none"/>
        </w:rPr>
        <w:t>必须是品牌知名度较高，市场有销售的产品，有明显的标签，有生产日期和生产许可证，严禁将小作坊生产的产品或过期变质的、冒牌的、无厂家、无生产日期、无生产许可证号的“三无”产品供应给甲方。</w:t>
      </w:r>
    </w:p>
    <w:p w14:paraId="5A0EE397">
      <w:pPr>
        <w:pStyle w:val="17"/>
        <w:snapToGrid w:val="0"/>
        <w:spacing w:line="360" w:lineRule="auto"/>
        <w:ind w:left="2" w:leftChars="1" w:firstLine="480" w:firstLineChars="200"/>
        <w:rPr>
          <w:rFonts w:hAnsi="宋体" w:eastAsia="宋体"/>
          <w:color w:val="auto"/>
          <w:sz w:val="24"/>
          <w:szCs w:val="24"/>
          <w:highlight w:val="none"/>
        </w:rPr>
      </w:pPr>
      <w:r>
        <w:rPr>
          <w:rFonts w:hint="eastAsia" w:hAnsi="宋体" w:eastAsia="宋体"/>
          <w:color w:val="auto"/>
          <w:sz w:val="24"/>
          <w:szCs w:val="24"/>
          <w:highlight w:val="none"/>
        </w:rPr>
        <w:t>2、乙方在签订合同后一个月内必须到相关的保险公司进行投保，投保险种为食品安全责任保险，否则采购单位有权终止合同。</w:t>
      </w:r>
    </w:p>
    <w:p w14:paraId="3A98572E">
      <w:pPr>
        <w:spacing w:line="360" w:lineRule="auto"/>
        <w:ind w:firstLine="600"/>
        <w:rPr>
          <w:rFonts w:ascii="宋体" w:hAnsi="宋体"/>
          <w:color w:val="auto"/>
          <w:sz w:val="24"/>
          <w:szCs w:val="24"/>
          <w:highlight w:val="none"/>
        </w:rPr>
      </w:pPr>
      <w:r>
        <w:rPr>
          <w:rFonts w:hint="eastAsia" w:ascii="宋体" w:hAnsi="宋体"/>
          <w:color w:val="auto"/>
          <w:sz w:val="24"/>
          <w:szCs w:val="24"/>
          <w:highlight w:val="none"/>
        </w:rPr>
        <w:t>3、甲方负责定期或不定期组织市场监管、卫健委等有关部门进行食品卫生监督，以确保所供应的</w:t>
      </w:r>
      <w:r>
        <w:rPr>
          <w:rFonts w:hint="eastAsia" w:ascii="宋体" w:hAnsi="宋体"/>
          <w:color w:val="auto"/>
          <w:sz w:val="24"/>
          <w:szCs w:val="24"/>
          <w:highlight w:val="none"/>
          <w:lang w:eastAsia="zh-CN"/>
        </w:rPr>
        <w:t>副食品、调味品粉类</w:t>
      </w:r>
      <w:r>
        <w:rPr>
          <w:rFonts w:hint="eastAsia" w:ascii="宋体" w:hAnsi="宋体"/>
          <w:color w:val="auto"/>
          <w:sz w:val="24"/>
          <w:szCs w:val="24"/>
          <w:highlight w:val="none"/>
        </w:rPr>
        <w:t>的卫生质量。</w:t>
      </w:r>
    </w:p>
    <w:p w14:paraId="0F30E703">
      <w:pPr>
        <w:shd w:val="clear" w:color="auto" w:fill="auto"/>
        <w:wordWrap w:val="0"/>
        <w:spacing w:line="360" w:lineRule="auto"/>
        <w:ind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五、监督办法与退出机制：</w:t>
      </w:r>
    </w:p>
    <w:p w14:paraId="75C3D19D">
      <w:pPr>
        <w:shd w:val="clear" w:color="auto" w:fill="auto"/>
        <w:wordWrap w:val="0"/>
        <w:spacing w:line="360" w:lineRule="auto"/>
        <w:ind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1、监督办法</w:t>
      </w:r>
      <w:r>
        <w:rPr>
          <w:rFonts w:hint="eastAsia" w:ascii="宋体" w:hAnsi="宋体" w:eastAsia="宋体" w:cs="宋体"/>
          <w:bCs/>
          <w:color w:val="auto"/>
          <w:sz w:val="24"/>
          <w:szCs w:val="24"/>
          <w:highlight w:val="none"/>
          <w:lang w:eastAsia="zh-CN"/>
        </w:rPr>
        <w:t>：定期进行供应商</w:t>
      </w:r>
      <w:r>
        <w:rPr>
          <w:rFonts w:hint="eastAsia" w:ascii="宋体" w:hAnsi="宋体" w:eastAsia="宋体" w:cs="宋体"/>
          <w:bCs/>
          <w:color w:val="auto"/>
          <w:sz w:val="24"/>
          <w:szCs w:val="24"/>
          <w:highlight w:val="none"/>
          <w:lang w:val="en-US" w:eastAsia="zh-CN"/>
        </w:rPr>
        <w:t>供货</w:t>
      </w:r>
      <w:r>
        <w:rPr>
          <w:rFonts w:hint="eastAsia" w:ascii="宋体" w:hAnsi="宋体" w:eastAsia="宋体" w:cs="宋体"/>
          <w:bCs/>
          <w:color w:val="auto"/>
          <w:sz w:val="24"/>
          <w:szCs w:val="24"/>
          <w:highlight w:val="none"/>
          <w:lang w:eastAsia="zh-CN"/>
        </w:rPr>
        <w:t>测评，每月由后勤服务中心和学校代表对供应商的服务态度及价格等因素进行测评，对合格率低于</w:t>
      </w:r>
      <w:r>
        <w:rPr>
          <w:rFonts w:hint="eastAsia" w:ascii="宋体" w:hAnsi="宋体" w:eastAsia="宋体" w:cs="宋体"/>
          <w:bCs/>
          <w:color w:val="auto"/>
          <w:sz w:val="24"/>
          <w:szCs w:val="24"/>
          <w:highlight w:val="none"/>
          <w:lang w:val="en-US" w:eastAsia="zh-CN"/>
        </w:rPr>
        <w:t>90</w:t>
      </w:r>
      <w:r>
        <w:rPr>
          <w:rFonts w:hint="eastAsia" w:ascii="宋体" w:hAnsi="宋体" w:eastAsia="宋体" w:cs="宋体"/>
          <w:bCs/>
          <w:color w:val="auto"/>
          <w:sz w:val="24"/>
          <w:szCs w:val="24"/>
          <w:highlight w:val="none"/>
          <w:lang w:eastAsia="zh-CN"/>
        </w:rPr>
        <w:t>%的供应商进行约谈整改，合格率低于</w:t>
      </w:r>
      <w:r>
        <w:rPr>
          <w:rFonts w:hint="eastAsia" w:ascii="宋体" w:hAnsi="宋体" w:eastAsia="宋体" w:cs="宋体"/>
          <w:bCs/>
          <w:color w:val="auto"/>
          <w:sz w:val="24"/>
          <w:szCs w:val="24"/>
          <w:highlight w:val="none"/>
          <w:lang w:val="en-US" w:eastAsia="zh-CN"/>
        </w:rPr>
        <w:t>70</w:t>
      </w:r>
      <w:r>
        <w:rPr>
          <w:rFonts w:hint="eastAsia" w:ascii="宋体" w:hAnsi="宋体" w:eastAsia="宋体" w:cs="宋体"/>
          <w:bCs/>
          <w:color w:val="auto"/>
          <w:sz w:val="24"/>
          <w:szCs w:val="24"/>
          <w:highlight w:val="none"/>
          <w:lang w:eastAsia="zh-CN"/>
        </w:rPr>
        <w:t>%的供应商暂停供货一个月，合格率低于</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lang w:eastAsia="zh-CN"/>
        </w:rPr>
        <w:t>0%的</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eastAsia="zh-CN"/>
        </w:rPr>
        <w:t>终止其供货合同。</w:t>
      </w:r>
    </w:p>
    <w:p w14:paraId="47F73C74">
      <w:pPr>
        <w:spacing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2、退出机制：</w:t>
      </w:r>
      <w:r>
        <w:rPr>
          <w:rFonts w:hint="eastAsia" w:ascii="宋体" w:hAnsi="宋体" w:cs="宋体"/>
          <w:bCs/>
          <w:color w:val="auto"/>
          <w:sz w:val="24"/>
          <w:szCs w:val="24"/>
          <w:highlight w:val="none"/>
          <w:lang w:val="en-US" w:eastAsia="zh-CN"/>
        </w:rPr>
        <w:t>供应商在国务院互联网+督查平台被投诉举报（核查属实）1次的终止其供货合同；供应商在12345政务服务便民热线平台被投诉举报（核查属实）1次的进行约谈整改，2次停止供货一个月；3次的终止其供货合同；供应商被学校师生投诉举报（核查属实）1次的进行提醒教育，2次的进行约谈，3次的停止供货一个月，4次的终止供货合同。</w:t>
      </w:r>
      <w:r>
        <w:rPr>
          <w:rFonts w:hint="eastAsia" w:ascii="宋体" w:hAnsi="宋体" w:eastAsia="宋体" w:cs="宋体"/>
          <w:bCs/>
          <w:color w:val="auto"/>
          <w:sz w:val="24"/>
          <w:szCs w:val="24"/>
          <w:highlight w:val="none"/>
          <w:lang w:eastAsia="zh-CN"/>
        </w:rPr>
        <w:t>供应商</w:t>
      </w:r>
      <w:r>
        <w:rPr>
          <w:rFonts w:hint="eastAsia" w:ascii="宋体" w:hAnsi="宋体" w:cs="宋体"/>
          <w:bCs/>
          <w:color w:val="auto"/>
          <w:sz w:val="24"/>
          <w:szCs w:val="24"/>
          <w:highlight w:val="none"/>
          <w:lang w:eastAsia="zh-CN"/>
        </w:rPr>
        <w:t>所供</w:t>
      </w:r>
      <w:r>
        <w:rPr>
          <w:rFonts w:hint="eastAsia" w:ascii="宋体" w:hAnsi="宋体" w:eastAsia="宋体" w:cs="宋体"/>
          <w:bCs/>
          <w:color w:val="auto"/>
          <w:sz w:val="24"/>
          <w:szCs w:val="24"/>
          <w:highlight w:val="none"/>
          <w:lang w:eastAsia="zh-CN"/>
        </w:rPr>
        <w:t>食材质量</w:t>
      </w:r>
      <w:r>
        <w:rPr>
          <w:rFonts w:hint="eastAsia" w:ascii="宋体" w:hAnsi="宋体" w:cs="宋体"/>
          <w:bCs/>
          <w:color w:val="auto"/>
          <w:sz w:val="24"/>
          <w:szCs w:val="24"/>
          <w:highlight w:val="none"/>
          <w:lang w:eastAsia="zh-CN"/>
        </w:rPr>
        <w:t>必须达到</w:t>
      </w:r>
      <w:r>
        <w:rPr>
          <w:rFonts w:hint="eastAsia" w:ascii="宋体" w:hAnsi="宋体" w:cs="宋体"/>
          <w:bCs/>
          <w:color w:val="auto"/>
          <w:sz w:val="24"/>
          <w:szCs w:val="24"/>
          <w:highlight w:val="none"/>
          <w:lang w:val="en-US" w:eastAsia="zh-CN"/>
        </w:rPr>
        <w:t>100%合格，否则终止供货合同</w:t>
      </w:r>
      <w:r>
        <w:rPr>
          <w:rFonts w:hint="eastAsia" w:ascii="宋体" w:hAnsi="宋体" w:eastAsia="宋体" w:cs="宋体"/>
          <w:bCs/>
          <w:color w:val="auto"/>
          <w:sz w:val="24"/>
          <w:szCs w:val="24"/>
          <w:highlight w:val="none"/>
          <w:lang w:val="en-US" w:eastAsia="zh-CN"/>
        </w:rPr>
        <w:t>。一经终止供货合同，则由第二中标候选人递补，以此类推。</w:t>
      </w:r>
    </w:p>
    <w:p w14:paraId="610F8A5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六、交货方式：甲方必须提前壹天将需要各种</w:t>
      </w:r>
      <w:r>
        <w:rPr>
          <w:rFonts w:hint="eastAsia" w:ascii="宋体" w:hAnsi="宋体"/>
          <w:color w:val="auto"/>
          <w:sz w:val="24"/>
          <w:szCs w:val="24"/>
          <w:highlight w:val="none"/>
          <w:lang w:val="en-US" w:eastAsia="zh-CN"/>
        </w:rPr>
        <w:t>调味品、部分副食品</w:t>
      </w:r>
      <w:r>
        <w:rPr>
          <w:rFonts w:hint="eastAsia" w:ascii="宋体" w:hAnsi="宋体"/>
          <w:color w:val="auto"/>
          <w:sz w:val="24"/>
          <w:szCs w:val="24"/>
          <w:highlight w:val="none"/>
        </w:rPr>
        <w:t>的品种、数量报给乙方，乙方按甲方所订的品种及数量按质、按时、按要求送到甲方指定的地点，运费及装卸费由乙方承担。</w:t>
      </w:r>
    </w:p>
    <w:p w14:paraId="4C173819">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七、货款结算方式：</w:t>
      </w:r>
      <w:r>
        <w:rPr>
          <w:rFonts w:hint="eastAsia" w:ascii="宋体" w:hAnsi="宋体"/>
          <w:color w:val="auto"/>
          <w:sz w:val="24"/>
          <w:szCs w:val="24"/>
          <w:highlight w:val="none"/>
          <w:lang w:val="en-US" w:eastAsia="zh-CN"/>
        </w:rPr>
        <w:t>一般情况下采购人按月进行结算，采购资金由采购人财务账户转入中标供应商账户。每月25日前，中标供应商向采购人开具上一月度供货相应数额的发票（农副产品免税的除外），采购人收到发票后30个工作日内支付。特殊情况，需临时改变结算方式，双方可通过协商解决。</w:t>
      </w:r>
    </w:p>
    <w:p w14:paraId="61BAAF45">
      <w:pPr>
        <w:spacing w:line="360" w:lineRule="auto"/>
        <w:ind w:firstLine="600"/>
        <w:rPr>
          <w:rFonts w:ascii="宋体" w:hAnsi="宋体"/>
          <w:color w:val="auto"/>
          <w:sz w:val="24"/>
          <w:szCs w:val="24"/>
          <w:highlight w:val="none"/>
        </w:rPr>
      </w:pPr>
      <w:r>
        <w:rPr>
          <w:rFonts w:hint="eastAsia" w:ascii="宋体" w:hAnsi="宋体"/>
          <w:color w:val="auto"/>
          <w:sz w:val="24"/>
          <w:szCs w:val="24"/>
          <w:highlight w:val="none"/>
        </w:rPr>
        <w:t>八、如遇市场价格变动或特殊情况，一方提出要求变更合同内容的，应提前10天作出书面报告通知</w:t>
      </w:r>
      <w:r>
        <w:rPr>
          <w:rFonts w:hint="eastAsia" w:ascii="宋体" w:hAnsi="宋体" w:eastAsia="宋体" w:cs="宋体"/>
          <w:b w:val="0"/>
          <w:bCs w:val="0"/>
          <w:color w:val="auto"/>
          <w:sz w:val="24"/>
          <w:szCs w:val="24"/>
          <w:highlight w:val="none"/>
        </w:rPr>
        <w:t>乙方</w:t>
      </w:r>
      <w:r>
        <w:rPr>
          <w:rFonts w:hint="eastAsia" w:ascii="宋体" w:hAnsi="宋体"/>
          <w:color w:val="auto"/>
          <w:sz w:val="24"/>
          <w:szCs w:val="24"/>
          <w:highlight w:val="none"/>
        </w:rPr>
        <w:t>，由甲方在5天内组织共同商议，经</w:t>
      </w:r>
      <w:r>
        <w:rPr>
          <w:rFonts w:hint="eastAsia" w:ascii="宋体" w:hAnsi="宋体"/>
          <w:color w:val="auto"/>
          <w:sz w:val="24"/>
          <w:szCs w:val="24"/>
          <w:highlight w:val="none"/>
          <w:lang w:eastAsia="zh-CN"/>
        </w:rPr>
        <w:t>双方</w:t>
      </w:r>
      <w:r>
        <w:rPr>
          <w:rFonts w:hint="eastAsia" w:ascii="宋体" w:hAnsi="宋体"/>
          <w:color w:val="auto"/>
          <w:sz w:val="24"/>
          <w:szCs w:val="24"/>
          <w:highlight w:val="none"/>
        </w:rPr>
        <w:t>协商一致后方能修改，如若</w:t>
      </w:r>
      <w:r>
        <w:rPr>
          <w:rFonts w:hint="eastAsia" w:ascii="宋体" w:hAnsi="宋体"/>
          <w:color w:val="auto"/>
          <w:sz w:val="24"/>
          <w:szCs w:val="24"/>
          <w:highlight w:val="none"/>
          <w:lang w:eastAsia="zh-CN"/>
        </w:rPr>
        <w:t>双方</w:t>
      </w:r>
      <w:r>
        <w:rPr>
          <w:rFonts w:hint="eastAsia" w:ascii="宋体" w:hAnsi="宋体"/>
          <w:color w:val="auto"/>
          <w:sz w:val="24"/>
          <w:szCs w:val="24"/>
          <w:highlight w:val="none"/>
        </w:rPr>
        <w:t>不达成修改协议，甲方有权重新确定供应商。</w:t>
      </w:r>
    </w:p>
    <w:p w14:paraId="11B1A610">
      <w:pPr>
        <w:spacing w:line="360" w:lineRule="auto"/>
        <w:ind w:firstLine="600"/>
        <w:rPr>
          <w:rFonts w:ascii="宋体" w:hAnsi="宋体"/>
          <w:color w:val="auto"/>
          <w:sz w:val="24"/>
          <w:szCs w:val="24"/>
          <w:highlight w:val="none"/>
        </w:rPr>
      </w:pPr>
      <w:r>
        <w:rPr>
          <w:rFonts w:hint="eastAsia" w:ascii="宋体" w:hAnsi="宋体"/>
          <w:color w:val="auto"/>
          <w:sz w:val="24"/>
          <w:szCs w:val="24"/>
          <w:highlight w:val="none"/>
        </w:rPr>
        <w:t>九、违约责任：</w:t>
      </w:r>
    </w:p>
    <w:p w14:paraId="52A75BEE">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乙方存在下列情况的，所引起的经济和法律责任由乙方承担，本合同自然终止：</w:t>
      </w:r>
    </w:p>
    <w:p w14:paraId="0BBBD5C1">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1、学生因食用乙方提供的各类</w:t>
      </w:r>
      <w:r>
        <w:rPr>
          <w:rFonts w:hint="eastAsia" w:ascii="宋体" w:hAnsi="宋体"/>
          <w:color w:val="auto"/>
          <w:sz w:val="24"/>
          <w:szCs w:val="24"/>
          <w:highlight w:val="none"/>
          <w:lang w:eastAsia="zh-CN"/>
        </w:rPr>
        <w:t>副食品、调味品粉类</w:t>
      </w:r>
      <w:r>
        <w:rPr>
          <w:rFonts w:hint="eastAsia" w:ascii="宋体" w:hAnsi="宋体"/>
          <w:color w:val="auto"/>
          <w:sz w:val="24"/>
          <w:szCs w:val="24"/>
          <w:highlight w:val="none"/>
        </w:rPr>
        <w:t>而中毒的；</w:t>
      </w:r>
    </w:p>
    <w:p w14:paraId="5995865D">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2、不按要求或拒不交货的；</w:t>
      </w:r>
    </w:p>
    <w:p w14:paraId="5E0ECD4A">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3、供应的各种</w:t>
      </w:r>
      <w:r>
        <w:rPr>
          <w:rFonts w:hint="eastAsia" w:ascii="宋体" w:hAnsi="宋体"/>
          <w:color w:val="auto"/>
          <w:sz w:val="24"/>
          <w:szCs w:val="24"/>
          <w:highlight w:val="none"/>
          <w:lang w:val="en-US" w:eastAsia="zh-CN"/>
        </w:rPr>
        <w:t>调味品、部分副食品</w:t>
      </w:r>
      <w:r>
        <w:rPr>
          <w:rFonts w:hint="eastAsia" w:ascii="宋体" w:hAnsi="宋体"/>
          <w:color w:val="auto"/>
          <w:sz w:val="24"/>
          <w:szCs w:val="24"/>
          <w:highlight w:val="none"/>
        </w:rPr>
        <w:t>经有关部门证实是无生产厂家、无生产日期、无生产许可证号的“三无”产品及过期变质产品的；</w:t>
      </w:r>
    </w:p>
    <w:p w14:paraId="67D55841">
      <w:pPr>
        <w:spacing w:line="360" w:lineRule="auto"/>
        <w:ind w:firstLine="600"/>
        <w:rPr>
          <w:rFonts w:ascii="宋体" w:hAnsi="宋体"/>
          <w:color w:val="auto"/>
          <w:sz w:val="24"/>
          <w:szCs w:val="24"/>
          <w:highlight w:val="none"/>
        </w:rPr>
      </w:pPr>
      <w:r>
        <w:rPr>
          <w:rFonts w:hint="eastAsia" w:ascii="宋体" w:hAnsi="宋体"/>
          <w:color w:val="auto"/>
          <w:sz w:val="24"/>
          <w:szCs w:val="24"/>
          <w:highlight w:val="none"/>
        </w:rPr>
        <w:t>4、因违法经营被市场监管、税务、卫健委等部门处罚的；</w:t>
      </w:r>
    </w:p>
    <w:p w14:paraId="51BCBA0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5、因政策变动或其他人力不可抗拒原因导致合同无法履行的，任何一方不负违约责任。</w:t>
      </w:r>
    </w:p>
    <w:p w14:paraId="72F43F8F">
      <w:pPr>
        <w:spacing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十、合同有效期：</w:t>
      </w:r>
      <w:r>
        <w:rPr>
          <w:rFonts w:hint="eastAsia" w:hAnsi="宋体" w:eastAsia="宋体"/>
          <w:color w:val="auto"/>
          <w:sz w:val="24"/>
          <w:szCs w:val="24"/>
          <w:highlight w:val="none"/>
        </w:rPr>
        <w:t>从</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年</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月</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日至</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年</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月</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日</w:t>
      </w:r>
      <w:r>
        <w:rPr>
          <w:rFonts w:hint="eastAsia" w:ascii="宋体" w:hAnsi="宋体"/>
          <w:color w:val="auto"/>
          <w:sz w:val="24"/>
          <w:szCs w:val="24"/>
          <w:highlight w:val="none"/>
        </w:rPr>
        <w:t>。</w:t>
      </w:r>
    </w:p>
    <w:p w14:paraId="1A3DC428">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十一、</w:t>
      </w:r>
      <w:r>
        <w:rPr>
          <w:rFonts w:hint="eastAsia" w:ascii="宋体" w:hAnsi="宋体"/>
          <w:color w:val="auto"/>
          <w:sz w:val="24"/>
          <w:szCs w:val="24"/>
          <w:highlight w:val="none"/>
          <w:lang w:eastAsia="zh-CN"/>
        </w:rPr>
        <w:t>本协议一式五份，甲、乙双方各执壹份，贵港市财政局、贵港市教育局、采购代理机构执各执壹份，双方</w:t>
      </w:r>
      <w:r>
        <w:rPr>
          <w:rFonts w:hint="eastAsia" w:ascii="宋体" w:hAnsi="宋体"/>
          <w:color w:val="auto"/>
          <w:sz w:val="24"/>
          <w:szCs w:val="24"/>
          <w:highlight w:val="none"/>
        </w:rPr>
        <w:t>签字或盖章后生效，且具同等法律效力。</w:t>
      </w:r>
    </w:p>
    <w:p w14:paraId="155B1AB2">
      <w:pPr>
        <w:spacing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十二、以上条款最终解释权为</w:t>
      </w:r>
      <w:r>
        <w:rPr>
          <w:rFonts w:hint="eastAsia" w:ascii="宋体" w:hAnsi="宋体"/>
          <w:color w:val="auto"/>
          <w:sz w:val="24"/>
          <w:szCs w:val="24"/>
          <w:highlight w:val="none"/>
          <w:lang w:eastAsia="zh-CN"/>
        </w:rPr>
        <w:t>贵港市江南中学</w:t>
      </w:r>
      <w:r>
        <w:rPr>
          <w:rFonts w:hint="eastAsia" w:ascii="宋体" w:hAnsi="宋体"/>
          <w:color w:val="auto"/>
          <w:sz w:val="24"/>
          <w:szCs w:val="24"/>
          <w:highlight w:val="none"/>
        </w:rPr>
        <w:t>。</w:t>
      </w:r>
    </w:p>
    <w:p w14:paraId="35FFE61A">
      <w:pPr>
        <w:spacing w:line="360" w:lineRule="auto"/>
        <w:ind w:firstLine="600"/>
        <w:rPr>
          <w:rFonts w:hint="eastAsia" w:ascii="宋体" w:hAnsi="宋体" w:eastAsia="宋体" w:cs="Times New Roman"/>
          <w:color w:val="auto"/>
          <w:sz w:val="24"/>
          <w:szCs w:val="24"/>
          <w:highlight w:val="none"/>
        </w:rPr>
      </w:pPr>
    </w:p>
    <w:p w14:paraId="1B9FFB75">
      <w:pPr>
        <w:spacing w:line="360" w:lineRule="auto"/>
        <w:ind w:firstLine="6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甲方</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公章</w:t>
      </w:r>
      <w:r>
        <w:rPr>
          <w:rFonts w:hint="eastAsia" w:ascii="宋体" w:hAnsi="宋体"/>
          <w:color w:val="auto"/>
          <w:sz w:val="24"/>
          <w:szCs w:val="24"/>
          <w:highlight w:val="none"/>
          <w:lang w:eastAsia="zh-CN"/>
        </w:rPr>
        <w:t>）</w:t>
      </w:r>
      <w:r>
        <w:rPr>
          <w:rFonts w:hint="eastAsia" w:ascii="宋体" w:hAnsi="宋体" w:eastAsia="宋体" w:cs="Times New Roman"/>
          <w:color w:val="auto"/>
          <w:sz w:val="24"/>
          <w:szCs w:val="24"/>
          <w:highlight w:val="none"/>
        </w:rPr>
        <w:t xml:space="preserve">：                   </w:t>
      </w:r>
    </w:p>
    <w:p w14:paraId="45DB506F">
      <w:pPr>
        <w:spacing w:line="360" w:lineRule="auto"/>
        <w:ind w:firstLine="6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代表签字：               </w:t>
      </w:r>
    </w:p>
    <w:p w14:paraId="4F38EDE7">
      <w:pPr>
        <w:spacing w:line="360" w:lineRule="auto"/>
        <w:ind w:firstLine="600"/>
        <w:rPr>
          <w:rFonts w:hint="eastAsia" w:ascii="宋体" w:hAnsi="宋体" w:eastAsia="宋体" w:cs="Times New Roman"/>
          <w:color w:val="auto"/>
          <w:sz w:val="24"/>
          <w:szCs w:val="24"/>
          <w:highlight w:val="none"/>
        </w:rPr>
      </w:pPr>
    </w:p>
    <w:p w14:paraId="0DD0219A">
      <w:pPr>
        <w:spacing w:line="360" w:lineRule="auto"/>
        <w:ind w:firstLine="6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乙方</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公章</w:t>
      </w:r>
      <w:r>
        <w:rPr>
          <w:rFonts w:hint="eastAsia" w:ascii="宋体" w:hAnsi="宋体"/>
          <w:color w:val="auto"/>
          <w:sz w:val="24"/>
          <w:szCs w:val="24"/>
          <w:highlight w:val="none"/>
          <w:lang w:eastAsia="zh-CN"/>
        </w:rPr>
        <w:t>）</w:t>
      </w:r>
      <w:r>
        <w:rPr>
          <w:rFonts w:hint="eastAsia" w:ascii="宋体" w:hAnsi="宋体" w:eastAsia="宋体" w:cs="Times New Roman"/>
          <w:color w:val="auto"/>
          <w:sz w:val="24"/>
          <w:szCs w:val="24"/>
          <w:highlight w:val="none"/>
        </w:rPr>
        <w:t xml:space="preserve">： </w:t>
      </w:r>
    </w:p>
    <w:p w14:paraId="516757AA">
      <w:pPr>
        <w:spacing w:line="360" w:lineRule="auto"/>
        <w:ind w:firstLine="6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代表签字：                                 </w:t>
      </w:r>
    </w:p>
    <w:p w14:paraId="7FB7AA8B">
      <w:pPr>
        <w:spacing w:line="360" w:lineRule="auto"/>
        <w:ind w:firstLine="600"/>
        <w:jc w:val="center"/>
        <w:rPr>
          <w:rFonts w:hint="eastAsia" w:ascii="宋体" w:hAnsi="宋体"/>
          <w:color w:val="auto"/>
          <w:sz w:val="24"/>
          <w:szCs w:val="24"/>
          <w:highlight w:val="none"/>
        </w:rPr>
      </w:pPr>
      <w:r>
        <w:rPr>
          <w:rFonts w:hint="eastAsia" w:ascii="宋体" w:hAnsi="宋体" w:eastAsia="宋体" w:cs="Times New Roman"/>
          <w:color w:val="auto"/>
          <w:sz w:val="24"/>
          <w:szCs w:val="24"/>
          <w:highlight w:val="none"/>
        </w:rPr>
        <w:t>202</w:t>
      </w:r>
      <w:r>
        <w:rPr>
          <w:rFonts w:hint="eastAsia" w:ascii="宋体" w:hAnsi="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rPr>
        <w:t>年</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月</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日</w:t>
      </w:r>
    </w:p>
    <w:p w14:paraId="4A9E9861">
      <w:pPr>
        <w:rPr>
          <w:rFonts w:hint="eastAsia" w:ascii="宋体" w:hAnsi="宋体"/>
          <w:color w:val="auto"/>
          <w:sz w:val="24"/>
          <w:szCs w:val="24"/>
          <w:highlight w:val="none"/>
        </w:rPr>
      </w:pPr>
      <w:r>
        <w:rPr>
          <w:rFonts w:hint="eastAsia" w:ascii="宋体" w:hAnsi="宋体"/>
          <w:color w:val="auto"/>
          <w:sz w:val="24"/>
          <w:szCs w:val="24"/>
          <w:highlight w:val="none"/>
        </w:rPr>
        <w:br w:type="page"/>
      </w:r>
    </w:p>
    <w:p w14:paraId="5696FF72">
      <w:pPr>
        <w:spacing w:line="240" w:lineRule="auto"/>
        <w:ind w:left="0" w:leftChars="0" w:firstLine="0" w:firstLineChars="0"/>
        <w:jc w:val="center"/>
        <w:outlineLvl w:val="1"/>
        <w:rPr>
          <w:rFonts w:hint="eastAsia" w:ascii="Times New Roman" w:hAnsi="Times New Roman" w:eastAsia="宋体" w:cs="Times New Roman"/>
          <w:b/>
          <w:bCs/>
          <w:color w:val="auto"/>
          <w:sz w:val="40"/>
          <w:szCs w:val="40"/>
          <w:highlight w:val="none"/>
        </w:rPr>
      </w:pPr>
      <w:bookmarkStart w:id="341" w:name="_Toc22231"/>
      <w:r>
        <w:rPr>
          <w:rFonts w:hint="eastAsia" w:cs="Times New Roman"/>
          <w:b/>
          <w:bCs/>
          <w:color w:val="auto"/>
          <w:sz w:val="40"/>
          <w:szCs w:val="40"/>
          <w:highlight w:val="none"/>
          <w:lang w:val="en-US" w:eastAsia="zh-CN"/>
        </w:rPr>
        <w:t>分标2：学习用品、日用品</w:t>
      </w:r>
      <w:r>
        <w:rPr>
          <w:rFonts w:hint="eastAsia" w:ascii="Times New Roman" w:hAnsi="Times New Roman" w:eastAsia="宋体" w:cs="Times New Roman"/>
          <w:b/>
          <w:bCs/>
          <w:color w:val="auto"/>
          <w:sz w:val="40"/>
          <w:szCs w:val="40"/>
          <w:highlight w:val="none"/>
        </w:rPr>
        <w:t>购销合同</w:t>
      </w:r>
      <w:bookmarkEnd w:id="341"/>
    </w:p>
    <w:p w14:paraId="29258704">
      <w:pPr>
        <w:spacing w:line="360" w:lineRule="auto"/>
        <w:rPr>
          <w:rFonts w:hint="eastAsia" w:ascii="Times New Roman" w:hAnsi="Times New Roman" w:cs="Times New Roman"/>
          <w:color w:val="auto"/>
          <w:sz w:val="24"/>
          <w:szCs w:val="24"/>
          <w:highlight w:val="none"/>
        </w:rPr>
      </w:pPr>
    </w:p>
    <w:p w14:paraId="29D3EB3E">
      <w:pPr>
        <w:spacing w:line="360" w:lineRule="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甲方</w:t>
      </w:r>
      <w:r>
        <w:rPr>
          <w:rFonts w:hint="eastAsia" w:ascii="Times New Roman" w:hAnsi="Times New Roman" w:cs="Times New Roman"/>
          <w:color w:val="auto"/>
          <w:sz w:val="24"/>
          <w:szCs w:val="24"/>
          <w:highlight w:val="none"/>
          <w:lang w:val="en-US" w:eastAsia="zh-CN"/>
        </w:rPr>
        <w:t>：</w:t>
      </w:r>
      <w:r>
        <w:rPr>
          <w:rFonts w:hint="eastAsia" w:ascii="Times New Roman" w:hAnsi="Times New Roman" w:cs="Times New Roman"/>
          <w:color w:val="auto"/>
          <w:sz w:val="24"/>
          <w:szCs w:val="24"/>
          <w:highlight w:val="none"/>
        </w:rPr>
        <w:t xml:space="preserve">                       </w:t>
      </w:r>
    </w:p>
    <w:p w14:paraId="62F3C866">
      <w:pPr>
        <w:spacing w:line="360" w:lineRule="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乙方</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 xml:space="preserve">                        </w:t>
      </w:r>
    </w:p>
    <w:p w14:paraId="52741640">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经公开招标，确认乙方为</w:t>
      </w:r>
      <w:r>
        <w:rPr>
          <w:rFonts w:hint="eastAsia" w:ascii="宋体" w:hAnsi="宋体"/>
          <w:color w:val="auto"/>
          <w:sz w:val="24"/>
          <w:szCs w:val="24"/>
          <w:highlight w:val="none"/>
          <w:lang w:val="en-US" w:eastAsia="zh-CN"/>
        </w:rPr>
        <w:t>学习用品、日用品</w:t>
      </w:r>
      <w:r>
        <w:rPr>
          <w:rFonts w:hint="eastAsia" w:ascii="宋体" w:hAnsi="宋体"/>
          <w:color w:val="auto"/>
          <w:sz w:val="24"/>
          <w:szCs w:val="24"/>
          <w:highlight w:val="none"/>
        </w:rPr>
        <w:t>供应商，为进一步明确</w:t>
      </w:r>
      <w:r>
        <w:rPr>
          <w:rFonts w:hint="eastAsia" w:ascii="宋体" w:hAnsi="宋体"/>
          <w:color w:val="auto"/>
          <w:sz w:val="24"/>
          <w:szCs w:val="24"/>
          <w:highlight w:val="none"/>
          <w:lang w:eastAsia="zh-CN"/>
        </w:rPr>
        <w:t>双</w:t>
      </w:r>
      <w:r>
        <w:rPr>
          <w:rFonts w:hint="eastAsia" w:ascii="宋体" w:hAnsi="宋体"/>
          <w:color w:val="auto"/>
          <w:sz w:val="24"/>
          <w:szCs w:val="24"/>
          <w:highlight w:val="none"/>
        </w:rPr>
        <w:t>方的权利和责任，经甲、乙</w:t>
      </w:r>
      <w:r>
        <w:rPr>
          <w:rFonts w:hint="eastAsia" w:ascii="宋体" w:hAnsi="宋体"/>
          <w:color w:val="auto"/>
          <w:sz w:val="24"/>
          <w:szCs w:val="24"/>
          <w:highlight w:val="none"/>
          <w:lang w:eastAsia="zh-CN"/>
        </w:rPr>
        <w:t>双方</w:t>
      </w:r>
      <w:r>
        <w:rPr>
          <w:rFonts w:hint="eastAsia" w:ascii="宋体" w:hAnsi="宋体"/>
          <w:color w:val="auto"/>
          <w:sz w:val="24"/>
          <w:szCs w:val="24"/>
          <w:highlight w:val="none"/>
        </w:rPr>
        <w:t>共同协商，特订立此购销合同，以便</w:t>
      </w:r>
      <w:r>
        <w:rPr>
          <w:rFonts w:hint="eastAsia" w:ascii="宋体" w:hAnsi="宋体"/>
          <w:color w:val="auto"/>
          <w:sz w:val="24"/>
          <w:szCs w:val="24"/>
          <w:highlight w:val="none"/>
          <w:lang w:eastAsia="zh-CN"/>
        </w:rPr>
        <w:t>双方</w:t>
      </w:r>
      <w:r>
        <w:rPr>
          <w:rFonts w:hint="eastAsia" w:ascii="宋体" w:hAnsi="宋体"/>
          <w:color w:val="auto"/>
          <w:sz w:val="24"/>
          <w:szCs w:val="24"/>
          <w:highlight w:val="none"/>
        </w:rPr>
        <w:t>共同遵守：</w:t>
      </w:r>
    </w:p>
    <w:p w14:paraId="640CD859">
      <w:pPr>
        <w:spacing w:line="360" w:lineRule="auto"/>
        <w:ind w:firstLine="570"/>
        <w:rPr>
          <w:rFonts w:ascii="宋体" w:hAnsi="宋体"/>
          <w:color w:val="auto"/>
          <w:sz w:val="24"/>
          <w:szCs w:val="24"/>
          <w:highlight w:val="none"/>
        </w:rPr>
      </w:pPr>
      <w:r>
        <w:rPr>
          <w:rFonts w:hint="eastAsia" w:ascii="宋体" w:hAnsi="宋体"/>
          <w:color w:val="auto"/>
          <w:sz w:val="24"/>
          <w:szCs w:val="24"/>
          <w:highlight w:val="none"/>
        </w:rPr>
        <w:t>一、乙方同意</w:t>
      </w:r>
      <w:r>
        <w:rPr>
          <w:rFonts w:hint="eastAsia" w:ascii="宋体" w:hAnsi="宋体"/>
          <w:color w:val="auto"/>
          <w:sz w:val="24"/>
          <w:szCs w:val="24"/>
          <w:highlight w:val="none"/>
          <w:lang w:eastAsia="zh-CN"/>
        </w:rPr>
        <w:t>合同折扣率</w:t>
      </w:r>
      <w:r>
        <w:rPr>
          <w:rFonts w:hint="eastAsia" w:ascii="宋体" w:hAnsi="宋体"/>
          <w:color w:val="auto"/>
          <w:sz w:val="24"/>
          <w:szCs w:val="24"/>
          <w:highlight w:val="none"/>
        </w:rPr>
        <w:t>为</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w:t>
      </w:r>
    </w:p>
    <w:p w14:paraId="219DA606">
      <w:pPr>
        <w:keepNext w:val="0"/>
        <w:keepLines w:val="0"/>
        <w:pageBreakBefore w:val="0"/>
        <w:widowControl w:val="0"/>
        <w:kinsoku/>
        <w:wordWrap/>
        <w:overflowPunct/>
        <w:topLinePunct w:val="0"/>
        <w:autoSpaceDE/>
        <w:autoSpaceDN/>
        <w:bidi w:val="0"/>
        <w:adjustRightInd/>
        <w:spacing w:line="360" w:lineRule="auto"/>
        <w:ind w:firstLine="570"/>
        <w:textAlignment w:val="auto"/>
        <w:rPr>
          <w:rFonts w:ascii="宋体" w:hAnsi="宋体"/>
          <w:color w:val="auto"/>
          <w:sz w:val="24"/>
          <w:szCs w:val="24"/>
          <w:highlight w:val="none"/>
        </w:rPr>
      </w:pPr>
      <w:r>
        <w:rPr>
          <w:rFonts w:hint="eastAsia" w:ascii="宋体" w:hAnsi="宋体"/>
          <w:color w:val="auto"/>
          <w:sz w:val="24"/>
          <w:szCs w:val="24"/>
          <w:highlight w:val="none"/>
        </w:rPr>
        <w:t>二、甲方销售的</w:t>
      </w:r>
      <w:r>
        <w:rPr>
          <w:rFonts w:hint="eastAsia" w:ascii="宋体" w:hAnsi="宋体"/>
          <w:color w:val="auto"/>
          <w:sz w:val="24"/>
          <w:szCs w:val="24"/>
          <w:highlight w:val="none"/>
          <w:lang w:val="en-US" w:eastAsia="zh-CN"/>
        </w:rPr>
        <w:t>学习用品、日用品</w:t>
      </w:r>
      <w:r>
        <w:rPr>
          <w:rFonts w:hint="eastAsia" w:ascii="宋体" w:hAnsi="宋体"/>
          <w:color w:val="auto"/>
          <w:sz w:val="24"/>
          <w:szCs w:val="24"/>
          <w:highlight w:val="none"/>
        </w:rPr>
        <w:t>由乙方提供,</w:t>
      </w:r>
      <w:r>
        <w:rPr>
          <w:rFonts w:hint="eastAsia" w:ascii="宋体" w:hAnsi="宋体"/>
          <w:color w:val="auto"/>
          <w:kern w:val="0"/>
          <w:sz w:val="24"/>
          <w:szCs w:val="24"/>
          <w:highlight w:val="none"/>
        </w:rPr>
        <w:t>价格随行就市</w:t>
      </w:r>
      <w:r>
        <w:rPr>
          <w:rFonts w:hint="eastAsia" w:ascii="宋体" w:hAnsi="宋体"/>
          <w:color w:val="auto"/>
          <w:sz w:val="24"/>
          <w:szCs w:val="24"/>
          <w:highlight w:val="none"/>
        </w:rPr>
        <w:t>。</w:t>
      </w:r>
    </w:p>
    <w:p w14:paraId="45DE05D1">
      <w:pPr>
        <w:keepNext w:val="0"/>
        <w:keepLines w:val="0"/>
        <w:pageBreakBefore w:val="0"/>
        <w:widowControl w:val="0"/>
        <w:kinsoku/>
        <w:wordWrap/>
        <w:overflowPunct/>
        <w:topLinePunct w:val="0"/>
        <w:autoSpaceDE/>
        <w:autoSpaceDN/>
        <w:bidi w:val="0"/>
        <w:adjustRightInd/>
        <w:spacing w:line="360" w:lineRule="auto"/>
        <w:ind w:firstLine="6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rPr>
        <w:t>三、</w:t>
      </w:r>
      <w:r>
        <w:rPr>
          <w:rFonts w:hint="eastAsia" w:ascii="宋体" w:hAnsi="宋体"/>
          <w:color w:val="auto"/>
          <w:sz w:val="24"/>
          <w:szCs w:val="24"/>
          <w:highlight w:val="none"/>
          <w:lang w:val="en-US" w:eastAsia="zh-CN"/>
        </w:rPr>
        <w:t>货物参考单价：</w:t>
      </w:r>
    </w:p>
    <w:p w14:paraId="352911BB">
      <w:pPr>
        <w:keepNext w:val="0"/>
        <w:keepLines w:val="0"/>
        <w:pageBreakBefore w:val="0"/>
        <w:widowControl w:val="0"/>
        <w:kinsoku/>
        <w:wordWrap/>
        <w:overflowPunct/>
        <w:topLinePunct w:val="0"/>
        <w:autoSpaceDE/>
        <w:autoSpaceDN/>
        <w:bidi w:val="0"/>
        <w:adjustRightInd/>
        <w:spacing w:line="360" w:lineRule="auto"/>
        <w:ind w:firstLine="57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根据政策要求，由上级领导部门每隔一段时间（每周或每月）召集采购人与供应商开会协商供货价格（三方议价），签订供货价格协议。中标人须按签好的价格协议供应商品。如政策变化，上级领导部门不再组织三方议价，则由采购人与中标人双方共同协商供货价格，签订供货价格协议。投标折扣率将作为食材或货物实际结算的合同折扣率，结算时以学校实际采购量进行结算。</w:t>
      </w:r>
    </w:p>
    <w:p w14:paraId="6E4F81B9">
      <w:pPr>
        <w:keepNext w:val="0"/>
        <w:keepLines w:val="0"/>
        <w:pageBreakBefore w:val="0"/>
        <w:widowControl w:val="0"/>
        <w:kinsoku/>
        <w:wordWrap/>
        <w:overflowPunct/>
        <w:topLinePunct w:val="0"/>
        <w:autoSpaceDE/>
        <w:autoSpaceDN/>
        <w:bidi w:val="0"/>
        <w:adjustRightInd/>
        <w:spacing w:line="360" w:lineRule="auto"/>
        <w:ind w:firstLine="57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采购人根据各分标食材或货物的市场价格情况，每个月在贵港市易农国际农产品交易中心、三合市场、江南市场及兴港副食城四地经过调查得出各食材或货物的市场批发均价，一般取双方在上述市场询价结果的平均值。当期某食材或货物结算价=市场批发均价×合同折扣率×该食材或货物实际采购量。</w:t>
      </w:r>
    </w:p>
    <w:p w14:paraId="17B6A815">
      <w:pPr>
        <w:keepNext w:val="0"/>
        <w:keepLines w:val="0"/>
        <w:pageBreakBefore w:val="0"/>
        <w:widowControl w:val="0"/>
        <w:kinsoku/>
        <w:wordWrap/>
        <w:overflowPunct/>
        <w:topLinePunct w:val="0"/>
        <w:autoSpaceDE/>
        <w:autoSpaceDN/>
        <w:bidi w:val="0"/>
        <w:adjustRightInd/>
        <w:spacing w:line="360" w:lineRule="auto"/>
        <w:ind w:firstLine="570"/>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3.本合同能自主采购的商品种类及数量，由学校的实际需要决定，同时受上级的有关政策影响，因此招标文件的预估数量仅供参考，不能作为学校承诺的最低采购数量看待。</w:t>
      </w:r>
    </w:p>
    <w:p w14:paraId="336C6C07">
      <w:pPr>
        <w:keepNext w:val="0"/>
        <w:keepLines w:val="0"/>
        <w:pageBreakBefore w:val="0"/>
        <w:widowControl w:val="0"/>
        <w:kinsoku/>
        <w:wordWrap/>
        <w:overflowPunct/>
        <w:topLinePunct w:val="0"/>
        <w:autoSpaceDE/>
        <w:autoSpaceDN/>
        <w:bidi w:val="0"/>
        <w:adjustRightInd/>
        <w:spacing w:line="360" w:lineRule="auto"/>
        <w:ind w:firstLine="570"/>
        <w:textAlignment w:val="auto"/>
        <w:rPr>
          <w:rFonts w:ascii="宋体" w:hAnsi="宋体"/>
          <w:color w:val="auto"/>
          <w:sz w:val="24"/>
          <w:szCs w:val="24"/>
          <w:highlight w:val="none"/>
        </w:rPr>
      </w:pPr>
      <w:r>
        <w:rPr>
          <w:rFonts w:hint="eastAsia" w:ascii="宋体" w:hAnsi="宋体"/>
          <w:color w:val="auto"/>
          <w:sz w:val="24"/>
          <w:szCs w:val="24"/>
          <w:highlight w:val="none"/>
        </w:rPr>
        <w:t>四、1、乙方供应的</w:t>
      </w:r>
      <w:r>
        <w:rPr>
          <w:rFonts w:hint="eastAsia" w:ascii="宋体" w:hAnsi="宋体"/>
          <w:color w:val="auto"/>
          <w:sz w:val="24"/>
          <w:szCs w:val="24"/>
          <w:highlight w:val="none"/>
          <w:lang w:val="en-US" w:eastAsia="zh-CN"/>
        </w:rPr>
        <w:t>学习用品、日用品</w:t>
      </w:r>
      <w:r>
        <w:rPr>
          <w:rFonts w:hint="eastAsia" w:ascii="宋体" w:hAnsi="宋体"/>
          <w:color w:val="auto"/>
          <w:sz w:val="24"/>
          <w:szCs w:val="24"/>
          <w:highlight w:val="none"/>
        </w:rPr>
        <w:t>必须是品牌知名度较高，市场有销售的产品，有明显的标签，有生产日期和生产许可证，严禁将小作坊生产的产品、过期变质的、冒牌的或无厂家、无生产日期、无生产许可证号的“三无”产品供应给甲方。</w:t>
      </w:r>
    </w:p>
    <w:p w14:paraId="22C20E62">
      <w:pPr>
        <w:pStyle w:val="17"/>
        <w:keepNext w:val="0"/>
        <w:keepLines w:val="0"/>
        <w:pageBreakBefore w:val="0"/>
        <w:widowControl w:val="0"/>
        <w:kinsoku/>
        <w:wordWrap/>
        <w:overflowPunct/>
        <w:topLinePunct w:val="0"/>
        <w:autoSpaceDE/>
        <w:autoSpaceDN/>
        <w:bidi w:val="0"/>
        <w:adjustRightInd/>
        <w:snapToGrid w:val="0"/>
        <w:spacing w:line="360" w:lineRule="auto"/>
        <w:ind w:left="2" w:leftChars="1" w:firstLine="480" w:firstLineChars="200"/>
        <w:textAlignment w:val="auto"/>
        <w:rPr>
          <w:rFonts w:hAnsi="宋体" w:eastAsia="宋体"/>
          <w:color w:val="auto"/>
          <w:sz w:val="24"/>
          <w:szCs w:val="24"/>
          <w:highlight w:val="none"/>
        </w:rPr>
      </w:pPr>
      <w:r>
        <w:rPr>
          <w:rFonts w:hint="eastAsia" w:hAnsi="宋体" w:eastAsia="宋体"/>
          <w:color w:val="auto"/>
          <w:sz w:val="24"/>
          <w:szCs w:val="24"/>
          <w:highlight w:val="none"/>
        </w:rPr>
        <w:t>2、乙方在签订合同后一个月内必须到相关的保险公司进行投保，投保险种为食品安全责任保险，否则采购单位有权终止合同。</w:t>
      </w:r>
    </w:p>
    <w:p w14:paraId="6B06AB54">
      <w:pPr>
        <w:pStyle w:val="17"/>
        <w:keepNext w:val="0"/>
        <w:keepLines w:val="0"/>
        <w:pageBreakBefore w:val="0"/>
        <w:widowControl w:val="0"/>
        <w:kinsoku/>
        <w:wordWrap/>
        <w:overflowPunct/>
        <w:topLinePunct w:val="0"/>
        <w:autoSpaceDE/>
        <w:autoSpaceDN/>
        <w:bidi w:val="0"/>
        <w:adjustRightInd/>
        <w:snapToGrid w:val="0"/>
        <w:spacing w:line="360" w:lineRule="auto"/>
        <w:ind w:left="2" w:leftChars="1" w:firstLine="480" w:firstLineChars="200"/>
        <w:textAlignment w:val="auto"/>
        <w:rPr>
          <w:rFonts w:hAnsi="宋体" w:eastAsia="宋体"/>
          <w:color w:val="auto"/>
          <w:sz w:val="24"/>
          <w:szCs w:val="24"/>
          <w:highlight w:val="none"/>
        </w:rPr>
      </w:pPr>
      <w:r>
        <w:rPr>
          <w:rFonts w:hint="eastAsia" w:hAnsi="宋体" w:eastAsia="宋体"/>
          <w:color w:val="auto"/>
          <w:sz w:val="24"/>
          <w:szCs w:val="24"/>
          <w:highlight w:val="none"/>
        </w:rPr>
        <w:t>3、</w:t>
      </w:r>
      <w:r>
        <w:rPr>
          <w:rFonts w:hint="eastAsia" w:ascii="宋体" w:hAnsi="宋体"/>
          <w:color w:val="auto"/>
          <w:sz w:val="24"/>
          <w:szCs w:val="24"/>
          <w:highlight w:val="none"/>
        </w:rPr>
        <w:t>甲方</w:t>
      </w:r>
      <w:r>
        <w:rPr>
          <w:rFonts w:hint="eastAsia" w:hAnsi="宋体" w:eastAsia="宋体"/>
          <w:color w:val="auto"/>
          <w:sz w:val="24"/>
          <w:szCs w:val="24"/>
          <w:highlight w:val="none"/>
        </w:rPr>
        <w:t>负责定期或不定期组织市场监管、卫健委等有关部门进行食品卫生监督以确保所供产品的卫生质量。</w:t>
      </w:r>
    </w:p>
    <w:p w14:paraId="7F0A6053">
      <w:pPr>
        <w:shd w:val="clear" w:color="auto" w:fill="auto"/>
        <w:wordWrap w:val="0"/>
        <w:spacing w:line="360" w:lineRule="auto"/>
        <w:ind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五、监督办法与退出机制：</w:t>
      </w:r>
    </w:p>
    <w:p w14:paraId="7B99A7E8">
      <w:pPr>
        <w:shd w:val="clear" w:color="auto" w:fill="auto"/>
        <w:wordWrap w:val="0"/>
        <w:spacing w:line="360" w:lineRule="auto"/>
        <w:ind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1、监督办法</w:t>
      </w:r>
      <w:r>
        <w:rPr>
          <w:rFonts w:hint="eastAsia" w:ascii="宋体" w:hAnsi="宋体" w:eastAsia="宋体" w:cs="宋体"/>
          <w:bCs/>
          <w:color w:val="auto"/>
          <w:sz w:val="24"/>
          <w:szCs w:val="24"/>
          <w:highlight w:val="none"/>
          <w:lang w:eastAsia="zh-CN"/>
        </w:rPr>
        <w:t>：定期进行供应商</w:t>
      </w:r>
      <w:r>
        <w:rPr>
          <w:rFonts w:hint="eastAsia" w:ascii="宋体" w:hAnsi="宋体" w:eastAsia="宋体" w:cs="宋体"/>
          <w:bCs/>
          <w:color w:val="auto"/>
          <w:sz w:val="24"/>
          <w:szCs w:val="24"/>
          <w:highlight w:val="none"/>
          <w:lang w:val="en-US" w:eastAsia="zh-CN"/>
        </w:rPr>
        <w:t>供货</w:t>
      </w:r>
      <w:r>
        <w:rPr>
          <w:rFonts w:hint="eastAsia" w:ascii="宋体" w:hAnsi="宋体" w:eastAsia="宋体" w:cs="宋体"/>
          <w:bCs/>
          <w:color w:val="auto"/>
          <w:sz w:val="24"/>
          <w:szCs w:val="24"/>
          <w:highlight w:val="none"/>
          <w:lang w:eastAsia="zh-CN"/>
        </w:rPr>
        <w:t>测评，每月学校代表对供应商的服务态度及价格等因素进行测评，对合格率低于</w:t>
      </w:r>
      <w:r>
        <w:rPr>
          <w:rFonts w:hint="eastAsia" w:ascii="宋体" w:hAnsi="宋体" w:eastAsia="宋体" w:cs="宋体"/>
          <w:bCs/>
          <w:color w:val="auto"/>
          <w:sz w:val="24"/>
          <w:szCs w:val="24"/>
          <w:highlight w:val="none"/>
          <w:lang w:val="en-US" w:eastAsia="zh-CN"/>
        </w:rPr>
        <w:t>90</w:t>
      </w:r>
      <w:r>
        <w:rPr>
          <w:rFonts w:hint="eastAsia" w:ascii="宋体" w:hAnsi="宋体" w:eastAsia="宋体" w:cs="宋体"/>
          <w:bCs/>
          <w:color w:val="auto"/>
          <w:sz w:val="24"/>
          <w:szCs w:val="24"/>
          <w:highlight w:val="none"/>
          <w:lang w:eastAsia="zh-CN"/>
        </w:rPr>
        <w:t>%的供应商进行约谈整改，合格率低于</w:t>
      </w:r>
      <w:r>
        <w:rPr>
          <w:rFonts w:hint="eastAsia" w:ascii="宋体" w:hAnsi="宋体" w:eastAsia="宋体" w:cs="宋体"/>
          <w:bCs/>
          <w:color w:val="auto"/>
          <w:sz w:val="24"/>
          <w:szCs w:val="24"/>
          <w:highlight w:val="none"/>
          <w:lang w:val="en-US" w:eastAsia="zh-CN"/>
        </w:rPr>
        <w:t>70</w:t>
      </w:r>
      <w:r>
        <w:rPr>
          <w:rFonts w:hint="eastAsia" w:ascii="宋体" w:hAnsi="宋体" w:eastAsia="宋体" w:cs="宋体"/>
          <w:bCs/>
          <w:color w:val="auto"/>
          <w:sz w:val="24"/>
          <w:szCs w:val="24"/>
          <w:highlight w:val="none"/>
          <w:lang w:eastAsia="zh-CN"/>
        </w:rPr>
        <w:t>%的供应商暂停供货一个月，合格率低于</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lang w:eastAsia="zh-CN"/>
        </w:rPr>
        <w:t>0%的</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eastAsia="zh-CN"/>
        </w:rPr>
        <w:t>终止其供货合同。</w:t>
      </w:r>
    </w:p>
    <w:p w14:paraId="65977827">
      <w:pPr>
        <w:shd w:val="clear" w:color="auto" w:fill="auto"/>
        <w:wordWrap w:val="0"/>
        <w:spacing w:line="360" w:lineRule="auto"/>
        <w:ind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2、退出机制：</w:t>
      </w:r>
      <w:r>
        <w:rPr>
          <w:rFonts w:hint="eastAsia" w:ascii="宋体" w:hAnsi="宋体" w:cs="宋体"/>
          <w:bCs/>
          <w:color w:val="auto"/>
          <w:sz w:val="24"/>
          <w:szCs w:val="24"/>
          <w:highlight w:val="none"/>
          <w:lang w:val="en-US" w:eastAsia="zh-CN"/>
        </w:rPr>
        <w:t>供应商在国务院互联网+督查平台被投诉举报（核查属实）1次的终止其供货合同；供应商在12345政务服务便民热线平台被投诉举报（核查属实）1次的进行约谈整改，2次停止供货一个月；3次的终止其供货合同；供应商被学校师生投诉举报（核查属实）1次的进行提醒教育，2次的进行约谈，3次的停止供货一个月，4次的终止供货合同。</w:t>
      </w:r>
      <w:r>
        <w:rPr>
          <w:rFonts w:hint="eastAsia" w:ascii="宋体" w:hAnsi="宋体" w:eastAsia="宋体" w:cs="宋体"/>
          <w:bCs/>
          <w:color w:val="auto"/>
          <w:sz w:val="24"/>
          <w:szCs w:val="24"/>
          <w:highlight w:val="none"/>
          <w:lang w:eastAsia="zh-CN"/>
        </w:rPr>
        <w:t>供应商</w:t>
      </w:r>
      <w:r>
        <w:rPr>
          <w:rFonts w:hint="eastAsia" w:ascii="宋体" w:hAnsi="宋体" w:cs="宋体"/>
          <w:bCs/>
          <w:color w:val="auto"/>
          <w:sz w:val="24"/>
          <w:szCs w:val="24"/>
          <w:highlight w:val="none"/>
          <w:lang w:eastAsia="zh-CN"/>
        </w:rPr>
        <w:t>所供</w:t>
      </w:r>
      <w:r>
        <w:rPr>
          <w:rFonts w:hint="eastAsia" w:ascii="宋体" w:hAnsi="宋体" w:eastAsia="宋体" w:cs="宋体"/>
          <w:bCs/>
          <w:color w:val="auto"/>
          <w:sz w:val="24"/>
          <w:szCs w:val="24"/>
          <w:highlight w:val="none"/>
          <w:lang w:eastAsia="zh-CN"/>
        </w:rPr>
        <w:t>食材质量</w:t>
      </w:r>
      <w:r>
        <w:rPr>
          <w:rFonts w:hint="eastAsia" w:ascii="宋体" w:hAnsi="宋体" w:cs="宋体"/>
          <w:bCs/>
          <w:color w:val="auto"/>
          <w:sz w:val="24"/>
          <w:szCs w:val="24"/>
          <w:highlight w:val="none"/>
          <w:lang w:eastAsia="zh-CN"/>
        </w:rPr>
        <w:t>必须达到</w:t>
      </w:r>
      <w:r>
        <w:rPr>
          <w:rFonts w:hint="eastAsia" w:ascii="宋体" w:hAnsi="宋体" w:cs="宋体"/>
          <w:bCs/>
          <w:color w:val="auto"/>
          <w:sz w:val="24"/>
          <w:szCs w:val="24"/>
          <w:highlight w:val="none"/>
          <w:lang w:val="en-US" w:eastAsia="zh-CN"/>
        </w:rPr>
        <w:t>100%合格，否则终止供货合同</w:t>
      </w:r>
      <w:r>
        <w:rPr>
          <w:rFonts w:hint="eastAsia" w:ascii="宋体" w:hAnsi="宋体" w:eastAsia="宋体" w:cs="宋体"/>
          <w:bCs/>
          <w:color w:val="auto"/>
          <w:sz w:val="24"/>
          <w:szCs w:val="24"/>
          <w:highlight w:val="none"/>
          <w:lang w:val="en-US" w:eastAsia="zh-CN"/>
        </w:rPr>
        <w:t>。一经终止供货合同，则由第二中标候选人递补，以此类推。</w:t>
      </w:r>
    </w:p>
    <w:p w14:paraId="7A4B4A2E">
      <w:pPr>
        <w:pStyle w:val="17"/>
        <w:keepNext w:val="0"/>
        <w:keepLines w:val="0"/>
        <w:pageBreakBefore w:val="0"/>
        <w:widowControl w:val="0"/>
        <w:kinsoku/>
        <w:wordWrap/>
        <w:overflowPunct/>
        <w:topLinePunct w:val="0"/>
        <w:autoSpaceDE/>
        <w:autoSpaceDN/>
        <w:bidi w:val="0"/>
        <w:adjustRightInd/>
        <w:snapToGrid w:val="0"/>
        <w:spacing w:line="360" w:lineRule="auto"/>
        <w:ind w:left="2" w:leftChars="1" w:firstLine="480" w:firstLineChars="200"/>
        <w:textAlignment w:val="auto"/>
        <w:rPr>
          <w:rFonts w:hAnsi="宋体" w:eastAsia="宋体"/>
          <w:color w:val="auto"/>
          <w:sz w:val="24"/>
          <w:szCs w:val="24"/>
          <w:highlight w:val="none"/>
        </w:rPr>
      </w:pPr>
      <w:r>
        <w:rPr>
          <w:rFonts w:hint="eastAsia" w:hAnsi="宋体" w:eastAsia="宋体"/>
          <w:color w:val="auto"/>
          <w:sz w:val="24"/>
          <w:szCs w:val="24"/>
          <w:highlight w:val="none"/>
        </w:rPr>
        <w:t>六、交货方式：</w:t>
      </w:r>
      <w:r>
        <w:rPr>
          <w:rFonts w:hint="eastAsia" w:ascii="宋体" w:hAnsi="宋体"/>
          <w:color w:val="auto"/>
          <w:sz w:val="24"/>
          <w:szCs w:val="24"/>
          <w:highlight w:val="none"/>
        </w:rPr>
        <w:t>甲方</w:t>
      </w:r>
      <w:r>
        <w:rPr>
          <w:rFonts w:hint="eastAsia" w:hAnsi="宋体" w:eastAsia="宋体"/>
          <w:color w:val="auto"/>
          <w:sz w:val="24"/>
          <w:szCs w:val="24"/>
          <w:highlight w:val="none"/>
        </w:rPr>
        <w:t>必须提前壹至两天将需要</w:t>
      </w:r>
      <w:r>
        <w:rPr>
          <w:rFonts w:hint="eastAsia" w:hAnsi="宋体" w:eastAsia="宋体"/>
          <w:color w:val="auto"/>
          <w:sz w:val="24"/>
          <w:szCs w:val="24"/>
          <w:highlight w:val="none"/>
          <w:lang w:val="en-US" w:eastAsia="zh-CN"/>
        </w:rPr>
        <w:t>学习用品、日用品</w:t>
      </w:r>
      <w:r>
        <w:rPr>
          <w:rFonts w:hint="eastAsia" w:hAnsi="宋体" w:eastAsia="宋体"/>
          <w:color w:val="auto"/>
          <w:sz w:val="24"/>
          <w:szCs w:val="24"/>
          <w:highlight w:val="none"/>
        </w:rPr>
        <w:t>的品种、数量报给乙方，乙方按甲方所订的品种及数量按质、按时、按要求送到甲方指定的地点，运费及装卸费由乙方承担。</w:t>
      </w:r>
    </w:p>
    <w:p w14:paraId="7EF58C77">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color w:val="auto"/>
          <w:sz w:val="24"/>
          <w:szCs w:val="24"/>
          <w:highlight w:val="none"/>
        </w:rPr>
      </w:pPr>
      <w:r>
        <w:rPr>
          <w:rFonts w:hint="eastAsia" w:ascii="宋体" w:hAnsi="宋体"/>
          <w:color w:val="auto"/>
          <w:sz w:val="24"/>
          <w:szCs w:val="24"/>
          <w:highlight w:val="none"/>
        </w:rPr>
        <w:t xml:space="preserve">    七、货款结算方式：</w:t>
      </w:r>
      <w:r>
        <w:rPr>
          <w:rFonts w:hint="eastAsia" w:ascii="宋体" w:hAnsi="宋体"/>
          <w:color w:val="auto"/>
          <w:sz w:val="24"/>
          <w:szCs w:val="24"/>
          <w:highlight w:val="none"/>
          <w:lang w:val="en-US" w:eastAsia="zh-CN"/>
        </w:rPr>
        <w:t>一般情况下采购人按月进行结算，采购资金由采购人财务账户转入中标供应商账户。每月25日前，中标供应商向采购人开具上一月度供货相应数额的发票（农副产品免税的除外），采购人收到发票后30个工作日内支付。特殊情况，需临时改变结算方式，双方可通过协商解决。</w:t>
      </w:r>
    </w:p>
    <w:p w14:paraId="3FC906B8">
      <w:pPr>
        <w:keepNext w:val="0"/>
        <w:keepLines w:val="0"/>
        <w:pageBreakBefore w:val="0"/>
        <w:widowControl w:val="0"/>
        <w:kinsoku/>
        <w:wordWrap/>
        <w:overflowPunct/>
        <w:topLinePunct w:val="0"/>
        <w:autoSpaceDE/>
        <w:autoSpaceDN/>
        <w:bidi w:val="0"/>
        <w:adjustRightInd/>
        <w:spacing w:line="360" w:lineRule="auto"/>
        <w:ind w:firstLine="600"/>
        <w:textAlignment w:val="auto"/>
        <w:rPr>
          <w:rFonts w:ascii="宋体" w:hAnsi="宋体"/>
          <w:color w:val="auto"/>
          <w:sz w:val="24"/>
          <w:szCs w:val="24"/>
          <w:highlight w:val="none"/>
        </w:rPr>
      </w:pPr>
      <w:r>
        <w:rPr>
          <w:rFonts w:hint="eastAsia" w:ascii="宋体" w:hAnsi="宋体"/>
          <w:color w:val="auto"/>
          <w:sz w:val="24"/>
          <w:szCs w:val="24"/>
          <w:highlight w:val="none"/>
        </w:rPr>
        <w:t>八、如遇市场价格变动或特殊情况，一方提出要求变更合同内容，应提前10天作出书面报告通知</w:t>
      </w:r>
      <w:r>
        <w:rPr>
          <w:rFonts w:hint="eastAsia" w:ascii="宋体" w:hAnsi="宋体" w:eastAsia="宋体" w:cs="宋体"/>
          <w:b w:val="0"/>
          <w:bCs w:val="0"/>
          <w:color w:val="auto"/>
          <w:sz w:val="24"/>
          <w:szCs w:val="24"/>
          <w:highlight w:val="none"/>
        </w:rPr>
        <w:t>乙方</w:t>
      </w:r>
      <w:r>
        <w:rPr>
          <w:rFonts w:hint="eastAsia" w:ascii="宋体" w:hAnsi="宋体"/>
          <w:color w:val="auto"/>
          <w:sz w:val="24"/>
          <w:szCs w:val="24"/>
          <w:highlight w:val="none"/>
        </w:rPr>
        <w:t>，由甲</w:t>
      </w:r>
      <w:r>
        <w:rPr>
          <w:rFonts w:hint="eastAsia" w:ascii="宋体" w:hAnsi="宋体" w:eastAsia="宋体" w:cs="宋体"/>
          <w:b w:val="0"/>
          <w:bCs w:val="0"/>
          <w:color w:val="auto"/>
          <w:sz w:val="24"/>
          <w:szCs w:val="24"/>
          <w:highlight w:val="none"/>
        </w:rPr>
        <w:t>方</w:t>
      </w:r>
      <w:r>
        <w:rPr>
          <w:rFonts w:hint="eastAsia" w:ascii="宋体" w:hAnsi="宋体"/>
          <w:color w:val="auto"/>
          <w:sz w:val="24"/>
          <w:szCs w:val="24"/>
          <w:highlight w:val="none"/>
        </w:rPr>
        <w:t>在5天内组织共同商议，经</w:t>
      </w:r>
      <w:r>
        <w:rPr>
          <w:rFonts w:hint="eastAsia" w:ascii="宋体" w:hAnsi="宋体"/>
          <w:color w:val="auto"/>
          <w:sz w:val="24"/>
          <w:szCs w:val="24"/>
          <w:highlight w:val="none"/>
          <w:lang w:eastAsia="zh-CN"/>
        </w:rPr>
        <w:t>双方</w:t>
      </w:r>
      <w:r>
        <w:rPr>
          <w:rFonts w:hint="eastAsia" w:ascii="宋体" w:hAnsi="宋体"/>
          <w:color w:val="auto"/>
          <w:sz w:val="24"/>
          <w:szCs w:val="24"/>
          <w:highlight w:val="none"/>
        </w:rPr>
        <w:t>协商一致后方能修改，如若</w:t>
      </w:r>
      <w:r>
        <w:rPr>
          <w:rFonts w:hint="eastAsia" w:ascii="宋体" w:hAnsi="宋体"/>
          <w:color w:val="auto"/>
          <w:sz w:val="24"/>
          <w:szCs w:val="24"/>
          <w:highlight w:val="none"/>
          <w:lang w:eastAsia="zh-CN"/>
        </w:rPr>
        <w:t>双方</w:t>
      </w:r>
      <w:r>
        <w:rPr>
          <w:rFonts w:hint="eastAsia" w:ascii="宋体" w:hAnsi="宋体"/>
          <w:color w:val="auto"/>
          <w:sz w:val="24"/>
          <w:szCs w:val="24"/>
          <w:highlight w:val="none"/>
        </w:rPr>
        <w:t>不达成修改协议的，甲</w:t>
      </w:r>
      <w:r>
        <w:rPr>
          <w:rFonts w:hint="eastAsia" w:ascii="宋体" w:hAnsi="宋体" w:eastAsia="宋体" w:cs="宋体"/>
          <w:b w:val="0"/>
          <w:bCs w:val="0"/>
          <w:color w:val="auto"/>
          <w:sz w:val="24"/>
          <w:szCs w:val="24"/>
          <w:highlight w:val="none"/>
        </w:rPr>
        <w:t>方</w:t>
      </w:r>
      <w:r>
        <w:rPr>
          <w:rFonts w:hint="eastAsia" w:ascii="宋体" w:hAnsi="宋体"/>
          <w:color w:val="auto"/>
          <w:sz w:val="24"/>
          <w:szCs w:val="24"/>
          <w:highlight w:val="none"/>
        </w:rPr>
        <w:t>有权重新确定供应商。</w:t>
      </w:r>
    </w:p>
    <w:p w14:paraId="1AABF060">
      <w:pPr>
        <w:keepNext w:val="0"/>
        <w:keepLines w:val="0"/>
        <w:pageBreakBefore w:val="0"/>
        <w:widowControl w:val="0"/>
        <w:kinsoku/>
        <w:wordWrap/>
        <w:overflowPunct/>
        <w:topLinePunct w:val="0"/>
        <w:autoSpaceDE/>
        <w:autoSpaceDN/>
        <w:bidi w:val="0"/>
        <w:adjustRightInd/>
        <w:spacing w:line="360" w:lineRule="auto"/>
        <w:ind w:firstLine="600"/>
        <w:textAlignment w:val="auto"/>
        <w:rPr>
          <w:rFonts w:ascii="宋体" w:hAnsi="宋体"/>
          <w:color w:val="auto"/>
          <w:sz w:val="24"/>
          <w:szCs w:val="24"/>
          <w:highlight w:val="none"/>
        </w:rPr>
      </w:pPr>
      <w:r>
        <w:rPr>
          <w:rFonts w:hint="eastAsia" w:ascii="宋体" w:hAnsi="宋体"/>
          <w:color w:val="auto"/>
          <w:sz w:val="24"/>
          <w:szCs w:val="24"/>
          <w:highlight w:val="none"/>
        </w:rPr>
        <w:t>九、违约责任：</w:t>
      </w:r>
    </w:p>
    <w:p w14:paraId="2D903AB1">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color w:val="auto"/>
          <w:sz w:val="24"/>
          <w:szCs w:val="24"/>
          <w:highlight w:val="none"/>
        </w:rPr>
      </w:pPr>
      <w:r>
        <w:rPr>
          <w:rFonts w:hint="eastAsia" w:ascii="宋体" w:hAnsi="宋体"/>
          <w:color w:val="auto"/>
          <w:sz w:val="24"/>
          <w:szCs w:val="24"/>
          <w:highlight w:val="none"/>
        </w:rPr>
        <w:t xml:space="preserve">    乙方存在下列情况的，所引起的经济和法律责任由乙方承担，本合同自然终止：</w:t>
      </w:r>
    </w:p>
    <w:p w14:paraId="3FFBDD3A">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color w:val="auto"/>
          <w:sz w:val="24"/>
          <w:szCs w:val="24"/>
          <w:highlight w:val="none"/>
        </w:rPr>
      </w:pPr>
      <w:r>
        <w:rPr>
          <w:rFonts w:hint="eastAsia" w:ascii="宋体" w:hAnsi="宋体"/>
          <w:color w:val="auto"/>
          <w:sz w:val="24"/>
          <w:szCs w:val="24"/>
          <w:highlight w:val="none"/>
        </w:rPr>
        <w:t xml:space="preserve">    1、甲方师生因食用乙方提供的各类副食品而中毒的；</w:t>
      </w:r>
    </w:p>
    <w:p w14:paraId="604A7D3C">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color w:val="auto"/>
          <w:sz w:val="24"/>
          <w:szCs w:val="24"/>
          <w:highlight w:val="none"/>
        </w:rPr>
      </w:pPr>
      <w:r>
        <w:rPr>
          <w:rFonts w:hint="eastAsia" w:ascii="宋体" w:hAnsi="宋体"/>
          <w:color w:val="auto"/>
          <w:sz w:val="24"/>
          <w:szCs w:val="24"/>
          <w:highlight w:val="none"/>
        </w:rPr>
        <w:t xml:space="preserve">    2、不按要求或拒不交货的；</w:t>
      </w:r>
    </w:p>
    <w:p w14:paraId="7126868F">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color w:val="auto"/>
          <w:sz w:val="24"/>
          <w:szCs w:val="24"/>
          <w:highlight w:val="none"/>
        </w:rPr>
      </w:pPr>
      <w:r>
        <w:rPr>
          <w:rFonts w:hint="eastAsia" w:ascii="宋体" w:hAnsi="宋体"/>
          <w:color w:val="auto"/>
          <w:sz w:val="24"/>
          <w:szCs w:val="24"/>
          <w:highlight w:val="none"/>
        </w:rPr>
        <w:t xml:space="preserve">    3、供应的</w:t>
      </w:r>
      <w:r>
        <w:rPr>
          <w:rFonts w:hint="eastAsia" w:ascii="宋体" w:hAnsi="宋体"/>
          <w:color w:val="auto"/>
          <w:sz w:val="24"/>
          <w:szCs w:val="24"/>
          <w:highlight w:val="none"/>
          <w:lang w:val="en-US" w:eastAsia="zh-CN"/>
        </w:rPr>
        <w:t>学习用品、日用品</w:t>
      </w:r>
      <w:r>
        <w:rPr>
          <w:rFonts w:hint="eastAsia" w:ascii="宋体" w:hAnsi="宋体"/>
          <w:color w:val="auto"/>
          <w:sz w:val="24"/>
          <w:szCs w:val="24"/>
          <w:highlight w:val="none"/>
        </w:rPr>
        <w:t>经有关部门证实是无生产厂家、无生产日期、无生产许可证号的“三无”产品及过期变质产品的；</w:t>
      </w:r>
    </w:p>
    <w:p w14:paraId="4D79A4F4">
      <w:pPr>
        <w:keepNext w:val="0"/>
        <w:keepLines w:val="0"/>
        <w:pageBreakBefore w:val="0"/>
        <w:widowControl w:val="0"/>
        <w:kinsoku/>
        <w:wordWrap/>
        <w:overflowPunct/>
        <w:topLinePunct w:val="0"/>
        <w:autoSpaceDE/>
        <w:autoSpaceDN/>
        <w:bidi w:val="0"/>
        <w:adjustRightInd/>
        <w:spacing w:line="360" w:lineRule="auto"/>
        <w:ind w:firstLine="600"/>
        <w:textAlignment w:val="auto"/>
        <w:rPr>
          <w:rFonts w:ascii="宋体" w:hAnsi="宋体"/>
          <w:color w:val="auto"/>
          <w:sz w:val="24"/>
          <w:szCs w:val="24"/>
          <w:highlight w:val="none"/>
        </w:rPr>
      </w:pPr>
      <w:r>
        <w:rPr>
          <w:rFonts w:hint="eastAsia" w:ascii="宋体" w:hAnsi="宋体"/>
          <w:color w:val="auto"/>
          <w:sz w:val="24"/>
          <w:szCs w:val="24"/>
          <w:highlight w:val="none"/>
        </w:rPr>
        <w:t>4、因违法经营被市场监管、税务、卫健委等部门处罚的；</w:t>
      </w:r>
    </w:p>
    <w:p w14:paraId="56F01CF6">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5、因政策变动或其他人力不可抗拒原因导致合同无法履行的，任何一方不负违约责任。</w:t>
      </w:r>
    </w:p>
    <w:p w14:paraId="2CF58BB9">
      <w:pPr>
        <w:spacing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 xml:space="preserve">  十、合同有效期：</w:t>
      </w:r>
      <w:r>
        <w:rPr>
          <w:rFonts w:hint="eastAsia" w:hAnsi="宋体" w:eastAsia="宋体"/>
          <w:color w:val="auto"/>
          <w:sz w:val="24"/>
          <w:szCs w:val="24"/>
          <w:highlight w:val="none"/>
        </w:rPr>
        <w:t>从</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年</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月</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日至</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年</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月</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日</w:t>
      </w:r>
      <w:r>
        <w:rPr>
          <w:rFonts w:hint="eastAsia" w:ascii="宋体" w:hAnsi="宋体"/>
          <w:color w:val="auto"/>
          <w:sz w:val="24"/>
          <w:szCs w:val="24"/>
          <w:highlight w:val="none"/>
        </w:rPr>
        <w:t>。</w:t>
      </w:r>
    </w:p>
    <w:p w14:paraId="2650CCC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十一、</w:t>
      </w:r>
      <w:r>
        <w:rPr>
          <w:rFonts w:hint="eastAsia" w:ascii="宋体" w:hAnsi="宋体"/>
          <w:color w:val="auto"/>
          <w:sz w:val="24"/>
          <w:szCs w:val="24"/>
          <w:highlight w:val="none"/>
          <w:lang w:eastAsia="zh-CN"/>
        </w:rPr>
        <w:t>本协议一式五份，甲、乙双方各执壹份，贵港市财政局、贵港市教育局、采购代理机构执各执壹份，双方</w:t>
      </w:r>
      <w:r>
        <w:rPr>
          <w:rFonts w:hint="eastAsia" w:ascii="宋体" w:hAnsi="宋体"/>
          <w:color w:val="auto"/>
          <w:sz w:val="24"/>
          <w:szCs w:val="24"/>
          <w:highlight w:val="none"/>
        </w:rPr>
        <w:t>签字或盖章后生效，且具同等法律效力。</w:t>
      </w:r>
    </w:p>
    <w:p w14:paraId="1168E8A2">
      <w:pPr>
        <w:spacing w:line="360" w:lineRule="auto"/>
        <w:ind w:firstLine="600"/>
        <w:rPr>
          <w:color w:val="auto"/>
          <w:sz w:val="24"/>
          <w:szCs w:val="24"/>
          <w:highlight w:val="none"/>
        </w:rPr>
      </w:pPr>
      <w:r>
        <w:rPr>
          <w:rFonts w:hint="eastAsia"/>
          <w:color w:val="auto"/>
          <w:sz w:val="24"/>
          <w:szCs w:val="24"/>
          <w:highlight w:val="none"/>
        </w:rPr>
        <w:t>十二、以上条款最终解释权为</w:t>
      </w:r>
      <w:r>
        <w:rPr>
          <w:rFonts w:hint="eastAsia"/>
          <w:color w:val="auto"/>
          <w:sz w:val="24"/>
          <w:szCs w:val="24"/>
          <w:highlight w:val="none"/>
          <w:lang w:eastAsia="zh-CN"/>
        </w:rPr>
        <w:t>贵港市江南中学</w:t>
      </w:r>
      <w:r>
        <w:rPr>
          <w:rFonts w:hint="eastAsia"/>
          <w:color w:val="auto"/>
          <w:sz w:val="24"/>
          <w:szCs w:val="24"/>
          <w:highlight w:val="none"/>
        </w:rPr>
        <w:t>。</w:t>
      </w:r>
    </w:p>
    <w:p w14:paraId="04E4079B">
      <w:pPr>
        <w:spacing w:line="360" w:lineRule="auto"/>
        <w:ind w:firstLine="600"/>
        <w:rPr>
          <w:rFonts w:hint="eastAsia" w:ascii="宋体" w:hAnsi="宋体"/>
          <w:color w:val="auto"/>
          <w:sz w:val="24"/>
          <w:szCs w:val="24"/>
          <w:highlight w:val="none"/>
        </w:rPr>
      </w:pPr>
    </w:p>
    <w:p w14:paraId="4A428285">
      <w:pPr>
        <w:spacing w:line="360" w:lineRule="auto"/>
        <w:ind w:firstLine="600"/>
        <w:rPr>
          <w:rFonts w:hint="eastAsia" w:ascii="宋体" w:hAnsi="宋体"/>
          <w:color w:val="auto"/>
          <w:sz w:val="24"/>
          <w:szCs w:val="24"/>
          <w:highlight w:val="none"/>
        </w:rPr>
      </w:pPr>
      <w:r>
        <w:rPr>
          <w:rFonts w:hint="eastAsia" w:ascii="宋体" w:hAnsi="宋体"/>
          <w:color w:val="auto"/>
          <w:sz w:val="24"/>
          <w:szCs w:val="24"/>
          <w:highlight w:val="none"/>
        </w:rPr>
        <w:t>甲方</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公章</w:t>
      </w:r>
      <w:r>
        <w:rPr>
          <w:rFonts w:hint="eastAsia" w:ascii="宋体" w:hAnsi="宋体"/>
          <w:color w:val="auto"/>
          <w:sz w:val="24"/>
          <w:szCs w:val="24"/>
          <w:highlight w:val="none"/>
          <w:lang w:eastAsia="zh-CN"/>
        </w:rPr>
        <w:t>）</w:t>
      </w:r>
      <w:r>
        <w:rPr>
          <w:rFonts w:hint="eastAsia" w:ascii="宋体" w:hAnsi="宋体"/>
          <w:color w:val="auto"/>
          <w:sz w:val="24"/>
          <w:szCs w:val="24"/>
          <w:highlight w:val="none"/>
        </w:rPr>
        <w:t xml:space="preserve">：                   </w:t>
      </w:r>
    </w:p>
    <w:p w14:paraId="555BC317">
      <w:pPr>
        <w:spacing w:line="360" w:lineRule="auto"/>
        <w:ind w:firstLine="600"/>
        <w:rPr>
          <w:rFonts w:ascii="宋体" w:hAnsi="宋体"/>
          <w:color w:val="auto"/>
          <w:sz w:val="24"/>
          <w:szCs w:val="24"/>
          <w:highlight w:val="none"/>
        </w:rPr>
      </w:pPr>
      <w:r>
        <w:rPr>
          <w:rFonts w:hint="eastAsia" w:ascii="宋体" w:hAnsi="宋体"/>
          <w:color w:val="auto"/>
          <w:sz w:val="24"/>
          <w:szCs w:val="24"/>
          <w:highlight w:val="none"/>
        </w:rPr>
        <w:t xml:space="preserve">代表签字：               </w:t>
      </w:r>
    </w:p>
    <w:p w14:paraId="78535608">
      <w:pPr>
        <w:spacing w:line="360" w:lineRule="auto"/>
        <w:ind w:firstLine="480" w:firstLineChars="200"/>
        <w:rPr>
          <w:rFonts w:hint="eastAsia" w:ascii="宋体" w:hAnsi="宋体"/>
          <w:color w:val="auto"/>
          <w:sz w:val="24"/>
          <w:szCs w:val="24"/>
          <w:highlight w:val="none"/>
        </w:rPr>
      </w:pPr>
    </w:p>
    <w:p w14:paraId="55E03D4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乙方</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公章</w:t>
      </w:r>
      <w:r>
        <w:rPr>
          <w:rFonts w:hint="eastAsia" w:ascii="宋体" w:hAnsi="宋体"/>
          <w:color w:val="auto"/>
          <w:sz w:val="24"/>
          <w:szCs w:val="24"/>
          <w:highlight w:val="none"/>
          <w:lang w:eastAsia="zh-CN"/>
        </w:rPr>
        <w:t>）</w:t>
      </w:r>
      <w:r>
        <w:rPr>
          <w:rFonts w:hint="eastAsia" w:ascii="宋体" w:hAnsi="宋体"/>
          <w:color w:val="auto"/>
          <w:sz w:val="24"/>
          <w:szCs w:val="24"/>
          <w:highlight w:val="none"/>
        </w:rPr>
        <w:t>：</w:t>
      </w:r>
    </w:p>
    <w:p w14:paraId="2BC9CE03">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代表签字：</w:t>
      </w:r>
    </w:p>
    <w:p w14:paraId="7D8A161E">
      <w:pPr>
        <w:spacing w:line="360" w:lineRule="auto"/>
        <w:ind w:firstLine="5160" w:firstLineChars="2150"/>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日</w:t>
      </w:r>
    </w:p>
    <w:p w14:paraId="68DCFEBA">
      <w:pPr>
        <w:rPr>
          <w:rFonts w:hint="eastAsia" w:ascii="宋体" w:hAnsi="宋体"/>
          <w:color w:val="auto"/>
          <w:sz w:val="24"/>
          <w:szCs w:val="24"/>
          <w:highlight w:val="none"/>
        </w:rPr>
      </w:pPr>
      <w:r>
        <w:rPr>
          <w:rFonts w:hint="eastAsia" w:ascii="宋体" w:hAnsi="宋体"/>
          <w:color w:val="auto"/>
          <w:sz w:val="24"/>
          <w:szCs w:val="24"/>
          <w:highlight w:val="none"/>
        </w:rPr>
        <w:br w:type="page"/>
      </w:r>
    </w:p>
    <w:p w14:paraId="5BC54BD2">
      <w:pPr>
        <w:spacing w:line="450" w:lineRule="exact"/>
        <w:jc w:val="center"/>
        <w:outlineLvl w:val="1"/>
        <w:rPr>
          <w:rFonts w:hint="eastAsia" w:ascii="宋体" w:hAnsi="宋体"/>
          <w:b/>
          <w:bCs/>
          <w:color w:val="auto"/>
          <w:sz w:val="36"/>
          <w:szCs w:val="36"/>
          <w:highlight w:val="none"/>
        </w:rPr>
      </w:pPr>
      <w:bookmarkStart w:id="342" w:name="_Toc16111"/>
      <w:r>
        <w:rPr>
          <w:rFonts w:hint="eastAsia" w:ascii="宋体" w:hAnsi="宋体"/>
          <w:b/>
          <w:bCs/>
          <w:color w:val="auto"/>
          <w:sz w:val="36"/>
          <w:szCs w:val="36"/>
          <w:highlight w:val="none"/>
          <w:lang w:val="en-US" w:eastAsia="zh-CN"/>
        </w:rPr>
        <w:t>分标3：矿泉水、饮料、牛奶</w:t>
      </w:r>
      <w:r>
        <w:rPr>
          <w:rFonts w:hint="eastAsia" w:ascii="宋体" w:hAnsi="宋体"/>
          <w:b/>
          <w:bCs/>
          <w:color w:val="auto"/>
          <w:sz w:val="36"/>
          <w:szCs w:val="36"/>
          <w:highlight w:val="none"/>
        </w:rPr>
        <w:t>销售合同</w:t>
      </w:r>
      <w:bookmarkEnd w:id="342"/>
    </w:p>
    <w:p w14:paraId="59EB4C8A">
      <w:pPr>
        <w:spacing w:line="360" w:lineRule="auto"/>
        <w:rPr>
          <w:rFonts w:hint="eastAsia" w:ascii="Times New Roman" w:hAnsi="Times New Roman" w:cs="Times New Roman"/>
          <w:color w:val="auto"/>
          <w:sz w:val="24"/>
          <w:szCs w:val="24"/>
          <w:highlight w:val="none"/>
        </w:rPr>
      </w:pPr>
    </w:p>
    <w:p w14:paraId="5F1026D8">
      <w:pPr>
        <w:spacing w:line="360" w:lineRule="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甲方</w:t>
      </w:r>
      <w:r>
        <w:rPr>
          <w:rFonts w:hint="eastAsia" w:ascii="Times New Roman" w:hAnsi="Times New Roman" w:cs="Times New Roman"/>
          <w:color w:val="auto"/>
          <w:sz w:val="24"/>
          <w:szCs w:val="24"/>
          <w:highlight w:val="none"/>
          <w:lang w:val="en-US" w:eastAsia="zh-CN"/>
        </w:rPr>
        <w:t>：</w:t>
      </w:r>
      <w:r>
        <w:rPr>
          <w:rFonts w:hint="eastAsia" w:ascii="Times New Roman" w:hAnsi="Times New Roman" w:cs="Times New Roman"/>
          <w:color w:val="auto"/>
          <w:sz w:val="24"/>
          <w:szCs w:val="24"/>
          <w:highlight w:val="none"/>
        </w:rPr>
        <w:t xml:space="preserve">                       </w:t>
      </w:r>
    </w:p>
    <w:p w14:paraId="3EBD0702">
      <w:pPr>
        <w:spacing w:line="360" w:lineRule="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乙方</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 xml:space="preserve">                        </w:t>
      </w:r>
    </w:p>
    <w:p w14:paraId="3A077CCE">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经公开招标，确认乙方为</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矿泉水、饮料、牛奶</w:t>
      </w:r>
      <w:r>
        <w:rPr>
          <w:rFonts w:hint="eastAsia" w:ascii="宋体" w:hAnsi="宋体"/>
          <w:color w:val="auto"/>
          <w:sz w:val="24"/>
          <w:szCs w:val="24"/>
          <w:highlight w:val="none"/>
          <w:lang w:eastAsia="zh-CN"/>
        </w:rPr>
        <w:t>）</w:t>
      </w:r>
      <w:r>
        <w:rPr>
          <w:rFonts w:hint="eastAsia" w:ascii="宋体" w:hAnsi="宋体"/>
          <w:color w:val="auto"/>
          <w:sz w:val="24"/>
          <w:szCs w:val="24"/>
          <w:highlight w:val="none"/>
        </w:rPr>
        <w:t>供应商，为进一步明确</w:t>
      </w:r>
      <w:r>
        <w:rPr>
          <w:rFonts w:hint="eastAsia" w:ascii="宋体" w:hAnsi="宋体"/>
          <w:color w:val="auto"/>
          <w:sz w:val="24"/>
          <w:szCs w:val="24"/>
          <w:highlight w:val="none"/>
          <w:lang w:eastAsia="zh-CN"/>
        </w:rPr>
        <w:t>双</w:t>
      </w:r>
      <w:r>
        <w:rPr>
          <w:rFonts w:hint="eastAsia" w:ascii="宋体" w:hAnsi="宋体"/>
          <w:color w:val="auto"/>
          <w:sz w:val="24"/>
          <w:szCs w:val="24"/>
          <w:highlight w:val="none"/>
        </w:rPr>
        <w:t>方的权利和责任，经甲、乙</w:t>
      </w:r>
      <w:r>
        <w:rPr>
          <w:rFonts w:hint="eastAsia" w:ascii="宋体" w:hAnsi="宋体"/>
          <w:color w:val="auto"/>
          <w:sz w:val="24"/>
          <w:szCs w:val="24"/>
          <w:highlight w:val="none"/>
          <w:lang w:eastAsia="zh-CN"/>
        </w:rPr>
        <w:t>双方</w:t>
      </w:r>
      <w:r>
        <w:rPr>
          <w:rFonts w:hint="eastAsia" w:ascii="宋体" w:hAnsi="宋体"/>
          <w:color w:val="auto"/>
          <w:sz w:val="24"/>
          <w:szCs w:val="24"/>
          <w:highlight w:val="none"/>
        </w:rPr>
        <w:t>共同协商，特订立此购销合同，以便</w:t>
      </w:r>
      <w:r>
        <w:rPr>
          <w:rFonts w:hint="eastAsia" w:ascii="宋体" w:hAnsi="宋体"/>
          <w:color w:val="auto"/>
          <w:sz w:val="24"/>
          <w:szCs w:val="24"/>
          <w:highlight w:val="none"/>
          <w:lang w:eastAsia="zh-CN"/>
        </w:rPr>
        <w:t>双方</w:t>
      </w:r>
      <w:r>
        <w:rPr>
          <w:rFonts w:hint="eastAsia" w:ascii="宋体" w:hAnsi="宋体"/>
          <w:color w:val="auto"/>
          <w:sz w:val="24"/>
          <w:szCs w:val="24"/>
          <w:highlight w:val="none"/>
        </w:rPr>
        <w:t>共同遵守：</w:t>
      </w:r>
    </w:p>
    <w:p w14:paraId="0C414D47">
      <w:pPr>
        <w:spacing w:line="360" w:lineRule="auto"/>
        <w:ind w:firstLine="570"/>
        <w:rPr>
          <w:rFonts w:ascii="宋体" w:hAnsi="宋体"/>
          <w:color w:val="auto"/>
          <w:sz w:val="24"/>
          <w:szCs w:val="24"/>
          <w:highlight w:val="none"/>
        </w:rPr>
      </w:pPr>
      <w:r>
        <w:rPr>
          <w:rFonts w:hint="eastAsia" w:ascii="宋体" w:hAnsi="宋体"/>
          <w:color w:val="auto"/>
          <w:sz w:val="24"/>
          <w:szCs w:val="24"/>
          <w:highlight w:val="none"/>
        </w:rPr>
        <w:t>一、乙方同意</w:t>
      </w:r>
      <w:r>
        <w:rPr>
          <w:rFonts w:hint="eastAsia" w:ascii="宋体" w:hAnsi="宋体"/>
          <w:color w:val="auto"/>
          <w:sz w:val="24"/>
          <w:szCs w:val="24"/>
          <w:highlight w:val="none"/>
          <w:lang w:eastAsia="zh-CN"/>
        </w:rPr>
        <w:t>合同折扣率</w:t>
      </w:r>
      <w:r>
        <w:rPr>
          <w:rFonts w:hint="eastAsia" w:ascii="宋体" w:hAnsi="宋体"/>
          <w:color w:val="auto"/>
          <w:sz w:val="24"/>
          <w:szCs w:val="24"/>
          <w:highlight w:val="none"/>
        </w:rPr>
        <w:t>为</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w:t>
      </w:r>
    </w:p>
    <w:p w14:paraId="013434EA">
      <w:pPr>
        <w:spacing w:line="360" w:lineRule="auto"/>
        <w:ind w:firstLine="570"/>
        <w:rPr>
          <w:rFonts w:ascii="宋体" w:hAnsi="宋体"/>
          <w:color w:val="auto"/>
          <w:sz w:val="24"/>
          <w:szCs w:val="24"/>
          <w:highlight w:val="none"/>
        </w:rPr>
      </w:pPr>
      <w:r>
        <w:rPr>
          <w:rFonts w:hint="eastAsia" w:ascii="宋体" w:hAnsi="宋体"/>
          <w:color w:val="auto"/>
          <w:sz w:val="24"/>
          <w:szCs w:val="24"/>
          <w:highlight w:val="none"/>
        </w:rPr>
        <w:t>二、甲方</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矿泉水、饮料、牛奶</w:t>
      </w:r>
      <w:r>
        <w:rPr>
          <w:rFonts w:hint="eastAsia" w:ascii="宋体" w:hAnsi="宋体"/>
          <w:color w:val="auto"/>
          <w:sz w:val="24"/>
          <w:szCs w:val="24"/>
          <w:highlight w:val="none"/>
          <w:lang w:eastAsia="zh-CN"/>
        </w:rPr>
        <w:t>）</w:t>
      </w:r>
      <w:r>
        <w:rPr>
          <w:rFonts w:hint="eastAsia" w:ascii="宋体" w:hAnsi="宋体"/>
          <w:color w:val="auto"/>
          <w:sz w:val="24"/>
          <w:szCs w:val="24"/>
          <w:highlight w:val="none"/>
        </w:rPr>
        <w:t>由乙方提供,</w:t>
      </w:r>
      <w:r>
        <w:rPr>
          <w:rFonts w:hint="eastAsia" w:ascii="宋体" w:hAnsi="宋体"/>
          <w:color w:val="auto"/>
          <w:kern w:val="0"/>
          <w:sz w:val="24"/>
          <w:szCs w:val="24"/>
          <w:highlight w:val="none"/>
        </w:rPr>
        <w:t>价格随行就市</w:t>
      </w:r>
      <w:r>
        <w:rPr>
          <w:rFonts w:hint="eastAsia" w:ascii="宋体" w:hAnsi="宋体"/>
          <w:color w:val="auto"/>
          <w:sz w:val="24"/>
          <w:szCs w:val="24"/>
          <w:highlight w:val="none"/>
        </w:rPr>
        <w:t>。</w:t>
      </w:r>
    </w:p>
    <w:p w14:paraId="2E94803A">
      <w:pPr>
        <w:spacing w:line="360" w:lineRule="auto"/>
        <w:ind w:firstLine="600"/>
        <w:rPr>
          <w:rFonts w:hint="eastAsia" w:ascii="宋体" w:hAnsi="宋体"/>
          <w:color w:val="auto"/>
          <w:sz w:val="24"/>
          <w:szCs w:val="24"/>
          <w:highlight w:val="none"/>
          <w:lang w:val="en-US" w:eastAsia="zh-CN"/>
        </w:rPr>
      </w:pPr>
      <w:r>
        <w:rPr>
          <w:rFonts w:hint="eastAsia" w:ascii="宋体" w:hAnsi="宋体"/>
          <w:color w:val="auto"/>
          <w:sz w:val="24"/>
          <w:szCs w:val="24"/>
          <w:highlight w:val="none"/>
        </w:rPr>
        <w:t>三、</w:t>
      </w:r>
      <w:r>
        <w:rPr>
          <w:rFonts w:hint="eastAsia" w:ascii="宋体" w:hAnsi="宋体"/>
          <w:color w:val="auto"/>
          <w:sz w:val="24"/>
          <w:szCs w:val="24"/>
          <w:highlight w:val="none"/>
          <w:lang w:val="en-US" w:eastAsia="zh-CN"/>
        </w:rPr>
        <w:t>货物参考单价：</w:t>
      </w:r>
    </w:p>
    <w:p w14:paraId="32441751">
      <w:pPr>
        <w:spacing w:line="360" w:lineRule="auto"/>
        <w:ind w:firstLine="57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根据政策要求，由上级领导部门每隔一段时间（每周或每月）召集采购人与供应商开会协商供货价格（三方议价），签订供货价格协议。中标人须按签好的价格协议供应商品。如政策变化，上级领导部门不再组织三方议价，则由采购人与中标人双方共同协商供货价格，签订供货价格协议。投标折扣率将作为食材或货物实际结算的合同折扣率，结算时以学校实际采购量进行结算。</w:t>
      </w:r>
    </w:p>
    <w:p w14:paraId="7CEEF92F">
      <w:pPr>
        <w:spacing w:line="360" w:lineRule="auto"/>
        <w:ind w:firstLine="57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采购人根据各分标食材或货物的市场价格情况，每个月在贵港市易农国际农产品交易中心、三合市场、江南市场及兴港副食城四地经过调查得出各食材或货物的市场批发均价，一般取双方在上述市场询价结果的平均值。当期某食材或货物结算价=市场批发均价×合同折扣率×该食材或货物实际采购量。</w:t>
      </w:r>
    </w:p>
    <w:p w14:paraId="2FA82A93">
      <w:pPr>
        <w:spacing w:line="360" w:lineRule="auto"/>
        <w:ind w:firstLine="57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3.本合同能自主采购的商品种类及数量，由学校的实际需要决定，同时受上级的有关政策影响，因此招标文件的预估数量仅供参考，不能作为学校承诺的最低采购数量看待。</w:t>
      </w:r>
    </w:p>
    <w:p w14:paraId="4AAC90CA">
      <w:pPr>
        <w:spacing w:line="360" w:lineRule="auto"/>
        <w:ind w:firstLine="570"/>
        <w:rPr>
          <w:rFonts w:ascii="宋体" w:hAnsi="宋体"/>
          <w:color w:val="auto"/>
          <w:sz w:val="24"/>
          <w:szCs w:val="24"/>
          <w:highlight w:val="none"/>
        </w:rPr>
      </w:pPr>
      <w:r>
        <w:rPr>
          <w:rFonts w:hint="eastAsia" w:ascii="宋体" w:hAnsi="宋体"/>
          <w:color w:val="auto"/>
          <w:sz w:val="24"/>
          <w:szCs w:val="24"/>
          <w:highlight w:val="none"/>
        </w:rPr>
        <w:t>四、1、乙方供应的</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矿泉水、饮料、牛奶</w:t>
      </w:r>
      <w:r>
        <w:rPr>
          <w:rFonts w:hint="eastAsia" w:ascii="宋体" w:hAnsi="宋体"/>
          <w:color w:val="auto"/>
          <w:sz w:val="24"/>
          <w:szCs w:val="24"/>
          <w:highlight w:val="none"/>
          <w:lang w:eastAsia="zh-CN"/>
        </w:rPr>
        <w:t>）</w:t>
      </w:r>
      <w:r>
        <w:rPr>
          <w:rFonts w:hint="eastAsia" w:ascii="宋体" w:hAnsi="宋体"/>
          <w:color w:val="auto"/>
          <w:sz w:val="24"/>
          <w:szCs w:val="24"/>
          <w:highlight w:val="none"/>
        </w:rPr>
        <w:t>必须是品牌知名度较高，市场有销售的产品，有明显的标签，有生产日期和生产许可证，严禁将小作坊生产的产品、过期变质的、冒牌的或无厂家、无生产日期、无生产许可证号的“三无”产品供应给甲方。</w:t>
      </w:r>
    </w:p>
    <w:p w14:paraId="0F6D2A87">
      <w:pPr>
        <w:pStyle w:val="17"/>
        <w:snapToGrid w:val="0"/>
        <w:spacing w:line="360" w:lineRule="auto"/>
        <w:ind w:left="2" w:leftChars="1" w:firstLine="480" w:firstLineChars="200"/>
        <w:rPr>
          <w:rFonts w:hAnsi="宋体" w:eastAsia="宋体"/>
          <w:color w:val="auto"/>
          <w:sz w:val="24"/>
          <w:szCs w:val="24"/>
          <w:highlight w:val="none"/>
        </w:rPr>
      </w:pPr>
      <w:r>
        <w:rPr>
          <w:rFonts w:hint="eastAsia" w:hAnsi="宋体" w:eastAsia="宋体"/>
          <w:color w:val="auto"/>
          <w:sz w:val="24"/>
          <w:szCs w:val="24"/>
          <w:highlight w:val="none"/>
        </w:rPr>
        <w:t>2、乙方在签订合同后一个月内必须到相关的保险公司进行投保，投保险种为食品安全责任保险，否则采购单位有权终止合同。</w:t>
      </w:r>
    </w:p>
    <w:p w14:paraId="4BA316AA">
      <w:pPr>
        <w:pStyle w:val="17"/>
        <w:snapToGrid w:val="0"/>
        <w:spacing w:line="360" w:lineRule="auto"/>
        <w:ind w:left="2" w:leftChars="1" w:firstLine="480" w:firstLineChars="200"/>
        <w:rPr>
          <w:rFonts w:hAnsi="宋体" w:eastAsia="宋体"/>
          <w:color w:val="auto"/>
          <w:sz w:val="24"/>
          <w:szCs w:val="24"/>
          <w:highlight w:val="none"/>
        </w:rPr>
      </w:pPr>
      <w:r>
        <w:rPr>
          <w:rFonts w:hint="eastAsia" w:hAnsi="宋体" w:eastAsia="宋体"/>
          <w:color w:val="auto"/>
          <w:sz w:val="24"/>
          <w:szCs w:val="24"/>
          <w:highlight w:val="none"/>
        </w:rPr>
        <w:t>3、</w:t>
      </w:r>
      <w:r>
        <w:rPr>
          <w:rFonts w:hint="eastAsia" w:ascii="宋体" w:hAnsi="宋体"/>
          <w:color w:val="auto"/>
          <w:sz w:val="24"/>
          <w:szCs w:val="24"/>
          <w:highlight w:val="none"/>
        </w:rPr>
        <w:t>甲方</w:t>
      </w:r>
      <w:r>
        <w:rPr>
          <w:rFonts w:hint="eastAsia" w:hAnsi="宋体" w:eastAsia="宋体"/>
          <w:color w:val="auto"/>
          <w:sz w:val="24"/>
          <w:szCs w:val="24"/>
          <w:highlight w:val="none"/>
        </w:rPr>
        <w:t>负责定期或不定期组织市场监管、卫健委等有关部门进行食品卫生监督以确保所供产品的卫生质量。</w:t>
      </w:r>
    </w:p>
    <w:p w14:paraId="0E81266B">
      <w:pPr>
        <w:shd w:val="clear" w:color="auto" w:fill="auto"/>
        <w:wordWrap w:val="0"/>
        <w:spacing w:line="360" w:lineRule="auto"/>
        <w:ind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五、监督办法与退出机制：</w:t>
      </w:r>
    </w:p>
    <w:p w14:paraId="756B889C">
      <w:pPr>
        <w:shd w:val="clear" w:color="auto" w:fill="auto"/>
        <w:wordWrap w:val="0"/>
        <w:spacing w:line="360" w:lineRule="auto"/>
        <w:ind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1、监督办法</w:t>
      </w:r>
      <w:r>
        <w:rPr>
          <w:rFonts w:hint="eastAsia" w:ascii="宋体" w:hAnsi="宋体" w:eastAsia="宋体" w:cs="宋体"/>
          <w:bCs/>
          <w:color w:val="auto"/>
          <w:sz w:val="24"/>
          <w:szCs w:val="24"/>
          <w:highlight w:val="none"/>
          <w:lang w:eastAsia="zh-CN"/>
        </w:rPr>
        <w:t>：定期进行供应商</w:t>
      </w:r>
      <w:r>
        <w:rPr>
          <w:rFonts w:hint="eastAsia" w:ascii="宋体" w:hAnsi="宋体" w:eastAsia="宋体" w:cs="宋体"/>
          <w:bCs/>
          <w:color w:val="auto"/>
          <w:sz w:val="24"/>
          <w:szCs w:val="24"/>
          <w:highlight w:val="none"/>
          <w:lang w:val="en-US" w:eastAsia="zh-CN"/>
        </w:rPr>
        <w:t>供货</w:t>
      </w:r>
      <w:r>
        <w:rPr>
          <w:rFonts w:hint="eastAsia" w:ascii="宋体" w:hAnsi="宋体" w:eastAsia="宋体" w:cs="宋体"/>
          <w:bCs/>
          <w:color w:val="auto"/>
          <w:sz w:val="24"/>
          <w:szCs w:val="24"/>
          <w:highlight w:val="none"/>
          <w:lang w:eastAsia="zh-CN"/>
        </w:rPr>
        <w:t>测评，每月由学校代表对供应商的服务态度及价格等因素进行测评，对合格率低于</w:t>
      </w:r>
      <w:r>
        <w:rPr>
          <w:rFonts w:hint="eastAsia" w:ascii="宋体" w:hAnsi="宋体" w:eastAsia="宋体" w:cs="宋体"/>
          <w:bCs/>
          <w:color w:val="auto"/>
          <w:sz w:val="24"/>
          <w:szCs w:val="24"/>
          <w:highlight w:val="none"/>
          <w:lang w:val="en-US" w:eastAsia="zh-CN"/>
        </w:rPr>
        <w:t>90</w:t>
      </w:r>
      <w:r>
        <w:rPr>
          <w:rFonts w:hint="eastAsia" w:ascii="宋体" w:hAnsi="宋体" w:eastAsia="宋体" w:cs="宋体"/>
          <w:bCs/>
          <w:color w:val="auto"/>
          <w:sz w:val="24"/>
          <w:szCs w:val="24"/>
          <w:highlight w:val="none"/>
          <w:lang w:eastAsia="zh-CN"/>
        </w:rPr>
        <w:t>%的供应商进行约谈整改，合格率低于</w:t>
      </w:r>
      <w:r>
        <w:rPr>
          <w:rFonts w:hint="eastAsia" w:ascii="宋体" w:hAnsi="宋体" w:eastAsia="宋体" w:cs="宋体"/>
          <w:bCs/>
          <w:color w:val="auto"/>
          <w:sz w:val="24"/>
          <w:szCs w:val="24"/>
          <w:highlight w:val="none"/>
          <w:lang w:val="en-US" w:eastAsia="zh-CN"/>
        </w:rPr>
        <w:t>70</w:t>
      </w:r>
      <w:r>
        <w:rPr>
          <w:rFonts w:hint="eastAsia" w:ascii="宋体" w:hAnsi="宋体" w:eastAsia="宋体" w:cs="宋体"/>
          <w:bCs/>
          <w:color w:val="auto"/>
          <w:sz w:val="24"/>
          <w:szCs w:val="24"/>
          <w:highlight w:val="none"/>
          <w:lang w:eastAsia="zh-CN"/>
        </w:rPr>
        <w:t>%的供应商暂停供货一个月，合格率低于</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lang w:eastAsia="zh-CN"/>
        </w:rPr>
        <w:t>0%的</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eastAsia="zh-CN"/>
        </w:rPr>
        <w:t>终止其供货合同。</w:t>
      </w:r>
    </w:p>
    <w:p w14:paraId="4C36C678">
      <w:pPr>
        <w:shd w:val="clear" w:color="auto" w:fill="auto"/>
        <w:wordWrap w:val="0"/>
        <w:spacing w:line="360" w:lineRule="auto"/>
        <w:ind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2、退出机制：</w:t>
      </w:r>
      <w:r>
        <w:rPr>
          <w:rFonts w:hint="eastAsia" w:ascii="宋体" w:hAnsi="宋体" w:cs="宋体"/>
          <w:bCs/>
          <w:color w:val="auto"/>
          <w:sz w:val="24"/>
          <w:szCs w:val="24"/>
          <w:highlight w:val="none"/>
          <w:lang w:val="en-US" w:eastAsia="zh-CN"/>
        </w:rPr>
        <w:t>供应商在国务院互联网+督查平台被投诉举报（核查属实）1次的终止其供货合同；供应商在12345政务服务便民热线平台被投诉举报（核查属实）1次的进行约谈整改，2次停止供货一个月；3次的终止其供货合同；供应商被学校师生投诉举报（核查属实）1次的进行提醒教育，2次的进行约谈，3次的停止供货一个月，4次的终止供货合同。</w:t>
      </w:r>
      <w:r>
        <w:rPr>
          <w:rFonts w:hint="eastAsia" w:ascii="宋体" w:hAnsi="宋体" w:eastAsia="宋体" w:cs="宋体"/>
          <w:bCs/>
          <w:color w:val="auto"/>
          <w:sz w:val="24"/>
          <w:szCs w:val="24"/>
          <w:highlight w:val="none"/>
          <w:lang w:eastAsia="zh-CN"/>
        </w:rPr>
        <w:t>供应商</w:t>
      </w:r>
      <w:r>
        <w:rPr>
          <w:rFonts w:hint="eastAsia" w:ascii="宋体" w:hAnsi="宋体" w:cs="宋体"/>
          <w:bCs/>
          <w:color w:val="auto"/>
          <w:sz w:val="24"/>
          <w:szCs w:val="24"/>
          <w:highlight w:val="none"/>
          <w:lang w:eastAsia="zh-CN"/>
        </w:rPr>
        <w:t>所供</w:t>
      </w:r>
      <w:r>
        <w:rPr>
          <w:rFonts w:hint="eastAsia" w:ascii="宋体" w:hAnsi="宋体" w:eastAsia="宋体" w:cs="宋体"/>
          <w:bCs/>
          <w:color w:val="auto"/>
          <w:sz w:val="24"/>
          <w:szCs w:val="24"/>
          <w:highlight w:val="none"/>
          <w:lang w:eastAsia="zh-CN"/>
        </w:rPr>
        <w:t>食材质量</w:t>
      </w:r>
      <w:r>
        <w:rPr>
          <w:rFonts w:hint="eastAsia" w:ascii="宋体" w:hAnsi="宋体" w:cs="宋体"/>
          <w:bCs/>
          <w:color w:val="auto"/>
          <w:sz w:val="24"/>
          <w:szCs w:val="24"/>
          <w:highlight w:val="none"/>
          <w:lang w:eastAsia="zh-CN"/>
        </w:rPr>
        <w:t>必须达到</w:t>
      </w:r>
      <w:r>
        <w:rPr>
          <w:rFonts w:hint="eastAsia" w:ascii="宋体" w:hAnsi="宋体" w:cs="宋体"/>
          <w:bCs/>
          <w:color w:val="auto"/>
          <w:sz w:val="24"/>
          <w:szCs w:val="24"/>
          <w:highlight w:val="none"/>
          <w:lang w:val="en-US" w:eastAsia="zh-CN"/>
        </w:rPr>
        <w:t>100%合格，否则终止供货合同</w:t>
      </w:r>
      <w:r>
        <w:rPr>
          <w:rFonts w:hint="eastAsia" w:ascii="宋体" w:hAnsi="宋体" w:eastAsia="宋体" w:cs="宋体"/>
          <w:bCs/>
          <w:color w:val="auto"/>
          <w:sz w:val="24"/>
          <w:szCs w:val="24"/>
          <w:highlight w:val="none"/>
          <w:lang w:val="en-US" w:eastAsia="zh-CN"/>
        </w:rPr>
        <w:t>。一经终止供货合同，则由第二中标候选人递补，以此类推。</w:t>
      </w:r>
    </w:p>
    <w:p w14:paraId="118232AC">
      <w:pPr>
        <w:pStyle w:val="17"/>
        <w:snapToGrid w:val="0"/>
        <w:spacing w:line="360" w:lineRule="auto"/>
        <w:ind w:left="2" w:leftChars="1" w:firstLine="480" w:firstLineChars="200"/>
        <w:rPr>
          <w:rFonts w:hAnsi="宋体" w:eastAsia="宋体"/>
          <w:color w:val="auto"/>
          <w:sz w:val="24"/>
          <w:szCs w:val="24"/>
          <w:highlight w:val="none"/>
        </w:rPr>
      </w:pPr>
      <w:r>
        <w:rPr>
          <w:rFonts w:hint="eastAsia" w:hAnsi="宋体" w:eastAsia="宋体"/>
          <w:color w:val="auto"/>
          <w:sz w:val="24"/>
          <w:szCs w:val="24"/>
          <w:highlight w:val="none"/>
        </w:rPr>
        <w:t>六、交货方式：</w:t>
      </w:r>
      <w:r>
        <w:rPr>
          <w:rFonts w:hint="eastAsia" w:ascii="宋体" w:hAnsi="宋体"/>
          <w:color w:val="auto"/>
          <w:sz w:val="24"/>
          <w:szCs w:val="24"/>
          <w:highlight w:val="none"/>
        </w:rPr>
        <w:t>甲方</w:t>
      </w:r>
      <w:r>
        <w:rPr>
          <w:rFonts w:hint="eastAsia" w:hAnsi="宋体" w:eastAsia="宋体"/>
          <w:color w:val="auto"/>
          <w:sz w:val="24"/>
          <w:szCs w:val="24"/>
          <w:highlight w:val="none"/>
        </w:rPr>
        <w:t>必须提前壹至两天将需要</w:t>
      </w:r>
      <w:r>
        <w:rPr>
          <w:rFonts w:hint="eastAsia" w:ascii="宋体" w:hAnsi="宋体"/>
          <w:color w:val="auto"/>
          <w:sz w:val="24"/>
          <w:szCs w:val="24"/>
          <w:highlight w:val="none"/>
          <w:lang w:val="en-US" w:eastAsia="zh-CN"/>
        </w:rPr>
        <w:t>矿泉水、饮料、牛奶</w:t>
      </w:r>
      <w:r>
        <w:rPr>
          <w:rFonts w:hint="eastAsia" w:hAnsi="宋体" w:eastAsia="宋体"/>
          <w:color w:val="auto"/>
          <w:sz w:val="24"/>
          <w:szCs w:val="24"/>
          <w:highlight w:val="none"/>
        </w:rPr>
        <w:t>的品种、数量报给乙方，乙方按甲方所订的品种及数量按质、按时、按要求送到甲方指定的地点，运费及装卸费由乙方承担。</w:t>
      </w:r>
    </w:p>
    <w:p w14:paraId="25BF1285">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七、货款结算方式：</w:t>
      </w:r>
      <w:r>
        <w:rPr>
          <w:rFonts w:hint="eastAsia" w:ascii="宋体" w:hAnsi="宋体"/>
          <w:color w:val="auto"/>
          <w:sz w:val="24"/>
          <w:szCs w:val="24"/>
          <w:highlight w:val="none"/>
          <w:lang w:val="en-US" w:eastAsia="zh-CN"/>
        </w:rPr>
        <w:t>一般情况下采购人按月进行结算，采购资金由采购人财务账户转入中标供应商账户。每月25日前，中标供应商向采购人开具上一月度供货相应数额的发票（农副产品免税的除外），采购人收到发票后30个工作日内支付。特殊情况，需临时改变结算方式，双方可通过协商解决。</w:t>
      </w:r>
    </w:p>
    <w:p w14:paraId="06132BC1">
      <w:pPr>
        <w:spacing w:line="360" w:lineRule="auto"/>
        <w:ind w:firstLine="600"/>
        <w:rPr>
          <w:rFonts w:ascii="宋体" w:hAnsi="宋体"/>
          <w:color w:val="auto"/>
          <w:sz w:val="24"/>
          <w:szCs w:val="24"/>
          <w:highlight w:val="none"/>
        </w:rPr>
      </w:pPr>
      <w:r>
        <w:rPr>
          <w:rFonts w:hint="eastAsia" w:ascii="宋体" w:hAnsi="宋体"/>
          <w:color w:val="auto"/>
          <w:sz w:val="24"/>
          <w:szCs w:val="24"/>
          <w:highlight w:val="none"/>
        </w:rPr>
        <w:t>八、如遇市场价格变动或特殊情况，一方提出要求变更合同内容，应提前10天作出书面报告通知</w:t>
      </w:r>
      <w:r>
        <w:rPr>
          <w:rFonts w:hint="eastAsia" w:ascii="宋体" w:hAnsi="宋体" w:eastAsia="宋体" w:cs="宋体"/>
          <w:b w:val="0"/>
          <w:bCs w:val="0"/>
          <w:color w:val="auto"/>
          <w:sz w:val="24"/>
          <w:szCs w:val="24"/>
          <w:highlight w:val="none"/>
        </w:rPr>
        <w:t>乙方</w:t>
      </w:r>
      <w:r>
        <w:rPr>
          <w:rFonts w:hint="eastAsia" w:ascii="宋体" w:hAnsi="宋体"/>
          <w:color w:val="auto"/>
          <w:sz w:val="24"/>
          <w:szCs w:val="24"/>
          <w:highlight w:val="none"/>
        </w:rPr>
        <w:t>，由甲</w:t>
      </w:r>
      <w:r>
        <w:rPr>
          <w:rFonts w:hint="eastAsia" w:ascii="宋体" w:hAnsi="宋体" w:eastAsia="宋体" w:cs="宋体"/>
          <w:b w:val="0"/>
          <w:bCs w:val="0"/>
          <w:color w:val="auto"/>
          <w:sz w:val="24"/>
          <w:szCs w:val="24"/>
          <w:highlight w:val="none"/>
        </w:rPr>
        <w:t>方</w:t>
      </w:r>
      <w:r>
        <w:rPr>
          <w:rFonts w:hint="eastAsia" w:ascii="宋体" w:hAnsi="宋体"/>
          <w:color w:val="auto"/>
          <w:sz w:val="24"/>
          <w:szCs w:val="24"/>
          <w:highlight w:val="none"/>
        </w:rPr>
        <w:t>在5天内组织共同商议，经</w:t>
      </w:r>
      <w:r>
        <w:rPr>
          <w:rFonts w:hint="eastAsia" w:ascii="宋体" w:hAnsi="宋体"/>
          <w:color w:val="auto"/>
          <w:sz w:val="24"/>
          <w:szCs w:val="24"/>
          <w:highlight w:val="none"/>
          <w:lang w:eastAsia="zh-CN"/>
        </w:rPr>
        <w:t>双方</w:t>
      </w:r>
      <w:r>
        <w:rPr>
          <w:rFonts w:hint="eastAsia" w:ascii="宋体" w:hAnsi="宋体"/>
          <w:color w:val="auto"/>
          <w:sz w:val="24"/>
          <w:szCs w:val="24"/>
          <w:highlight w:val="none"/>
        </w:rPr>
        <w:t>协商一致后方能修改，如若</w:t>
      </w:r>
      <w:r>
        <w:rPr>
          <w:rFonts w:hint="eastAsia" w:ascii="宋体" w:hAnsi="宋体"/>
          <w:color w:val="auto"/>
          <w:sz w:val="24"/>
          <w:szCs w:val="24"/>
          <w:highlight w:val="none"/>
          <w:lang w:eastAsia="zh-CN"/>
        </w:rPr>
        <w:t>双方</w:t>
      </w:r>
      <w:r>
        <w:rPr>
          <w:rFonts w:hint="eastAsia" w:ascii="宋体" w:hAnsi="宋体"/>
          <w:color w:val="auto"/>
          <w:sz w:val="24"/>
          <w:szCs w:val="24"/>
          <w:highlight w:val="none"/>
        </w:rPr>
        <w:t>不达成修改协议的，甲</w:t>
      </w:r>
      <w:r>
        <w:rPr>
          <w:rFonts w:hint="eastAsia" w:ascii="宋体" w:hAnsi="宋体" w:eastAsia="宋体" w:cs="宋体"/>
          <w:b w:val="0"/>
          <w:bCs w:val="0"/>
          <w:color w:val="auto"/>
          <w:sz w:val="24"/>
          <w:szCs w:val="24"/>
          <w:highlight w:val="none"/>
        </w:rPr>
        <w:t>方</w:t>
      </w:r>
      <w:r>
        <w:rPr>
          <w:rFonts w:hint="eastAsia" w:ascii="宋体" w:hAnsi="宋体"/>
          <w:color w:val="auto"/>
          <w:sz w:val="24"/>
          <w:szCs w:val="24"/>
          <w:highlight w:val="none"/>
        </w:rPr>
        <w:t>有权重新确定供应商。</w:t>
      </w:r>
    </w:p>
    <w:p w14:paraId="4F494B7C">
      <w:pPr>
        <w:spacing w:line="360" w:lineRule="auto"/>
        <w:ind w:firstLine="600"/>
        <w:rPr>
          <w:rFonts w:ascii="宋体" w:hAnsi="宋体"/>
          <w:color w:val="auto"/>
          <w:sz w:val="24"/>
          <w:szCs w:val="24"/>
          <w:highlight w:val="none"/>
        </w:rPr>
      </w:pPr>
      <w:r>
        <w:rPr>
          <w:rFonts w:hint="eastAsia" w:ascii="宋体" w:hAnsi="宋体"/>
          <w:color w:val="auto"/>
          <w:sz w:val="24"/>
          <w:szCs w:val="24"/>
          <w:highlight w:val="none"/>
        </w:rPr>
        <w:t>九、违约责任：</w:t>
      </w:r>
    </w:p>
    <w:p w14:paraId="37C9BE16">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乙方存在下列情况的，所引起的经济和法律责任由乙方承担，本合同自然终止：</w:t>
      </w:r>
    </w:p>
    <w:p w14:paraId="28CD1BDC">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1、甲方师生因食用乙方提供的各类</w:t>
      </w:r>
      <w:r>
        <w:rPr>
          <w:rFonts w:hint="eastAsia" w:ascii="宋体" w:hAnsi="宋体"/>
          <w:color w:val="auto"/>
          <w:sz w:val="24"/>
          <w:szCs w:val="24"/>
          <w:highlight w:val="none"/>
          <w:lang w:val="en-US" w:eastAsia="zh-CN"/>
        </w:rPr>
        <w:t>矿泉水、饮料、牛奶</w:t>
      </w:r>
      <w:r>
        <w:rPr>
          <w:rFonts w:hint="eastAsia" w:ascii="宋体" w:hAnsi="宋体"/>
          <w:color w:val="auto"/>
          <w:sz w:val="24"/>
          <w:szCs w:val="24"/>
          <w:highlight w:val="none"/>
        </w:rPr>
        <w:t>而中毒的；</w:t>
      </w:r>
    </w:p>
    <w:p w14:paraId="7C68912C">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2、不按要求或拒不交货的；</w:t>
      </w:r>
    </w:p>
    <w:p w14:paraId="2FF8CEF8">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3、供应的</w:t>
      </w:r>
      <w:r>
        <w:rPr>
          <w:rFonts w:hint="eastAsia" w:ascii="宋体" w:hAnsi="宋体"/>
          <w:color w:val="auto"/>
          <w:sz w:val="24"/>
          <w:szCs w:val="24"/>
          <w:highlight w:val="none"/>
          <w:lang w:eastAsia="zh-CN"/>
        </w:rPr>
        <w:t>小卖部（</w:t>
      </w:r>
      <w:r>
        <w:rPr>
          <w:rFonts w:hint="eastAsia" w:ascii="宋体" w:hAnsi="宋体"/>
          <w:color w:val="auto"/>
          <w:sz w:val="24"/>
          <w:szCs w:val="24"/>
          <w:highlight w:val="none"/>
          <w:lang w:val="en-US" w:eastAsia="zh-CN"/>
        </w:rPr>
        <w:t>矿泉水、饮料、牛奶</w:t>
      </w:r>
      <w:r>
        <w:rPr>
          <w:rFonts w:hint="eastAsia" w:ascii="宋体" w:hAnsi="宋体"/>
          <w:color w:val="auto"/>
          <w:sz w:val="24"/>
          <w:szCs w:val="24"/>
          <w:highlight w:val="none"/>
          <w:lang w:eastAsia="zh-CN"/>
        </w:rPr>
        <w:t>）</w:t>
      </w:r>
      <w:r>
        <w:rPr>
          <w:rFonts w:hint="eastAsia" w:ascii="宋体" w:hAnsi="宋体"/>
          <w:color w:val="auto"/>
          <w:sz w:val="24"/>
          <w:szCs w:val="24"/>
          <w:highlight w:val="none"/>
        </w:rPr>
        <w:t>经有关部门证实是无生产厂家、无生产日期、无生产许可证号的“三无”产品及过期变质产品的；</w:t>
      </w:r>
    </w:p>
    <w:p w14:paraId="3AA70DF9">
      <w:pPr>
        <w:spacing w:line="360" w:lineRule="auto"/>
        <w:ind w:firstLine="600"/>
        <w:rPr>
          <w:rFonts w:ascii="宋体" w:hAnsi="宋体"/>
          <w:color w:val="auto"/>
          <w:sz w:val="24"/>
          <w:szCs w:val="24"/>
          <w:highlight w:val="none"/>
        </w:rPr>
      </w:pPr>
      <w:r>
        <w:rPr>
          <w:rFonts w:hint="eastAsia" w:ascii="宋体" w:hAnsi="宋体"/>
          <w:color w:val="auto"/>
          <w:sz w:val="24"/>
          <w:szCs w:val="24"/>
          <w:highlight w:val="none"/>
        </w:rPr>
        <w:t>4、因违法经营被市场监管、税务、卫健委等部门处罚的；</w:t>
      </w:r>
    </w:p>
    <w:p w14:paraId="6EFC795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5、因政策变动或其他人力不可抗拒原因导致合同无法履行的，任何一方不负违约责任。</w:t>
      </w:r>
    </w:p>
    <w:p w14:paraId="670A8A21">
      <w:pPr>
        <w:spacing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 xml:space="preserve">  十、合同有效期：</w:t>
      </w:r>
      <w:r>
        <w:rPr>
          <w:rFonts w:hint="eastAsia" w:hAnsi="宋体" w:eastAsia="宋体"/>
          <w:color w:val="auto"/>
          <w:sz w:val="24"/>
          <w:szCs w:val="24"/>
          <w:highlight w:val="none"/>
        </w:rPr>
        <w:t>从</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年</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月</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日至</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年</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月</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日</w:t>
      </w:r>
      <w:r>
        <w:rPr>
          <w:rFonts w:hint="eastAsia" w:ascii="宋体" w:hAnsi="宋体"/>
          <w:color w:val="auto"/>
          <w:sz w:val="24"/>
          <w:szCs w:val="24"/>
          <w:highlight w:val="none"/>
        </w:rPr>
        <w:t>。</w:t>
      </w:r>
    </w:p>
    <w:p w14:paraId="4B254DA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十一、</w:t>
      </w:r>
      <w:r>
        <w:rPr>
          <w:rFonts w:hint="eastAsia" w:ascii="宋体" w:hAnsi="宋体"/>
          <w:color w:val="auto"/>
          <w:sz w:val="24"/>
          <w:szCs w:val="24"/>
          <w:highlight w:val="none"/>
          <w:lang w:eastAsia="zh-CN"/>
        </w:rPr>
        <w:t>本协议一式五份，甲、乙双方各执壹份，贵港市财政局、贵港市教育局、采购代理机构执各执壹份，双方</w:t>
      </w:r>
      <w:r>
        <w:rPr>
          <w:rFonts w:hint="eastAsia" w:ascii="宋体" w:hAnsi="宋体"/>
          <w:color w:val="auto"/>
          <w:sz w:val="24"/>
          <w:szCs w:val="24"/>
          <w:highlight w:val="none"/>
        </w:rPr>
        <w:t>签字或盖章后生效，且具同等法律效力。</w:t>
      </w:r>
    </w:p>
    <w:p w14:paraId="150B7333">
      <w:pPr>
        <w:spacing w:line="360" w:lineRule="auto"/>
        <w:ind w:firstLine="600"/>
        <w:rPr>
          <w:color w:val="auto"/>
          <w:sz w:val="24"/>
          <w:szCs w:val="24"/>
          <w:highlight w:val="none"/>
        </w:rPr>
      </w:pPr>
      <w:r>
        <w:rPr>
          <w:rFonts w:hint="eastAsia"/>
          <w:color w:val="auto"/>
          <w:sz w:val="24"/>
          <w:szCs w:val="24"/>
          <w:highlight w:val="none"/>
        </w:rPr>
        <w:t>十二、以上条款最终解释权为</w:t>
      </w:r>
      <w:r>
        <w:rPr>
          <w:rFonts w:hint="eastAsia"/>
          <w:color w:val="auto"/>
          <w:sz w:val="24"/>
          <w:szCs w:val="24"/>
          <w:highlight w:val="none"/>
          <w:lang w:eastAsia="zh-CN"/>
        </w:rPr>
        <w:t>贵港市江南中学</w:t>
      </w:r>
      <w:r>
        <w:rPr>
          <w:rFonts w:hint="eastAsia"/>
          <w:color w:val="auto"/>
          <w:sz w:val="24"/>
          <w:szCs w:val="24"/>
          <w:highlight w:val="none"/>
        </w:rPr>
        <w:t>。</w:t>
      </w:r>
    </w:p>
    <w:p w14:paraId="095EAB21">
      <w:pPr>
        <w:spacing w:line="360" w:lineRule="auto"/>
        <w:ind w:firstLine="600"/>
        <w:rPr>
          <w:rFonts w:hint="eastAsia" w:ascii="宋体" w:hAnsi="宋体"/>
          <w:color w:val="auto"/>
          <w:sz w:val="24"/>
          <w:szCs w:val="24"/>
          <w:highlight w:val="none"/>
        </w:rPr>
      </w:pPr>
    </w:p>
    <w:p w14:paraId="4767F94F">
      <w:pPr>
        <w:spacing w:line="360" w:lineRule="auto"/>
        <w:ind w:firstLine="600"/>
        <w:rPr>
          <w:rFonts w:hint="eastAsia" w:ascii="宋体" w:hAnsi="宋体"/>
          <w:color w:val="auto"/>
          <w:sz w:val="24"/>
          <w:szCs w:val="24"/>
          <w:highlight w:val="none"/>
        </w:rPr>
      </w:pPr>
      <w:r>
        <w:rPr>
          <w:rFonts w:hint="eastAsia" w:ascii="宋体" w:hAnsi="宋体"/>
          <w:color w:val="auto"/>
          <w:sz w:val="24"/>
          <w:szCs w:val="24"/>
          <w:highlight w:val="none"/>
        </w:rPr>
        <w:t>甲方</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公章</w:t>
      </w:r>
      <w:r>
        <w:rPr>
          <w:rFonts w:hint="eastAsia" w:ascii="宋体" w:hAnsi="宋体"/>
          <w:color w:val="auto"/>
          <w:sz w:val="24"/>
          <w:szCs w:val="24"/>
          <w:highlight w:val="none"/>
          <w:lang w:eastAsia="zh-CN"/>
        </w:rPr>
        <w:t>）</w:t>
      </w:r>
      <w:r>
        <w:rPr>
          <w:rFonts w:hint="eastAsia" w:ascii="宋体" w:hAnsi="宋体"/>
          <w:color w:val="auto"/>
          <w:sz w:val="24"/>
          <w:szCs w:val="24"/>
          <w:highlight w:val="none"/>
        </w:rPr>
        <w:t xml:space="preserve">：                   </w:t>
      </w:r>
    </w:p>
    <w:p w14:paraId="16A80D00">
      <w:pPr>
        <w:spacing w:line="360" w:lineRule="auto"/>
        <w:ind w:firstLine="600"/>
        <w:rPr>
          <w:rFonts w:ascii="宋体" w:hAnsi="宋体"/>
          <w:color w:val="auto"/>
          <w:sz w:val="24"/>
          <w:szCs w:val="24"/>
          <w:highlight w:val="none"/>
        </w:rPr>
      </w:pPr>
      <w:r>
        <w:rPr>
          <w:rFonts w:hint="eastAsia" w:ascii="宋体" w:hAnsi="宋体"/>
          <w:color w:val="auto"/>
          <w:sz w:val="24"/>
          <w:szCs w:val="24"/>
          <w:highlight w:val="none"/>
        </w:rPr>
        <w:t xml:space="preserve">代表签字：               </w:t>
      </w:r>
    </w:p>
    <w:p w14:paraId="5973DB8F">
      <w:pPr>
        <w:spacing w:line="360" w:lineRule="auto"/>
        <w:ind w:firstLine="480" w:firstLineChars="200"/>
        <w:rPr>
          <w:rFonts w:hint="eastAsia" w:ascii="宋体" w:hAnsi="宋体"/>
          <w:color w:val="auto"/>
          <w:sz w:val="24"/>
          <w:szCs w:val="24"/>
          <w:highlight w:val="none"/>
        </w:rPr>
      </w:pPr>
    </w:p>
    <w:p w14:paraId="54FDFC4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乙方</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公章</w:t>
      </w:r>
      <w:r>
        <w:rPr>
          <w:rFonts w:hint="eastAsia" w:ascii="宋体" w:hAnsi="宋体"/>
          <w:color w:val="auto"/>
          <w:sz w:val="24"/>
          <w:szCs w:val="24"/>
          <w:highlight w:val="none"/>
          <w:lang w:eastAsia="zh-CN"/>
        </w:rPr>
        <w:t>）</w:t>
      </w:r>
      <w:r>
        <w:rPr>
          <w:rFonts w:hint="eastAsia" w:ascii="宋体" w:hAnsi="宋体"/>
          <w:color w:val="auto"/>
          <w:sz w:val="24"/>
          <w:szCs w:val="24"/>
          <w:highlight w:val="none"/>
        </w:rPr>
        <w:t>：</w:t>
      </w:r>
    </w:p>
    <w:p w14:paraId="4F9DDD1B">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代表签字：</w:t>
      </w:r>
    </w:p>
    <w:p w14:paraId="6CDB6CF6">
      <w:pPr>
        <w:spacing w:line="360" w:lineRule="auto"/>
        <w:ind w:firstLine="5160" w:firstLineChars="2150"/>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日</w:t>
      </w:r>
    </w:p>
    <w:p w14:paraId="096F4D67">
      <w:pPr>
        <w:spacing w:line="450" w:lineRule="exact"/>
        <w:jc w:val="center"/>
        <w:outlineLvl w:val="1"/>
        <w:rPr>
          <w:rFonts w:hint="eastAsia" w:ascii="宋体" w:hAnsi="宋体"/>
          <w:b/>
          <w:bCs/>
          <w:color w:val="auto"/>
          <w:sz w:val="36"/>
          <w:szCs w:val="36"/>
          <w:highlight w:val="none"/>
        </w:rPr>
      </w:pPr>
      <w:r>
        <w:rPr>
          <w:rFonts w:ascii="宋体" w:hAnsi="宋体"/>
          <w:color w:val="auto"/>
          <w:sz w:val="30"/>
          <w:szCs w:val="30"/>
          <w:highlight w:val="none"/>
        </w:rPr>
        <w:br w:type="page"/>
      </w:r>
      <w:r>
        <w:rPr>
          <w:rFonts w:hint="eastAsia" w:ascii="宋体" w:hAnsi="宋体"/>
          <w:b/>
          <w:bCs/>
          <w:color w:val="auto"/>
          <w:sz w:val="36"/>
          <w:szCs w:val="36"/>
          <w:highlight w:val="none"/>
          <w:lang w:val="en-US" w:eastAsia="zh-CN"/>
        </w:rPr>
        <w:t>分标4：面包、蛋糕</w:t>
      </w:r>
      <w:r>
        <w:rPr>
          <w:rFonts w:hint="eastAsia" w:ascii="宋体" w:hAnsi="宋体"/>
          <w:b/>
          <w:bCs/>
          <w:color w:val="auto"/>
          <w:sz w:val="36"/>
          <w:szCs w:val="36"/>
          <w:highlight w:val="none"/>
        </w:rPr>
        <w:t>销售合同</w:t>
      </w:r>
    </w:p>
    <w:p w14:paraId="64B0F6AC">
      <w:pPr>
        <w:spacing w:line="360" w:lineRule="auto"/>
        <w:rPr>
          <w:rFonts w:hint="eastAsia" w:ascii="Times New Roman" w:hAnsi="Times New Roman" w:cs="Times New Roman"/>
          <w:color w:val="auto"/>
          <w:sz w:val="24"/>
          <w:szCs w:val="24"/>
          <w:highlight w:val="none"/>
        </w:rPr>
      </w:pPr>
    </w:p>
    <w:p w14:paraId="448B6BC9">
      <w:pPr>
        <w:spacing w:line="360" w:lineRule="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甲方</w:t>
      </w:r>
      <w:r>
        <w:rPr>
          <w:rFonts w:hint="eastAsia" w:ascii="Times New Roman" w:hAnsi="Times New Roman" w:cs="Times New Roman"/>
          <w:color w:val="auto"/>
          <w:sz w:val="24"/>
          <w:szCs w:val="24"/>
          <w:highlight w:val="none"/>
          <w:lang w:val="en-US" w:eastAsia="zh-CN"/>
        </w:rPr>
        <w:t>：</w:t>
      </w:r>
      <w:r>
        <w:rPr>
          <w:rFonts w:hint="eastAsia" w:ascii="Times New Roman" w:hAnsi="Times New Roman" w:cs="Times New Roman"/>
          <w:color w:val="auto"/>
          <w:sz w:val="24"/>
          <w:szCs w:val="24"/>
          <w:highlight w:val="none"/>
        </w:rPr>
        <w:t xml:space="preserve">                       </w:t>
      </w:r>
    </w:p>
    <w:p w14:paraId="058CF605">
      <w:pPr>
        <w:spacing w:line="360" w:lineRule="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乙方</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 xml:space="preserve">                        </w:t>
      </w:r>
    </w:p>
    <w:p w14:paraId="70EFB755">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经公开招标，确认乙方为</w:t>
      </w:r>
      <w:r>
        <w:rPr>
          <w:rFonts w:hint="eastAsia" w:ascii="宋体" w:hAnsi="宋体"/>
          <w:color w:val="auto"/>
          <w:sz w:val="24"/>
          <w:szCs w:val="24"/>
          <w:highlight w:val="none"/>
          <w:lang w:val="en-US" w:eastAsia="zh-CN"/>
        </w:rPr>
        <w:t>面包、蛋糕</w:t>
      </w:r>
      <w:r>
        <w:rPr>
          <w:rFonts w:hint="eastAsia" w:ascii="宋体" w:hAnsi="宋体"/>
          <w:color w:val="auto"/>
          <w:sz w:val="24"/>
          <w:szCs w:val="24"/>
          <w:highlight w:val="none"/>
        </w:rPr>
        <w:t>供应商，为进一步明确</w:t>
      </w:r>
      <w:r>
        <w:rPr>
          <w:rFonts w:hint="eastAsia" w:ascii="宋体" w:hAnsi="宋体"/>
          <w:color w:val="auto"/>
          <w:sz w:val="24"/>
          <w:szCs w:val="24"/>
          <w:highlight w:val="none"/>
          <w:lang w:eastAsia="zh-CN"/>
        </w:rPr>
        <w:t>双</w:t>
      </w:r>
      <w:r>
        <w:rPr>
          <w:rFonts w:hint="eastAsia" w:ascii="宋体" w:hAnsi="宋体"/>
          <w:color w:val="auto"/>
          <w:sz w:val="24"/>
          <w:szCs w:val="24"/>
          <w:highlight w:val="none"/>
        </w:rPr>
        <w:t>方的权利和责任，经甲、乙</w:t>
      </w:r>
      <w:r>
        <w:rPr>
          <w:rFonts w:hint="eastAsia" w:ascii="宋体" w:hAnsi="宋体"/>
          <w:color w:val="auto"/>
          <w:sz w:val="24"/>
          <w:szCs w:val="24"/>
          <w:highlight w:val="none"/>
          <w:lang w:eastAsia="zh-CN"/>
        </w:rPr>
        <w:t>双方</w:t>
      </w:r>
      <w:r>
        <w:rPr>
          <w:rFonts w:hint="eastAsia" w:ascii="宋体" w:hAnsi="宋体"/>
          <w:color w:val="auto"/>
          <w:sz w:val="24"/>
          <w:szCs w:val="24"/>
          <w:highlight w:val="none"/>
        </w:rPr>
        <w:t>共同协商，特订立此购销合同，以便</w:t>
      </w:r>
      <w:r>
        <w:rPr>
          <w:rFonts w:hint="eastAsia" w:ascii="宋体" w:hAnsi="宋体"/>
          <w:color w:val="auto"/>
          <w:sz w:val="24"/>
          <w:szCs w:val="24"/>
          <w:highlight w:val="none"/>
          <w:lang w:eastAsia="zh-CN"/>
        </w:rPr>
        <w:t>双方</w:t>
      </w:r>
      <w:r>
        <w:rPr>
          <w:rFonts w:hint="eastAsia" w:ascii="宋体" w:hAnsi="宋体"/>
          <w:color w:val="auto"/>
          <w:sz w:val="24"/>
          <w:szCs w:val="24"/>
          <w:highlight w:val="none"/>
        </w:rPr>
        <w:t>共同遵守：</w:t>
      </w:r>
    </w:p>
    <w:p w14:paraId="6B90C5AB">
      <w:pPr>
        <w:spacing w:line="360" w:lineRule="auto"/>
        <w:ind w:firstLine="570"/>
        <w:rPr>
          <w:rFonts w:ascii="宋体" w:hAnsi="宋体"/>
          <w:color w:val="auto"/>
          <w:sz w:val="24"/>
          <w:szCs w:val="24"/>
          <w:highlight w:val="none"/>
        </w:rPr>
      </w:pPr>
      <w:r>
        <w:rPr>
          <w:rFonts w:hint="eastAsia" w:ascii="宋体" w:hAnsi="宋体"/>
          <w:color w:val="auto"/>
          <w:sz w:val="24"/>
          <w:szCs w:val="24"/>
          <w:highlight w:val="none"/>
        </w:rPr>
        <w:t>一、乙方同意</w:t>
      </w:r>
      <w:r>
        <w:rPr>
          <w:rFonts w:hint="eastAsia" w:ascii="宋体" w:hAnsi="宋体"/>
          <w:color w:val="auto"/>
          <w:sz w:val="24"/>
          <w:szCs w:val="24"/>
          <w:highlight w:val="none"/>
          <w:lang w:eastAsia="zh-CN"/>
        </w:rPr>
        <w:t>合同折扣率</w:t>
      </w:r>
      <w:r>
        <w:rPr>
          <w:rFonts w:hint="eastAsia" w:ascii="宋体" w:hAnsi="宋体"/>
          <w:color w:val="auto"/>
          <w:sz w:val="24"/>
          <w:szCs w:val="24"/>
          <w:highlight w:val="none"/>
        </w:rPr>
        <w:t>为</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w:t>
      </w:r>
    </w:p>
    <w:p w14:paraId="24533DFC">
      <w:pPr>
        <w:spacing w:line="360" w:lineRule="auto"/>
        <w:ind w:firstLine="570"/>
        <w:rPr>
          <w:rFonts w:ascii="宋体" w:hAnsi="宋体"/>
          <w:color w:val="auto"/>
          <w:sz w:val="24"/>
          <w:szCs w:val="24"/>
          <w:highlight w:val="none"/>
        </w:rPr>
      </w:pPr>
      <w:r>
        <w:rPr>
          <w:rFonts w:hint="eastAsia" w:ascii="宋体" w:hAnsi="宋体"/>
          <w:color w:val="auto"/>
          <w:sz w:val="24"/>
          <w:szCs w:val="24"/>
          <w:highlight w:val="none"/>
        </w:rPr>
        <w:t>二、甲方</w:t>
      </w:r>
      <w:r>
        <w:rPr>
          <w:rFonts w:hint="eastAsia" w:ascii="宋体" w:hAnsi="宋体"/>
          <w:color w:val="auto"/>
          <w:sz w:val="24"/>
          <w:szCs w:val="24"/>
          <w:highlight w:val="none"/>
          <w:lang w:val="en-US" w:eastAsia="zh-CN"/>
        </w:rPr>
        <w:t>面包、蛋糕</w:t>
      </w:r>
      <w:r>
        <w:rPr>
          <w:rFonts w:hint="eastAsia" w:ascii="宋体" w:hAnsi="宋体"/>
          <w:color w:val="auto"/>
          <w:sz w:val="24"/>
          <w:szCs w:val="24"/>
          <w:highlight w:val="none"/>
        </w:rPr>
        <w:t>由乙方提供,</w:t>
      </w:r>
      <w:r>
        <w:rPr>
          <w:rFonts w:hint="eastAsia" w:ascii="宋体" w:hAnsi="宋体"/>
          <w:color w:val="auto"/>
          <w:kern w:val="0"/>
          <w:sz w:val="24"/>
          <w:szCs w:val="24"/>
          <w:highlight w:val="none"/>
        </w:rPr>
        <w:t>价格随行就市</w:t>
      </w:r>
      <w:r>
        <w:rPr>
          <w:rFonts w:hint="eastAsia" w:ascii="宋体" w:hAnsi="宋体"/>
          <w:color w:val="auto"/>
          <w:sz w:val="24"/>
          <w:szCs w:val="24"/>
          <w:highlight w:val="none"/>
        </w:rPr>
        <w:t>。</w:t>
      </w:r>
    </w:p>
    <w:p w14:paraId="4418C26D">
      <w:pPr>
        <w:spacing w:line="360" w:lineRule="auto"/>
        <w:ind w:firstLine="600"/>
        <w:rPr>
          <w:rFonts w:hint="eastAsia" w:ascii="宋体" w:hAnsi="宋体"/>
          <w:color w:val="auto"/>
          <w:sz w:val="24"/>
          <w:szCs w:val="24"/>
          <w:highlight w:val="none"/>
          <w:lang w:val="en-US" w:eastAsia="zh-CN"/>
        </w:rPr>
      </w:pPr>
      <w:r>
        <w:rPr>
          <w:rFonts w:hint="eastAsia" w:ascii="宋体" w:hAnsi="宋体"/>
          <w:color w:val="auto"/>
          <w:sz w:val="24"/>
          <w:szCs w:val="24"/>
          <w:highlight w:val="none"/>
        </w:rPr>
        <w:t>三、</w:t>
      </w:r>
      <w:r>
        <w:rPr>
          <w:rFonts w:hint="eastAsia" w:ascii="宋体" w:hAnsi="宋体"/>
          <w:color w:val="auto"/>
          <w:sz w:val="24"/>
          <w:szCs w:val="24"/>
          <w:highlight w:val="none"/>
          <w:lang w:val="en-US" w:eastAsia="zh-CN"/>
        </w:rPr>
        <w:t>货物参考单价：</w:t>
      </w:r>
    </w:p>
    <w:p w14:paraId="359B71EC">
      <w:pPr>
        <w:spacing w:line="360" w:lineRule="auto"/>
        <w:ind w:firstLine="57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根据政策要求，由上级领导部门每隔一段时间（每周或每月）召集采购人与供应商开会协商供货价格（三方议价），签订供货价格协议。中标人须按签好的价格协议供应商品。如政策变化，上级领导部门不再组织三方议价，则由采购人与中标人双方共同协商供货价格，签订供货价格协议。投标折扣率将作为食材或货物实际结算的合同折扣率，结算时以学校实际采购量进行结算。</w:t>
      </w:r>
    </w:p>
    <w:p w14:paraId="4DB28F02">
      <w:pPr>
        <w:spacing w:line="360" w:lineRule="auto"/>
        <w:ind w:firstLine="57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采购人根据各分标食材或货物的市场价格情况，每个月在贵港市易农国际农产品交易中心、三合市场、江南市场及兴港副食城四地经过调查得出各食材或货物的市场批发均价，一般取双方在上述市场询价结果的平均值。当期某食材或货物结算价=市场批发均价×合同折扣率×该食材或货物实际采购量。</w:t>
      </w:r>
    </w:p>
    <w:p w14:paraId="45DE9BDB">
      <w:pPr>
        <w:spacing w:line="360" w:lineRule="auto"/>
        <w:ind w:firstLine="570"/>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3.本合同能自主采购的商品种类及数量，由学校的实际需要决定，同时受上级的有关政策影响，因此招标文件的预估数量仅供参考，不能作为学校承诺的最低采购数量看待。</w:t>
      </w:r>
    </w:p>
    <w:p w14:paraId="5E585234">
      <w:pPr>
        <w:spacing w:line="360" w:lineRule="auto"/>
        <w:ind w:firstLine="570"/>
        <w:rPr>
          <w:rFonts w:ascii="宋体" w:hAnsi="宋体"/>
          <w:color w:val="auto"/>
          <w:sz w:val="24"/>
          <w:szCs w:val="24"/>
          <w:highlight w:val="none"/>
        </w:rPr>
      </w:pPr>
      <w:r>
        <w:rPr>
          <w:rFonts w:hint="eastAsia" w:ascii="宋体" w:hAnsi="宋体"/>
          <w:color w:val="auto"/>
          <w:sz w:val="24"/>
          <w:szCs w:val="24"/>
          <w:highlight w:val="none"/>
        </w:rPr>
        <w:t>四、1、乙方供应的</w:t>
      </w:r>
      <w:r>
        <w:rPr>
          <w:rFonts w:hint="eastAsia" w:ascii="宋体" w:hAnsi="宋体"/>
          <w:color w:val="auto"/>
          <w:sz w:val="24"/>
          <w:szCs w:val="24"/>
          <w:highlight w:val="none"/>
          <w:lang w:val="en-US" w:eastAsia="zh-CN"/>
        </w:rPr>
        <w:t>面包、蛋糕</w:t>
      </w:r>
      <w:r>
        <w:rPr>
          <w:rFonts w:hint="eastAsia" w:ascii="宋体" w:hAnsi="宋体"/>
          <w:color w:val="auto"/>
          <w:sz w:val="24"/>
          <w:szCs w:val="24"/>
          <w:highlight w:val="none"/>
        </w:rPr>
        <w:t>必须是品牌知名度较高，市场有销售的产品，有明显的标签，有生产日期和生产许可证，严禁将小作坊生产的产品、过期变质的、冒牌的或无厂家、无生产日期、无生产许可证号的“三无”产品供应给甲方。</w:t>
      </w:r>
    </w:p>
    <w:p w14:paraId="71781487">
      <w:pPr>
        <w:pStyle w:val="17"/>
        <w:snapToGrid w:val="0"/>
        <w:spacing w:line="360" w:lineRule="auto"/>
        <w:ind w:left="2" w:leftChars="1" w:firstLine="480" w:firstLineChars="200"/>
        <w:rPr>
          <w:rFonts w:hAnsi="宋体" w:eastAsia="宋体"/>
          <w:color w:val="auto"/>
          <w:sz w:val="24"/>
          <w:szCs w:val="24"/>
          <w:highlight w:val="none"/>
        </w:rPr>
      </w:pPr>
      <w:r>
        <w:rPr>
          <w:rFonts w:hint="eastAsia" w:hAnsi="宋体" w:eastAsia="宋体"/>
          <w:color w:val="auto"/>
          <w:sz w:val="24"/>
          <w:szCs w:val="24"/>
          <w:highlight w:val="none"/>
        </w:rPr>
        <w:t>2、乙方在签订合同后一个月内必须到相关的保险公司进行投保，投保险种为食品安全责任保险，否则采购单位有权终止合同。</w:t>
      </w:r>
    </w:p>
    <w:p w14:paraId="1570136B">
      <w:pPr>
        <w:pStyle w:val="17"/>
        <w:snapToGrid w:val="0"/>
        <w:spacing w:line="360" w:lineRule="auto"/>
        <w:ind w:left="2" w:leftChars="1" w:firstLine="480" w:firstLineChars="200"/>
        <w:rPr>
          <w:rFonts w:hAnsi="宋体" w:eastAsia="宋体"/>
          <w:color w:val="auto"/>
          <w:sz w:val="24"/>
          <w:szCs w:val="24"/>
          <w:highlight w:val="none"/>
        </w:rPr>
      </w:pPr>
      <w:r>
        <w:rPr>
          <w:rFonts w:hint="eastAsia" w:hAnsi="宋体" w:eastAsia="宋体"/>
          <w:color w:val="auto"/>
          <w:sz w:val="24"/>
          <w:szCs w:val="24"/>
          <w:highlight w:val="none"/>
        </w:rPr>
        <w:t>3、</w:t>
      </w:r>
      <w:r>
        <w:rPr>
          <w:rFonts w:hint="eastAsia" w:ascii="宋体" w:hAnsi="宋体"/>
          <w:color w:val="auto"/>
          <w:sz w:val="24"/>
          <w:szCs w:val="24"/>
          <w:highlight w:val="none"/>
        </w:rPr>
        <w:t>甲方</w:t>
      </w:r>
      <w:r>
        <w:rPr>
          <w:rFonts w:hint="eastAsia" w:hAnsi="宋体" w:eastAsia="宋体"/>
          <w:color w:val="auto"/>
          <w:sz w:val="24"/>
          <w:szCs w:val="24"/>
          <w:highlight w:val="none"/>
        </w:rPr>
        <w:t>负责定期或不定期组织市场监管、卫健委等有关部门进行食品卫生监督以确保所供产品的卫生质量。</w:t>
      </w:r>
    </w:p>
    <w:p w14:paraId="545B9136">
      <w:pPr>
        <w:shd w:val="clear" w:color="auto" w:fill="auto"/>
        <w:wordWrap w:val="0"/>
        <w:spacing w:line="440" w:lineRule="exact"/>
        <w:ind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五、监督办法与退出机制：</w:t>
      </w:r>
    </w:p>
    <w:p w14:paraId="6C6A1CD0">
      <w:pPr>
        <w:shd w:val="clear" w:color="auto" w:fill="auto"/>
        <w:wordWrap w:val="0"/>
        <w:spacing w:line="440" w:lineRule="exact"/>
        <w:ind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1、监督办法</w:t>
      </w:r>
      <w:r>
        <w:rPr>
          <w:rFonts w:hint="eastAsia" w:ascii="宋体" w:hAnsi="宋体" w:eastAsia="宋体" w:cs="宋体"/>
          <w:bCs/>
          <w:color w:val="auto"/>
          <w:sz w:val="24"/>
          <w:szCs w:val="24"/>
          <w:highlight w:val="none"/>
          <w:lang w:eastAsia="zh-CN"/>
        </w:rPr>
        <w:t>：定期进行供应商</w:t>
      </w:r>
      <w:r>
        <w:rPr>
          <w:rFonts w:hint="eastAsia" w:ascii="宋体" w:hAnsi="宋体" w:eastAsia="宋体" w:cs="宋体"/>
          <w:bCs/>
          <w:color w:val="auto"/>
          <w:sz w:val="24"/>
          <w:szCs w:val="24"/>
          <w:highlight w:val="none"/>
          <w:lang w:val="en-US" w:eastAsia="zh-CN"/>
        </w:rPr>
        <w:t>供货</w:t>
      </w:r>
      <w:r>
        <w:rPr>
          <w:rFonts w:hint="eastAsia" w:ascii="宋体" w:hAnsi="宋体" w:eastAsia="宋体" w:cs="宋体"/>
          <w:bCs/>
          <w:color w:val="auto"/>
          <w:sz w:val="24"/>
          <w:szCs w:val="24"/>
          <w:highlight w:val="none"/>
          <w:lang w:eastAsia="zh-CN"/>
        </w:rPr>
        <w:t>测评，每月由学校代表对供应商的服务态度及价格等因素进行测评，对合格率低于</w:t>
      </w:r>
      <w:r>
        <w:rPr>
          <w:rFonts w:hint="eastAsia" w:ascii="宋体" w:hAnsi="宋体" w:eastAsia="宋体" w:cs="宋体"/>
          <w:bCs/>
          <w:color w:val="auto"/>
          <w:sz w:val="24"/>
          <w:szCs w:val="24"/>
          <w:highlight w:val="none"/>
          <w:lang w:val="en-US" w:eastAsia="zh-CN"/>
        </w:rPr>
        <w:t>90</w:t>
      </w:r>
      <w:r>
        <w:rPr>
          <w:rFonts w:hint="eastAsia" w:ascii="宋体" w:hAnsi="宋体" w:eastAsia="宋体" w:cs="宋体"/>
          <w:bCs/>
          <w:color w:val="auto"/>
          <w:sz w:val="24"/>
          <w:szCs w:val="24"/>
          <w:highlight w:val="none"/>
          <w:lang w:eastAsia="zh-CN"/>
        </w:rPr>
        <w:t>%的供应商进行约谈整改，合格率低于</w:t>
      </w:r>
      <w:r>
        <w:rPr>
          <w:rFonts w:hint="eastAsia" w:ascii="宋体" w:hAnsi="宋体" w:eastAsia="宋体" w:cs="宋体"/>
          <w:bCs/>
          <w:color w:val="auto"/>
          <w:sz w:val="24"/>
          <w:szCs w:val="24"/>
          <w:highlight w:val="none"/>
          <w:lang w:val="en-US" w:eastAsia="zh-CN"/>
        </w:rPr>
        <w:t>70</w:t>
      </w:r>
      <w:r>
        <w:rPr>
          <w:rFonts w:hint="eastAsia" w:ascii="宋体" w:hAnsi="宋体" w:eastAsia="宋体" w:cs="宋体"/>
          <w:bCs/>
          <w:color w:val="auto"/>
          <w:sz w:val="24"/>
          <w:szCs w:val="24"/>
          <w:highlight w:val="none"/>
          <w:lang w:eastAsia="zh-CN"/>
        </w:rPr>
        <w:t>%的供应商暂停供货一个月，合格率低于</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lang w:eastAsia="zh-CN"/>
        </w:rPr>
        <w:t>0%的</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eastAsia="zh-CN"/>
        </w:rPr>
        <w:t>终止其供货合同。</w:t>
      </w:r>
    </w:p>
    <w:p w14:paraId="528D63FB">
      <w:pPr>
        <w:shd w:val="clear" w:color="auto" w:fill="auto"/>
        <w:wordWrap w:val="0"/>
        <w:spacing w:line="440" w:lineRule="exact"/>
        <w:ind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2、退出机制：</w:t>
      </w:r>
      <w:r>
        <w:rPr>
          <w:rFonts w:hint="eastAsia" w:ascii="宋体" w:hAnsi="宋体" w:cs="宋体"/>
          <w:bCs/>
          <w:color w:val="auto"/>
          <w:sz w:val="24"/>
          <w:szCs w:val="24"/>
          <w:highlight w:val="none"/>
          <w:lang w:val="en-US" w:eastAsia="zh-CN"/>
        </w:rPr>
        <w:t>供应商在国务院互联网+督查平台被投诉举报（核查属实）1次的终止其供货合同；供应商在12345政务服务便民热线平台被投诉举报（核查属实）1次的进行约谈整改，2次停止供货一个月；3次的终止其供货合同；供应商被学校师生投诉举报（核查属实）1次的进行提醒教育，2次的进行约谈，3次的停止供货一个月，4次的终止供货合同。</w:t>
      </w:r>
      <w:r>
        <w:rPr>
          <w:rFonts w:hint="eastAsia" w:ascii="宋体" w:hAnsi="宋体" w:eastAsia="宋体" w:cs="宋体"/>
          <w:bCs/>
          <w:color w:val="auto"/>
          <w:sz w:val="24"/>
          <w:szCs w:val="24"/>
          <w:highlight w:val="none"/>
          <w:lang w:eastAsia="zh-CN"/>
        </w:rPr>
        <w:t>供应商</w:t>
      </w:r>
      <w:r>
        <w:rPr>
          <w:rFonts w:hint="eastAsia" w:ascii="宋体" w:hAnsi="宋体" w:cs="宋体"/>
          <w:bCs/>
          <w:color w:val="auto"/>
          <w:sz w:val="24"/>
          <w:szCs w:val="24"/>
          <w:highlight w:val="none"/>
          <w:lang w:eastAsia="zh-CN"/>
        </w:rPr>
        <w:t>所供</w:t>
      </w:r>
      <w:r>
        <w:rPr>
          <w:rFonts w:hint="eastAsia" w:ascii="宋体" w:hAnsi="宋体" w:eastAsia="宋体" w:cs="宋体"/>
          <w:bCs/>
          <w:color w:val="auto"/>
          <w:sz w:val="24"/>
          <w:szCs w:val="24"/>
          <w:highlight w:val="none"/>
          <w:lang w:eastAsia="zh-CN"/>
        </w:rPr>
        <w:t>食材质量</w:t>
      </w:r>
      <w:r>
        <w:rPr>
          <w:rFonts w:hint="eastAsia" w:ascii="宋体" w:hAnsi="宋体" w:cs="宋体"/>
          <w:bCs/>
          <w:color w:val="auto"/>
          <w:sz w:val="24"/>
          <w:szCs w:val="24"/>
          <w:highlight w:val="none"/>
          <w:lang w:eastAsia="zh-CN"/>
        </w:rPr>
        <w:t>必须达到</w:t>
      </w:r>
      <w:r>
        <w:rPr>
          <w:rFonts w:hint="eastAsia" w:ascii="宋体" w:hAnsi="宋体" w:cs="宋体"/>
          <w:bCs/>
          <w:color w:val="auto"/>
          <w:sz w:val="24"/>
          <w:szCs w:val="24"/>
          <w:highlight w:val="none"/>
          <w:lang w:val="en-US" w:eastAsia="zh-CN"/>
        </w:rPr>
        <w:t>100%合格，否则终止供货合同</w:t>
      </w:r>
      <w:r>
        <w:rPr>
          <w:rFonts w:hint="eastAsia" w:ascii="宋体" w:hAnsi="宋体" w:eastAsia="宋体" w:cs="宋体"/>
          <w:bCs/>
          <w:color w:val="auto"/>
          <w:sz w:val="24"/>
          <w:szCs w:val="24"/>
          <w:highlight w:val="none"/>
          <w:lang w:val="en-US" w:eastAsia="zh-CN"/>
        </w:rPr>
        <w:t>。一经终止供货合同，则由第二中标候选人递补，以此类推。</w:t>
      </w:r>
    </w:p>
    <w:p w14:paraId="00F66AC7">
      <w:pPr>
        <w:pStyle w:val="17"/>
        <w:snapToGrid w:val="0"/>
        <w:spacing w:line="360" w:lineRule="auto"/>
        <w:ind w:left="2" w:leftChars="1" w:firstLine="480" w:firstLineChars="200"/>
        <w:rPr>
          <w:rFonts w:hAnsi="宋体" w:eastAsia="宋体"/>
          <w:color w:val="auto"/>
          <w:sz w:val="24"/>
          <w:szCs w:val="24"/>
          <w:highlight w:val="none"/>
        </w:rPr>
      </w:pPr>
      <w:r>
        <w:rPr>
          <w:rFonts w:hint="eastAsia" w:hAnsi="宋体" w:eastAsia="宋体"/>
          <w:color w:val="auto"/>
          <w:sz w:val="24"/>
          <w:szCs w:val="24"/>
          <w:highlight w:val="none"/>
        </w:rPr>
        <w:t>六、交货方式：</w:t>
      </w:r>
      <w:r>
        <w:rPr>
          <w:rFonts w:hint="eastAsia" w:ascii="宋体" w:hAnsi="宋体"/>
          <w:color w:val="auto"/>
          <w:sz w:val="24"/>
          <w:szCs w:val="24"/>
          <w:highlight w:val="none"/>
        </w:rPr>
        <w:t>甲方</w:t>
      </w:r>
      <w:r>
        <w:rPr>
          <w:rFonts w:hint="eastAsia" w:hAnsi="宋体" w:eastAsia="宋体"/>
          <w:color w:val="auto"/>
          <w:sz w:val="24"/>
          <w:szCs w:val="24"/>
          <w:highlight w:val="none"/>
        </w:rPr>
        <w:t>必须提前壹至两天将需要</w:t>
      </w:r>
      <w:r>
        <w:rPr>
          <w:rFonts w:hint="eastAsia" w:ascii="宋体" w:hAnsi="宋体"/>
          <w:color w:val="auto"/>
          <w:sz w:val="24"/>
          <w:szCs w:val="24"/>
          <w:highlight w:val="none"/>
          <w:lang w:val="en-US" w:eastAsia="zh-CN"/>
        </w:rPr>
        <w:t>面包、蛋糕</w:t>
      </w:r>
      <w:r>
        <w:rPr>
          <w:rFonts w:hint="eastAsia" w:hAnsi="宋体" w:eastAsia="宋体"/>
          <w:color w:val="auto"/>
          <w:sz w:val="24"/>
          <w:szCs w:val="24"/>
          <w:highlight w:val="none"/>
        </w:rPr>
        <w:t>的品种、数量报给乙方，乙方按甲方所订的品种及数量按质、按时、按要求送到甲方指定的地点，运费及装卸费由乙方承担。</w:t>
      </w:r>
    </w:p>
    <w:p w14:paraId="6196D8C4">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七、货款结算方式：</w:t>
      </w:r>
      <w:r>
        <w:rPr>
          <w:rFonts w:hint="eastAsia" w:ascii="宋体" w:hAnsi="宋体"/>
          <w:color w:val="auto"/>
          <w:sz w:val="24"/>
          <w:szCs w:val="24"/>
          <w:highlight w:val="none"/>
          <w:lang w:val="en-US" w:eastAsia="zh-CN"/>
        </w:rPr>
        <w:t>一般情况下采购人按月进行结算，采购资金由采购人财务账户转入中标供应商账户。每月25日前，中标供应商向采购人开具上一月度供货相应数额的发票（农副产品免税的除外），采购人收到发票后30个工作日内支付。特殊情况，需临时改变结算方式，双方可通过协商解决。</w:t>
      </w:r>
    </w:p>
    <w:p w14:paraId="6D905E5E">
      <w:pPr>
        <w:spacing w:line="360" w:lineRule="auto"/>
        <w:ind w:firstLine="600"/>
        <w:rPr>
          <w:rFonts w:ascii="宋体" w:hAnsi="宋体"/>
          <w:color w:val="auto"/>
          <w:sz w:val="24"/>
          <w:szCs w:val="24"/>
          <w:highlight w:val="none"/>
        </w:rPr>
      </w:pPr>
      <w:r>
        <w:rPr>
          <w:rFonts w:hint="eastAsia" w:ascii="宋体" w:hAnsi="宋体"/>
          <w:color w:val="auto"/>
          <w:sz w:val="24"/>
          <w:szCs w:val="24"/>
          <w:highlight w:val="none"/>
        </w:rPr>
        <w:t>八、如遇市场价格变动或特殊情况，一方提出要求变更合同内容，应提前10天作出书面报告通知</w:t>
      </w:r>
      <w:r>
        <w:rPr>
          <w:rFonts w:hint="eastAsia" w:ascii="宋体" w:hAnsi="宋体" w:eastAsia="宋体" w:cs="宋体"/>
          <w:b w:val="0"/>
          <w:bCs w:val="0"/>
          <w:color w:val="auto"/>
          <w:sz w:val="24"/>
          <w:szCs w:val="24"/>
          <w:highlight w:val="none"/>
        </w:rPr>
        <w:t>乙方</w:t>
      </w:r>
      <w:r>
        <w:rPr>
          <w:rFonts w:hint="eastAsia" w:ascii="宋体" w:hAnsi="宋体"/>
          <w:color w:val="auto"/>
          <w:sz w:val="24"/>
          <w:szCs w:val="24"/>
          <w:highlight w:val="none"/>
        </w:rPr>
        <w:t>，由甲</w:t>
      </w:r>
      <w:r>
        <w:rPr>
          <w:rFonts w:hint="eastAsia" w:ascii="宋体" w:hAnsi="宋体" w:eastAsia="宋体" w:cs="宋体"/>
          <w:b w:val="0"/>
          <w:bCs w:val="0"/>
          <w:color w:val="auto"/>
          <w:sz w:val="24"/>
          <w:szCs w:val="24"/>
          <w:highlight w:val="none"/>
        </w:rPr>
        <w:t>方</w:t>
      </w:r>
      <w:r>
        <w:rPr>
          <w:rFonts w:hint="eastAsia" w:ascii="宋体" w:hAnsi="宋体"/>
          <w:color w:val="auto"/>
          <w:sz w:val="24"/>
          <w:szCs w:val="24"/>
          <w:highlight w:val="none"/>
        </w:rPr>
        <w:t>在5天内组织共同商议，经</w:t>
      </w:r>
      <w:r>
        <w:rPr>
          <w:rFonts w:hint="eastAsia" w:ascii="宋体" w:hAnsi="宋体"/>
          <w:color w:val="auto"/>
          <w:sz w:val="24"/>
          <w:szCs w:val="24"/>
          <w:highlight w:val="none"/>
          <w:lang w:eastAsia="zh-CN"/>
        </w:rPr>
        <w:t>双方</w:t>
      </w:r>
      <w:r>
        <w:rPr>
          <w:rFonts w:hint="eastAsia" w:ascii="宋体" w:hAnsi="宋体"/>
          <w:color w:val="auto"/>
          <w:sz w:val="24"/>
          <w:szCs w:val="24"/>
          <w:highlight w:val="none"/>
        </w:rPr>
        <w:t>协商一致后方能修改，如若</w:t>
      </w:r>
      <w:r>
        <w:rPr>
          <w:rFonts w:hint="eastAsia" w:ascii="宋体" w:hAnsi="宋体"/>
          <w:color w:val="auto"/>
          <w:sz w:val="24"/>
          <w:szCs w:val="24"/>
          <w:highlight w:val="none"/>
          <w:lang w:eastAsia="zh-CN"/>
        </w:rPr>
        <w:t>双方</w:t>
      </w:r>
      <w:r>
        <w:rPr>
          <w:rFonts w:hint="eastAsia" w:ascii="宋体" w:hAnsi="宋体"/>
          <w:color w:val="auto"/>
          <w:sz w:val="24"/>
          <w:szCs w:val="24"/>
          <w:highlight w:val="none"/>
        </w:rPr>
        <w:t>不达成修改协议的，甲</w:t>
      </w:r>
      <w:r>
        <w:rPr>
          <w:rFonts w:hint="eastAsia" w:ascii="宋体" w:hAnsi="宋体" w:eastAsia="宋体" w:cs="宋体"/>
          <w:b w:val="0"/>
          <w:bCs w:val="0"/>
          <w:color w:val="auto"/>
          <w:sz w:val="24"/>
          <w:szCs w:val="24"/>
          <w:highlight w:val="none"/>
        </w:rPr>
        <w:t>方</w:t>
      </w:r>
      <w:r>
        <w:rPr>
          <w:rFonts w:hint="eastAsia" w:ascii="宋体" w:hAnsi="宋体"/>
          <w:color w:val="auto"/>
          <w:sz w:val="24"/>
          <w:szCs w:val="24"/>
          <w:highlight w:val="none"/>
        </w:rPr>
        <w:t>有权重新确定供应商。</w:t>
      </w:r>
    </w:p>
    <w:p w14:paraId="449E8522">
      <w:pPr>
        <w:spacing w:line="360" w:lineRule="auto"/>
        <w:ind w:firstLine="600"/>
        <w:rPr>
          <w:rFonts w:ascii="宋体" w:hAnsi="宋体"/>
          <w:color w:val="auto"/>
          <w:sz w:val="24"/>
          <w:szCs w:val="24"/>
          <w:highlight w:val="none"/>
        </w:rPr>
      </w:pPr>
      <w:r>
        <w:rPr>
          <w:rFonts w:hint="eastAsia" w:ascii="宋体" w:hAnsi="宋体"/>
          <w:color w:val="auto"/>
          <w:sz w:val="24"/>
          <w:szCs w:val="24"/>
          <w:highlight w:val="none"/>
        </w:rPr>
        <w:t>九、违约责任：</w:t>
      </w:r>
    </w:p>
    <w:p w14:paraId="366D1191">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乙方存在下列情况的，所引起的经济和法律责任由乙方承担，本合同自然终止：</w:t>
      </w:r>
    </w:p>
    <w:p w14:paraId="585704DF">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1、甲方师生因食用乙方提供的各类</w:t>
      </w:r>
      <w:r>
        <w:rPr>
          <w:rFonts w:hint="eastAsia" w:ascii="宋体" w:hAnsi="宋体"/>
          <w:color w:val="auto"/>
          <w:sz w:val="24"/>
          <w:szCs w:val="24"/>
          <w:highlight w:val="none"/>
          <w:lang w:val="en-US" w:eastAsia="zh-CN"/>
        </w:rPr>
        <w:t>面包、蛋糕</w:t>
      </w:r>
      <w:r>
        <w:rPr>
          <w:rFonts w:hint="eastAsia" w:ascii="宋体" w:hAnsi="宋体"/>
          <w:color w:val="auto"/>
          <w:sz w:val="24"/>
          <w:szCs w:val="24"/>
          <w:highlight w:val="none"/>
        </w:rPr>
        <w:t>而中毒的；</w:t>
      </w:r>
    </w:p>
    <w:p w14:paraId="5469EC9B">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2、不按要求或拒不交货的；</w:t>
      </w:r>
    </w:p>
    <w:p w14:paraId="7508BF66">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3、供应的</w:t>
      </w:r>
      <w:r>
        <w:rPr>
          <w:rFonts w:hint="eastAsia" w:ascii="宋体" w:hAnsi="宋体"/>
          <w:color w:val="auto"/>
          <w:sz w:val="24"/>
          <w:szCs w:val="24"/>
          <w:highlight w:val="none"/>
          <w:lang w:eastAsia="zh-CN"/>
        </w:rPr>
        <w:t>小卖部（</w:t>
      </w:r>
      <w:r>
        <w:rPr>
          <w:rFonts w:hint="eastAsia" w:ascii="宋体" w:hAnsi="宋体"/>
          <w:color w:val="auto"/>
          <w:sz w:val="24"/>
          <w:szCs w:val="24"/>
          <w:highlight w:val="none"/>
          <w:lang w:val="en-US" w:eastAsia="zh-CN"/>
        </w:rPr>
        <w:t>面包、蛋糕</w:t>
      </w:r>
      <w:r>
        <w:rPr>
          <w:rFonts w:hint="eastAsia" w:ascii="宋体" w:hAnsi="宋体"/>
          <w:color w:val="auto"/>
          <w:sz w:val="24"/>
          <w:szCs w:val="24"/>
          <w:highlight w:val="none"/>
          <w:lang w:eastAsia="zh-CN"/>
        </w:rPr>
        <w:t>）</w:t>
      </w:r>
      <w:r>
        <w:rPr>
          <w:rFonts w:hint="eastAsia" w:ascii="宋体" w:hAnsi="宋体"/>
          <w:color w:val="auto"/>
          <w:sz w:val="24"/>
          <w:szCs w:val="24"/>
          <w:highlight w:val="none"/>
        </w:rPr>
        <w:t>经有关部门证实是无生产厂家、无生产日期、无生产许可证号的“三无”产品及过期变质产品的；</w:t>
      </w:r>
    </w:p>
    <w:p w14:paraId="3870C0FA">
      <w:pPr>
        <w:spacing w:line="360" w:lineRule="auto"/>
        <w:ind w:firstLine="600"/>
        <w:rPr>
          <w:rFonts w:ascii="宋体" w:hAnsi="宋体"/>
          <w:color w:val="auto"/>
          <w:sz w:val="24"/>
          <w:szCs w:val="24"/>
          <w:highlight w:val="none"/>
        </w:rPr>
      </w:pPr>
      <w:r>
        <w:rPr>
          <w:rFonts w:hint="eastAsia" w:ascii="宋体" w:hAnsi="宋体"/>
          <w:color w:val="auto"/>
          <w:sz w:val="24"/>
          <w:szCs w:val="24"/>
          <w:highlight w:val="none"/>
        </w:rPr>
        <w:t>4、因违法经营被市场监管、税务、卫健委等部门处罚的；</w:t>
      </w:r>
    </w:p>
    <w:p w14:paraId="60A9E2E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5、因政策变动或其他人力不可抗拒原因导致合同无法履行的，任何一方不负违约责任。</w:t>
      </w:r>
    </w:p>
    <w:p w14:paraId="76FC4039">
      <w:pPr>
        <w:spacing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 xml:space="preserve">  十、合同有效期：</w:t>
      </w:r>
      <w:r>
        <w:rPr>
          <w:rFonts w:hint="eastAsia" w:hAnsi="宋体" w:eastAsia="宋体"/>
          <w:color w:val="auto"/>
          <w:sz w:val="24"/>
          <w:szCs w:val="24"/>
          <w:highlight w:val="none"/>
        </w:rPr>
        <w:t>从</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年</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月</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日至</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年</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月</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日</w:t>
      </w:r>
      <w:r>
        <w:rPr>
          <w:rFonts w:hint="eastAsia" w:ascii="宋体" w:hAnsi="宋体"/>
          <w:color w:val="auto"/>
          <w:sz w:val="24"/>
          <w:szCs w:val="24"/>
          <w:highlight w:val="none"/>
        </w:rPr>
        <w:t>。</w:t>
      </w:r>
    </w:p>
    <w:p w14:paraId="70FFE4A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十一、</w:t>
      </w:r>
      <w:r>
        <w:rPr>
          <w:rFonts w:hint="eastAsia" w:ascii="宋体" w:hAnsi="宋体"/>
          <w:color w:val="auto"/>
          <w:sz w:val="24"/>
          <w:szCs w:val="24"/>
          <w:highlight w:val="none"/>
          <w:lang w:eastAsia="zh-CN"/>
        </w:rPr>
        <w:t>本协议一式五份，甲、乙双方各执壹份，贵港市财政局、贵港市教育局、采购代理机构执各执壹份，双方</w:t>
      </w:r>
      <w:r>
        <w:rPr>
          <w:rFonts w:hint="eastAsia" w:ascii="宋体" w:hAnsi="宋体"/>
          <w:color w:val="auto"/>
          <w:sz w:val="24"/>
          <w:szCs w:val="24"/>
          <w:highlight w:val="none"/>
        </w:rPr>
        <w:t>签字或盖章后生效，且具同等法律效力。</w:t>
      </w:r>
    </w:p>
    <w:p w14:paraId="14814ABF">
      <w:pPr>
        <w:spacing w:line="360" w:lineRule="auto"/>
        <w:ind w:firstLine="600"/>
        <w:rPr>
          <w:color w:val="auto"/>
          <w:sz w:val="24"/>
          <w:szCs w:val="24"/>
          <w:highlight w:val="none"/>
        </w:rPr>
      </w:pPr>
      <w:r>
        <w:rPr>
          <w:rFonts w:hint="eastAsia"/>
          <w:color w:val="auto"/>
          <w:sz w:val="24"/>
          <w:szCs w:val="24"/>
          <w:highlight w:val="none"/>
        </w:rPr>
        <w:t>十二、以上条款最终解释权为</w:t>
      </w:r>
      <w:r>
        <w:rPr>
          <w:rFonts w:hint="eastAsia"/>
          <w:color w:val="auto"/>
          <w:sz w:val="24"/>
          <w:szCs w:val="24"/>
          <w:highlight w:val="none"/>
          <w:lang w:eastAsia="zh-CN"/>
        </w:rPr>
        <w:t>贵港市江南中学</w:t>
      </w:r>
      <w:r>
        <w:rPr>
          <w:rFonts w:hint="eastAsia"/>
          <w:color w:val="auto"/>
          <w:sz w:val="24"/>
          <w:szCs w:val="24"/>
          <w:highlight w:val="none"/>
        </w:rPr>
        <w:t>。</w:t>
      </w:r>
    </w:p>
    <w:p w14:paraId="4A8998E0">
      <w:pPr>
        <w:spacing w:line="360" w:lineRule="auto"/>
        <w:ind w:firstLine="600"/>
        <w:rPr>
          <w:rFonts w:hint="eastAsia" w:ascii="宋体" w:hAnsi="宋体"/>
          <w:color w:val="auto"/>
          <w:sz w:val="24"/>
          <w:szCs w:val="24"/>
          <w:highlight w:val="none"/>
        </w:rPr>
      </w:pPr>
    </w:p>
    <w:p w14:paraId="21D36925">
      <w:pPr>
        <w:spacing w:line="360" w:lineRule="auto"/>
        <w:ind w:firstLine="600"/>
        <w:rPr>
          <w:rFonts w:hint="eastAsia" w:ascii="宋体" w:hAnsi="宋体"/>
          <w:color w:val="auto"/>
          <w:sz w:val="24"/>
          <w:szCs w:val="24"/>
          <w:highlight w:val="none"/>
        </w:rPr>
      </w:pPr>
      <w:r>
        <w:rPr>
          <w:rFonts w:hint="eastAsia" w:ascii="宋体" w:hAnsi="宋体"/>
          <w:color w:val="auto"/>
          <w:sz w:val="24"/>
          <w:szCs w:val="24"/>
          <w:highlight w:val="none"/>
        </w:rPr>
        <w:t>甲方</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公章</w:t>
      </w:r>
      <w:r>
        <w:rPr>
          <w:rFonts w:hint="eastAsia" w:ascii="宋体" w:hAnsi="宋体"/>
          <w:color w:val="auto"/>
          <w:sz w:val="24"/>
          <w:szCs w:val="24"/>
          <w:highlight w:val="none"/>
          <w:lang w:eastAsia="zh-CN"/>
        </w:rPr>
        <w:t>）</w:t>
      </w:r>
      <w:r>
        <w:rPr>
          <w:rFonts w:hint="eastAsia" w:ascii="宋体" w:hAnsi="宋体"/>
          <w:color w:val="auto"/>
          <w:sz w:val="24"/>
          <w:szCs w:val="24"/>
          <w:highlight w:val="none"/>
        </w:rPr>
        <w:t xml:space="preserve">：                   </w:t>
      </w:r>
    </w:p>
    <w:p w14:paraId="2EDE9713">
      <w:pPr>
        <w:spacing w:line="360" w:lineRule="auto"/>
        <w:ind w:firstLine="600"/>
        <w:rPr>
          <w:rFonts w:ascii="宋体" w:hAnsi="宋体"/>
          <w:color w:val="auto"/>
          <w:sz w:val="24"/>
          <w:szCs w:val="24"/>
          <w:highlight w:val="none"/>
        </w:rPr>
      </w:pPr>
      <w:r>
        <w:rPr>
          <w:rFonts w:hint="eastAsia" w:ascii="宋体" w:hAnsi="宋体"/>
          <w:color w:val="auto"/>
          <w:sz w:val="24"/>
          <w:szCs w:val="24"/>
          <w:highlight w:val="none"/>
        </w:rPr>
        <w:t xml:space="preserve">代表签字：               </w:t>
      </w:r>
    </w:p>
    <w:p w14:paraId="1BB8C0E2">
      <w:pPr>
        <w:spacing w:line="360" w:lineRule="auto"/>
        <w:ind w:firstLine="480" w:firstLineChars="200"/>
        <w:rPr>
          <w:rFonts w:hint="eastAsia" w:ascii="宋体" w:hAnsi="宋体"/>
          <w:color w:val="auto"/>
          <w:sz w:val="24"/>
          <w:szCs w:val="24"/>
          <w:highlight w:val="none"/>
        </w:rPr>
      </w:pPr>
    </w:p>
    <w:p w14:paraId="785DC28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乙方</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公章</w:t>
      </w:r>
      <w:r>
        <w:rPr>
          <w:rFonts w:hint="eastAsia" w:ascii="宋体" w:hAnsi="宋体"/>
          <w:color w:val="auto"/>
          <w:sz w:val="24"/>
          <w:szCs w:val="24"/>
          <w:highlight w:val="none"/>
          <w:lang w:eastAsia="zh-CN"/>
        </w:rPr>
        <w:t>）</w:t>
      </w:r>
      <w:r>
        <w:rPr>
          <w:rFonts w:hint="eastAsia" w:ascii="宋体" w:hAnsi="宋体"/>
          <w:color w:val="auto"/>
          <w:sz w:val="24"/>
          <w:szCs w:val="24"/>
          <w:highlight w:val="none"/>
        </w:rPr>
        <w:t>：</w:t>
      </w:r>
    </w:p>
    <w:p w14:paraId="1917CA68">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代表签字：</w:t>
      </w:r>
    </w:p>
    <w:p w14:paraId="48E7F17C">
      <w:pPr>
        <w:spacing w:line="360" w:lineRule="auto"/>
        <w:ind w:firstLine="5160" w:firstLineChars="2150"/>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日</w:t>
      </w:r>
    </w:p>
    <w:p w14:paraId="783D8442">
      <w:pPr>
        <w:spacing w:line="450" w:lineRule="exact"/>
        <w:jc w:val="center"/>
        <w:outlineLvl w:val="1"/>
        <w:rPr>
          <w:rFonts w:hint="eastAsia" w:ascii="宋体" w:hAnsi="宋体"/>
          <w:b/>
          <w:bCs/>
          <w:color w:val="auto"/>
          <w:sz w:val="36"/>
          <w:szCs w:val="36"/>
          <w:highlight w:val="none"/>
        </w:rPr>
      </w:pPr>
      <w:r>
        <w:rPr>
          <w:rFonts w:ascii="宋体" w:hAnsi="宋体"/>
          <w:color w:val="auto"/>
          <w:sz w:val="30"/>
          <w:szCs w:val="30"/>
          <w:highlight w:val="none"/>
        </w:rPr>
        <w:br w:type="page"/>
      </w:r>
      <w:r>
        <w:rPr>
          <w:rFonts w:hint="eastAsia" w:ascii="宋体" w:hAnsi="宋体"/>
          <w:b/>
          <w:bCs/>
          <w:color w:val="auto"/>
          <w:sz w:val="36"/>
          <w:szCs w:val="36"/>
          <w:highlight w:val="none"/>
          <w:lang w:val="en-US" w:eastAsia="zh-CN"/>
        </w:rPr>
        <w:t>分标5：零食（八宝粥、饼干、雪糕等）、方便面</w:t>
      </w:r>
      <w:r>
        <w:rPr>
          <w:rFonts w:hint="eastAsia" w:ascii="宋体" w:hAnsi="宋体"/>
          <w:b/>
          <w:bCs/>
          <w:color w:val="auto"/>
          <w:sz w:val="36"/>
          <w:szCs w:val="36"/>
          <w:highlight w:val="none"/>
        </w:rPr>
        <w:t>销售合同</w:t>
      </w:r>
    </w:p>
    <w:p w14:paraId="592721B7">
      <w:pPr>
        <w:spacing w:line="360" w:lineRule="auto"/>
        <w:rPr>
          <w:rFonts w:hint="eastAsia" w:ascii="Times New Roman" w:hAnsi="Times New Roman" w:cs="Times New Roman"/>
          <w:color w:val="auto"/>
          <w:sz w:val="24"/>
          <w:szCs w:val="24"/>
          <w:highlight w:val="none"/>
        </w:rPr>
      </w:pPr>
    </w:p>
    <w:p w14:paraId="058ED170">
      <w:pPr>
        <w:spacing w:line="360" w:lineRule="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甲方</w:t>
      </w:r>
      <w:r>
        <w:rPr>
          <w:rFonts w:hint="eastAsia" w:ascii="Times New Roman" w:hAnsi="Times New Roman" w:cs="Times New Roman"/>
          <w:color w:val="auto"/>
          <w:sz w:val="24"/>
          <w:szCs w:val="24"/>
          <w:highlight w:val="none"/>
          <w:lang w:val="en-US" w:eastAsia="zh-CN"/>
        </w:rPr>
        <w:t>：</w:t>
      </w:r>
      <w:r>
        <w:rPr>
          <w:rFonts w:hint="eastAsia" w:ascii="Times New Roman" w:hAnsi="Times New Roman" w:cs="Times New Roman"/>
          <w:color w:val="auto"/>
          <w:sz w:val="24"/>
          <w:szCs w:val="24"/>
          <w:highlight w:val="none"/>
        </w:rPr>
        <w:t xml:space="preserve">                       </w:t>
      </w:r>
    </w:p>
    <w:p w14:paraId="07D4FBF8">
      <w:pPr>
        <w:spacing w:line="360" w:lineRule="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乙方</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 xml:space="preserve">                        </w:t>
      </w:r>
    </w:p>
    <w:p w14:paraId="2CB42ABD">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经公开招标，确认乙方为零食（八宝粥、饼干、雪糕等）、方便面供应商，为进一步明确</w:t>
      </w:r>
      <w:r>
        <w:rPr>
          <w:rFonts w:hint="eastAsia" w:ascii="宋体" w:hAnsi="宋体"/>
          <w:color w:val="auto"/>
          <w:sz w:val="24"/>
          <w:szCs w:val="24"/>
          <w:highlight w:val="none"/>
          <w:lang w:eastAsia="zh-CN"/>
        </w:rPr>
        <w:t>双</w:t>
      </w:r>
      <w:r>
        <w:rPr>
          <w:rFonts w:hint="eastAsia" w:ascii="宋体" w:hAnsi="宋体"/>
          <w:color w:val="auto"/>
          <w:sz w:val="24"/>
          <w:szCs w:val="24"/>
          <w:highlight w:val="none"/>
        </w:rPr>
        <w:t>方的权利和责任，经甲、乙</w:t>
      </w:r>
      <w:r>
        <w:rPr>
          <w:rFonts w:hint="eastAsia" w:ascii="宋体" w:hAnsi="宋体"/>
          <w:color w:val="auto"/>
          <w:sz w:val="24"/>
          <w:szCs w:val="24"/>
          <w:highlight w:val="none"/>
          <w:lang w:eastAsia="zh-CN"/>
        </w:rPr>
        <w:t>双方</w:t>
      </w:r>
      <w:r>
        <w:rPr>
          <w:rFonts w:hint="eastAsia" w:ascii="宋体" w:hAnsi="宋体"/>
          <w:color w:val="auto"/>
          <w:sz w:val="24"/>
          <w:szCs w:val="24"/>
          <w:highlight w:val="none"/>
        </w:rPr>
        <w:t>共同协商，特订立此购销合同，以便</w:t>
      </w:r>
      <w:r>
        <w:rPr>
          <w:rFonts w:hint="eastAsia" w:ascii="宋体" w:hAnsi="宋体"/>
          <w:color w:val="auto"/>
          <w:sz w:val="24"/>
          <w:szCs w:val="24"/>
          <w:highlight w:val="none"/>
          <w:lang w:eastAsia="zh-CN"/>
        </w:rPr>
        <w:t>双方</w:t>
      </w:r>
      <w:r>
        <w:rPr>
          <w:rFonts w:hint="eastAsia" w:ascii="宋体" w:hAnsi="宋体"/>
          <w:color w:val="auto"/>
          <w:sz w:val="24"/>
          <w:szCs w:val="24"/>
          <w:highlight w:val="none"/>
        </w:rPr>
        <w:t>共同遵守：</w:t>
      </w:r>
    </w:p>
    <w:p w14:paraId="0CDA195D">
      <w:pPr>
        <w:spacing w:line="360" w:lineRule="auto"/>
        <w:ind w:firstLine="570"/>
        <w:rPr>
          <w:rFonts w:ascii="宋体" w:hAnsi="宋体"/>
          <w:color w:val="auto"/>
          <w:sz w:val="24"/>
          <w:szCs w:val="24"/>
          <w:highlight w:val="none"/>
        </w:rPr>
      </w:pPr>
      <w:r>
        <w:rPr>
          <w:rFonts w:hint="eastAsia" w:ascii="宋体" w:hAnsi="宋体"/>
          <w:color w:val="auto"/>
          <w:sz w:val="24"/>
          <w:szCs w:val="24"/>
          <w:highlight w:val="none"/>
        </w:rPr>
        <w:t>一、乙方同意</w:t>
      </w:r>
      <w:r>
        <w:rPr>
          <w:rFonts w:hint="eastAsia" w:ascii="宋体" w:hAnsi="宋体"/>
          <w:color w:val="auto"/>
          <w:sz w:val="24"/>
          <w:szCs w:val="24"/>
          <w:highlight w:val="none"/>
          <w:lang w:eastAsia="zh-CN"/>
        </w:rPr>
        <w:t>合同折扣率</w:t>
      </w:r>
      <w:r>
        <w:rPr>
          <w:rFonts w:hint="eastAsia" w:ascii="宋体" w:hAnsi="宋体"/>
          <w:color w:val="auto"/>
          <w:sz w:val="24"/>
          <w:szCs w:val="24"/>
          <w:highlight w:val="none"/>
        </w:rPr>
        <w:t>为</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w:t>
      </w:r>
    </w:p>
    <w:p w14:paraId="5EB4E76D">
      <w:pPr>
        <w:keepNext w:val="0"/>
        <w:keepLines w:val="0"/>
        <w:pageBreakBefore w:val="0"/>
        <w:widowControl w:val="0"/>
        <w:kinsoku/>
        <w:wordWrap/>
        <w:overflowPunct/>
        <w:topLinePunct w:val="0"/>
        <w:autoSpaceDE/>
        <w:autoSpaceDN/>
        <w:bidi w:val="0"/>
        <w:adjustRightInd/>
        <w:spacing w:line="440" w:lineRule="exact"/>
        <w:ind w:firstLine="570"/>
        <w:textAlignment w:val="auto"/>
        <w:rPr>
          <w:rFonts w:ascii="宋体" w:hAnsi="宋体"/>
          <w:color w:val="auto"/>
          <w:sz w:val="24"/>
          <w:szCs w:val="24"/>
          <w:highlight w:val="none"/>
        </w:rPr>
      </w:pPr>
      <w:r>
        <w:rPr>
          <w:rFonts w:hint="eastAsia" w:ascii="宋体" w:hAnsi="宋体"/>
          <w:color w:val="auto"/>
          <w:sz w:val="24"/>
          <w:szCs w:val="24"/>
          <w:highlight w:val="none"/>
        </w:rPr>
        <w:t>二、甲方销售的零食（八宝粥、饼干、雪糕等）、方便面由乙方提供,</w:t>
      </w:r>
      <w:r>
        <w:rPr>
          <w:rFonts w:hint="eastAsia" w:ascii="宋体" w:hAnsi="宋体"/>
          <w:color w:val="auto"/>
          <w:kern w:val="0"/>
          <w:sz w:val="24"/>
          <w:szCs w:val="24"/>
          <w:highlight w:val="none"/>
        </w:rPr>
        <w:t>价格随行就市</w:t>
      </w:r>
      <w:r>
        <w:rPr>
          <w:rFonts w:hint="eastAsia" w:ascii="宋体" w:hAnsi="宋体"/>
          <w:color w:val="auto"/>
          <w:sz w:val="24"/>
          <w:szCs w:val="24"/>
          <w:highlight w:val="none"/>
        </w:rPr>
        <w:t>。</w:t>
      </w:r>
    </w:p>
    <w:p w14:paraId="5E4E6FEB">
      <w:pPr>
        <w:keepNext w:val="0"/>
        <w:keepLines w:val="0"/>
        <w:pageBreakBefore w:val="0"/>
        <w:widowControl w:val="0"/>
        <w:kinsoku/>
        <w:wordWrap/>
        <w:overflowPunct/>
        <w:topLinePunct w:val="0"/>
        <w:autoSpaceDE/>
        <w:autoSpaceDN/>
        <w:bidi w:val="0"/>
        <w:adjustRightInd/>
        <w:spacing w:line="440" w:lineRule="exact"/>
        <w:ind w:firstLine="6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rPr>
        <w:t>三、</w:t>
      </w:r>
      <w:r>
        <w:rPr>
          <w:rFonts w:hint="eastAsia" w:ascii="宋体" w:hAnsi="宋体"/>
          <w:color w:val="auto"/>
          <w:sz w:val="24"/>
          <w:szCs w:val="24"/>
          <w:highlight w:val="none"/>
          <w:lang w:val="en-US" w:eastAsia="zh-CN"/>
        </w:rPr>
        <w:t>货物参考单价：</w:t>
      </w:r>
    </w:p>
    <w:p w14:paraId="4DC5A136">
      <w:pPr>
        <w:keepNext w:val="0"/>
        <w:keepLines w:val="0"/>
        <w:pageBreakBefore w:val="0"/>
        <w:widowControl w:val="0"/>
        <w:kinsoku/>
        <w:wordWrap/>
        <w:overflowPunct/>
        <w:topLinePunct w:val="0"/>
        <w:autoSpaceDE/>
        <w:autoSpaceDN/>
        <w:bidi w:val="0"/>
        <w:adjustRightInd/>
        <w:spacing w:line="360" w:lineRule="auto"/>
        <w:ind w:firstLine="57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根据政策要求，由上级领导部门每隔一段时间（每周或每月）召集采购人与供应商开会协商供货价格（三方议价），签订供货价格协议。中标人须按签好的价格协议供应商品。如政策变化，上级领导部门不再组织三方议价，则由采购人与中标人双方共同协商供货价格，签订供货价格协议。投标折扣率将作为食材或货物实际结算的合同折扣率，结算时以学校实际采购量进行结算。</w:t>
      </w:r>
    </w:p>
    <w:p w14:paraId="00894B1F">
      <w:pPr>
        <w:keepNext w:val="0"/>
        <w:keepLines w:val="0"/>
        <w:pageBreakBefore w:val="0"/>
        <w:widowControl w:val="0"/>
        <w:kinsoku/>
        <w:wordWrap/>
        <w:overflowPunct/>
        <w:topLinePunct w:val="0"/>
        <w:autoSpaceDE/>
        <w:autoSpaceDN/>
        <w:bidi w:val="0"/>
        <w:adjustRightInd/>
        <w:spacing w:line="360" w:lineRule="auto"/>
        <w:ind w:firstLine="57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采购人根据各分标食材或货物的市场价格情况，每个月在贵港市易农国际农产品交易中心、三合市场、江南市场及兴港副食城四地经过调查得出各食材或货物的市场批发均价，一般取双方在上述市场询价结果的平均值。当期某食材或货物结算价=市场批发均价×合同折扣率×该食材或货物实际采购量。</w:t>
      </w:r>
    </w:p>
    <w:p w14:paraId="6CE03CF0">
      <w:pPr>
        <w:keepNext w:val="0"/>
        <w:keepLines w:val="0"/>
        <w:pageBreakBefore w:val="0"/>
        <w:widowControl w:val="0"/>
        <w:kinsoku/>
        <w:wordWrap/>
        <w:overflowPunct/>
        <w:topLinePunct w:val="0"/>
        <w:autoSpaceDE/>
        <w:autoSpaceDN/>
        <w:bidi w:val="0"/>
        <w:adjustRightInd/>
        <w:spacing w:line="360" w:lineRule="auto"/>
        <w:ind w:firstLine="570"/>
        <w:textAlignment w:val="auto"/>
        <w:rPr>
          <w:rFonts w:hint="eastAsia" w:ascii="宋体" w:hAnsi="宋体"/>
          <w:color w:val="auto"/>
          <w:sz w:val="24"/>
          <w:szCs w:val="24"/>
          <w:highlight w:val="none"/>
          <w:lang w:val="en-US" w:eastAsia="zh-CN"/>
        </w:rPr>
      </w:pPr>
      <w:r>
        <w:rPr>
          <w:rFonts w:hint="eastAsia" w:ascii="宋体" w:hAnsi="宋体" w:eastAsia="宋体" w:cs="宋体"/>
          <w:kern w:val="0"/>
          <w:sz w:val="24"/>
          <w:szCs w:val="24"/>
          <w:lang w:val="en-US" w:eastAsia="zh-CN" w:bidi="ar"/>
        </w:rPr>
        <w:t>3.本合同能自主采购的商品种类及数量，由学校的实际需要决定，同时受上级的有关政策影响，因此招标文件的预估数量仅供参考，不能作为学校承诺的最低采购数量看待。</w:t>
      </w:r>
    </w:p>
    <w:p w14:paraId="44BF7479">
      <w:pPr>
        <w:keepNext w:val="0"/>
        <w:keepLines w:val="0"/>
        <w:pageBreakBefore w:val="0"/>
        <w:widowControl w:val="0"/>
        <w:kinsoku/>
        <w:wordWrap/>
        <w:overflowPunct/>
        <w:topLinePunct w:val="0"/>
        <w:autoSpaceDE/>
        <w:autoSpaceDN/>
        <w:bidi w:val="0"/>
        <w:adjustRightInd/>
        <w:spacing w:line="360" w:lineRule="auto"/>
        <w:ind w:firstLine="570"/>
        <w:textAlignment w:val="auto"/>
        <w:rPr>
          <w:rFonts w:ascii="宋体" w:hAnsi="宋体"/>
          <w:color w:val="auto"/>
          <w:sz w:val="24"/>
          <w:szCs w:val="24"/>
          <w:highlight w:val="none"/>
        </w:rPr>
      </w:pPr>
      <w:r>
        <w:rPr>
          <w:rFonts w:hint="eastAsia" w:ascii="宋体" w:hAnsi="宋体"/>
          <w:color w:val="auto"/>
          <w:sz w:val="24"/>
          <w:szCs w:val="24"/>
          <w:highlight w:val="none"/>
        </w:rPr>
        <w:t>四、1、乙方供应的零食（八宝粥、饼干、雪糕等）、方便面必须是品牌知名度较高，市场有销售的产品，有明显的标签，有生产日期和生产许可证，严禁将小作坊生产的产品、过期变质的、冒牌的或无厂家、无生产日期、无生产许可证号的“三无”产品供应给甲方。</w:t>
      </w:r>
    </w:p>
    <w:p w14:paraId="2371B4BF">
      <w:pPr>
        <w:pStyle w:val="17"/>
        <w:keepNext w:val="0"/>
        <w:keepLines w:val="0"/>
        <w:pageBreakBefore w:val="0"/>
        <w:widowControl w:val="0"/>
        <w:kinsoku/>
        <w:wordWrap/>
        <w:overflowPunct/>
        <w:topLinePunct w:val="0"/>
        <w:autoSpaceDE/>
        <w:autoSpaceDN/>
        <w:bidi w:val="0"/>
        <w:adjustRightInd/>
        <w:snapToGrid w:val="0"/>
        <w:spacing w:line="360" w:lineRule="auto"/>
        <w:ind w:left="2" w:leftChars="1" w:firstLine="480" w:firstLineChars="200"/>
        <w:textAlignment w:val="auto"/>
        <w:rPr>
          <w:rFonts w:hAnsi="宋体" w:eastAsia="宋体"/>
          <w:color w:val="auto"/>
          <w:sz w:val="24"/>
          <w:szCs w:val="24"/>
          <w:highlight w:val="none"/>
        </w:rPr>
      </w:pPr>
      <w:r>
        <w:rPr>
          <w:rFonts w:hint="eastAsia" w:hAnsi="宋体" w:eastAsia="宋体"/>
          <w:color w:val="auto"/>
          <w:sz w:val="24"/>
          <w:szCs w:val="24"/>
          <w:highlight w:val="none"/>
        </w:rPr>
        <w:t>2、乙方在签订合同后一个月内必须到相关的保险公司进行投保，投保险种为食品安全责任保险，否则采购单位有权终止合同。</w:t>
      </w:r>
    </w:p>
    <w:p w14:paraId="1F6828E9">
      <w:pPr>
        <w:pStyle w:val="17"/>
        <w:keepNext w:val="0"/>
        <w:keepLines w:val="0"/>
        <w:pageBreakBefore w:val="0"/>
        <w:widowControl w:val="0"/>
        <w:kinsoku/>
        <w:wordWrap/>
        <w:overflowPunct/>
        <w:topLinePunct w:val="0"/>
        <w:autoSpaceDE/>
        <w:autoSpaceDN/>
        <w:bidi w:val="0"/>
        <w:adjustRightInd/>
        <w:snapToGrid w:val="0"/>
        <w:spacing w:line="440" w:lineRule="exact"/>
        <w:ind w:left="2" w:leftChars="1" w:firstLine="480" w:firstLineChars="200"/>
        <w:textAlignment w:val="auto"/>
        <w:rPr>
          <w:rFonts w:hAnsi="宋体" w:eastAsia="宋体"/>
          <w:color w:val="auto"/>
          <w:sz w:val="24"/>
          <w:szCs w:val="24"/>
          <w:highlight w:val="none"/>
        </w:rPr>
      </w:pPr>
      <w:r>
        <w:rPr>
          <w:rFonts w:hint="eastAsia" w:hAnsi="宋体" w:eastAsia="宋体"/>
          <w:color w:val="auto"/>
          <w:sz w:val="24"/>
          <w:szCs w:val="24"/>
          <w:highlight w:val="none"/>
        </w:rPr>
        <w:t>3、</w:t>
      </w:r>
      <w:r>
        <w:rPr>
          <w:rFonts w:hint="eastAsia" w:ascii="宋体" w:hAnsi="宋体"/>
          <w:color w:val="auto"/>
          <w:sz w:val="24"/>
          <w:szCs w:val="24"/>
          <w:highlight w:val="none"/>
        </w:rPr>
        <w:t>甲方</w:t>
      </w:r>
      <w:r>
        <w:rPr>
          <w:rFonts w:hint="eastAsia" w:hAnsi="宋体" w:eastAsia="宋体"/>
          <w:color w:val="auto"/>
          <w:sz w:val="24"/>
          <w:szCs w:val="24"/>
          <w:highlight w:val="none"/>
        </w:rPr>
        <w:t>负责定期或不定期组织市场监管、卫健委等有关部门进行食品卫生监督以确保所供产品的卫生质量。</w:t>
      </w:r>
    </w:p>
    <w:p w14:paraId="3CF35F4D">
      <w:pPr>
        <w:shd w:val="clear" w:color="auto" w:fill="auto"/>
        <w:wordWrap w:val="0"/>
        <w:spacing w:line="440" w:lineRule="exact"/>
        <w:ind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五、监督办法与退出机制：</w:t>
      </w:r>
    </w:p>
    <w:p w14:paraId="08A963B2">
      <w:pPr>
        <w:shd w:val="clear" w:color="auto" w:fill="auto"/>
        <w:wordWrap w:val="0"/>
        <w:spacing w:line="440" w:lineRule="exact"/>
        <w:ind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1、监督办法</w:t>
      </w:r>
      <w:r>
        <w:rPr>
          <w:rFonts w:hint="eastAsia" w:ascii="宋体" w:hAnsi="宋体" w:eastAsia="宋体" w:cs="宋体"/>
          <w:bCs/>
          <w:color w:val="auto"/>
          <w:sz w:val="24"/>
          <w:szCs w:val="24"/>
          <w:highlight w:val="none"/>
          <w:lang w:eastAsia="zh-CN"/>
        </w:rPr>
        <w:t>：定期进行供应商</w:t>
      </w:r>
      <w:r>
        <w:rPr>
          <w:rFonts w:hint="eastAsia" w:ascii="宋体" w:hAnsi="宋体" w:eastAsia="宋体" w:cs="宋体"/>
          <w:bCs/>
          <w:color w:val="auto"/>
          <w:sz w:val="24"/>
          <w:szCs w:val="24"/>
          <w:highlight w:val="none"/>
          <w:lang w:val="en-US" w:eastAsia="zh-CN"/>
        </w:rPr>
        <w:t>供货</w:t>
      </w:r>
      <w:r>
        <w:rPr>
          <w:rFonts w:hint="eastAsia" w:ascii="宋体" w:hAnsi="宋体" w:eastAsia="宋体" w:cs="宋体"/>
          <w:bCs/>
          <w:color w:val="auto"/>
          <w:sz w:val="24"/>
          <w:szCs w:val="24"/>
          <w:highlight w:val="none"/>
          <w:lang w:eastAsia="zh-CN"/>
        </w:rPr>
        <w:t>测评，每月学校代表对供应商的服务态度及价格等因素进行测评，对合格率低于</w:t>
      </w:r>
      <w:r>
        <w:rPr>
          <w:rFonts w:hint="eastAsia" w:ascii="宋体" w:hAnsi="宋体" w:eastAsia="宋体" w:cs="宋体"/>
          <w:bCs/>
          <w:color w:val="auto"/>
          <w:sz w:val="24"/>
          <w:szCs w:val="24"/>
          <w:highlight w:val="none"/>
          <w:lang w:val="en-US" w:eastAsia="zh-CN"/>
        </w:rPr>
        <w:t>90</w:t>
      </w:r>
      <w:r>
        <w:rPr>
          <w:rFonts w:hint="eastAsia" w:ascii="宋体" w:hAnsi="宋体" w:eastAsia="宋体" w:cs="宋体"/>
          <w:bCs/>
          <w:color w:val="auto"/>
          <w:sz w:val="24"/>
          <w:szCs w:val="24"/>
          <w:highlight w:val="none"/>
          <w:lang w:eastAsia="zh-CN"/>
        </w:rPr>
        <w:t>%的供应商进行约谈整改，合格率低于</w:t>
      </w:r>
      <w:r>
        <w:rPr>
          <w:rFonts w:hint="eastAsia" w:ascii="宋体" w:hAnsi="宋体" w:eastAsia="宋体" w:cs="宋体"/>
          <w:bCs/>
          <w:color w:val="auto"/>
          <w:sz w:val="24"/>
          <w:szCs w:val="24"/>
          <w:highlight w:val="none"/>
          <w:lang w:val="en-US" w:eastAsia="zh-CN"/>
        </w:rPr>
        <w:t>70</w:t>
      </w:r>
      <w:r>
        <w:rPr>
          <w:rFonts w:hint="eastAsia" w:ascii="宋体" w:hAnsi="宋体" w:eastAsia="宋体" w:cs="宋体"/>
          <w:bCs/>
          <w:color w:val="auto"/>
          <w:sz w:val="24"/>
          <w:szCs w:val="24"/>
          <w:highlight w:val="none"/>
          <w:lang w:eastAsia="zh-CN"/>
        </w:rPr>
        <w:t>%的供应商暂停供货一个月，合格率低于</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lang w:eastAsia="zh-CN"/>
        </w:rPr>
        <w:t>0%的</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eastAsia="zh-CN"/>
        </w:rPr>
        <w:t>终止其供货合同。</w:t>
      </w:r>
    </w:p>
    <w:p w14:paraId="2369B612">
      <w:pPr>
        <w:shd w:val="clear" w:color="auto" w:fill="auto"/>
        <w:wordWrap w:val="0"/>
        <w:spacing w:line="440" w:lineRule="exact"/>
        <w:ind w:firstLine="480" w:firstLineChars="20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2、退出机制：</w:t>
      </w:r>
      <w:r>
        <w:rPr>
          <w:rFonts w:hint="eastAsia" w:ascii="宋体" w:hAnsi="宋体" w:cs="宋体"/>
          <w:bCs/>
          <w:color w:val="auto"/>
          <w:sz w:val="24"/>
          <w:szCs w:val="24"/>
          <w:highlight w:val="none"/>
          <w:lang w:val="en-US" w:eastAsia="zh-CN"/>
        </w:rPr>
        <w:t>供应商在国务院互联网+督查平台被投诉举报（核查属实）1次的终止其供货合同；供应商在12345政务服务便民热线平台被投诉举报（核查属实）1次的进行约谈整改，2次停止供货一个月；3次的终止其供货合同；供应商被学校师生投诉举报（核查属实）1次的进行提醒教育，2次的进行约谈，3次的停止供货一个月，4次的终止供货合同。</w:t>
      </w:r>
      <w:r>
        <w:rPr>
          <w:rFonts w:hint="eastAsia" w:ascii="宋体" w:hAnsi="宋体" w:eastAsia="宋体" w:cs="宋体"/>
          <w:bCs/>
          <w:color w:val="auto"/>
          <w:sz w:val="24"/>
          <w:szCs w:val="24"/>
          <w:highlight w:val="none"/>
          <w:lang w:eastAsia="zh-CN"/>
        </w:rPr>
        <w:t>供应商</w:t>
      </w:r>
      <w:r>
        <w:rPr>
          <w:rFonts w:hint="eastAsia" w:ascii="宋体" w:hAnsi="宋体" w:cs="宋体"/>
          <w:bCs/>
          <w:color w:val="auto"/>
          <w:sz w:val="24"/>
          <w:szCs w:val="24"/>
          <w:highlight w:val="none"/>
          <w:lang w:eastAsia="zh-CN"/>
        </w:rPr>
        <w:t>所供</w:t>
      </w:r>
      <w:r>
        <w:rPr>
          <w:rFonts w:hint="eastAsia" w:ascii="宋体" w:hAnsi="宋体" w:eastAsia="宋体" w:cs="宋体"/>
          <w:bCs/>
          <w:color w:val="auto"/>
          <w:sz w:val="24"/>
          <w:szCs w:val="24"/>
          <w:highlight w:val="none"/>
          <w:lang w:eastAsia="zh-CN"/>
        </w:rPr>
        <w:t>食材质量</w:t>
      </w:r>
      <w:r>
        <w:rPr>
          <w:rFonts w:hint="eastAsia" w:ascii="宋体" w:hAnsi="宋体" w:cs="宋体"/>
          <w:bCs/>
          <w:color w:val="auto"/>
          <w:sz w:val="24"/>
          <w:szCs w:val="24"/>
          <w:highlight w:val="none"/>
          <w:lang w:eastAsia="zh-CN"/>
        </w:rPr>
        <w:t>必须达到</w:t>
      </w:r>
      <w:r>
        <w:rPr>
          <w:rFonts w:hint="eastAsia" w:ascii="宋体" w:hAnsi="宋体" w:cs="宋体"/>
          <w:bCs/>
          <w:color w:val="auto"/>
          <w:sz w:val="24"/>
          <w:szCs w:val="24"/>
          <w:highlight w:val="none"/>
          <w:lang w:val="en-US" w:eastAsia="zh-CN"/>
        </w:rPr>
        <w:t>100%合格，否则终止供货合同</w:t>
      </w:r>
      <w:r>
        <w:rPr>
          <w:rFonts w:hint="eastAsia" w:ascii="宋体" w:hAnsi="宋体" w:eastAsia="宋体" w:cs="宋体"/>
          <w:bCs/>
          <w:color w:val="auto"/>
          <w:sz w:val="24"/>
          <w:szCs w:val="24"/>
          <w:highlight w:val="none"/>
          <w:lang w:val="en-US" w:eastAsia="zh-CN"/>
        </w:rPr>
        <w:t>。一经终止供货合同，则由第二中标候选人递补，以此类推。</w:t>
      </w:r>
    </w:p>
    <w:p w14:paraId="00C1A753">
      <w:pPr>
        <w:pStyle w:val="17"/>
        <w:keepNext w:val="0"/>
        <w:keepLines w:val="0"/>
        <w:pageBreakBefore w:val="0"/>
        <w:widowControl w:val="0"/>
        <w:kinsoku/>
        <w:wordWrap/>
        <w:overflowPunct/>
        <w:topLinePunct w:val="0"/>
        <w:autoSpaceDE/>
        <w:autoSpaceDN/>
        <w:bidi w:val="0"/>
        <w:adjustRightInd/>
        <w:snapToGrid w:val="0"/>
        <w:spacing w:line="440" w:lineRule="exact"/>
        <w:ind w:left="2" w:leftChars="1" w:firstLine="480" w:firstLineChars="200"/>
        <w:textAlignment w:val="auto"/>
        <w:rPr>
          <w:rFonts w:hAnsi="宋体" w:eastAsia="宋体"/>
          <w:color w:val="auto"/>
          <w:sz w:val="24"/>
          <w:szCs w:val="24"/>
          <w:highlight w:val="none"/>
        </w:rPr>
      </w:pPr>
      <w:r>
        <w:rPr>
          <w:rFonts w:hint="eastAsia" w:hAnsi="宋体" w:eastAsia="宋体"/>
          <w:color w:val="auto"/>
          <w:sz w:val="24"/>
          <w:szCs w:val="24"/>
          <w:highlight w:val="none"/>
        </w:rPr>
        <w:t>六、交货方式：</w:t>
      </w:r>
      <w:r>
        <w:rPr>
          <w:rFonts w:hint="eastAsia" w:ascii="宋体" w:hAnsi="宋体"/>
          <w:color w:val="auto"/>
          <w:sz w:val="24"/>
          <w:szCs w:val="24"/>
          <w:highlight w:val="none"/>
        </w:rPr>
        <w:t>甲方</w:t>
      </w:r>
      <w:r>
        <w:rPr>
          <w:rFonts w:hint="eastAsia" w:hAnsi="宋体" w:eastAsia="宋体"/>
          <w:color w:val="auto"/>
          <w:sz w:val="24"/>
          <w:szCs w:val="24"/>
          <w:highlight w:val="none"/>
        </w:rPr>
        <w:t>必须提前壹至两天将需要零食（八宝粥、饼干、雪糕等）、方便面的品种、数量报给乙方，乙方按甲方所订的品种及数量按质、按时、按要求送到甲方指定的地点，运费及装卸费由乙方承担。</w:t>
      </w:r>
    </w:p>
    <w:p w14:paraId="3F6D22AC">
      <w:pPr>
        <w:keepNext w:val="0"/>
        <w:keepLines w:val="0"/>
        <w:pageBreakBefore w:val="0"/>
        <w:widowControl w:val="0"/>
        <w:kinsoku/>
        <w:wordWrap/>
        <w:overflowPunct/>
        <w:topLinePunct w:val="0"/>
        <w:autoSpaceDE/>
        <w:autoSpaceDN/>
        <w:bidi w:val="0"/>
        <w:adjustRightInd/>
        <w:spacing w:line="440" w:lineRule="exact"/>
        <w:textAlignment w:val="auto"/>
        <w:rPr>
          <w:rFonts w:ascii="宋体" w:hAnsi="宋体"/>
          <w:color w:val="auto"/>
          <w:sz w:val="24"/>
          <w:szCs w:val="24"/>
          <w:highlight w:val="none"/>
        </w:rPr>
      </w:pPr>
      <w:r>
        <w:rPr>
          <w:rFonts w:hint="eastAsia" w:ascii="宋体" w:hAnsi="宋体"/>
          <w:color w:val="auto"/>
          <w:sz w:val="24"/>
          <w:szCs w:val="24"/>
          <w:highlight w:val="none"/>
        </w:rPr>
        <w:t xml:space="preserve">    七、货款结算方式：</w:t>
      </w:r>
      <w:r>
        <w:rPr>
          <w:rFonts w:hint="eastAsia" w:ascii="宋体" w:hAnsi="宋体"/>
          <w:color w:val="auto"/>
          <w:sz w:val="24"/>
          <w:szCs w:val="24"/>
          <w:highlight w:val="none"/>
          <w:lang w:val="en-US" w:eastAsia="zh-CN"/>
        </w:rPr>
        <w:t>一般情况下采购人按月进行结算，采购资金由采购人财务账户转入中标供应商账户。每月25日前，中标供应商向采购人开具上一月度供货相应数额的发票（农副产品免税的除外），采购人收到发票后30个工作日内支付。特殊情况，需临时改变结算方式，双方可通过协商解决。</w:t>
      </w:r>
    </w:p>
    <w:p w14:paraId="71816E25">
      <w:pPr>
        <w:keepNext w:val="0"/>
        <w:keepLines w:val="0"/>
        <w:pageBreakBefore w:val="0"/>
        <w:widowControl w:val="0"/>
        <w:kinsoku/>
        <w:wordWrap/>
        <w:overflowPunct/>
        <w:topLinePunct w:val="0"/>
        <w:autoSpaceDE/>
        <w:autoSpaceDN/>
        <w:bidi w:val="0"/>
        <w:adjustRightInd/>
        <w:spacing w:line="440" w:lineRule="exact"/>
        <w:ind w:firstLine="600"/>
        <w:textAlignment w:val="auto"/>
        <w:rPr>
          <w:rFonts w:ascii="宋体" w:hAnsi="宋体"/>
          <w:color w:val="auto"/>
          <w:sz w:val="24"/>
          <w:szCs w:val="24"/>
          <w:highlight w:val="none"/>
        </w:rPr>
      </w:pPr>
      <w:r>
        <w:rPr>
          <w:rFonts w:hint="eastAsia" w:ascii="宋体" w:hAnsi="宋体"/>
          <w:color w:val="auto"/>
          <w:sz w:val="24"/>
          <w:szCs w:val="24"/>
          <w:highlight w:val="none"/>
        </w:rPr>
        <w:t>八、如遇市场价格变动或特殊情况，一方提出要求变更合同内容，应提前10天作出书面报告通知</w:t>
      </w:r>
      <w:r>
        <w:rPr>
          <w:rFonts w:hint="eastAsia" w:ascii="宋体" w:hAnsi="宋体" w:eastAsia="宋体" w:cs="宋体"/>
          <w:b w:val="0"/>
          <w:bCs w:val="0"/>
          <w:color w:val="auto"/>
          <w:sz w:val="24"/>
          <w:szCs w:val="24"/>
          <w:highlight w:val="none"/>
        </w:rPr>
        <w:t>乙方</w:t>
      </w:r>
      <w:r>
        <w:rPr>
          <w:rFonts w:hint="eastAsia" w:ascii="宋体" w:hAnsi="宋体"/>
          <w:color w:val="auto"/>
          <w:sz w:val="24"/>
          <w:szCs w:val="24"/>
          <w:highlight w:val="none"/>
        </w:rPr>
        <w:t>，由甲</w:t>
      </w:r>
      <w:r>
        <w:rPr>
          <w:rFonts w:hint="eastAsia" w:ascii="宋体" w:hAnsi="宋体" w:eastAsia="宋体" w:cs="宋体"/>
          <w:b w:val="0"/>
          <w:bCs w:val="0"/>
          <w:color w:val="auto"/>
          <w:sz w:val="24"/>
          <w:szCs w:val="24"/>
          <w:highlight w:val="none"/>
        </w:rPr>
        <w:t>方</w:t>
      </w:r>
      <w:r>
        <w:rPr>
          <w:rFonts w:hint="eastAsia" w:ascii="宋体" w:hAnsi="宋体"/>
          <w:color w:val="auto"/>
          <w:sz w:val="24"/>
          <w:szCs w:val="24"/>
          <w:highlight w:val="none"/>
        </w:rPr>
        <w:t>在5天内组织共同商议，经</w:t>
      </w:r>
      <w:r>
        <w:rPr>
          <w:rFonts w:hint="eastAsia" w:ascii="宋体" w:hAnsi="宋体"/>
          <w:color w:val="auto"/>
          <w:sz w:val="24"/>
          <w:szCs w:val="24"/>
          <w:highlight w:val="none"/>
          <w:lang w:eastAsia="zh-CN"/>
        </w:rPr>
        <w:t>双方</w:t>
      </w:r>
      <w:r>
        <w:rPr>
          <w:rFonts w:hint="eastAsia" w:ascii="宋体" w:hAnsi="宋体"/>
          <w:color w:val="auto"/>
          <w:sz w:val="24"/>
          <w:szCs w:val="24"/>
          <w:highlight w:val="none"/>
        </w:rPr>
        <w:t>协商一致后方能修改，如若</w:t>
      </w:r>
      <w:r>
        <w:rPr>
          <w:rFonts w:hint="eastAsia" w:ascii="宋体" w:hAnsi="宋体"/>
          <w:color w:val="auto"/>
          <w:sz w:val="24"/>
          <w:szCs w:val="24"/>
          <w:highlight w:val="none"/>
          <w:lang w:eastAsia="zh-CN"/>
        </w:rPr>
        <w:t>双方</w:t>
      </w:r>
      <w:r>
        <w:rPr>
          <w:rFonts w:hint="eastAsia" w:ascii="宋体" w:hAnsi="宋体"/>
          <w:color w:val="auto"/>
          <w:sz w:val="24"/>
          <w:szCs w:val="24"/>
          <w:highlight w:val="none"/>
        </w:rPr>
        <w:t>不达成修改协议的，甲</w:t>
      </w:r>
      <w:r>
        <w:rPr>
          <w:rFonts w:hint="eastAsia" w:ascii="宋体" w:hAnsi="宋体" w:eastAsia="宋体" w:cs="宋体"/>
          <w:b w:val="0"/>
          <w:bCs w:val="0"/>
          <w:color w:val="auto"/>
          <w:sz w:val="24"/>
          <w:szCs w:val="24"/>
          <w:highlight w:val="none"/>
        </w:rPr>
        <w:t>方</w:t>
      </w:r>
      <w:r>
        <w:rPr>
          <w:rFonts w:hint="eastAsia" w:ascii="宋体" w:hAnsi="宋体"/>
          <w:color w:val="auto"/>
          <w:sz w:val="24"/>
          <w:szCs w:val="24"/>
          <w:highlight w:val="none"/>
        </w:rPr>
        <w:t>有权重新确定供应商。</w:t>
      </w:r>
    </w:p>
    <w:p w14:paraId="2483AD1E">
      <w:pPr>
        <w:keepNext w:val="0"/>
        <w:keepLines w:val="0"/>
        <w:pageBreakBefore w:val="0"/>
        <w:widowControl w:val="0"/>
        <w:kinsoku/>
        <w:wordWrap/>
        <w:overflowPunct/>
        <w:topLinePunct w:val="0"/>
        <w:autoSpaceDE/>
        <w:autoSpaceDN/>
        <w:bidi w:val="0"/>
        <w:adjustRightInd/>
        <w:spacing w:line="440" w:lineRule="exact"/>
        <w:ind w:firstLine="600"/>
        <w:textAlignment w:val="auto"/>
        <w:rPr>
          <w:rFonts w:ascii="宋体" w:hAnsi="宋体"/>
          <w:color w:val="auto"/>
          <w:sz w:val="24"/>
          <w:szCs w:val="24"/>
          <w:highlight w:val="none"/>
        </w:rPr>
      </w:pPr>
      <w:r>
        <w:rPr>
          <w:rFonts w:hint="eastAsia" w:ascii="宋体" w:hAnsi="宋体"/>
          <w:color w:val="auto"/>
          <w:sz w:val="24"/>
          <w:szCs w:val="24"/>
          <w:highlight w:val="none"/>
        </w:rPr>
        <w:t>九、违约责任：</w:t>
      </w:r>
    </w:p>
    <w:p w14:paraId="5E608400">
      <w:pPr>
        <w:keepNext w:val="0"/>
        <w:keepLines w:val="0"/>
        <w:pageBreakBefore w:val="0"/>
        <w:widowControl w:val="0"/>
        <w:kinsoku/>
        <w:wordWrap/>
        <w:overflowPunct/>
        <w:topLinePunct w:val="0"/>
        <w:autoSpaceDE/>
        <w:autoSpaceDN/>
        <w:bidi w:val="0"/>
        <w:adjustRightInd/>
        <w:spacing w:line="440" w:lineRule="exact"/>
        <w:textAlignment w:val="auto"/>
        <w:rPr>
          <w:rFonts w:ascii="宋体" w:hAnsi="宋体"/>
          <w:color w:val="auto"/>
          <w:sz w:val="24"/>
          <w:szCs w:val="24"/>
          <w:highlight w:val="none"/>
        </w:rPr>
      </w:pPr>
      <w:r>
        <w:rPr>
          <w:rFonts w:hint="eastAsia" w:ascii="宋体" w:hAnsi="宋体"/>
          <w:color w:val="auto"/>
          <w:sz w:val="24"/>
          <w:szCs w:val="24"/>
          <w:highlight w:val="none"/>
        </w:rPr>
        <w:t xml:space="preserve">    乙方存在下列情况的，所引起的经济和法律责任由乙方承担，本合同自然终止：</w:t>
      </w:r>
    </w:p>
    <w:p w14:paraId="67AB6646">
      <w:pPr>
        <w:keepNext w:val="0"/>
        <w:keepLines w:val="0"/>
        <w:pageBreakBefore w:val="0"/>
        <w:widowControl w:val="0"/>
        <w:kinsoku/>
        <w:wordWrap/>
        <w:overflowPunct/>
        <w:topLinePunct w:val="0"/>
        <w:autoSpaceDE/>
        <w:autoSpaceDN/>
        <w:bidi w:val="0"/>
        <w:adjustRightInd/>
        <w:spacing w:line="440" w:lineRule="exact"/>
        <w:textAlignment w:val="auto"/>
        <w:rPr>
          <w:rFonts w:ascii="宋体" w:hAnsi="宋体"/>
          <w:color w:val="auto"/>
          <w:sz w:val="24"/>
          <w:szCs w:val="24"/>
          <w:highlight w:val="none"/>
        </w:rPr>
      </w:pPr>
      <w:r>
        <w:rPr>
          <w:rFonts w:hint="eastAsia" w:ascii="宋体" w:hAnsi="宋体"/>
          <w:color w:val="auto"/>
          <w:sz w:val="24"/>
          <w:szCs w:val="24"/>
          <w:highlight w:val="none"/>
        </w:rPr>
        <w:t xml:space="preserve">    1、甲方师生因食用乙方提供的各类副食品而中毒的；</w:t>
      </w:r>
    </w:p>
    <w:p w14:paraId="722BC15F">
      <w:pPr>
        <w:keepNext w:val="0"/>
        <w:keepLines w:val="0"/>
        <w:pageBreakBefore w:val="0"/>
        <w:widowControl w:val="0"/>
        <w:kinsoku/>
        <w:wordWrap/>
        <w:overflowPunct/>
        <w:topLinePunct w:val="0"/>
        <w:autoSpaceDE/>
        <w:autoSpaceDN/>
        <w:bidi w:val="0"/>
        <w:adjustRightInd/>
        <w:spacing w:line="440" w:lineRule="exact"/>
        <w:textAlignment w:val="auto"/>
        <w:rPr>
          <w:rFonts w:ascii="宋体" w:hAnsi="宋体"/>
          <w:color w:val="auto"/>
          <w:sz w:val="24"/>
          <w:szCs w:val="24"/>
          <w:highlight w:val="none"/>
        </w:rPr>
      </w:pPr>
      <w:r>
        <w:rPr>
          <w:rFonts w:hint="eastAsia" w:ascii="宋体" w:hAnsi="宋体"/>
          <w:color w:val="auto"/>
          <w:sz w:val="24"/>
          <w:szCs w:val="24"/>
          <w:highlight w:val="none"/>
        </w:rPr>
        <w:t xml:space="preserve">    2、不按要求或拒不交货的；</w:t>
      </w:r>
    </w:p>
    <w:p w14:paraId="197A21AD">
      <w:pPr>
        <w:keepNext w:val="0"/>
        <w:keepLines w:val="0"/>
        <w:pageBreakBefore w:val="0"/>
        <w:widowControl w:val="0"/>
        <w:kinsoku/>
        <w:wordWrap/>
        <w:overflowPunct/>
        <w:topLinePunct w:val="0"/>
        <w:autoSpaceDE/>
        <w:autoSpaceDN/>
        <w:bidi w:val="0"/>
        <w:adjustRightInd/>
        <w:spacing w:line="440" w:lineRule="exact"/>
        <w:textAlignment w:val="auto"/>
        <w:rPr>
          <w:rFonts w:ascii="宋体" w:hAnsi="宋体"/>
          <w:color w:val="auto"/>
          <w:sz w:val="24"/>
          <w:szCs w:val="24"/>
          <w:highlight w:val="none"/>
        </w:rPr>
      </w:pPr>
      <w:r>
        <w:rPr>
          <w:rFonts w:hint="eastAsia" w:ascii="宋体" w:hAnsi="宋体"/>
          <w:color w:val="auto"/>
          <w:sz w:val="24"/>
          <w:szCs w:val="24"/>
          <w:highlight w:val="none"/>
        </w:rPr>
        <w:t xml:space="preserve">    3、供应的零食（八宝粥、饼干、雪糕等）、方便面经有关部门证实是无生产厂家、无生产日期、无生产许可证号的“三无”产品及过期变质产品的；</w:t>
      </w:r>
    </w:p>
    <w:p w14:paraId="62E63627">
      <w:pPr>
        <w:keepNext w:val="0"/>
        <w:keepLines w:val="0"/>
        <w:pageBreakBefore w:val="0"/>
        <w:widowControl w:val="0"/>
        <w:kinsoku/>
        <w:wordWrap/>
        <w:overflowPunct/>
        <w:topLinePunct w:val="0"/>
        <w:autoSpaceDE/>
        <w:autoSpaceDN/>
        <w:bidi w:val="0"/>
        <w:adjustRightInd/>
        <w:spacing w:line="440" w:lineRule="exact"/>
        <w:ind w:firstLine="600"/>
        <w:textAlignment w:val="auto"/>
        <w:rPr>
          <w:rFonts w:ascii="宋体" w:hAnsi="宋体"/>
          <w:color w:val="auto"/>
          <w:sz w:val="24"/>
          <w:szCs w:val="24"/>
          <w:highlight w:val="none"/>
        </w:rPr>
      </w:pPr>
      <w:r>
        <w:rPr>
          <w:rFonts w:hint="eastAsia" w:ascii="宋体" w:hAnsi="宋体"/>
          <w:color w:val="auto"/>
          <w:sz w:val="24"/>
          <w:szCs w:val="24"/>
          <w:highlight w:val="none"/>
        </w:rPr>
        <w:t>4、因违法经营被市场监管、税务、卫健委等部门处罚的；</w:t>
      </w:r>
    </w:p>
    <w:p w14:paraId="6388A00B">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5、因政策变动或其他人力不可抗拒原因导致合同无法履行的，任何一方不负违约责任。</w:t>
      </w:r>
    </w:p>
    <w:p w14:paraId="07BC88D7">
      <w:pPr>
        <w:spacing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 xml:space="preserve">  十、合同有效期：</w:t>
      </w:r>
      <w:r>
        <w:rPr>
          <w:rFonts w:hint="eastAsia" w:hAnsi="宋体" w:eastAsia="宋体"/>
          <w:color w:val="auto"/>
          <w:sz w:val="24"/>
          <w:szCs w:val="24"/>
          <w:highlight w:val="none"/>
        </w:rPr>
        <w:t>从</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年</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月</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日至</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年</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月</w:t>
      </w:r>
      <w:r>
        <w:rPr>
          <w:rFonts w:hint="eastAsia" w:hAnsi="宋体" w:eastAsia="宋体"/>
          <w:color w:val="auto"/>
          <w:sz w:val="24"/>
          <w:szCs w:val="24"/>
          <w:highlight w:val="none"/>
          <w:lang w:val="en-US" w:eastAsia="zh-CN"/>
        </w:rPr>
        <w:t xml:space="preserve">   </w:t>
      </w:r>
      <w:r>
        <w:rPr>
          <w:rFonts w:hint="eastAsia" w:hAnsi="宋体" w:eastAsia="宋体"/>
          <w:color w:val="auto"/>
          <w:sz w:val="24"/>
          <w:szCs w:val="24"/>
          <w:highlight w:val="none"/>
        </w:rPr>
        <w:t>日</w:t>
      </w:r>
      <w:r>
        <w:rPr>
          <w:rFonts w:hint="eastAsia" w:ascii="宋体" w:hAnsi="宋体"/>
          <w:color w:val="auto"/>
          <w:sz w:val="24"/>
          <w:szCs w:val="24"/>
          <w:highlight w:val="none"/>
        </w:rPr>
        <w:t>。</w:t>
      </w:r>
    </w:p>
    <w:p w14:paraId="69DD2C3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十一、</w:t>
      </w:r>
      <w:r>
        <w:rPr>
          <w:rFonts w:hint="eastAsia" w:ascii="宋体" w:hAnsi="宋体"/>
          <w:color w:val="auto"/>
          <w:sz w:val="24"/>
          <w:szCs w:val="24"/>
          <w:highlight w:val="none"/>
          <w:lang w:eastAsia="zh-CN"/>
        </w:rPr>
        <w:t>本协议一式五份，甲、乙双方各执壹份，贵港市财政局、贵港市教育局、采购代理机构执各执壹份，双方</w:t>
      </w:r>
      <w:r>
        <w:rPr>
          <w:rFonts w:hint="eastAsia" w:ascii="宋体" w:hAnsi="宋体"/>
          <w:color w:val="auto"/>
          <w:sz w:val="24"/>
          <w:szCs w:val="24"/>
          <w:highlight w:val="none"/>
        </w:rPr>
        <w:t>签字或盖章后生效，且具同等法律效力。</w:t>
      </w:r>
    </w:p>
    <w:p w14:paraId="3511C59F">
      <w:pPr>
        <w:spacing w:line="360" w:lineRule="auto"/>
        <w:ind w:firstLine="600"/>
        <w:rPr>
          <w:color w:val="auto"/>
          <w:sz w:val="24"/>
          <w:szCs w:val="24"/>
          <w:highlight w:val="none"/>
        </w:rPr>
      </w:pPr>
      <w:r>
        <w:rPr>
          <w:rFonts w:hint="eastAsia"/>
          <w:color w:val="auto"/>
          <w:sz w:val="24"/>
          <w:szCs w:val="24"/>
          <w:highlight w:val="none"/>
        </w:rPr>
        <w:t>十二、以上条款最终解释权为</w:t>
      </w:r>
      <w:r>
        <w:rPr>
          <w:rFonts w:hint="eastAsia"/>
          <w:color w:val="auto"/>
          <w:sz w:val="24"/>
          <w:szCs w:val="24"/>
          <w:highlight w:val="none"/>
          <w:lang w:eastAsia="zh-CN"/>
        </w:rPr>
        <w:t>贵港市江南中学</w:t>
      </w:r>
      <w:r>
        <w:rPr>
          <w:rFonts w:hint="eastAsia"/>
          <w:color w:val="auto"/>
          <w:sz w:val="24"/>
          <w:szCs w:val="24"/>
          <w:highlight w:val="none"/>
        </w:rPr>
        <w:t>。</w:t>
      </w:r>
    </w:p>
    <w:p w14:paraId="54BABA9F">
      <w:pPr>
        <w:spacing w:line="360" w:lineRule="auto"/>
        <w:ind w:firstLine="600"/>
        <w:rPr>
          <w:rFonts w:hint="eastAsia" w:ascii="宋体" w:hAnsi="宋体"/>
          <w:color w:val="auto"/>
          <w:sz w:val="24"/>
          <w:szCs w:val="24"/>
          <w:highlight w:val="none"/>
        </w:rPr>
      </w:pPr>
    </w:p>
    <w:p w14:paraId="7A6607DF">
      <w:pPr>
        <w:spacing w:line="360" w:lineRule="auto"/>
        <w:ind w:firstLine="600"/>
        <w:rPr>
          <w:rFonts w:hint="eastAsia" w:ascii="宋体" w:hAnsi="宋体"/>
          <w:color w:val="auto"/>
          <w:sz w:val="24"/>
          <w:szCs w:val="24"/>
          <w:highlight w:val="none"/>
        </w:rPr>
      </w:pPr>
      <w:r>
        <w:rPr>
          <w:rFonts w:hint="eastAsia" w:ascii="宋体" w:hAnsi="宋体"/>
          <w:color w:val="auto"/>
          <w:sz w:val="24"/>
          <w:szCs w:val="24"/>
          <w:highlight w:val="none"/>
        </w:rPr>
        <w:t>甲方</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公章</w:t>
      </w:r>
      <w:r>
        <w:rPr>
          <w:rFonts w:hint="eastAsia" w:ascii="宋体" w:hAnsi="宋体"/>
          <w:color w:val="auto"/>
          <w:sz w:val="24"/>
          <w:szCs w:val="24"/>
          <w:highlight w:val="none"/>
          <w:lang w:eastAsia="zh-CN"/>
        </w:rPr>
        <w:t>）</w:t>
      </w:r>
      <w:r>
        <w:rPr>
          <w:rFonts w:hint="eastAsia" w:ascii="宋体" w:hAnsi="宋体"/>
          <w:color w:val="auto"/>
          <w:sz w:val="24"/>
          <w:szCs w:val="24"/>
          <w:highlight w:val="none"/>
        </w:rPr>
        <w:t xml:space="preserve">：                   </w:t>
      </w:r>
    </w:p>
    <w:p w14:paraId="79AF689E">
      <w:pPr>
        <w:spacing w:line="360" w:lineRule="auto"/>
        <w:ind w:firstLine="600"/>
        <w:rPr>
          <w:rFonts w:ascii="宋体" w:hAnsi="宋体"/>
          <w:color w:val="auto"/>
          <w:sz w:val="24"/>
          <w:szCs w:val="24"/>
          <w:highlight w:val="none"/>
        </w:rPr>
      </w:pPr>
      <w:r>
        <w:rPr>
          <w:rFonts w:hint="eastAsia" w:ascii="宋体" w:hAnsi="宋体"/>
          <w:color w:val="auto"/>
          <w:sz w:val="24"/>
          <w:szCs w:val="24"/>
          <w:highlight w:val="none"/>
        </w:rPr>
        <w:t xml:space="preserve">代表签字：               </w:t>
      </w:r>
    </w:p>
    <w:p w14:paraId="0AE96B16">
      <w:pPr>
        <w:spacing w:line="360" w:lineRule="auto"/>
        <w:ind w:firstLine="480" w:firstLineChars="200"/>
        <w:rPr>
          <w:rFonts w:hint="eastAsia" w:ascii="宋体" w:hAnsi="宋体"/>
          <w:color w:val="auto"/>
          <w:sz w:val="24"/>
          <w:szCs w:val="24"/>
          <w:highlight w:val="none"/>
        </w:rPr>
      </w:pPr>
    </w:p>
    <w:p w14:paraId="3CD11C0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乙方</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公章</w:t>
      </w:r>
      <w:r>
        <w:rPr>
          <w:rFonts w:hint="eastAsia" w:ascii="宋体" w:hAnsi="宋体"/>
          <w:color w:val="auto"/>
          <w:sz w:val="24"/>
          <w:szCs w:val="24"/>
          <w:highlight w:val="none"/>
          <w:lang w:eastAsia="zh-CN"/>
        </w:rPr>
        <w:t>）</w:t>
      </w:r>
      <w:r>
        <w:rPr>
          <w:rFonts w:hint="eastAsia" w:ascii="宋体" w:hAnsi="宋体"/>
          <w:color w:val="auto"/>
          <w:sz w:val="24"/>
          <w:szCs w:val="24"/>
          <w:highlight w:val="none"/>
        </w:rPr>
        <w:t>：</w:t>
      </w:r>
    </w:p>
    <w:p w14:paraId="3F98A873">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代表签字：</w:t>
      </w:r>
    </w:p>
    <w:p w14:paraId="7EF22CE3">
      <w:pPr>
        <w:spacing w:line="360" w:lineRule="auto"/>
        <w:ind w:firstLine="5160" w:firstLineChars="2150"/>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日</w:t>
      </w:r>
    </w:p>
    <w:p w14:paraId="25B35D27">
      <w:pPr>
        <w:rPr>
          <w:rFonts w:ascii="宋体" w:hAnsi="宋体"/>
          <w:color w:val="auto"/>
          <w:sz w:val="30"/>
          <w:szCs w:val="30"/>
          <w:highlight w:val="none"/>
        </w:rPr>
      </w:pPr>
      <w:r>
        <w:rPr>
          <w:rFonts w:ascii="宋体" w:hAnsi="宋体"/>
          <w:color w:val="auto"/>
          <w:sz w:val="30"/>
          <w:szCs w:val="30"/>
          <w:highlight w:val="none"/>
        </w:rPr>
        <w:br w:type="page"/>
      </w:r>
    </w:p>
    <w:p w14:paraId="39F9A6C9">
      <w:pPr>
        <w:rPr>
          <w:rFonts w:ascii="宋体" w:hAnsi="宋体"/>
          <w:color w:val="auto"/>
          <w:sz w:val="30"/>
          <w:szCs w:val="30"/>
          <w:highlight w:val="none"/>
        </w:rPr>
      </w:pPr>
    </w:p>
    <w:p w14:paraId="65603CAD">
      <w:pPr>
        <w:rPr>
          <w:rFonts w:hint="eastAsia" w:ascii="宋体" w:hAnsi="宋体"/>
          <w:color w:val="auto"/>
          <w:sz w:val="30"/>
          <w:szCs w:val="30"/>
          <w:highlight w:val="none"/>
          <w:lang w:eastAsia="zh-CN"/>
        </w:rPr>
      </w:pPr>
    </w:p>
    <w:p w14:paraId="748D2E89">
      <w:pPr>
        <w:pStyle w:val="17"/>
        <w:tabs>
          <w:tab w:val="left" w:pos="2472"/>
        </w:tabs>
        <w:spacing w:line="460" w:lineRule="exact"/>
        <w:jc w:val="center"/>
        <w:rPr>
          <w:rFonts w:ascii="Times New Roman" w:hAnsi="Times New Roman" w:eastAsia="宋体" w:cs="Times New Roman"/>
          <w:b/>
          <w:color w:val="auto"/>
          <w:sz w:val="36"/>
          <w:highlight w:val="none"/>
        </w:rPr>
      </w:pPr>
    </w:p>
    <w:p w14:paraId="4127458D">
      <w:pPr>
        <w:pStyle w:val="17"/>
        <w:tabs>
          <w:tab w:val="left" w:pos="2472"/>
        </w:tabs>
        <w:spacing w:line="460" w:lineRule="exact"/>
        <w:jc w:val="center"/>
        <w:rPr>
          <w:rFonts w:ascii="Times New Roman" w:hAnsi="Times New Roman" w:eastAsia="宋体" w:cs="Times New Roman"/>
          <w:b/>
          <w:color w:val="auto"/>
          <w:sz w:val="36"/>
          <w:highlight w:val="none"/>
        </w:rPr>
      </w:pPr>
    </w:p>
    <w:p w14:paraId="3EAD635D">
      <w:pPr>
        <w:pStyle w:val="17"/>
        <w:tabs>
          <w:tab w:val="left" w:pos="2472"/>
        </w:tabs>
        <w:spacing w:line="460" w:lineRule="exact"/>
        <w:jc w:val="center"/>
        <w:rPr>
          <w:rFonts w:ascii="Times New Roman" w:hAnsi="Times New Roman" w:eastAsia="宋体" w:cs="Times New Roman"/>
          <w:b/>
          <w:color w:val="auto"/>
          <w:sz w:val="36"/>
          <w:highlight w:val="none"/>
        </w:rPr>
      </w:pPr>
    </w:p>
    <w:p w14:paraId="440496F5">
      <w:pPr>
        <w:pStyle w:val="17"/>
        <w:tabs>
          <w:tab w:val="left" w:pos="2472"/>
        </w:tabs>
        <w:spacing w:line="460" w:lineRule="exact"/>
        <w:jc w:val="center"/>
        <w:rPr>
          <w:rFonts w:ascii="Times New Roman" w:hAnsi="Times New Roman" w:eastAsia="宋体" w:cs="Times New Roman"/>
          <w:b/>
          <w:color w:val="auto"/>
          <w:sz w:val="36"/>
          <w:highlight w:val="none"/>
        </w:rPr>
      </w:pPr>
    </w:p>
    <w:p w14:paraId="713970CD">
      <w:pPr>
        <w:pStyle w:val="17"/>
        <w:tabs>
          <w:tab w:val="left" w:pos="2472"/>
        </w:tabs>
        <w:spacing w:line="460" w:lineRule="exact"/>
        <w:jc w:val="center"/>
        <w:rPr>
          <w:rFonts w:ascii="Times New Roman" w:hAnsi="Times New Roman" w:eastAsia="宋体" w:cs="Times New Roman"/>
          <w:b/>
          <w:color w:val="auto"/>
          <w:sz w:val="36"/>
          <w:highlight w:val="none"/>
        </w:rPr>
      </w:pPr>
    </w:p>
    <w:p w14:paraId="525AF191">
      <w:pPr>
        <w:pStyle w:val="17"/>
        <w:tabs>
          <w:tab w:val="left" w:pos="2472"/>
        </w:tabs>
        <w:spacing w:line="460" w:lineRule="exact"/>
        <w:jc w:val="center"/>
        <w:rPr>
          <w:rFonts w:ascii="Times New Roman" w:hAnsi="Times New Roman" w:eastAsia="宋体" w:cs="Times New Roman"/>
          <w:b/>
          <w:color w:val="auto"/>
          <w:sz w:val="36"/>
          <w:highlight w:val="none"/>
        </w:rPr>
      </w:pPr>
    </w:p>
    <w:p w14:paraId="14F7EE20">
      <w:pPr>
        <w:pStyle w:val="17"/>
        <w:tabs>
          <w:tab w:val="left" w:pos="2472"/>
        </w:tabs>
        <w:spacing w:line="460" w:lineRule="exact"/>
        <w:jc w:val="center"/>
        <w:rPr>
          <w:rFonts w:ascii="Times New Roman" w:hAnsi="Times New Roman" w:eastAsia="宋体" w:cs="Times New Roman"/>
          <w:b/>
          <w:color w:val="auto"/>
          <w:sz w:val="36"/>
          <w:highlight w:val="none"/>
        </w:rPr>
      </w:pPr>
    </w:p>
    <w:p w14:paraId="5543BCAC">
      <w:pPr>
        <w:pStyle w:val="17"/>
        <w:tabs>
          <w:tab w:val="left" w:pos="2472"/>
        </w:tabs>
        <w:spacing w:line="460" w:lineRule="exact"/>
        <w:jc w:val="center"/>
        <w:rPr>
          <w:rFonts w:ascii="Times New Roman" w:hAnsi="Times New Roman" w:eastAsia="宋体" w:cs="Times New Roman"/>
          <w:b/>
          <w:color w:val="auto"/>
          <w:sz w:val="36"/>
          <w:highlight w:val="none"/>
        </w:rPr>
      </w:pPr>
    </w:p>
    <w:p w14:paraId="661690D3">
      <w:pPr>
        <w:pStyle w:val="17"/>
        <w:tabs>
          <w:tab w:val="left" w:pos="2472"/>
        </w:tabs>
        <w:spacing w:line="460" w:lineRule="exact"/>
        <w:jc w:val="center"/>
        <w:rPr>
          <w:rFonts w:ascii="Times New Roman" w:hAnsi="Times New Roman" w:eastAsia="宋体" w:cs="Times New Roman"/>
          <w:b/>
          <w:color w:val="auto"/>
          <w:sz w:val="36"/>
          <w:highlight w:val="none"/>
        </w:rPr>
      </w:pPr>
    </w:p>
    <w:p w14:paraId="2B56871A">
      <w:pPr>
        <w:pStyle w:val="17"/>
        <w:tabs>
          <w:tab w:val="left" w:pos="2472"/>
        </w:tabs>
        <w:spacing w:line="460" w:lineRule="exact"/>
        <w:jc w:val="center"/>
        <w:rPr>
          <w:rFonts w:ascii="Times New Roman" w:hAnsi="Times New Roman" w:eastAsia="宋体" w:cs="Times New Roman"/>
          <w:b/>
          <w:color w:val="auto"/>
          <w:sz w:val="36"/>
          <w:highlight w:val="none"/>
        </w:rPr>
      </w:pPr>
    </w:p>
    <w:p w14:paraId="00B452C9">
      <w:pPr>
        <w:pStyle w:val="17"/>
        <w:tabs>
          <w:tab w:val="left" w:pos="2472"/>
        </w:tabs>
        <w:spacing w:line="460" w:lineRule="exact"/>
        <w:jc w:val="center"/>
        <w:outlineLvl w:val="0"/>
        <w:rPr>
          <w:rFonts w:ascii="Times New Roman" w:hAnsi="Times New Roman" w:eastAsia="宋体" w:cs="Times New Roman"/>
          <w:b/>
          <w:color w:val="auto"/>
          <w:sz w:val="36"/>
          <w:highlight w:val="none"/>
        </w:rPr>
      </w:pPr>
      <w:bookmarkStart w:id="343" w:name="_Toc20296"/>
      <w:bookmarkStart w:id="344" w:name="_Toc5736"/>
      <w:bookmarkStart w:id="345" w:name="_Toc19106"/>
      <w:bookmarkStart w:id="346" w:name="_Toc2517"/>
      <w:bookmarkStart w:id="347" w:name="_Toc26884"/>
      <w:bookmarkStart w:id="348" w:name="_Toc32149"/>
      <w:bookmarkStart w:id="349" w:name="_Toc20832"/>
      <w:bookmarkStart w:id="350" w:name="_Toc24704"/>
      <w:bookmarkStart w:id="351" w:name="_Toc26390"/>
      <w:bookmarkStart w:id="352" w:name="_Toc19350"/>
      <w:bookmarkStart w:id="353" w:name="_Toc11043"/>
      <w:bookmarkStart w:id="354" w:name="_Toc2377"/>
      <w:bookmarkStart w:id="355" w:name="_Toc9123"/>
      <w:r>
        <w:rPr>
          <w:rFonts w:hint="eastAsia" w:ascii="Times New Roman" w:hAnsi="Times New Roman" w:eastAsia="宋体" w:cs="Times New Roman"/>
          <w:b/>
          <w:color w:val="auto"/>
          <w:sz w:val="36"/>
          <w:highlight w:val="none"/>
        </w:rPr>
        <w:t>第六章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投标文件格式</w:t>
      </w:r>
      <w:bookmarkEnd w:id="343"/>
      <w:bookmarkEnd w:id="344"/>
      <w:bookmarkEnd w:id="345"/>
      <w:bookmarkEnd w:id="346"/>
      <w:bookmarkEnd w:id="347"/>
      <w:bookmarkEnd w:id="348"/>
      <w:bookmarkEnd w:id="349"/>
      <w:bookmarkEnd w:id="350"/>
      <w:bookmarkEnd w:id="351"/>
      <w:bookmarkEnd w:id="352"/>
      <w:bookmarkEnd w:id="353"/>
      <w:bookmarkEnd w:id="354"/>
      <w:bookmarkEnd w:id="355"/>
    </w:p>
    <w:p w14:paraId="6EB609E0">
      <w:pPr>
        <w:widowControl/>
        <w:spacing w:beforeAutospacing="1" w:line="360" w:lineRule="auto"/>
        <w:jc w:val="left"/>
        <w:rPr>
          <w:rFonts w:ascii="宋体" w:hAnsi="宋体"/>
          <w:color w:val="auto"/>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0993F9AD">
      <w:pPr>
        <w:pStyle w:val="17"/>
        <w:jc w:val="center"/>
        <w:outlineLvl w:val="1"/>
        <w:rPr>
          <w:rFonts w:hint="eastAsia" w:hAnsi="宋体" w:eastAsia="宋体" w:cs="Times New Roman"/>
          <w:b/>
          <w:bCs/>
          <w:color w:val="auto"/>
          <w:sz w:val="40"/>
          <w:szCs w:val="40"/>
          <w:highlight w:val="none"/>
        </w:rPr>
      </w:pPr>
      <w:bookmarkStart w:id="356" w:name="_Toc20281"/>
      <w:bookmarkStart w:id="357" w:name="_Toc23486"/>
      <w:bookmarkStart w:id="358" w:name="_Toc32370"/>
      <w:bookmarkStart w:id="359" w:name="_Toc7817"/>
      <w:bookmarkStart w:id="360" w:name="_Toc32508"/>
      <w:bookmarkStart w:id="361" w:name="_Toc16890"/>
      <w:bookmarkStart w:id="362" w:name="_Toc24486"/>
      <w:bookmarkStart w:id="363" w:name="_Toc4270"/>
      <w:bookmarkStart w:id="364" w:name="_Toc21700"/>
      <w:bookmarkStart w:id="365" w:name="_Toc11854"/>
      <w:r>
        <w:rPr>
          <w:rFonts w:hint="eastAsia" w:hAnsi="宋体" w:eastAsia="宋体" w:cs="Times New Roman"/>
          <w:b/>
          <w:bCs/>
          <w:color w:val="auto"/>
          <w:sz w:val="40"/>
          <w:szCs w:val="40"/>
          <w:highlight w:val="none"/>
        </w:rPr>
        <w:t>第</w:t>
      </w:r>
      <w:r>
        <w:rPr>
          <w:rFonts w:hint="eastAsia" w:hAnsi="宋体" w:cs="Times New Roman"/>
          <w:b/>
          <w:bCs/>
          <w:color w:val="auto"/>
          <w:sz w:val="40"/>
          <w:szCs w:val="40"/>
          <w:highlight w:val="none"/>
          <w:lang w:eastAsia="zh-CN"/>
        </w:rPr>
        <w:t>一</w:t>
      </w:r>
      <w:r>
        <w:rPr>
          <w:rFonts w:hint="eastAsia" w:hAnsi="宋体" w:eastAsia="宋体" w:cs="Times New Roman"/>
          <w:b/>
          <w:bCs/>
          <w:color w:val="auto"/>
          <w:sz w:val="40"/>
          <w:szCs w:val="40"/>
          <w:highlight w:val="none"/>
        </w:rPr>
        <w:t>节 资格证明文件格式</w:t>
      </w:r>
      <w:bookmarkEnd w:id="356"/>
      <w:bookmarkEnd w:id="357"/>
      <w:bookmarkEnd w:id="358"/>
      <w:bookmarkEnd w:id="359"/>
      <w:bookmarkEnd w:id="360"/>
      <w:bookmarkEnd w:id="361"/>
      <w:bookmarkEnd w:id="362"/>
      <w:bookmarkEnd w:id="363"/>
      <w:bookmarkEnd w:id="364"/>
      <w:bookmarkEnd w:id="365"/>
    </w:p>
    <w:p w14:paraId="3D874E51">
      <w:pPr>
        <w:pStyle w:val="17"/>
        <w:spacing w:line="360" w:lineRule="auto"/>
        <w:rPr>
          <w:rFonts w:hint="eastAsia" w:hAnsi="宋体" w:eastAsia="宋体" w:cs="Times New Roman"/>
          <w:color w:val="auto"/>
          <w:sz w:val="30"/>
          <w:highlight w:val="none"/>
        </w:rPr>
      </w:pPr>
    </w:p>
    <w:p w14:paraId="2F65E183">
      <w:pPr>
        <w:pStyle w:val="9"/>
        <w:ind w:left="0"/>
        <w:jc w:val="left"/>
        <w:rPr>
          <w:rFonts w:hint="eastAsia" w:hAnsi="宋体" w:cs="宋体"/>
          <w:b/>
          <w:bCs/>
          <w:color w:val="auto"/>
          <w:sz w:val="28"/>
          <w:szCs w:val="28"/>
          <w:highlight w:val="none"/>
          <w:lang w:val="en-US" w:eastAsia="zh-CN"/>
        </w:rPr>
      </w:pPr>
    </w:p>
    <w:p w14:paraId="2A70437B">
      <w:pPr>
        <w:pStyle w:val="9"/>
        <w:ind w:left="0"/>
        <w:jc w:val="left"/>
        <w:rPr>
          <w:rFonts w:hint="eastAsia" w:hAnsi="宋体" w:cs="宋体"/>
          <w:b/>
          <w:bCs/>
          <w:color w:val="auto"/>
          <w:sz w:val="28"/>
          <w:szCs w:val="28"/>
          <w:highlight w:val="none"/>
          <w:lang w:val="en-US" w:eastAsia="zh-CN"/>
        </w:rPr>
      </w:pPr>
    </w:p>
    <w:p w14:paraId="7762CBC6">
      <w:pPr>
        <w:pStyle w:val="9"/>
        <w:ind w:left="0"/>
        <w:jc w:val="left"/>
        <w:rPr>
          <w:rFonts w:hint="eastAsia" w:hAnsi="宋体" w:cs="宋体"/>
          <w:b/>
          <w:bCs/>
          <w:color w:val="auto"/>
          <w:sz w:val="28"/>
          <w:szCs w:val="28"/>
          <w:highlight w:val="none"/>
          <w:lang w:val="en-US" w:eastAsia="zh-CN"/>
        </w:rPr>
      </w:pPr>
    </w:p>
    <w:p w14:paraId="6C8DB4A7">
      <w:pPr>
        <w:pStyle w:val="9"/>
        <w:ind w:left="0"/>
        <w:jc w:val="left"/>
        <w:rPr>
          <w:rFonts w:hint="eastAsia" w:hAnsi="宋体" w:eastAsia="宋体" w:cs="Times New Roman"/>
          <w:color w:val="auto"/>
          <w:sz w:val="30"/>
          <w:highlight w:val="none"/>
        </w:rPr>
      </w:pPr>
      <w:r>
        <w:rPr>
          <w:rFonts w:hint="eastAsia" w:hAnsi="宋体" w:cs="宋体"/>
          <w:b/>
          <w:bCs/>
          <w:color w:val="auto"/>
          <w:sz w:val="28"/>
          <w:szCs w:val="28"/>
          <w:highlight w:val="none"/>
          <w:lang w:val="en-US" w:eastAsia="zh-CN"/>
        </w:rPr>
        <w:t>1.资格证明文件封面的格式（参照此格式自拟）：</w:t>
      </w:r>
    </w:p>
    <w:p w14:paraId="2136FBB4">
      <w:pPr>
        <w:rPr>
          <w:rFonts w:hint="eastAsia"/>
          <w:color w:val="auto"/>
          <w:highlight w:val="none"/>
        </w:rPr>
      </w:pPr>
    </w:p>
    <w:p w14:paraId="0922D1B3">
      <w:pPr>
        <w:snapToGrid w:val="0"/>
        <w:spacing w:before="165" w:beforeLines="50" w:after="50"/>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highlight w:val="none"/>
        </w:rPr>
        <w:t xml:space="preserve">                                            </w:t>
      </w:r>
      <w:r>
        <w:rPr>
          <w:rFonts w:hint="eastAsia" w:ascii="宋体" w:hAnsi="宋体" w:cs="Times New Roman"/>
          <w:color w:val="auto"/>
          <w:sz w:val="24"/>
          <w:highlight w:val="none"/>
          <w:lang w:val="en-US" w:eastAsia="zh-CN"/>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bCs/>
          <w:color w:val="auto"/>
          <w:highlight w:val="none"/>
        </w:rPr>
        <w:t>电子投标文件</w:t>
      </w:r>
    </w:p>
    <w:p w14:paraId="1308D72F">
      <w:pPr>
        <w:snapToGrid w:val="0"/>
        <w:spacing w:before="165" w:beforeLines="50" w:after="50"/>
        <w:rPr>
          <w:rFonts w:hint="eastAsia" w:ascii="宋体" w:hAnsi="宋体" w:eastAsia="宋体" w:cs="Times New Roman"/>
          <w:color w:val="auto"/>
          <w:sz w:val="24"/>
          <w:szCs w:val="20"/>
          <w:highlight w:val="none"/>
        </w:rPr>
      </w:pPr>
    </w:p>
    <w:p w14:paraId="2459D3EB">
      <w:pPr>
        <w:snapToGrid w:val="0"/>
        <w:spacing w:before="165" w:beforeLines="50" w:after="50"/>
        <w:jc w:val="center"/>
        <w:rPr>
          <w:rFonts w:hint="eastAsia" w:ascii="宋体" w:hAnsi="宋体" w:eastAsia="宋体" w:cs="Times New Roman"/>
          <w:b/>
          <w:color w:val="auto"/>
          <w:sz w:val="24"/>
          <w:szCs w:val="20"/>
          <w:highlight w:val="none"/>
        </w:rPr>
      </w:pPr>
      <w:r>
        <w:rPr>
          <w:rFonts w:hint="eastAsia" w:ascii="宋体" w:hAnsi="宋体" w:eastAsia="宋体" w:cs="Times New Roman"/>
          <w:b/>
          <w:color w:val="auto"/>
          <w:sz w:val="32"/>
          <w:szCs w:val="32"/>
          <w:highlight w:val="none"/>
        </w:rPr>
        <w:t>资格证明文件</w:t>
      </w:r>
    </w:p>
    <w:p w14:paraId="0D9EF4DC">
      <w:pPr>
        <w:snapToGrid w:val="0"/>
        <w:spacing w:before="165" w:beforeLines="50" w:after="50"/>
        <w:rPr>
          <w:rFonts w:hint="eastAsia" w:ascii="宋体" w:hAnsi="宋体" w:eastAsia="宋体" w:cs="Times New Roman"/>
          <w:bCs/>
          <w:color w:val="auto"/>
          <w:sz w:val="24"/>
          <w:szCs w:val="20"/>
          <w:highlight w:val="none"/>
        </w:rPr>
      </w:pPr>
    </w:p>
    <w:p w14:paraId="26A70593">
      <w:pPr>
        <w:snapToGrid w:val="0"/>
        <w:spacing w:before="165" w:beforeLines="50" w:after="50"/>
        <w:rPr>
          <w:rFonts w:hint="eastAsia" w:ascii="宋体" w:hAnsi="宋体" w:eastAsia="宋体" w:cs="Times New Roman"/>
          <w:bCs/>
          <w:color w:val="auto"/>
          <w:sz w:val="24"/>
          <w:szCs w:val="20"/>
          <w:highlight w:val="none"/>
        </w:rPr>
      </w:pPr>
    </w:p>
    <w:p w14:paraId="0F23921D">
      <w:pPr>
        <w:snapToGrid w:val="0"/>
        <w:spacing w:before="165" w:beforeLines="50" w:after="50"/>
        <w:rPr>
          <w:rFonts w:hint="eastAsia" w:ascii="宋体" w:hAnsi="宋体" w:eastAsia="宋体" w:cs="Times New Roman"/>
          <w:bCs/>
          <w:color w:val="auto"/>
          <w:sz w:val="24"/>
          <w:szCs w:val="20"/>
          <w:highlight w:val="none"/>
        </w:rPr>
      </w:pPr>
    </w:p>
    <w:p w14:paraId="66BA8E36">
      <w:pPr>
        <w:snapToGrid w:val="0"/>
        <w:spacing w:before="165" w:beforeLines="50" w:after="50"/>
        <w:rPr>
          <w:rFonts w:hint="eastAsia" w:ascii="宋体" w:hAnsi="宋体" w:eastAsia="宋体" w:cs="Times New Roman"/>
          <w:bCs/>
          <w:color w:val="auto"/>
          <w:sz w:val="24"/>
          <w:szCs w:val="20"/>
          <w:highlight w:val="none"/>
        </w:rPr>
      </w:pPr>
    </w:p>
    <w:p w14:paraId="257C33F2">
      <w:pPr>
        <w:snapToGrid w:val="0"/>
        <w:spacing w:before="165" w:beforeLines="50" w:after="50"/>
        <w:rPr>
          <w:rFonts w:hint="eastAsia" w:ascii="宋体" w:hAnsi="宋体" w:eastAsia="宋体" w:cs="Times New Roman"/>
          <w:bCs/>
          <w:color w:val="auto"/>
          <w:sz w:val="24"/>
          <w:szCs w:val="20"/>
          <w:highlight w:val="none"/>
        </w:rPr>
      </w:pPr>
    </w:p>
    <w:p w14:paraId="1A8C1392">
      <w:pPr>
        <w:snapToGrid w:val="0"/>
        <w:spacing w:before="165" w:beforeLines="50" w:after="50"/>
        <w:rPr>
          <w:rFonts w:hint="eastAsia" w:ascii="宋体" w:hAnsi="宋体" w:eastAsia="宋体" w:cs="Times New Roman"/>
          <w:bCs/>
          <w:color w:val="auto"/>
          <w:sz w:val="24"/>
          <w:szCs w:val="20"/>
          <w:highlight w:val="none"/>
        </w:rPr>
      </w:pPr>
    </w:p>
    <w:p w14:paraId="2FAA15DA">
      <w:pPr>
        <w:snapToGrid w:val="0"/>
        <w:spacing w:before="165" w:beforeLines="50" w:after="50"/>
        <w:rPr>
          <w:rFonts w:hint="eastAsia" w:ascii="宋体" w:hAnsi="宋体" w:eastAsia="宋体" w:cs="Times New Roman"/>
          <w:bCs/>
          <w:color w:val="auto"/>
          <w:sz w:val="24"/>
          <w:szCs w:val="20"/>
          <w:highlight w:val="none"/>
        </w:rPr>
      </w:pPr>
    </w:p>
    <w:p w14:paraId="10B629C6">
      <w:pPr>
        <w:snapToGrid w:val="0"/>
        <w:spacing w:before="165" w:beforeLines="50" w:after="50"/>
        <w:ind w:firstLine="540" w:firstLineChars="225"/>
        <w:rPr>
          <w:rFonts w:hint="eastAsia" w:ascii="宋体" w:hAnsi="宋体" w:eastAsia="宋体" w:cs="Times New Roman"/>
          <w:bCs/>
          <w:color w:val="auto"/>
          <w:sz w:val="24"/>
          <w:szCs w:val="20"/>
          <w:highlight w:val="none"/>
        </w:rPr>
      </w:pPr>
      <w:r>
        <w:rPr>
          <w:rFonts w:hint="eastAsia" w:ascii="宋体" w:hAnsi="宋体" w:eastAsia="宋体" w:cs="Times New Roman"/>
          <w:bCs/>
          <w:color w:val="auto"/>
          <w:sz w:val="24"/>
          <w:highlight w:val="none"/>
        </w:rPr>
        <w:t>项目名称：</w:t>
      </w:r>
    </w:p>
    <w:p w14:paraId="61943A35">
      <w:pPr>
        <w:snapToGrid w:val="0"/>
        <w:spacing w:before="165" w:beforeLines="50" w:after="50"/>
        <w:ind w:firstLine="540" w:firstLineChars="225"/>
        <w:rPr>
          <w:rFonts w:hint="eastAsia" w:ascii="宋体" w:hAnsi="宋体" w:eastAsia="宋体" w:cs="Times New Roman"/>
          <w:bCs/>
          <w:color w:val="auto"/>
          <w:sz w:val="24"/>
          <w:highlight w:val="none"/>
          <w:lang w:eastAsia="zh-CN"/>
        </w:rPr>
      </w:pPr>
      <w:r>
        <w:rPr>
          <w:rFonts w:hint="eastAsia" w:ascii="宋体" w:hAnsi="宋体" w:eastAsia="宋体" w:cs="Times New Roman"/>
          <w:bCs/>
          <w:color w:val="auto"/>
          <w:sz w:val="24"/>
          <w:highlight w:val="none"/>
        </w:rPr>
        <w:t>项目编号：</w:t>
      </w:r>
    </w:p>
    <w:p w14:paraId="7FBF5EFE">
      <w:pPr>
        <w:snapToGrid w:val="0"/>
        <w:spacing w:before="165" w:beforeLines="50" w:after="50"/>
        <w:ind w:firstLine="540" w:firstLineChars="225"/>
        <w:rPr>
          <w:rFonts w:hint="eastAsia" w:ascii="宋体" w:hAnsi="宋体" w:eastAsia="宋体" w:cs="Times New Roman"/>
          <w:bCs/>
          <w:color w:val="auto"/>
          <w:sz w:val="24"/>
          <w:szCs w:val="20"/>
          <w:highlight w:val="none"/>
        </w:rPr>
      </w:pPr>
      <w:r>
        <w:rPr>
          <w:rFonts w:hint="eastAsia" w:ascii="宋体" w:hAnsi="宋体" w:eastAsia="宋体" w:cs="Times New Roman"/>
          <w:bCs/>
          <w:color w:val="auto"/>
          <w:sz w:val="24"/>
          <w:highlight w:val="none"/>
        </w:rPr>
        <w:t xml:space="preserve"> </w:t>
      </w:r>
    </w:p>
    <w:p w14:paraId="2818EAC1">
      <w:pPr>
        <w:snapToGrid w:val="0"/>
        <w:spacing w:before="165" w:beforeLines="50" w:after="50"/>
        <w:ind w:firstLine="540" w:firstLineChars="225"/>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所投分标</w:t>
      </w:r>
      <w:r>
        <w:rPr>
          <w:rFonts w:hint="eastAsia" w:ascii="宋体" w:hAnsi="宋体" w:cs="宋体"/>
          <w:bCs/>
          <w:color w:val="auto"/>
          <w:sz w:val="24"/>
          <w:highlight w:val="none"/>
        </w:rPr>
        <w:t>（如有则填写，无分标时填写“无”或者留空）</w:t>
      </w:r>
      <w:r>
        <w:rPr>
          <w:rFonts w:hint="eastAsia" w:ascii="宋体" w:hAnsi="宋体" w:eastAsia="宋体" w:cs="Times New Roman"/>
          <w:bCs/>
          <w:color w:val="auto"/>
          <w:sz w:val="24"/>
          <w:highlight w:val="none"/>
        </w:rPr>
        <w:t>：</w:t>
      </w:r>
    </w:p>
    <w:p w14:paraId="0E651301">
      <w:pPr>
        <w:pStyle w:val="8"/>
        <w:snapToGrid w:val="0"/>
        <w:spacing w:before="50" w:after="50"/>
        <w:ind w:firstLine="540" w:firstLineChars="225"/>
        <w:rPr>
          <w:rFonts w:hint="eastAsia" w:ascii="宋体" w:hAnsi="宋体" w:eastAsia="宋体" w:cs="Times New Roman"/>
          <w:bCs/>
          <w:color w:val="auto"/>
          <w:sz w:val="24"/>
          <w:szCs w:val="24"/>
          <w:highlight w:val="none"/>
        </w:rPr>
      </w:pPr>
    </w:p>
    <w:p w14:paraId="47A535EB">
      <w:pPr>
        <w:pStyle w:val="8"/>
        <w:snapToGrid w:val="0"/>
        <w:spacing w:before="50" w:after="50"/>
        <w:ind w:firstLine="540" w:firstLineChars="225"/>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投标人名称：</w:t>
      </w:r>
    </w:p>
    <w:p w14:paraId="76420B2D">
      <w:pPr>
        <w:pStyle w:val="8"/>
        <w:snapToGrid w:val="0"/>
        <w:spacing w:before="50" w:after="50"/>
        <w:ind w:firstLine="540" w:firstLineChars="225"/>
        <w:rPr>
          <w:rFonts w:hint="eastAsia" w:ascii="宋体" w:hAnsi="宋体" w:eastAsia="宋体" w:cs="Times New Roman"/>
          <w:bCs/>
          <w:color w:val="auto"/>
          <w:sz w:val="24"/>
          <w:szCs w:val="24"/>
          <w:highlight w:val="none"/>
        </w:rPr>
      </w:pPr>
    </w:p>
    <w:p w14:paraId="6C656D3E">
      <w:pPr>
        <w:pStyle w:val="8"/>
        <w:snapToGrid w:val="0"/>
        <w:spacing w:before="50" w:after="50"/>
        <w:ind w:firstLine="960" w:firstLineChars="400"/>
        <w:rPr>
          <w:rFonts w:hint="eastAsia" w:ascii="宋体" w:hAnsi="宋体" w:eastAsia="宋体" w:cs="Times New Roman"/>
          <w:bCs/>
          <w:color w:val="auto"/>
          <w:sz w:val="24"/>
          <w:szCs w:val="24"/>
          <w:highlight w:val="none"/>
        </w:rPr>
      </w:pPr>
    </w:p>
    <w:p w14:paraId="6B14CDD1">
      <w:pPr>
        <w:snapToGrid w:val="0"/>
        <w:spacing w:before="165" w:beforeLines="50" w:after="50"/>
        <w:ind w:firstLine="645"/>
        <w:jc w:val="center"/>
        <w:rPr>
          <w:rFonts w:hint="eastAsia" w:ascii="宋体" w:hAnsi="宋体" w:eastAsia="宋体" w:cs="Times New Roman"/>
          <w:color w:val="auto"/>
          <w:sz w:val="24"/>
          <w:highlight w:val="none"/>
        </w:rPr>
      </w:pPr>
    </w:p>
    <w:p w14:paraId="20160C20">
      <w:pPr>
        <w:snapToGrid w:val="0"/>
        <w:spacing w:before="165" w:beforeLines="50" w:after="50"/>
        <w:ind w:firstLine="645"/>
        <w:jc w:val="center"/>
        <w:rPr>
          <w:rFonts w:hint="eastAsia" w:ascii="宋体" w:hAnsi="宋体" w:eastAsia="宋体" w:cs="Times New Roman"/>
          <w:color w:val="auto"/>
          <w:sz w:val="24"/>
          <w:highlight w:val="none"/>
        </w:rPr>
      </w:pPr>
    </w:p>
    <w:p w14:paraId="131576E0">
      <w:pPr>
        <w:snapToGrid w:val="0"/>
        <w:spacing w:before="165" w:beforeLines="50" w:after="50"/>
        <w:ind w:firstLine="645"/>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年  月  日</w:t>
      </w:r>
    </w:p>
    <w:p w14:paraId="2183B5F1">
      <w:pPr>
        <w:widowControl/>
        <w:spacing w:line="360" w:lineRule="auto"/>
        <w:jc w:val="left"/>
        <w:rPr>
          <w:rFonts w:ascii="宋体" w:hAnsi="宋体"/>
          <w:color w:val="auto"/>
          <w:sz w:val="30"/>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779C64BD">
      <w:pPr>
        <w:jc w:val="both"/>
        <w:rPr>
          <w:rFonts w:hint="eastAsia" w:ascii="宋体" w:hAnsi="宋体" w:eastAsia="宋体" w:cs="宋体"/>
          <w:b/>
          <w:color w:val="auto"/>
          <w:kern w:val="0"/>
          <w:sz w:val="28"/>
          <w:szCs w:val="28"/>
          <w:highlight w:val="none"/>
        </w:rPr>
      </w:pPr>
      <w:r>
        <w:rPr>
          <w:rFonts w:hint="eastAsia" w:ascii="宋体" w:hAnsi="宋体" w:cs="宋体"/>
          <w:b/>
          <w:color w:val="auto"/>
          <w:kern w:val="0"/>
          <w:sz w:val="28"/>
          <w:szCs w:val="28"/>
          <w:highlight w:val="none"/>
          <w:lang w:val="en-US" w:eastAsia="zh-CN"/>
        </w:rPr>
        <w:t>2.</w:t>
      </w:r>
      <w:r>
        <w:rPr>
          <w:rFonts w:hint="eastAsia" w:ascii="宋体" w:hAnsi="宋体" w:eastAsia="宋体" w:cs="宋体"/>
          <w:b/>
          <w:color w:val="auto"/>
          <w:kern w:val="0"/>
          <w:sz w:val="28"/>
          <w:szCs w:val="28"/>
          <w:highlight w:val="none"/>
        </w:rPr>
        <w:t>资格证明文件目录</w:t>
      </w:r>
    </w:p>
    <w:p w14:paraId="10642B57">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根据招标文件规定及投标人提供的材料自行编写目录（部分格式后附）。</w:t>
      </w:r>
    </w:p>
    <w:p w14:paraId="39EFCD34">
      <w:pPr>
        <w:spacing w:line="360" w:lineRule="auto"/>
        <w:rPr>
          <w:rFonts w:hint="eastAsia" w:ascii="仿宋_GB2312" w:hAnsi="仿宋" w:eastAsia="仿宋_GB2312" w:cs="仿宋_GB2312"/>
          <w:b/>
          <w:bCs/>
          <w:color w:val="auto"/>
          <w:sz w:val="24"/>
          <w:highlight w:val="none"/>
        </w:rPr>
      </w:pPr>
    </w:p>
    <w:p w14:paraId="09E6B306">
      <w:pPr>
        <w:snapToGrid w:val="0"/>
        <w:spacing w:line="360" w:lineRule="auto"/>
        <w:rPr>
          <w:rFonts w:hint="eastAsia" w:ascii="仿宋_GB2312" w:hAnsi="仿宋" w:eastAsia="仿宋_GB2312" w:cs="仿宋_GB2312"/>
          <w:b/>
          <w:color w:val="auto"/>
          <w:kern w:val="0"/>
          <w:sz w:val="32"/>
          <w:szCs w:val="32"/>
          <w:highlight w:val="none"/>
          <w:lang w:val="zh-CN"/>
        </w:rPr>
      </w:pPr>
    </w:p>
    <w:p w14:paraId="22FDDB4D">
      <w:pPr>
        <w:snapToGrid w:val="0"/>
        <w:spacing w:line="360" w:lineRule="auto"/>
        <w:rPr>
          <w:rFonts w:hint="eastAsia" w:ascii="仿宋_GB2312" w:hAnsi="仿宋" w:eastAsia="仿宋_GB2312" w:cs="仿宋_GB2312"/>
          <w:color w:val="auto"/>
          <w:kern w:val="0"/>
          <w:sz w:val="24"/>
          <w:highlight w:val="none"/>
          <w:lang w:val="zh-CN"/>
        </w:rPr>
      </w:pPr>
    </w:p>
    <w:p w14:paraId="3C083F41">
      <w:pPr>
        <w:snapToGrid w:val="0"/>
        <w:spacing w:line="360" w:lineRule="auto"/>
        <w:ind w:right="480"/>
        <w:jc w:val="both"/>
        <w:rPr>
          <w:rFonts w:hint="eastAsia" w:ascii="仿宋_GB2312" w:hAnsi="仿宋" w:eastAsia="仿宋_GB2312" w:cs="仿宋_GB2312"/>
          <w:b/>
          <w:color w:val="auto"/>
          <w:kern w:val="0"/>
          <w:sz w:val="32"/>
          <w:szCs w:val="32"/>
          <w:highlight w:val="none"/>
          <w:lang w:val="zh-CN"/>
        </w:rPr>
      </w:pPr>
    </w:p>
    <w:p w14:paraId="5B3AD9E8">
      <w:pPr>
        <w:snapToGrid w:val="0"/>
        <w:spacing w:line="360" w:lineRule="auto"/>
        <w:ind w:right="480"/>
        <w:jc w:val="center"/>
        <w:rPr>
          <w:rFonts w:hint="eastAsia" w:ascii="宋体" w:hAnsi="宋体" w:eastAsia="宋体" w:cs="Times New Roman"/>
          <w:b/>
          <w:color w:val="auto"/>
          <w:sz w:val="28"/>
          <w:szCs w:val="28"/>
          <w:highlight w:val="none"/>
        </w:rPr>
      </w:pPr>
      <w:r>
        <w:rPr>
          <w:rFonts w:hint="eastAsia" w:ascii="仿宋_GB2312" w:hAnsi="仿宋" w:eastAsia="仿宋_GB2312" w:cs="仿宋_GB2312"/>
          <w:b/>
          <w:color w:val="auto"/>
          <w:kern w:val="0"/>
          <w:sz w:val="32"/>
          <w:szCs w:val="32"/>
          <w:highlight w:val="none"/>
        </w:rPr>
        <w:br w:type="page"/>
      </w:r>
    </w:p>
    <w:p w14:paraId="738E3E2B">
      <w:pPr>
        <w:shd w:val="clear" w:color="auto" w:fill="auto"/>
        <w:wordWrap w:val="0"/>
        <w:spacing w:line="460" w:lineRule="exact"/>
        <w:jc w:val="left"/>
        <w:outlineLvl w:val="3"/>
        <w:rPr>
          <w:rFonts w:hint="eastAsia" w:ascii="宋体" w:hAnsi="宋体" w:eastAsia="宋体" w:cs="宋体"/>
          <w:b/>
          <w:color w:val="auto"/>
          <w:sz w:val="24"/>
          <w:szCs w:val="24"/>
          <w:highlight w:val="none"/>
          <w:lang w:eastAsia="zh-CN"/>
        </w:rPr>
      </w:pPr>
      <w:r>
        <w:rPr>
          <w:rFonts w:hint="eastAsia" w:hAnsi="宋体" w:cs="宋体"/>
          <w:b/>
          <w:bCs/>
          <w:color w:val="auto"/>
          <w:sz w:val="36"/>
          <w:szCs w:val="36"/>
          <w:highlight w:val="none"/>
          <w:lang w:val="en-US" w:eastAsia="zh-CN"/>
        </w:rPr>
        <w:t>3.</w:t>
      </w:r>
      <w:r>
        <w:rPr>
          <w:rFonts w:hint="eastAsia" w:ascii="宋体" w:hAnsi="宋体" w:cs="宋体"/>
          <w:b/>
          <w:color w:val="auto"/>
          <w:sz w:val="32"/>
          <w:szCs w:val="32"/>
          <w:highlight w:val="none"/>
        </w:rPr>
        <w:t>贵港市政府采购项目投标资格承诺函(格式)</w:t>
      </w:r>
      <w:r>
        <w:rPr>
          <w:rFonts w:hint="eastAsia" w:ascii="宋体" w:hAnsi="宋体" w:cs="宋体"/>
          <w:b/>
          <w:color w:val="auto"/>
          <w:sz w:val="32"/>
          <w:szCs w:val="32"/>
          <w:highlight w:val="none"/>
          <w:lang w:eastAsia="zh-CN"/>
        </w:rPr>
        <w:t>：</w:t>
      </w:r>
    </w:p>
    <w:p w14:paraId="56203901">
      <w:pPr>
        <w:pStyle w:val="41"/>
        <w:shd w:val="clear" w:color="auto" w:fill="auto"/>
        <w:wordWrap w:val="0"/>
        <w:rPr>
          <w:rFonts w:hint="eastAsia"/>
          <w:color w:val="auto"/>
          <w:sz w:val="32"/>
          <w:szCs w:val="32"/>
          <w:highlight w:val="none"/>
        </w:rPr>
      </w:pPr>
    </w:p>
    <w:p w14:paraId="59DE5966">
      <w:pPr>
        <w:shd w:val="clear" w:color="auto" w:fill="auto"/>
        <w:wordWrap w:val="0"/>
        <w:spacing w:line="500" w:lineRule="exact"/>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贵港市政府采购项目投标资格承诺函</w:t>
      </w:r>
    </w:p>
    <w:p w14:paraId="116E749A">
      <w:pPr>
        <w:shd w:val="clear" w:color="auto" w:fill="auto"/>
        <w:wordWrap w:val="0"/>
        <w:spacing w:line="500" w:lineRule="exact"/>
        <w:jc w:val="center"/>
        <w:rPr>
          <w:rFonts w:hint="eastAsia" w:ascii="宋体" w:hAnsi="宋体" w:cs="宋体"/>
          <w:b/>
          <w:color w:val="auto"/>
          <w:szCs w:val="21"/>
          <w:highlight w:val="none"/>
        </w:rPr>
      </w:pPr>
    </w:p>
    <w:p w14:paraId="3998AD8D">
      <w:pPr>
        <w:shd w:val="clear" w:color="auto" w:fill="auto"/>
        <w:wordWrap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本公司郑重承诺，根据《中华人民共和国政府采购法》第二十二条的规定，本公司为参加政府采购活动的合格供应商。即本公司同时满足以下条件：</w:t>
      </w:r>
    </w:p>
    <w:p w14:paraId="61A8C892">
      <w:pPr>
        <w:shd w:val="clear" w:color="auto" w:fill="auto"/>
        <w:wordWrap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w:t>
      </w:r>
    </w:p>
    <w:p w14:paraId="2E293980">
      <w:pPr>
        <w:shd w:val="clear" w:color="auto" w:fill="auto"/>
        <w:wordWrap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2.具有良好的商业信誉和健全的财务会计制度。</w:t>
      </w:r>
    </w:p>
    <w:p w14:paraId="78FEB5F8">
      <w:pPr>
        <w:shd w:val="clear" w:color="auto" w:fill="auto"/>
        <w:wordWrap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3.具有履行合同所必需的设备和专业技术能力。</w:t>
      </w:r>
    </w:p>
    <w:p w14:paraId="23127008">
      <w:pPr>
        <w:shd w:val="clear" w:color="auto" w:fill="auto"/>
        <w:wordWrap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4.有依法缴纳税收和社会保障资金的良好记录。</w:t>
      </w:r>
    </w:p>
    <w:p w14:paraId="7DB035DD">
      <w:pPr>
        <w:shd w:val="clear" w:color="auto" w:fill="auto"/>
        <w:wordWrap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 提交投标文件截止日期前三年内，在经营活动中没有重大违法记录。</w:t>
      </w:r>
    </w:p>
    <w:p w14:paraId="7C38B153">
      <w:pPr>
        <w:shd w:val="clear" w:color="auto" w:fill="auto"/>
        <w:wordWrap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本公司对上述承诺的真实性负责，并接受政府采购、税务、社会保障等监督管理部门、招标文件规定的资格审查机构、社会公众的监督和检查。如有虚假，将依法承担相应责任。</w:t>
      </w:r>
    </w:p>
    <w:p w14:paraId="46A7A29D">
      <w:pPr>
        <w:shd w:val="clear" w:color="auto" w:fill="auto"/>
        <w:wordWrap w:val="0"/>
        <w:spacing w:line="500" w:lineRule="exact"/>
        <w:ind w:firstLine="480" w:firstLineChars="200"/>
        <w:jc w:val="left"/>
        <w:rPr>
          <w:rFonts w:hint="eastAsia" w:ascii="宋体" w:hAnsi="宋体" w:cs="宋体"/>
          <w:color w:val="auto"/>
          <w:sz w:val="24"/>
          <w:szCs w:val="24"/>
          <w:highlight w:val="none"/>
        </w:rPr>
      </w:pPr>
    </w:p>
    <w:p w14:paraId="450A00D9">
      <w:pPr>
        <w:keepNext w:val="0"/>
        <w:keepLines w:val="0"/>
        <w:widowControl/>
        <w:suppressLineNumbers w:val="0"/>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企业名称</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公章</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p>
    <w:p w14:paraId="37DDA8D7">
      <w:pPr>
        <w:shd w:val="clear" w:color="auto" w:fill="auto"/>
        <w:wordWrap w:val="0"/>
        <w:spacing w:line="500" w:lineRule="exact"/>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法定代表人</w:t>
      </w:r>
      <w:r>
        <w:rPr>
          <w:rFonts w:hint="eastAsia" w:hAnsi="宋体" w:cs="宋体"/>
          <w:color w:val="auto"/>
          <w:sz w:val="24"/>
          <w:szCs w:val="32"/>
          <w:highlight w:val="none"/>
        </w:rPr>
        <w:t>（</w:t>
      </w:r>
      <w:r>
        <w:rPr>
          <w:rFonts w:hint="eastAsia" w:ascii="宋体" w:hAnsi="宋体" w:cs="宋体"/>
          <w:color w:val="auto"/>
          <w:sz w:val="24"/>
          <w:szCs w:val="24"/>
          <w:highlight w:val="none"/>
        </w:rPr>
        <w:t>签字</w:t>
      </w:r>
      <w:r>
        <w:rPr>
          <w:rFonts w:hint="eastAsia" w:hAnsi="宋体" w:cs="宋体"/>
          <w:color w:val="auto"/>
          <w:sz w:val="24"/>
          <w:szCs w:val="32"/>
          <w:highlight w:val="none"/>
        </w:rPr>
        <w:t>）</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p>
    <w:p w14:paraId="08B033B2">
      <w:pPr>
        <w:shd w:val="clear" w:color="auto" w:fill="auto"/>
        <w:wordWrap w:val="0"/>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日期：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年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月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w:t>
      </w:r>
    </w:p>
    <w:p w14:paraId="7C7D1857">
      <w:pPr>
        <w:widowControl/>
        <w:shd w:val="clear" w:color="auto" w:fill="auto"/>
        <w:wordWrap w:val="0"/>
        <w:jc w:val="left"/>
        <w:rPr>
          <w:rFonts w:hint="eastAsia" w:ascii="宋体" w:hAnsi="宋体"/>
          <w:b/>
          <w:bCs/>
          <w:color w:val="auto"/>
          <w:sz w:val="24"/>
          <w:szCs w:val="30"/>
          <w:highlight w:val="none"/>
        </w:rPr>
      </w:pPr>
    </w:p>
    <w:p w14:paraId="3B05A24F">
      <w:pPr>
        <w:pStyle w:val="8"/>
        <w:overflowPunct w:val="0"/>
        <w:spacing w:line="360" w:lineRule="auto"/>
        <w:ind w:firstLine="6247" w:firstLineChars="2975"/>
        <w:rPr>
          <w:rFonts w:hint="eastAsia" w:ascii="宋体" w:hAnsi="宋体" w:eastAsia="宋体" w:cs="宋体"/>
          <w:color w:val="auto"/>
          <w:sz w:val="24"/>
          <w:highlight w:val="none"/>
        </w:rPr>
      </w:pPr>
      <w:r>
        <w:rPr>
          <w:rFonts w:hint="eastAsia"/>
          <w:color w:val="auto"/>
          <w:highlight w:val="none"/>
        </w:rPr>
        <w:br w:type="page"/>
      </w:r>
    </w:p>
    <w:p w14:paraId="59096339">
      <w:pPr>
        <w:pStyle w:val="12"/>
        <w:outlineLvl w:val="3"/>
        <w:rPr>
          <w:rFonts w:hint="eastAsia"/>
          <w:color w:val="auto"/>
          <w:sz w:val="24"/>
          <w:szCs w:val="32"/>
          <w:highlight w:val="none"/>
        </w:rPr>
      </w:pPr>
      <w:r>
        <w:rPr>
          <w:rFonts w:hint="eastAsia" w:ascii="宋体" w:hAnsi="宋体" w:cs="宋体"/>
          <w:b/>
          <w:color w:val="auto"/>
          <w:kern w:val="0"/>
          <w:sz w:val="40"/>
          <w:szCs w:val="40"/>
          <w:highlight w:val="none"/>
          <w:lang w:val="en-US" w:eastAsia="zh-CN"/>
        </w:rPr>
        <w:t>4.</w:t>
      </w:r>
      <w:r>
        <w:rPr>
          <w:rFonts w:hint="eastAsia" w:ascii="宋体" w:hAnsi="宋体" w:cs="宋体"/>
          <w:b/>
          <w:color w:val="auto"/>
          <w:sz w:val="36"/>
          <w:szCs w:val="36"/>
          <w:highlight w:val="none"/>
        </w:rPr>
        <w:t>声明函</w:t>
      </w:r>
      <w:r>
        <w:rPr>
          <w:rFonts w:hint="eastAsia" w:ascii="宋体" w:hAnsi="宋体" w:cs="宋体"/>
          <w:b/>
          <w:color w:val="auto"/>
          <w:sz w:val="36"/>
          <w:szCs w:val="36"/>
          <w:highlight w:val="none"/>
          <w:lang w:eastAsia="zh-CN"/>
        </w:rPr>
        <w:t>的格式</w:t>
      </w:r>
      <w:r>
        <w:rPr>
          <w:rFonts w:hint="eastAsia"/>
          <w:color w:val="auto"/>
          <w:sz w:val="36"/>
          <w:szCs w:val="36"/>
          <w:highlight w:val="none"/>
          <w:lang w:eastAsia="zh-CN"/>
        </w:rPr>
        <w:t>：</w:t>
      </w:r>
    </w:p>
    <w:p w14:paraId="3423C2B6">
      <w:pPr>
        <w:snapToGrid w:val="0"/>
        <w:spacing w:before="50" w:after="165" w:afterLines="50"/>
        <w:jc w:val="center"/>
        <w:rPr>
          <w:rFonts w:hint="eastAsia" w:ascii="宋体" w:hAnsi="宋体" w:eastAsia="宋体" w:cs="Times New Roman"/>
          <w:b/>
          <w:color w:val="auto"/>
          <w:sz w:val="40"/>
          <w:szCs w:val="40"/>
          <w:highlight w:val="none"/>
        </w:rPr>
      </w:pPr>
      <w:r>
        <w:rPr>
          <w:rFonts w:hint="eastAsia" w:ascii="宋体" w:hAnsi="宋体" w:eastAsia="宋体" w:cs="Times New Roman"/>
          <w:b/>
          <w:color w:val="auto"/>
          <w:sz w:val="40"/>
          <w:szCs w:val="40"/>
          <w:highlight w:val="none"/>
        </w:rPr>
        <w:t>声明函</w:t>
      </w:r>
    </w:p>
    <w:p w14:paraId="0413E36B">
      <w:pPr>
        <w:tabs>
          <w:tab w:val="left" w:pos="7200"/>
        </w:tabs>
        <w:spacing w:line="360" w:lineRule="auto"/>
        <w:rPr>
          <w:rFonts w:hint="eastAsia"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致：</w:t>
      </w:r>
      <w:r>
        <w:rPr>
          <w:rFonts w:hint="eastAsia" w:ascii="宋体" w:hAnsi="宋体" w:eastAsia="宋体" w:cs="Times New Roman"/>
          <w:color w:val="auto"/>
          <w:sz w:val="24"/>
          <w:szCs w:val="24"/>
          <w:highlight w:val="none"/>
          <w:u w:val="single"/>
          <w:lang w:eastAsia="zh-CN"/>
        </w:rPr>
        <w:t>广西云立方工程管理有限公司</w:t>
      </w:r>
      <w:r>
        <w:rPr>
          <w:rFonts w:hint="eastAsia" w:ascii="宋体" w:hAnsi="宋体" w:eastAsia="宋体" w:cs="Times New Roman"/>
          <w:color w:val="auto"/>
          <w:sz w:val="24"/>
          <w:szCs w:val="24"/>
          <w:highlight w:val="none"/>
          <w:u w:val="single"/>
        </w:rPr>
        <w:t xml:space="preserve"> </w:t>
      </w:r>
    </w:p>
    <w:p w14:paraId="1CFEA9C3">
      <w:pPr>
        <w:pStyle w:val="19"/>
        <w:ind w:firstLine="480" w:firstLineChars="200"/>
        <w:rPr>
          <w:rFonts w:hint="eastAsia"/>
          <w:color w:val="auto"/>
          <w:sz w:val="24"/>
          <w:szCs w:val="24"/>
          <w:highlight w:val="none"/>
        </w:rPr>
      </w:pPr>
      <w:r>
        <w:rPr>
          <w:rFonts w:hint="eastAsia" w:ascii="宋体" w:hAnsi="宋体" w:eastAsia="宋体" w:cs="宋体"/>
          <w:i/>
          <w:iCs/>
          <w:color w:val="auto"/>
          <w:sz w:val="24"/>
          <w:szCs w:val="24"/>
          <w:highlight w:val="none"/>
          <w:u w:val="single"/>
        </w:rPr>
        <w:t>（</w:t>
      </w:r>
      <w:r>
        <w:rPr>
          <w:rFonts w:hint="eastAsia" w:ascii="宋体" w:hAnsi="宋体" w:cs="宋体"/>
          <w:i/>
          <w:iCs/>
          <w:color w:val="auto"/>
          <w:sz w:val="24"/>
          <w:szCs w:val="24"/>
          <w:highlight w:val="none"/>
          <w:u w:val="single"/>
          <w:lang w:val="en-US" w:eastAsia="zh-CN"/>
        </w:rPr>
        <w:t>投标人</w:t>
      </w:r>
      <w:r>
        <w:rPr>
          <w:rFonts w:hint="eastAsia" w:ascii="宋体" w:hAnsi="宋体" w:eastAsia="宋体" w:cs="宋体"/>
          <w:i/>
          <w:iCs/>
          <w:color w:val="auto"/>
          <w:sz w:val="24"/>
          <w:szCs w:val="24"/>
          <w:highlight w:val="none"/>
          <w:u w:val="single"/>
        </w:rPr>
        <w:t>名称）</w:t>
      </w:r>
      <w:r>
        <w:rPr>
          <w:rFonts w:hint="eastAsia" w:ascii="宋体" w:hAnsi="宋体" w:eastAsia="宋体" w:cs="宋体"/>
          <w:color w:val="auto"/>
          <w:sz w:val="24"/>
          <w:szCs w:val="24"/>
          <w:highlight w:val="none"/>
        </w:rPr>
        <w:t>系中华人民共和国合法供应商，经营地址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EE57E4C">
      <w:pPr>
        <w:snapToGrid w:val="0"/>
        <w:spacing w:line="360" w:lineRule="auto"/>
        <w:ind w:firstLine="480" w:firstLineChars="200"/>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我方愿意参加贵方组织的</w:t>
      </w:r>
      <w:r>
        <w:rPr>
          <w:rFonts w:hint="eastAsia" w:ascii="宋体" w:hAnsi="宋体" w:cs="Times New Roman"/>
          <w:i/>
          <w:iCs/>
          <w:color w:val="auto"/>
          <w:sz w:val="24"/>
          <w:szCs w:val="24"/>
          <w:highlight w:val="none"/>
          <w:u w:val="single"/>
          <w:lang w:eastAsia="zh-CN"/>
        </w:rPr>
        <w:t>（项目名称）</w:t>
      </w:r>
      <w:r>
        <w:rPr>
          <w:rFonts w:hint="eastAsia" w:ascii="宋体" w:hAnsi="宋体" w:cs="Times New Roman"/>
          <w:i/>
          <w:iCs/>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rPr>
        <w:t>（项目编号：</w:t>
      </w:r>
      <w:r>
        <w:rPr>
          <w:rFonts w:hint="eastAsia" w:ascii="宋体" w:hAnsi="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 xml:space="preserve"> ）项目的投标，为便于贵方公正、择优地确定中标人，我方就本次投标有关事项郑重声明如下：</w:t>
      </w:r>
    </w:p>
    <w:p w14:paraId="1B049F7F">
      <w:pPr>
        <w:pStyle w:val="19"/>
        <w:ind w:firstLine="480" w:firstLineChars="200"/>
        <w:rPr>
          <w:rFonts w:hint="eastAsia" w:eastAsia="宋体"/>
          <w:color w:val="auto"/>
          <w:sz w:val="24"/>
          <w:szCs w:val="24"/>
          <w:highlight w:val="none"/>
          <w:lang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我方向贵方提交的所有</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文件、资料都是准确的和真实的</w:t>
      </w:r>
      <w:r>
        <w:rPr>
          <w:rFonts w:hint="eastAsia" w:ascii="宋体" w:hAnsi="宋体" w:cs="宋体"/>
          <w:color w:val="auto"/>
          <w:sz w:val="24"/>
          <w:szCs w:val="24"/>
          <w:highlight w:val="none"/>
          <w:lang w:eastAsia="zh-CN"/>
        </w:rPr>
        <w:t>。</w:t>
      </w:r>
    </w:p>
    <w:p w14:paraId="797262E5">
      <w:pPr>
        <w:snapToGrid w:val="0"/>
        <w:spacing w:line="360" w:lineRule="auto"/>
        <w:ind w:firstLine="480" w:firstLineChars="200"/>
        <w:jc w:val="left"/>
        <w:rPr>
          <w:rFonts w:hint="eastAsia"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6F086117">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在此，我方宣布同意如下：</w:t>
      </w:r>
    </w:p>
    <w:p w14:paraId="6C4E7D04">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（1）将按</w:t>
      </w:r>
      <w:r>
        <w:rPr>
          <w:rFonts w:hint="eastAsia" w:ascii="宋体" w:hAnsi="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文件的约定履行合同责任和义务；</w:t>
      </w:r>
    </w:p>
    <w:p w14:paraId="3736E83E">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（2）已详细审查</w:t>
      </w:r>
      <w:r>
        <w:rPr>
          <w:rFonts w:hint="eastAsia" w:ascii="宋体" w:hAnsi="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rPr>
        <w:t>全部</w:t>
      </w:r>
      <w:r>
        <w:rPr>
          <w:rFonts w:hint="eastAsia" w:ascii="宋体" w:hAnsi="宋体" w:cs="宋体"/>
          <w:color w:val="auto"/>
          <w:kern w:val="0"/>
          <w:sz w:val="24"/>
          <w:szCs w:val="24"/>
          <w:highlight w:val="none"/>
          <w:lang w:val="en-US" w:eastAsia="zh-CN"/>
        </w:rPr>
        <w:t>内容</w:t>
      </w:r>
      <w:r>
        <w:rPr>
          <w:rFonts w:hint="eastAsia" w:ascii="宋体" w:hAnsi="宋体" w:eastAsia="宋体" w:cs="宋体"/>
          <w:color w:val="auto"/>
          <w:sz w:val="24"/>
          <w:szCs w:val="24"/>
          <w:highlight w:val="none"/>
        </w:rPr>
        <w:t>，包括澄清或者更正公告（如有）；</w:t>
      </w:r>
    </w:p>
    <w:p w14:paraId="3E4CEFFC">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（3）同意提供按照贵方可能要求的与</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有关的一切数据或者资料。</w:t>
      </w:r>
    </w:p>
    <w:p w14:paraId="14F97F69">
      <w:pPr>
        <w:pStyle w:val="19"/>
        <w:rPr>
          <w:rFonts w:hint="eastAsia"/>
          <w:color w:val="auto"/>
          <w:sz w:val="21"/>
          <w:szCs w:val="21"/>
          <w:highlight w:val="none"/>
        </w:rPr>
      </w:pPr>
    </w:p>
    <w:p w14:paraId="2E61D66A">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4、</w:t>
      </w:r>
      <w:r>
        <w:rPr>
          <w:rFonts w:hint="eastAsia" w:ascii="宋体" w:hAnsi="宋体" w:eastAsia="宋体" w:cs="Times New Roman"/>
          <w:b w:val="0"/>
          <w:bCs w:val="0"/>
          <w:color w:val="auto"/>
          <w:kern w:val="2"/>
          <w:sz w:val="24"/>
          <w:szCs w:val="24"/>
          <w:highlight w:val="none"/>
          <w:lang w:val="en-US" w:eastAsia="zh-CN" w:bidi="ar-SA"/>
        </w:rPr>
        <w:t>我方在此声明，我方在参加本项目的政府采购活动前三年内，在经营活动中没有重大违法记录（重大违法记录是指供应商因违法经营受到刑事处罚或者责令停产停业、吊销许可证或者执照、较大数额罚款等行政处罚）</w:t>
      </w:r>
      <w:r>
        <w:rPr>
          <w:rFonts w:hint="eastAsia" w:ascii="宋体" w:hAnsi="宋体" w:cs="Times New Roman"/>
          <w:color w:val="auto"/>
          <w:sz w:val="24"/>
          <w:szCs w:val="24"/>
          <w:highlight w:val="none"/>
          <w:lang w:eastAsia="zh-CN"/>
        </w:rPr>
        <w:t>，</w:t>
      </w:r>
      <w:r>
        <w:rPr>
          <w:rFonts w:hint="eastAsia" w:ascii="宋体" w:hAnsi="宋体" w:eastAsia="宋体" w:cs="Times New Roman"/>
          <w:color w:val="auto"/>
          <w:sz w:val="24"/>
          <w:szCs w:val="24"/>
          <w:highlight w:val="none"/>
        </w:rPr>
        <w:t>未被列入失信被执行人、</w:t>
      </w:r>
      <w:r>
        <w:rPr>
          <w:rFonts w:hint="eastAsia" w:ascii="宋体" w:hAnsi="宋体" w:cs="Times New Roman"/>
          <w:color w:val="auto"/>
          <w:sz w:val="24"/>
          <w:szCs w:val="24"/>
          <w:highlight w:val="none"/>
          <w:lang w:eastAsia="zh-CN"/>
        </w:rPr>
        <w:t>重大税收违法失信主体</w:t>
      </w:r>
      <w:r>
        <w:rPr>
          <w:rFonts w:hint="eastAsia" w:ascii="宋体" w:hAnsi="宋体" w:eastAsia="宋体" w:cs="Times New Roman"/>
          <w:color w:val="auto"/>
          <w:sz w:val="24"/>
          <w:szCs w:val="24"/>
          <w:highlight w:val="none"/>
        </w:rPr>
        <w:t>、政府采购严重违法失信行为记录名单。</w:t>
      </w:r>
    </w:p>
    <w:p w14:paraId="3DC41740">
      <w:pPr>
        <w:spacing w:line="360" w:lineRule="exact"/>
        <w:ind w:firstLine="480" w:firstLineChars="200"/>
        <w:contextualSpacing/>
        <w:rPr>
          <w:rFonts w:hint="eastAsia" w:ascii="宋体" w:hAnsi="宋体" w:eastAsia="宋体" w:cs="宋体"/>
          <w:i/>
          <w:iCs/>
          <w:color w:val="auto"/>
          <w:sz w:val="24"/>
          <w:szCs w:val="24"/>
          <w:highlight w:val="none"/>
        </w:rPr>
      </w:pPr>
      <w:r>
        <w:rPr>
          <w:rFonts w:hint="eastAsia" w:ascii="宋体" w:hAnsi="宋体" w:cs="Times New Roman"/>
          <w:color w:val="auto"/>
          <w:sz w:val="24"/>
          <w:szCs w:val="24"/>
          <w:highlight w:val="none"/>
          <w:lang w:val="en-US" w:eastAsia="zh-CN"/>
        </w:rPr>
        <w:t>5、</w:t>
      </w:r>
      <w:r>
        <w:rPr>
          <w:rFonts w:hint="eastAsia" w:ascii="宋体" w:hAnsi="宋体" w:eastAsia="宋体" w:cs="宋体"/>
          <w:color w:val="auto"/>
          <w:sz w:val="24"/>
          <w:szCs w:val="24"/>
          <w:highlight w:val="none"/>
        </w:rPr>
        <w:t>根据《中华人民共和国政府采购法实施条例》第五十条要求对政府采购合同进行公告，但政府采购合同中涉及国家秘密、商业秘密的内容除外。我方就对本次</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文件进行注明如下：</w:t>
      </w:r>
      <w:r>
        <w:rPr>
          <w:rFonts w:hint="eastAsia" w:ascii="宋体" w:hAnsi="宋体" w:eastAsia="宋体" w:cs="宋体"/>
          <w:i/>
          <w:iCs/>
          <w:color w:val="auto"/>
          <w:sz w:val="24"/>
          <w:szCs w:val="24"/>
          <w:highlight w:val="none"/>
        </w:rPr>
        <w:t>（两项内容中必须选择一项）</w:t>
      </w:r>
    </w:p>
    <w:p w14:paraId="6D8610F1">
      <w:pPr>
        <w:spacing w:line="360" w:lineRule="exact"/>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□我方本次</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w:t>
      </w:r>
      <w:r>
        <w:rPr>
          <w:rFonts w:hint="eastAsia" w:ascii="宋体" w:hAnsi="宋体" w:eastAsia="宋体" w:cs="宋体"/>
          <w:color w:val="auto"/>
          <w:kern w:val="0"/>
          <w:sz w:val="24"/>
          <w:szCs w:val="24"/>
          <w:highlight w:val="none"/>
        </w:rPr>
        <w:t>内容中</w:t>
      </w:r>
      <w:r>
        <w:rPr>
          <w:rFonts w:hint="eastAsia" w:ascii="宋体" w:hAnsi="宋体" w:eastAsia="宋体" w:cs="宋体"/>
          <w:color w:val="auto"/>
          <w:sz w:val="24"/>
          <w:szCs w:val="24"/>
          <w:highlight w:val="none"/>
        </w:rPr>
        <w:t>未</w:t>
      </w:r>
      <w:r>
        <w:rPr>
          <w:rFonts w:hint="eastAsia" w:ascii="宋体" w:hAnsi="宋体" w:eastAsia="宋体" w:cs="宋体"/>
          <w:color w:val="auto"/>
          <w:kern w:val="0"/>
          <w:sz w:val="24"/>
          <w:szCs w:val="24"/>
          <w:highlight w:val="none"/>
        </w:rPr>
        <w:t>涉及商业秘密</w:t>
      </w:r>
      <w:r>
        <w:rPr>
          <w:rFonts w:hint="eastAsia" w:ascii="宋体" w:hAnsi="宋体" w:cs="宋体"/>
          <w:color w:val="auto"/>
          <w:kern w:val="0"/>
          <w:sz w:val="24"/>
          <w:szCs w:val="24"/>
          <w:highlight w:val="none"/>
          <w:lang w:eastAsia="zh-CN"/>
        </w:rPr>
        <w:t>。</w:t>
      </w:r>
    </w:p>
    <w:p w14:paraId="241053D5">
      <w:pPr>
        <w:spacing w:line="360" w:lineRule="exact"/>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□我方本次</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w:t>
      </w:r>
      <w:r>
        <w:rPr>
          <w:rFonts w:hint="eastAsia" w:ascii="宋体" w:hAnsi="宋体" w:eastAsia="宋体" w:cs="宋体"/>
          <w:color w:val="auto"/>
          <w:kern w:val="0"/>
          <w:sz w:val="24"/>
          <w:szCs w:val="24"/>
          <w:highlight w:val="none"/>
        </w:rPr>
        <w:t>涉及商业秘密的内容有：</w:t>
      </w:r>
      <w:r>
        <w:rPr>
          <w:rFonts w:hint="eastAsia" w:ascii="宋体" w:hAnsi="宋体" w:eastAsia="宋体" w:cs="宋体"/>
          <w:color w:val="auto"/>
          <w:kern w:val="0"/>
          <w:sz w:val="24"/>
          <w:szCs w:val="24"/>
          <w:highlight w:val="none"/>
          <w:u w:val="single"/>
        </w:rPr>
        <w:t xml:space="preserve">                         </w:t>
      </w:r>
      <w:r>
        <w:rPr>
          <w:rFonts w:hint="eastAsia" w:ascii="宋体" w:hAnsi="宋体" w:cs="宋体"/>
          <w:color w:val="auto"/>
          <w:kern w:val="0"/>
          <w:sz w:val="24"/>
          <w:szCs w:val="24"/>
          <w:highlight w:val="none"/>
          <w:lang w:eastAsia="zh-CN"/>
        </w:rPr>
        <w:t>。</w:t>
      </w:r>
    </w:p>
    <w:p w14:paraId="423BB7E2">
      <w:pPr>
        <w:pStyle w:val="19"/>
        <w:rPr>
          <w:rFonts w:hint="default" w:eastAsia="宋体"/>
          <w:color w:val="auto"/>
          <w:sz w:val="21"/>
          <w:szCs w:val="21"/>
          <w:highlight w:val="none"/>
          <w:lang w:val="en-US" w:eastAsia="zh-CN"/>
        </w:rPr>
      </w:pPr>
    </w:p>
    <w:p w14:paraId="4F9D474D">
      <w:pPr>
        <w:snapToGrid w:val="0"/>
        <w:spacing w:line="360" w:lineRule="auto"/>
        <w:ind w:firstLine="480" w:firstLineChars="200"/>
        <w:jc w:val="left"/>
        <w:rPr>
          <w:rFonts w:hint="eastAsia"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rPr>
        <w:t>以上事项如有虚假或</w:t>
      </w:r>
      <w:r>
        <w:rPr>
          <w:rFonts w:hint="eastAsia" w:ascii="宋体" w:hAnsi="宋体" w:cs="Times New Roman"/>
          <w:color w:val="auto"/>
          <w:sz w:val="24"/>
          <w:szCs w:val="24"/>
          <w:highlight w:val="none"/>
          <w:lang w:val="en-US" w:eastAsia="zh-CN"/>
        </w:rPr>
        <w:t>者</w:t>
      </w:r>
      <w:r>
        <w:rPr>
          <w:rFonts w:hint="eastAsia" w:ascii="宋体" w:hAnsi="宋体" w:eastAsia="宋体" w:cs="Times New Roman"/>
          <w:color w:val="auto"/>
          <w:sz w:val="24"/>
          <w:szCs w:val="24"/>
          <w:highlight w:val="none"/>
        </w:rPr>
        <w:t>隐瞒，我方愿意承担一切后果，并不再寻求任何旨在减轻或</w:t>
      </w:r>
      <w:r>
        <w:rPr>
          <w:rFonts w:hint="eastAsia" w:ascii="宋体" w:hAnsi="宋体" w:cs="Times New Roman"/>
          <w:color w:val="auto"/>
          <w:sz w:val="24"/>
          <w:szCs w:val="24"/>
          <w:highlight w:val="none"/>
          <w:lang w:val="en-US" w:eastAsia="zh-CN"/>
        </w:rPr>
        <w:t>者</w:t>
      </w:r>
      <w:r>
        <w:rPr>
          <w:rFonts w:hint="eastAsia" w:ascii="宋体" w:hAnsi="宋体" w:eastAsia="宋体" w:cs="Times New Roman"/>
          <w:color w:val="auto"/>
          <w:sz w:val="24"/>
          <w:szCs w:val="24"/>
          <w:highlight w:val="none"/>
        </w:rPr>
        <w:t xml:space="preserve">免除法律责任的辩解。 </w:t>
      </w:r>
    </w:p>
    <w:p w14:paraId="24E7325C">
      <w:pPr>
        <w:tabs>
          <w:tab w:val="left" w:pos="939"/>
        </w:tabs>
        <w:spacing w:line="360" w:lineRule="exact"/>
        <w:ind w:left="141" w:leftChars="67" w:firstLine="360" w:firstLineChars="15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5ED6DB0E">
      <w:pPr>
        <w:pStyle w:val="19"/>
        <w:rPr>
          <w:rFonts w:hint="eastAsia" w:ascii="宋体" w:hAnsi="宋体" w:eastAsia="宋体" w:cs="宋体"/>
          <w:color w:val="auto"/>
          <w:sz w:val="24"/>
          <w:szCs w:val="24"/>
          <w:highlight w:val="none"/>
        </w:rPr>
      </w:pPr>
    </w:p>
    <w:p w14:paraId="35D12458">
      <w:pPr>
        <w:rPr>
          <w:rFonts w:hint="eastAsia" w:ascii="宋体" w:hAnsi="宋体" w:eastAsia="宋体" w:cs="宋体"/>
          <w:color w:val="auto"/>
          <w:sz w:val="24"/>
          <w:szCs w:val="24"/>
          <w:highlight w:val="none"/>
        </w:rPr>
      </w:pPr>
    </w:p>
    <w:p w14:paraId="3F72E8EE">
      <w:pPr>
        <w:pStyle w:val="19"/>
        <w:rPr>
          <w:rFonts w:hint="eastAsia"/>
          <w:color w:val="auto"/>
          <w:highlight w:val="none"/>
        </w:rPr>
      </w:pPr>
    </w:p>
    <w:p w14:paraId="012442DE">
      <w:pPr>
        <w:snapToGrid w:val="0"/>
        <w:spacing w:line="360" w:lineRule="auto"/>
        <w:ind w:firstLine="480" w:firstLineChars="200"/>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zh-CN"/>
        </w:rPr>
        <w:t>投标人名称(盖公章)：</w:t>
      </w:r>
    </w:p>
    <w:p w14:paraId="3290F627">
      <w:pPr>
        <w:snapToGrid w:val="0"/>
        <w:spacing w:line="360" w:lineRule="auto"/>
        <w:ind w:firstLine="480" w:firstLineChars="200"/>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年    月    日</w:t>
      </w:r>
    </w:p>
    <w:p w14:paraId="6BDCB000">
      <w:pPr>
        <w:rPr>
          <w:rFonts w:hint="eastAsia" w:ascii="宋体" w:hAnsi="宋体" w:eastAsia="宋体" w:cs="Times New Roman"/>
          <w:color w:val="auto"/>
          <w:szCs w:val="21"/>
          <w:highlight w:val="none"/>
        </w:rPr>
      </w:pPr>
    </w:p>
    <w:p w14:paraId="33D09650">
      <w:pPr>
        <w:pStyle w:val="19"/>
        <w:rPr>
          <w:rFonts w:hint="eastAsia" w:ascii="宋体" w:hAnsi="宋体" w:eastAsia="宋体" w:cs="Times New Roman"/>
          <w:color w:val="auto"/>
          <w:szCs w:val="21"/>
          <w:highlight w:val="none"/>
        </w:rPr>
      </w:pPr>
    </w:p>
    <w:p w14:paraId="536CBC34">
      <w:pPr>
        <w:rPr>
          <w:rFonts w:hint="eastAsia" w:ascii="宋体" w:hAnsi="宋体" w:eastAsia="宋体" w:cs="Times New Roman"/>
          <w:color w:val="auto"/>
          <w:szCs w:val="21"/>
          <w:highlight w:val="none"/>
        </w:rPr>
      </w:pPr>
    </w:p>
    <w:p w14:paraId="0900F01F">
      <w:pPr>
        <w:pStyle w:val="17"/>
        <w:jc w:val="left"/>
        <w:outlineLvl w:val="3"/>
        <w:rPr>
          <w:rFonts w:hint="eastAsia" w:ascii="Times New Roman" w:hAnsi="Times New Roman" w:eastAsia="宋体" w:cs="Times New Roman"/>
          <w:b/>
          <w:color w:val="auto"/>
          <w:sz w:val="30"/>
          <w:szCs w:val="30"/>
          <w:highlight w:val="none"/>
        </w:rPr>
      </w:pPr>
      <w:r>
        <w:rPr>
          <w:rFonts w:hint="eastAsia" w:hAnsi="宋体" w:cs="宋体"/>
          <w:b/>
          <w:color w:val="auto"/>
          <w:sz w:val="28"/>
          <w:szCs w:val="28"/>
          <w:highlight w:val="none"/>
          <w:lang w:val="en-US" w:eastAsia="zh-CN"/>
        </w:rPr>
        <w:t>5</w:t>
      </w:r>
      <w:r>
        <w:rPr>
          <w:rFonts w:hint="eastAsia" w:ascii="宋体" w:hAnsi="宋体" w:cs="宋体"/>
          <w:b/>
          <w:color w:val="auto"/>
          <w:sz w:val="28"/>
          <w:szCs w:val="28"/>
          <w:highlight w:val="none"/>
          <w:lang w:val="en-US" w:eastAsia="zh-CN"/>
        </w:rPr>
        <w:t>.</w:t>
      </w:r>
      <w:r>
        <w:rPr>
          <w:rFonts w:hint="eastAsia" w:ascii="宋体" w:hAnsi="宋体" w:cs="宋体"/>
          <w:b/>
          <w:color w:val="auto"/>
          <w:sz w:val="28"/>
          <w:szCs w:val="28"/>
          <w:highlight w:val="none"/>
        </w:rPr>
        <w:t>中小企业声明函</w:t>
      </w:r>
      <w:r>
        <w:rPr>
          <w:rFonts w:hint="eastAsia" w:ascii="宋体" w:hAnsi="宋体" w:cs="宋体"/>
          <w:b/>
          <w:color w:val="auto"/>
          <w:sz w:val="28"/>
          <w:szCs w:val="28"/>
          <w:highlight w:val="none"/>
          <w:lang w:eastAsia="zh-CN"/>
        </w:rPr>
        <w:t>的格式：</w:t>
      </w:r>
    </w:p>
    <w:p w14:paraId="600C302C">
      <w:pPr>
        <w:pStyle w:val="17"/>
        <w:jc w:val="center"/>
        <w:rPr>
          <w:rFonts w:hint="eastAsia" w:ascii="Times New Roman" w:hAnsi="Times New Roman" w:eastAsia="宋体" w:cs="Times New Roman"/>
          <w:b/>
          <w:color w:val="auto"/>
          <w:sz w:val="30"/>
          <w:szCs w:val="30"/>
          <w:highlight w:val="none"/>
        </w:rPr>
      </w:pPr>
    </w:p>
    <w:p w14:paraId="1BD82F92">
      <w:pPr>
        <w:pStyle w:val="17"/>
        <w:jc w:val="center"/>
        <w:rPr>
          <w:rFonts w:hint="eastAsia" w:ascii="Times New Roman" w:hAnsi="Times New Roman" w:eastAsia="宋体" w:cs="Times New Roman"/>
          <w:b/>
          <w:color w:val="auto"/>
          <w:sz w:val="30"/>
          <w:szCs w:val="30"/>
          <w:highlight w:val="none"/>
        </w:rPr>
      </w:pPr>
      <w:r>
        <w:rPr>
          <w:rFonts w:hint="eastAsia" w:ascii="Times New Roman" w:hAnsi="Times New Roman" w:eastAsia="宋体" w:cs="Times New Roman"/>
          <w:b/>
          <w:color w:val="auto"/>
          <w:sz w:val="30"/>
          <w:szCs w:val="30"/>
          <w:highlight w:val="none"/>
        </w:rPr>
        <w:t>中小企业声明函</w:t>
      </w:r>
    </w:p>
    <w:p w14:paraId="58E9F6AD">
      <w:pPr>
        <w:pStyle w:val="13"/>
        <w:spacing w:line="240" w:lineRule="auto"/>
        <w:ind w:firstLine="404" w:firstLineChars="200"/>
        <w:rPr>
          <w:rFonts w:ascii="Times New Roman" w:hAnsi="宋体" w:eastAsia="宋体" w:cs="Times New Roman"/>
          <w:color w:val="auto"/>
          <w:sz w:val="21"/>
          <w:szCs w:val="21"/>
          <w:highlight w:val="none"/>
        </w:rPr>
      </w:pPr>
    </w:p>
    <w:p w14:paraId="114C83AB">
      <w:pPr>
        <w:autoSpaceDE w:val="0"/>
        <w:autoSpaceDN w:val="0"/>
        <w:adjustRightInd w:val="0"/>
        <w:spacing w:line="360" w:lineRule="auto"/>
        <w:ind w:firstLine="444" w:firstLineChars="202"/>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本公司郑重声明，根据《政府采购促进中小企业发展管理办法》（财库﹝2020﹞46 号）的规定，本公司参加</w:t>
      </w:r>
      <w:r>
        <w:rPr>
          <w:rFonts w:hint="eastAsia" w:ascii="宋体" w:hAnsi="宋体" w:eastAsia="宋体" w:cs="宋体"/>
          <w:i/>
          <w:color w:val="auto"/>
          <w:kern w:val="0"/>
          <w:sz w:val="22"/>
          <w:szCs w:val="22"/>
          <w:highlight w:val="none"/>
          <w:u w:val="single"/>
        </w:rPr>
        <w:t>（单位名称）</w:t>
      </w:r>
      <w:r>
        <w:rPr>
          <w:rFonts w:hint="eastAsia" w:ascii="宋体" w:hAnsi="宋体" w:eastAsia="宋体" w:cs="宋体"/>
          <w:color w:val="auto"/>
          <w:kern w:val="0"/>
          <w:sz w:val="22"/>
          <w:szCs w:val="22"/>
          <w:highlight w:val="none"/>
        </w:rPr>
        <w:t>的</w:t>
      </w:r>
      <w:r>
        <w:rPr>
          <w:rFonts w:hint="eastAsia" w:ascii="宋体" w:hAnsi="宋体" w:eastAsia="宋体" w:cs="宋体"/>
          <w:i/>
          <w:color w:val="auto"/>
          <w:kern w:val="0"/>
          <w:sz w:val="22"/>
          <w:szCs w:val="22"/>
          <w:highlight w:val="none"/>
          <w:u w:val="single"/>
        </w:rPr>
        <w:t>（项目名称）</w:t>
      </w:r>
      <w:r>
        <w:rPr>
          <w:rFonts w:hint="eastAsia" w:ascii="宋体" w:hAnsi="宋体" w:eastAsia="宋体" w:cs="宋体"/>
          <w:color w:val="auto"/>
          <w:kern w:val="0"/>
          <w:sz w:val="22"/>
          <w:szCs w:val="22"/>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D2BC0B5">
      <w:pPr>
        <w:autoSpaceDE w:val="0"/>
        <w:autoSpaceDN w:val="0"/>
        <w:adjustRightInd w:val="0"/>
        <w:spacing w:line="360" w:lineRule="auto"/>
        <w:ind w:firstLine="444" w:firstLineChars="202"/>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1. </w:t>
      </w:r>
      <w:r>
        <w:rPr>
          <w:rFonts w:hint="eastAsia" w:ascii="宋体" w:hAnsi="宋体" w:eastAsia="宋体" w:cs="宋体"/>
          <w:i/>
          <w:color w:val="auto"/>
          <w:kern w:val="0"/>
          <w:sz w:val="22"/>
          <w:szCs w:val="22"/>
          <w:highlight w:val="none"/>
          <w:u w:val="single"/>
        </w:rPr>
        <w:t>（标的名称）</w:t>
      </w:r>
      <w:r>
        <w:rPr>
          <w:rFonts w:hint="eastAsia" w:ascii="宋体" w:hAnsi="宋体" w:eastAsia="宋体" w:cs="宋体"/>
          <w:color w:val="auto"/>
          <w:kern w:val="0"/>
          <w:sz w:val="22"/>
          <w:szCs w:val="22"/>
          <w:highlight w:val="none"/>
        </w:rPr>
        <w:t xml:space="preserve"> ，属于</w:t>
      </w:r>
      <w:r>
        <w:rPr>
          <w:rFonts w:hint="eastAsia" w:ascii="宋体" w:hAnsi="宋体" w:eastAsia="宋体" w:cs="宋体"/>
          <w:i/>
          <w:color w:val="auto"/>
          <w:kern w:val="0"/>
          <w:sz w:val="22"/>
          <w:szCs w:val="22"/>
          <w:highlight w:val="none"/>
          <w:u w:val="single"/>
        </w:rPr>
        <w:t>（</w:t>
      </w:r>
      <w:r>
        <w:rPr>
          <w:rFonts w:hint="eastAsia" w:ascii="宋体" w:hAnsi="宋体" w:eastAsia="宋体" w:cs="宋体"/>
          <w:i/>
          <w:color w:val="auto"/>
          <w:kern w:val="0"/>
          <w:sz w:val="22"/>
          <w:szCs w:val="22"/>
          <w:highlight w:val="none"/>
          <w:u w:val="single"/>
          <w:lang w:eastAsia="zh-CN"/>
        </w:rPr>
        <w:t>采购</w:t>
      </w:r>
      <w:r>
        <w:rPr>
          <w:rFonts w:hint="eastAsia" w:ascii="宋体" w:hAnsi="宋体" w:eastAsia="宋体" w:cs="宋体"/>
          <w:i/>
          <w:color w:val="auto"/>
          <w:kern w:val="0"/>
          <w:sz w:val="22"/>
          <w:szCs w:val="22"/>
          <w:highlight w:val="none"/>
          <w:u w:val="single"/>
        </w:rPr>
        <w:t>文件中明确的所属行业）</w:t>
      </w:r>
      <w:r>
        <w:rPr>
          <w:rFonts w:hint="eastAsia" w:ascii="宋体" w:hAnsi="宋体" w:eastAsia="宋体" w:cs="宋体"/>
          <w:color w:val="auto"/>
          <w:kern w:val="0"/>
          <w:sz w:val="22"/>
          <w:szCs w:val="22"/>
          <w:highlight w:val="none"/>
        </w:rPr>
        <w:t>；承建（承接）企业为</w:t>
      </w:r>
      <w:r>
        <w:rPr>
          <w:rFonts w:hint="eastAsia" w:ascii="宋体" w:hAnsi="宋体" w:eastAsia="宋体" w:cs="宋体"/>
          <w:i/>
          <w:color w:val="auto"/>
          <w:kern w:val="0"/>
          <w:sz w:val="22"/>
          <w:szCs w:val="22"/>
          <w:highlight w:val="none"/>
          <w:u w:val="single"/>
        </w:rPr>
        <w:t>（企业名称）</w:t>
      </w:r>
      <w:r>
        <w:rPr>
          <w:rFonts w:hint="eastAsia" w:ascii="宋体" w:hAnsi="宋体" w:eastAsia="宋体" w:cs="宋体"/>
          <w:color w:val="auto"/>
          <w:kern w:val="0"/>
          <w:sz w:val="22"/>
          <w:szCs w:val="22"/>
          <w:highlight w:val="none"/>
        </w:rPr>
        <w:t>，从业人员</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人，营业收入为</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万元，资产总额为</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万元，属于</w:t>
      </w:r>
      <w:r>
        <w:rPr>
          <w:rFonts w:hint="eastAsia" w:ascii="宋体" w:hAnsi="宋体" w:eastAsia="宋体" w:cs="宋体"/>
          <w:i/>
          <w:color w:val="auto"/>
          <w:kern w:val="0"/>
          <w:sz w:val="22"/>
          <w:szCs w:val="22"/>
          <w:highlight w:val="none"/>
          <w:u w:val="single"/>
        </w:rPr>
        <w:t>（中型企业、小型企业、微型企业）</w:t>
      </w:r>
      <w:r>
        <w:rPr>
          <w:rFonts w:hint="eastAsia" w:ascii="宋体" w:hAnsi="宋体" w:eastAsia="宋体" w:cs="宋体"/>
          <w:color w:val="auto"/>
          <w:kern w:val="0"/>
          <w:sz w:val="22"/>
          <w:szCs w:val="22"/>
          <w:highlight w:val="none"/>
        </w:rPr>
        <w:t>；</w:t>
      </w:r>
    </w:p>
    <w:p w14:paraId="3596E9CA">
      <w:pPr>
        <w:autoSpaceDE w:val="0"/>
        <w:autoSpaceDN w:val="0"/>
        <w:adjustRightInd w:val="0"/>
        <w:spacing w:line="360" w:lineRule="auto"/>
        <w:ind w:firstLine="444" w:firstLineChars="202"/>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2. </w:t>
      </w:r>
      <w:r>
        <w:rPr>
          <w:rFonts w:hint="eastAsia" w:ascii="宋体" w:hAnsi="宋体" w:eastAsia="宋体" w:cs="宋体"/>
          <w:i/>
          <w:color w:val="auto"/>
          <w:kern w:val="0"/>
          <w:sz w:val="22"/>
          <w:szCs w:val="22"/>
          <w:highlight w:val="none"/>
          <w:u w:val="single"/>
        </w:rPr>
        <w:t>（标的名称）</w:t>
      </w:r>
      <w:r>
        <w:rPr>
          <w:rFonts w:hint="eastAsia" w:ascii="宋体" w:hAnsi="宋体" w:eastAsia="宋体" w:cs="宋体"/>
          <w:color w:val="auto"/>
          <w:kern w:val="0"/>
          <w:sz w:val="22"/>
          <w:szCs w:val="22"/>
          <w:highlight w:val="none"/>
        </w:rPr>
        <w:t xml:space="preserve"> ，属于</w:t>
      </w:r>
      <w:r>
        <w:rPr>
          <w:rFonts w:hint="eastAsia" w:ascii="宋体" w:hAnsi="宋体" w:eastAsia="宋体" w:cs="宋体"/>
          <w:i/>
          <w:color w:val="auto"/>
          <w:kern w:val="0"/>
          <w:sz w:val="22"/>
          <w:szCs w:val="22"/>
          <w:highlight w:val="none"/>
          <w:u w:val="single"/>
        </w:rPr>
        <w:t>（</w:t>
      </w:r>
      <w:r>
        <w:rPr>
          <w:rFonts w:hint="eastAsia" w:ascii="宋体" w:hAnsi="宋体" w:eastAsia="宋体" w:cs="宋体"/>
          <w:i/>
          <w:color w:val="auto"/>
          <w:kern w:val="0"/>
          <w:sz w:val="22"/>
          <w:szCs w:val="22"/>
          <w:highlight w:val="none"/>
          <w:u w:val="single"/>
          <w:lang w:eastAsia="zh-CN"/>
        </w:rPr>
        <w:t>采购</w:t>
      </w:r>
      <w:r>
        <w:rPr>
          <w:rFonts w:hint="eastAsia" w:ascii="宋体" w:hAnsi="宋体" w:eastAsia="宋体" w:cs="宋体"/>
          <w:i/>
          <w:color w:val="auto"/>
          <w:kern w:val="0"/>
          <w:sz w:val="22"/>
          <w:szCs w:val="22"/>
          <w:highlight w:val="none"/>
          <w:u w:val="single"/>
        </w:rPr>
        <w:t>文件中明确的所属行业）</w:t>
      </w:r>
      <w:r>
        <w:rPr>
          <w:rFonts w:hint="eastAsia" w:ascii="宋体" w:hAnsi="宋体" w:eastAsia="宋体" w:cs="宋体"/>
          <w:color w:val="auto"/>
          <w:kern w:val="0"/>
          <w:sz w:val="22"/>
          <w:szCs w:val="22"/>
          <w:highlight w:val="none"/>
        </w:rPr>
        <w:t>；承建（承接）企业为</w:t>
      </w:r>
      <w:r>
        <w:rPr>
          <w:rFonts w:hint="eastAsia" w:ascii="宋体" w:hAnsi="宋体" w:eastAsia="宋体" w:cs="宋体"/>
          <w:i/>
          <w:color w:val="auto"/>
          <w:kern w:val="0"/>
          <w:sz w:val="22"/>
          <w:szCs w:val="22"/>
          <w:highlight w:val="none"/>
          <w:u w:val="single"/>
        </w:rPr>
        <w:t>（企业名称）</w:t>
      </w:r>
      <w:r>
        <w:rPr>
          <w:rFonts w:hint="eastAsia" w:ascii="宋体" w:hAnsi="宋体" w:eastAsia="宋体" w:cs="宋体"/>
          <w:color w:val="auto"/>
          <w:kern w:val="0"/>
          <w:sz w:val="22"/>
          <w:szCs w:val="22"/>
          <w:highlight w:val="none"/>
        </w:rPr>
        <w:t>，从业人员</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人，营业收入为</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万元，资产总额为</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万元，属于</w:t>
      </w:r>
      <w:r>
        <w:rPr>
          <w:rFonts w:hint="eastAsia" w:ascii="宋体" w:hAnsi="宋体" w:eastAsia="宋体" w:cs="宋体"/>
          <w:i/>
          <w:color w:val="auto"/>
          <w:kern w:val="0"/>
          <w:sz w:val="22"/>
          <w:szCs w:val="22"/>
          <w:highlight w:val="none"/>
          <w:u w:val="single"/>
        </w:rPr>
        <w:t>（中型企业、小型企业、微型企业）</w:t>
      </w:r>
      <w:r>
        <w:rPr>
          <w:rFonts w:hint="eastAsia" w:ascii="宋体" w:hAnsi="宋体" w:eastAsia="宋体" w:cs="宋体"/>
          <w:color w:val="auto"/>
          <w:kern w:val="0"/>
          <w:sz w:val="22"/>
          <w:szCs w:val="22"/>
          <w:highlight w:val="none"/>
        </w:rPr>
        <w:t>；</w:t>
      </w:r>
    </w:p>
    <w:p w14:paraId="653F058C">
      <w:pPr>
        <w:autoSpaceDE w:val="0"/>
        <w:autoSpaceDN w:val="0"/>
        <w:adjustRightInd w:val="0"/>
        <w:spacing w:line="360" w:lineRule="auto"/>
        <w:ind w:firstLine="444" w:firstLineChars="202"/>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p>
    <w:p w14:paraId="00175A60">
      <w:pPr>
        <w:autoSpaceDE w:val="0"/>
        <w:autoSpaceDN w:val="0"/>
        <w:adjustRightInd w:val="0"/>
        <w:spacing w:line="360" w:lineRule="auto"/>
        <w:ind w:firstLine="444" w:firstLineChars="202"/>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以上企业，不属于大企业的分支机构，不存在控股股东为大企业的情形，也不存在与大企业的负责人为同一人的情形。</w:t>
      </w:r>
    </w:p>
    <w:p w14:paraId="3199B63B">
      <w:pPr>
        <w:autoSpaceDE w:val="0"/>
        <w:autoSpaceDN w:val="0"/>
        <w:adjustRightInd w:val="0"/>
        <w:spacing w:line="360" w:lineRule="auto"/>
        <w:ind w:firstLine="444" w:firstLineChars="202"/>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本企业对上述声明内容的真实性负责。如有虚假，将依法承担相应责任。</w:t>
      </w:r>
    </w:p>
    <w:p w14:paraId="5450121E">
      <w:pPr>
        <w:pStyle w:val="17"/>
        <w:spacing w:line="360" w:lineRule="auto"/>
        <w:ind w:firstLine="440" w:firstLineChars="200"/>
        <w:rPr>
          <w:rFonts w:hint="eastAsia" w:hAnsi="宋体" w:eastAsia="宋体" w:cs="Times New Roman"/>
          <w:color w:val="auto"/>
          <w:sz w:val="22"/>
          <w:szCs w:val="22"/>
          <w:highlight w:val="none"/>
        </w:rPr>
      </w:pPr>
    </w:p>
    <w:p w14:paraId="5076B652">
      <w:pPr>
        <w:pStyle w:val="17"/>
        <w:spacing w:line="360" w:lineRule="auto"/>
        <w:ind w:firstLine="440" w:firstLineChars="200"/>
        <w:rPr>
          <w:rFonts w:hint="eastAsia" w:ascii="宋体" w:hAnsi="宋体" w:eastAsia="宋体" w:cs="宋体"/>
          <w:color w:val="auto"/>
          <w:kern w:val="0"/>
          <w:sz w:val="22"/>
          <w:szCs w:val="22"/>
          <w:highlight w:val="none"/>
          <w:lang w:val="en-US" w:eastAsia="zh-CN" w:bidi="ar-SA"/>
        </w:rPr>
      </w:pPr>
    </w:p>
    <w:p w14:paraId="438C3C17">
      <w:pPr>
        <w:snapToGrid w:val="0"/>
        <w:spacing w:line="360" w:lineRule="auto"/>
        <w:ind w:firstLine="4620" w:firstLineChars="2100"/>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zh-CN" w:eastAsia="zh-CN" w:bidi="ar-SA"/>
        </w:rPr>
        <w:t>投标人名称(盖公章)：</w:t>
      </w:r>
    </w:p>
    <w:p w14:paraId="1234FFD1">
      <w:pPr>
        <w:snapToGrid w:val="0"/>
        <w:spacing w:line="360" w:lineRule="auto"/>
        <w:ind w:firstLine="4730" w:firstLineChars="2150"/>
        <w:rPr>
          <w:rFonts w:hint="eastAsia" w:ascii="宋体" w:hAnsi="宋体" w:eastAsia="宋体" w:cs="宋体"/>
          <w:color w:val="auto"/>
          <w:kern w:val="0"/>
          <w:sz w:val="22"/>
          <w:szCs w:val="22"/>
          <w:highlight w:val="none"/>
          <w:lang w:val="zh-CN" w:eastAsia="zh-CN" w:bidi="ar-SA"/>
        </w:rPr>
      </w:pPr>
      <w:r>
        <w:rPr>
          <w:rFonts w:hint="eastAsia" w:ascii="宋体" w:hAnsi="宋体" w:eastAsia="宋体" w:cs="宋体"/>
          <w:color w:val="auto"/>
          <w:kern w:val="0"/>
          <w:sz w:val="22"/>
          <w:szCs w:val="22"/>
          <w:highlight w:val="none"/>
          <w:lang w:val="zh-CN" w:eastAsia="zh-CN" w:bidi="ar-SA"/>
        </w:rPr>
        <w:t>日期</w:t>
      </w:r>
      <w:r>
        <w:rPr>
          <w:rFonts w:hint="eastAsia" w:ascii="宋体" w:hAnsi="宋体" w:eastAsia="宋体" w:cs="宋体"/>
          <w:color w:val="auto"/>
          <w:kern w:val="0"/>
          <w:sz w:val="22"/>
          <w:szCs w:val="22"/>
          <w:highlight w:val="none"/>
          <w:lang w:val="en-US" w:eastAsia="zh-CN" w:bidi="ar-SA"/>
        </w:rPr>
        <w:t xml:space="preserve">：  年  </w:t>
      </w:r>
      <w:r>
        <w:rPr>
          <w:rFonts w:hint="eastAsia" w:ascii="宋体" w:hAnsi="宋体" w:eastAsia="宋体" w:cs="宋体"/>
          <w:color w:val="auto"/>
          <w:kern w:val="0"/>
          <w:sz w:val="22"/>
          <w:szCs w:val="22"/>
          <w:highlight w:val="none"/>
          <w:lang w:val="zh-CN" w:eastAsia="zh-CN" w:bidi="ar-SA"/>
        </w:rPr>
        <w:t>月</w:t>
      </w:r>
      <w:r>
        <w:rPr>
          <w:rFonts w:hint="eastAsia" w:ascii="宋体" w:hAnsi="宋体" w:eastAsia="宋体" w:cs="宋体"/>
          <w:color w:val="auto"/>
          <w:kern w:val="0"/>
          <w:sz w:val="22"/>
          <w:szCs w:val="22"/>
          <w:highlight w:val="none"/>
          <w:lang w:val="en-US" w:eastAsia="zh-CN" w:bidi="ar-SA"/>
        </w:rPr>
        <w:t xml:space="preserve">   </w:t>
      </w:r>
      <w:r>
        <w:rPr>
          <w:rFonts w:hint="eastAsia" w:ascii="宋体" w:hAnsi="宋体" w:eastAsia="宋体" w:cs="宋体"/>
          <w:color w:val="auto"/>
          <w:kern w:val="0"/>
          <w:sz w:val="22"/>
          <w:szCs w:val="22"/>
          <w:highlight w:val="none"/>
          <w:lang w:val="zh-CN" w:eastAsia="zh-CN" w:bidi="ar-SA"/>
        </w:rPr>
        <w:t>日</w:t>
      </w:r>
    </w:p>
    <w:p w14:paraId="340D186D">
      <w:pPr>
        <w:pStyle w:val="17"/>
        <w:spacing w:line="360" w:lineRule="auto"/>
        <w:ind w:firstLine="420" w:firstLineChars="200"/>
        <w:rPr>
          <w:rFonts w:hint="eastAsia" w:hAnsi="宋体" w:eastAsia="宋体" w:cs="Times New Roman"/>
          <w:color w:val="auto"/>
          <w:szCs w:val="21"/>
          <w:highlight w:val="none"/>
        </w:rPr>
      </w:pPr>
    </w:p>
    <w:p w14:paraId="5AE0B0C0">
      <w:pPr>
        <w:snapToGrid w:val="0"/>
        <w:spacing w:before="50" w:after="165" w:afterLines="50"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440A5B72">
      <w:pPr>
        <w:numPr>
          <w:ilvl w:val="0"/>
          <w:numId w:val="3"/>
        </w:numPr>
        <w:snapToGrid w:val="0"/>
        <w:spacing w:before="50" w:after="165" w:afterLines="50" w:line="360" w:lineRule="auto"/>
        <w:ind w:left="660" w:hanging="36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从业人员、营业收入、资产总额填报上一年度数据，无上一年度数据的新成立企业可不填报。</w:t>
      </w:r>
    </w:p>
    <w:p w14:paraId="18FC35C4">
      <w:pPr>
        <w:snapToGrid w:val="0"/>
        <w:spacing w:before="50" w:after="165" w:afterLines="50" w:line="360" w:lineRule="auto"/>
        <w:ind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2、请根据自己的真实情况出具《中小企业声明函》。依法享受中小企业</w:t>
      </w:r>
      <w:r>
        <w:rPr>
          <w:rFonts w:hint="eastAsia" w:ascii="宋体" w:hAnsi="宋体" w:eastAsia="宋体" w:cs="宋体"/>
          <w:color w:val="auto"/>
          <w:sz w:val="21"/>
          <w:szCs w:val="21"/>
          <w:highlight w:val="none"/>
          <w:lang w:eastAsia="zh-CN"/>
        </w:rPr>
        <w:t>扶持</w:t>
      </w:r>
      <w:r>
        <w:rPr>
          <w:rFonts w:hint="eastAsia" w:ascii="宋体" w:hAnsi="宋体" w:eastAsia="宋体" w:cs="宋体"/>
          <w:color w:val="auto"/>
          <w:sz w:val="21"/>
          <w:szCs w:val="21"/>
          <w:highlight w:val="none"/>
        </w:rPr>
        <w:t>政策的，采购人或者采购代理机构在公告中标结果时，同时公告其《中小企业声明函》，接受社会监督。</w:t>
      </w:r>
    </w:p>
    <w:p w14:paraId="5CE34FC2">
      <w:pPr>
        <w:pStyle w:val="13"/>
        <w:spacing w:line="360" w:lineRule="auto"/>
        <w:ind w:firstLine="406"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、本声明函主要供参加政府采购活动的中小企业填写，非中小企业无需填写。</w:t>
      </w:r>
    </w:p>
    <w:p w14:paraId="667DFA27">
      <w:pPr>
        <w:pStyle w:val="13"/>
        <w:spacing w:line="360" w:lineRule="auto"/>
        <w:ind w:firstLine="406"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、小型、微型企业提供中型企业提供的服务的，视同为中型企业。</w:t>
      </w:r>
    </w:p>
    <w:p w14:paraId="65E35529">
      <w:pPr>
        <w:pStyle w:val="19"/>
        <w:rPr>
          <w:rFonts w:hint="eastAsia" w:ascii="宋体" w:hAnsi="宋体" w:eastAsia="宋体" w:cs="宋体"/>
          <w:b/>
          <w:bCs/>
          <w:color w:val="auto"/>
          <w:highlight w:val="none"/>
        </w:rPr>
        <w:sectPr>
          <w:pgSz w:w="11905" w:h="16838"/>
          <w:pgMar w:top="1134" w:right="1134" w:bottom="1134" w:left="1134" w:header="850" w:footer="850" w:gutter="0"/>
          <w:pgNumType w:fmt="decimal"/>
          <w:cols w:space="0" w:num="1"/>
          <w:titlePg/>
          <w:rtlGutter w:val="0"/>
          <w:docGrid w:linePitch="331" w:charSpace="0"/>
        </w:sectPr>
      </w:pPr>
    </w:p>
    <w:p w14:paraId="088C75B1">
      <w:pPr>
        <w:jc w:val="left"/>
        <w:outlineLvl w:val="3"/>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6.残疾人福利性单位声明函的格式：</w:t>
      </w:r>
    </w:p>
    <w:p w14:paraId="355CE7F1">
      <w:pPr>
        <w:jc w:val="left"/>
        <w:rPr>
          <w:rFonts w:hint="eastAsia" w:hAnsi="宋体" w:cs="宋体"/>
          <w:b/>
          <w:color w:val="auto"/>
          <w:sz w:val="28"/>
          <w:szCs w:val="28"/>
          <w:highlight w:val="none"/>
          <w:lang w:val="en-US" w:eastAsia="zh-CN"/>
        </w:rPr>
      </w:pPr>
    </w:p>
    <w:p w14:paraId="743EFB5B">
      <w:pPr>
        <w:jc w:val="left"/>
        <w:rPr>
          <w:rFonts w:hint="eastAsia" w:hAnsi="宋体" w:cs="宋体"/>
          <w:b/>
          <w:color w:val="auto"/>
          <w:sz w:val="28"/>
          <w:szCs w:val="28"/>
          <w:highlight w:val="none"/>
          <w:lang w:val="en" w:eastAsia="zh-CN"/>
        </w:rPr>
      </w:pPr>
    </w:p>
    <w:p w14:paraId="3B002E89">
      <w:pPr>
        <w:pStyle w:val="17"/>
        <w:spacing w:line="360" w:lineRule="auto"/>
        <w:jc w:val="center"/>
        <w:rPr>
          <w:rFonts w:hint="eastAsia" w:eastAsia="宋体" w:cs="Times New Roman"/>
          <w:b/>
          <w:color w:val="auto"/>
          <w:sz w:val="30"/>
          <w:szCs w:val="30"/>
          <w:highlight w:val="none"/>
        </w:rPr>
      </w:pPr>
      <w:r>
        <w:rPr>
          <w:rFonts w:hint="eastAsia" w:eastAsia="宋体" w:cs="Times New Roman"/>
          <w:b/>
          <w:color w:val="auto"/>
          <w:sz w:val="30"/>
          <w:szCs w:val="30"/>
          <w:highlight w:val="none"/>
        </w:rPr>
        <w:t>残疾人福利性单位声明函</w:t>
      </w:r>
    </w:p>
    <w:p w14:paraId="762F5E6D">
      <w:pPr>
        <w:pStyle w:val="17"/>
        <w:spacing w:line="360" w:lineRule="auto"/>
        <w:jc w:val="center"/>
        <w:rPr>
          <w:rFonts w:hint="eastAsia" w:eastAsia="宋体" w:cs="Times New Roman"/>
          <w:b/>
          <w:color w:val="auto"/>
          <w:sz w:val="30"/>
          <w:szCs w:val="30"/>
          <w:highlight w:val="none"/>
        </w:rPr>
      </w:pPr>
    </w:p>
    <w:p w14:paraId="68217DE9">
      <w:pPr>
        <w:pStyle w:val="17"/>
        <w:spacing w:line="360" w:lineRule="auto"/>
        <w:jc w:val="left"/>
        <w:rPr>
          <w:rFonts w:hint="eastAsia" w:ascii="宋体" w:hAnsi="宋体" w:eastAsia="宋体" w:cs="宋体"/>
          <w:color w:val="auto"/>
          <w:sz w:val="24"/>
          <w:szCs w:val="24"/>
          <w:highlight w:val="none"/>
        </w:rPr>
      </w:pPr>
      <w:r>
        <w:rPr>
          <w:rFonts w:hint="eastAsia" w:eastAsia="宋体" w:cs="Times New Roman"/>
          <w:color w:val="auto"/>
          <w:sz w:val="30"/>
          <w:szCs w:val="30"/>
          <w:highlight w:val="none"/>
        </w:rPr>
        <w:t xml:space="preserve"> </w:t>
      </w: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429A1E98">
      <w:pPr>
        <w:pStyle w:val="17"/>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单位</w:t>
      </w:r>
      <w:r>
        <w:rPr>
          <w:rFonts w:hint="eastAsia" w:ascii="宋体" w:hAnsi="宋体" w:eastAsia="宋体" w:cs="宋体"/>
          <w:color w:val="auto"/>
          <w:sz w:val="24"/>
          <w:szCs w:val="24"/>
          <w:highlight w:val="none"/>
        </w:rPr>
        <w:t>对上述声明的真实性负责。如有虚假，将依法承担相应责任。</w:t>
      </w:r>
    </w:p>
    <w:p w14:paraId="2D50DA56">
      <w:pPr>
        <w:pStyle w:val="17"/>
        <w:spacing w:line="360" w:lineRule="auto"/>
        <w:jc w:val="left"/>
        <w:rPr>
          <w:rFonts w:hint="eastAsia" w:ascii="宋体" w:hAnsi="宋体" w:eastAsia="宋体" w:cs="宋体"/>
          <w:b/>
          <w:color w:val="auto"/>
          <w:szCs w:val="21"/>
          <w:highlight w:val="none"/>
        </w:rPr>
      </w:pPr>
    </w:p>
    <w:p w14:paraId="5529B9DB">
      <w:pPr>
        <w:pStyle w:val="17"/>
        <w:spacing w:line="360" w:lineRule="auto"/>
        <w:jc w:val="left"/>
        <w:rPr>
          <w:rFonts w:hint="eastAsia" w:ascii="宋体" w:hAnsi="宋体" w:eastAsia="宋体" w:cs="宋体"/>
          <w:b/>
          <w:color w:val="auto"/>
          <w:szCs w:val="21"/>
          <w:highlight w:val="none"/>
        </w:rPr>
      </w:pPr>
    </w:p>
    <w:p w14:paraId="7F563A09">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投标人名称(盖公章)：</w:t>
      </w:r>
    </w:p>
    <w:p w14:paraId="62C101B0">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071126F9">
      <w:pPr>
        <w:pStyle w:val="17"/>
        <w:spacing w:line="360" w:lineRule="auto"/>
        <w:ind w:left="5132" w:leftChars="1979" w:hanging="976" w:hangingChars="488"/>
        <w:rPr>
          <w:rFonts w:hint="eastAsia" w:ascii="宋体" w:hAnsi="宋体" w:eastAsia="宋体" w:cs="宋体"/>
          <w:color w:val="auto"/>
          <w:sz w:val="20"/>
          <w:highlight w:val="none"/>
        </w:rPr>
      </w:pPr>
    </w:p>
    <w:p w14:paraId="4E203A88">
      <w:pPr>
        <w:spacing w:line="360" w:lineRule="auto"/>
        <w:ind w:right="420" w:firstLine="480" w:firstLineChars="200"/>
        <w:rPr>
          <w:rFonts w:hint="eastAsia" w:ascii="宋体" w:hAnsi="宋体" w:eastAsia="宋体" w:cs="宋体"/>
          <w:color w:val="auto"/>
          <w:sz w:val="24"/>
          <w:highlight w:val="none"/>
        </w:rPr>
      </w:pPr>
    </w:p>
    <w:p w14:paraId="3064DFEB">
      <w:pPr>
        <w:spacing w:line="360" w:lineRule="auto"/>
        <w:ind w:right="420" w:firstLine="480" w:firstLineChars="200"/>
        <w:rPr>
          <w:rFonts w:hint="eastAsia" w:ascii="宋体" w:hAnsi="宋体" w:eastAsia="宋体" w:cs="宋体"/>
          <w:color w:val="auto"/>
          <w:sz w:val="24"/>
          <w:highlight w:val="none"/>
        </w:rPr>
      </w:pPr>
    </w:p>
    <w:p w14:paraId="3037BBCC">
      <w:pPr>
        <w:spacing w:line="360" w:lineRule="auto"/>
        <w:ind w:right="42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注：请根据自己的真实情况出具《残疾人福利性单位声明函》。依法享受中小企业</w:t>
      </w:r>
      <w:r>
        <w:rPr>
          <w:rFonts w:hint="eastAsia" w:ascii="宋体" w:hAnsi="宋体" w:eastAsia="宋体" w:cs="宋体"/>
          <w:color w:val="auto"/>
          <w:sz w:val="21"/>
          <w:szCs w:val="21"/>
          <w:highlight w:val="none"/>
          <w:lang w:eastAsia="zh-CN"/>
        </w:rPr>
        <w:t>扶持</w:t>
      </w:r>
      <w:r>
        <w:rPr>
          <w:rFonts w:hint="eastAsia" w:ascii="宋体" w:hAnsi="宋体" w:eastAsia="宋体" w:cs="宋体"/>
          <w:color w:val="auto"/>
          <w:sz w:val="21"/>
          <w:szCs w:val="21"/>
          <w:highlight w:val="none"/>
        </w:rPr>
        <w:t>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0B76A2AB">
      <w:pPr>
        <w:rPr>
          <w:rFonts w:hint="eastAsia" w:ascii="宋体" w:hAnsi="宋体" w:eastAsia="宋体" w:cs="Times New Roman"/>
          <w:color w:val="auto"/>
          <w:szCs w:val="21"/>
          <w:highlight w:val="none"/>
        </w:rPr>
      </w:pPr>
    </w:p>
    <w:p w14:paraId="27FE1654">
      <w:pPr>
        <w:pStyle w:val="19"/>
        <w:rPr>
          <w:rFonts w:hint="eastAsia"/>
          <w:color w:val="auto"/>
          <w:highlight w:val="none"/>
          <w:lang w:val="zh-CN"/>
        </w:rPr>
      </w:pPr>
    </w:p>
    <w:p w14:paraId="59435B6B">
      <w:pPr>
        <w:pStyle w:val="17"/>
        <w:spacing w:line="600" w:lineRule="exact"/>
        <w:jc w:val="center"/>
        <w:rPr>
          <w:rFonts w:hint="eastAsia" w:hAnsi="宋体" w:cs="宋体"/>
          <w:color w:val="auto"/>
          <w:kern w:val="0"/>
          <w:szCs w:val="21"/>
          <w:highlight w:val="none"/>
        </w:rPr>
      </w:pPr>
      <w:r>
        <w:rPr>
          <w:rFonts w:hint="eastAsia" w:ascii="Times New Roman" w:hAnsi="Times New Roman" w:eastAsia="宋体" w:cs="Times New Roman"/>
          <w:b/>
          <w:bCs/>
          <w:color w:val="auto"/>
          <w:sz w:val="30"/>
          <w:szCs w:val="30"/>
          <w:highlight w:val="none"/>
        </w:rPr>
        <w:br w:type="page"/>
      </w:r>
    </w:p>
    <w:p w14:paraId="768C3331">
      <w:pPr>
        <w:pStyle w:val="17"/>
        <w:jc w:val="both"/>
        <w:outlineLvl w:val="9"/>
        <w:rPr>
          <w:rFonts w:hAnsi="宋体" w:eastAsia="宋体" w:cs="Times New Roman"/>
          <w:color w:val="auto"/>
          <w:szCs w:val="21"/>
          <w:highlight w:val="none"/>
        </w:rPr>
      </w:pPr>
    </w:p>
    <w:p w14:paraId="4CA0AA14">
      <w:pPr>
        <w:pStyle w:val="17"/>
        <w:jc w:val="center"/>
        <w:outlineLvl w:val="1"/>
        <w:rPr>
          <w:rFonts w:hint="eastAsia" w:hAnsi="宋体" w:eastAsia="宋体" w:cs="Times New Roman"/>
          <w:b/>
          <w:bCs/>
          <w:color w:val="auto"/>
          <w:sz w:val="28"/>
          <w:szCs w:val="28"/>
          <w:highlight w:val="none"/>
        </w:rPr>
      </w:pPr>
      <w:r>
        <w:rPr>
          <w:rFonts w:hint="eastAsia" w:hAnsi="宋体" w:eastAsia="宋体" w:cs="Times New Roman"/>
          <w:b/>
          <w:bCs/>
          <w:color w:val="auto"/>
          <w:sz w:val="28"/>
          <w:szCs w:val="28"/>
          <w:highlight w:val="none"/>
        </w:rPr>
        <w:t>第</w:t>
      </w:r>
      <w:r>
        <w:rPr>
          <w:rFonts w:hint="eastAsia" w:hAnsi="宋体" w:cs="Times New Roman"/>
          <w:b/>
          <w:bCs/>
          <w:color w:val="auto"/>
          <w:sz w:val="28"/>
          <w:szCs w:val="28"/>
          <w:highlight w:val="none"/>
          <w:lang w:eastAsia="zh-CN"/>
        </w:rPr>
        <w:t>二</w:t>
      </w:r>
      <w:r>
        <w:rPr>
          <w:rFonts w:hint="eastAsia" w:hAnsi="宋体" w:eastAsia="宋体" w:cs="Times New Roman"/>
          <w:b/>
          <w:bCs/>
          <w:color w:val="auto"/>
          <w:sz w:val="28"/>
          <w:szCs w:val="28"/>
          <w:highlight w:val="none"/>
        </w:rPr>
        <w:t>节 商务文件格式</w:t>
      </w:r>
    </w:p>
    <w:p w14:paraId="4D28819A">
      <w:pPr>
        <w:snapToGrid w:val="0"/>
        <w:spacing w:before="165" w:beforeLines="50" w:after="50"/>
        <w:rPr>
          <w:rFonts w:hint="eastAsia" w:ascii="宋体" w:hAnsi="宋体" w:eastAsia="宋体" w:cs="Times New Roman"/>
          <w:color w:val="auto"/>
          <w:sz w:val="30"/>
          <w:szCs w:val="20"/>
          <w:highlight w:val="none"/>
        </w:rPr>
      </w:pPr>
    </w:p>
    <w:p w14:paraId="3A73CAAE">
      <w:pPr>
        <w:pStyle w:val="19"/>
        <w:rPr>
          <w:rFonts w:hint="eastAsia"/>
          <w:color w:val="auto"/>
          <w:highlight w:val="none"/>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rPr>
        <w:t>商务文件封面</w:t>
      </w:r>
      <w:r>
        <w:rPr>
          <w:rFonts w:hint="eastAsia" w:ascii="宋体" w:hAnsi="宋体" w:cs="宋体"/>
          <w:b/>
          <w:color w:val="auto"/>
          <w:sz w:val="28"/>
          <w:szCs w:val="28"/>
          <w:highlight w:val="none"/>
          <w:lang w:eastAsia="zh-CN"/>
        </w:rPr>
        <w:t>的</w:t>
      </w:r>
      <w:r>
        <w:rPr>
          <w:rFonts w:hint="eastAsia" w:ascii="宋体" w:hAnsi="宋体" w:eastAsia="宋体" w:cs="宋体"/>
          <w:b/>
          <w:color w:val="auto"/>
          <w:sz w:val="28"/>
          <w:szCs w:val="28"/>
          <w:highlight w:val="none"/>
        </w:rPr>
        <w:t>格式</w:t>
      </w:r>
      <w:r>
        <w:rPr>
          <w:rFonts w:hint="eastAsia" w:hAnsi="宋体" w:cs="宋体"/>
          <w:b/>
          <w:bCs/>
          <w:color w:val="auto"/>
          <w:sz w:val="28"/>
          <w:szCs w:val="28"/>
          <w:highlight w:val="none"/>
          <w:lang w:val="en-US" w:eastAsia="zh-CN"/>
        </w:rPr>
        <w:t>（参照此格式自拟）</w:t>
      </w:r>
      <w:r>
        <w:rPr>
          <w:rFonts w:hint="eastAsia" w:ascii="宋体" w:hAnsi="宋体" w:eastAsia="宋体" w:cs="宋体"/>
          <w:b/>
          <w:color w:val="auto"/>
          <w:sz w:val="28"/>
          <w:szCs w:val="28"/>
          <w:highlight w:val="none"/>
        </w:rPr>
        <w:t>：</w:t>
      </w:r>
    </w:p>
    <w:p w14:paraId="0E645D16">
      <w:pPr>
        <w:snapToGrid w:val="0"/>
        <w:spacing w:before="165" w:beforeLines="50" w:after="50"/>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highlight w:val="none"/>
        </w:rPr>
        <w:t xml:space="preserve">                                                  </w:t>
      </w:r>
      <w:r>
        <w:rPr>
          <w:rFonts w:hint="eastAsia" w:ascii="宋体" w:hAnsi="宋体" w:eastAsia="宋体" w:cs="Times New Roman"/>
          <w:bCs/>
          <w:color w:val="auto"/>
          <w:highlight w:val="none"/>
        </w:rPr>
        <w:t xml:space="preserve">             电子投标文件</w:t>
      </w:r>
    </w:p>
    <w:p w14:paraId="05BB32D9">
      <w:pPr>
        <w:snapToGrid w:val="0"/>
        <w:spacing w:before="165" w:beforeLines="50" w:after="50"/>
        <w:rPr>
          <w:rFonts w:hint="eastAsia" w:ascii="宋体" w:hAnsi="宋体" w:eastAsia="宋体" w:cs="Times New Roman"/>
          <w:color w:val="auto"/>
          <w:sz w:val="24"/>
          <w:szCs w:val="20"/>
          <w:highlight w:val="none"/>
        </w:rPr>
      </w:pPr>
    </w:p>
    <w:p w14:paraId="49BAA8B1">
      <w:pPr>
        <w:snapToGrid w:val="0"/>
        <w:spacing w:before="165" w:beforeLines="50" w:after="50"/>
        <w:jc w:val="center"/>
        <w:rPr>
          <w:rFonts w:hint="eastAsia" w:ascii="宋体" w:hAnsi="宋体" w:eastAsia="宋体" w:cs="Times New Roman"/>
          <w:b/>
          <w:color w:val="auto"/>
          <w:sz w:val="24"/>
          <w:szCs w:val="20"/>
          <w:highlight w:val="none"/>
        </w:rPr>
      </w:pPr>
      <w:r>
        <w:rPr>
          <w:rFonts w:hint="eastAsia" w:ascii="宋体" w:hAnsi="宋体" w:eastAsia="宋体" w:cs="Times New Roman"/>
          <w:b/>
          <w:color w:val="auto"/>
          <w:sz w:val="32"/>
          <w:szCs w:val="32"/>
          <w:highlight w:val="none"/>
        </w:rPr>
        <w:t>商务文件</w:t>
      </w:r>
    </w:p>
    <w:p w14:paraId="4037A8FA">
      <w:pPr>
        <w:snapToGrid w:val="0"/>
        <w:spacing w:before="165" w:beforeLines="50" w:after="50"/>
        <w:rPr>
          <w:rFonts w:hint="eastAsia" w:ascii="宋体" w:hAnsi="宋体" w:eastAsia="宋体" w:cs="Times New Roman"/>
          <w:bCs/>
          <w:color w:val="auto"/>
          <w:sz w:val="24"/>
          <w:szCs w:val="20"/>
          <w:highlight w:val="none"/>
        </w:rPr>
      </w:pPr>
    </w:p>
    <w:p w14:paraId="731961EE">
      <w:pPr>
        <w:snapToGrid w:val="0"/>
        <w:spacing w:before="165" w:beforeLines="50" w:after="50"/>
        <w:ind w:firstLine="540" w:firstLineChars="225"/>
        <w:rPr>
          <w:rFonts w:hint="eastAsia" w:ascii="宋体" w:hAnsi="宋体" w:eastAsia="宋体" w:cs="Times New Roman"/>
          <w:bCs/>
          <w:color w:val="auto"/>
          <w:sz w:val="24"/>
          <w:highlight w:val="none"/>
        </w:rPr>
      </w:pPr>
    </w:p>
    <w:p w14:paraId="07318C9E">
      <w:pPr>
        <w:snapToGrid w:val="0"/>
        <w:spacing w:before="165" w:beforeLines="50" w:after="50"/>
        <w:ind w:firstLine="540" w:firstLineChars="225"/>
        <w:rPr>
          <w:rFonts w:hint="eastAsia" w:ascii="宋体" w:hAnsi="宋体" w:eastAsia="宋体" w:cs="Times New Roman"/>
          <w:bCs/>
          <w:color w:val="auto"/>
          <w:sz w:val="24"/>
          <w:szCs w:val="20"/>
          <w:highlight w:val="none"/>
        </w:rPr>
      </w:pPr>
      <w:r>
        <w:rPr>
          <w:rFonts w:hint="eastAsia" w:ascii="宋体" w:hAnsi="宋体" w:eastAsia="宋体" w:cs="Times New Roman"/>
          <w:bCs/>
          <w:color w:val="auto"/>
          <w:sz w:val="24"/>
          <w:highlight w:val="none"/>
        </w:rPr>
        <w:t>项目名称：</w:t>
      </w:r>
    </w:p>
    <w:p w14:paraId="2F0DEA23">
      <w:pPr>
        <w:snapToGrid w:val="0"/>
        <w:spacing w:before="165" w:beforeLines="50" w:after="50"/>
        <w:ind w:firstLine="540" w:firstLineChars="225"/>
        <w:rPr>
          <w:rFonts w:hint="eastAsia" w:ascii="宋体" w:hAnsi="宋体" w:eastAsia="宋体" w:cs="Times New Roman"/>
          <w:bCs/>
          <w:color w:val="auto"/>
          <w:sz w:val="24"/>
          <w:szCs w:val="20"/>
          <w:highlight w:val="none"/>
        </w:rPr>
      </w:pPr>
      <w:r>
        <w:rPr>
          <w:rFonts w:hint="eastAsia" w:ascii="宋体" w:hAnsi="宋体" w:eastAsia="宋体" w:cs="Times New Roman"/>
          <w:bCs/>
          <w:color w:val="auto"/>
          <w:sz w:val="24"/>
          <w:highlight w:val="none"/>
        </w:rPr>
        <w:t xml:space="preserve">项目编号： </w:t>
      </w:r>
    </w:p>
    <w:p w14:paraId="7CD32396">
      <w:pPr>
        <w:snapToGrid w:val="0"/>
        <w:spacing w:before="165" w:beforeLines="50" w:after="50"/>
        <w:ind w:firstLine="540" w:firstLineChars="225"/>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所投分标（如有则填写，无分标时填写“无”或者留空）：</w:t>
      </w:r>
    </w:p>
    <w:p w14:paraId="4435EBF4">
      <w:pPr>
        <w:snapToGrid w:val="0"/>
        <w:spacing w:before="165" w:beforeLines="50" w:after="50"/>
        <w:ind w:firstLine="540" w:firstLineChars="225"/>
        <w:rPr>
          <w:rFonts w:hint="eastAsia" w:ascii="宋体" w:hAnsi="宋体" w:eastAsia="宋体" w:cs="Times New Roman"/>
          <w:bCs/>
          <w:color w:val="auto"/>
          <w:sz w:val="24"/>
          <w:szCs w:val="20"/>
          <w:highlight w:val="none"/>
        </w:rPr>
      </w:pPr>
    </w:p>
    <w:p w14:paraId="25B20ABA">
      <w:pPr>
        <w:pStyle w:val="8"/>
        <w:snapToGrid w:val="0"/>
        <w:spacing w:before="50" w:after="50"/>
        <w:ind w:firstLine="540" w:firstLineChars="225"/>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投标人名称：</w:t>
      </w:r>
    </w:p>
    <w:p w14:paraId="51DF1940">
      <w:pPr>
        <w:pStyle w:val="8"/>
        <w:snapToGrid w:val="0"/>
        <w:spacing w:before="50" w:after="50"/>
        <w:ind w:firstLine="540" w:firstLineChars="225"/>
        <w:rPr>
          <w:rFonts w:hint="eastAsia" w:ascii="宋体" w:hAnsi="宋体" w:eastAsia="宋体" w:cs="Times New Roman"/>
          <w:bCs/>
          <w:color w:val="auto"/>
          <w:sz w:val="24"/>
          <w:szCs w:val="24"/>
          <w:highlight w:val="none"/>
        </w:rPr>
      </w:pPr>
    </w:p>
    <w:p w14:paraId="1DA38DF1">
      <w:pPr>
        <w:pStyle w:val="8"/>
        <w:snapToGrid w:val="0"/>
        <w:spacing w:before="50" w:after="50"/>
        <w:ind w:firstLine="960" w:firstLineChars="400"/>
        <w:rPr>
          <w:rFonts w:hint="eastAsia" w:ascii="宋体" w:hAnsi="宋体" w:eastAsia="宋体" w:cs="Times New Roman"/>
          <w:bCs/>
          <w:color w:val="auto"/>
          <w:sz w:val="24"/>
          <w:szCs w:val="24"/>
          <w:highlight w:val="none"/>
        </w:rPr>
      </w:pPr>
    </w:p>
    <w:p w14:paraId="6DA9417A">
      <w:pPr>
        <w:snapToGrid w:val="0"/>
        <w:spacing w:before="165" w:beforeLines="50" w:after="50"/>
        <w:ind w:firstLine="645"/>
        <w:rPr>
          <w:rFonts w:hint="eastAsia" w:ascii="宋体" w:hAnsi="宋体" w:cs="Times New Roman"/>
          <w:color w:val="auto"/>
          <w:sz w:val="24"/>
          <w:highlight w:val="none"/>
          <w:lang w:val="en-US" w:eastAsia="zh-CN"/>
        </w:rPr>
      </w:pPr>
      <w:r>
        <w:rPr>
          <w:rFonts w:hint="eastAsia" w:ascii="宋体" w:hAnsi="宋体" w:eastAsia="宋体" w:cs="Times New Roman"/>
          <w:color w:val="auto"/>
          <w:sz w:val="24"/>
          <w:highlight w:val="none"/>
        </w:rPr>
        <w:t xml:space="preserve">                       </w:t>
      </w:r>
      <w:r>
        <w:rPr>
          <w:rFonts w:hint="eastAsia" w:ascii="宋体" w:hAnsi="宋体" w:cs="Times New Roman"/>
          <w:color w:val="auto"/>
          <w:sz w:val="24"/>
          <w:highlight w:val="none"/>
          <w:lang w:val="en-US" w:eastAsia="zh-CN"/>
        </w:rPr>
        <w:t xml:space="preserve">      </w:t>
      </w:r>
    </w:p>
    <w:p w14:paraId="572864DC">
      <w:pPr>
        <w:snapToGrid w:val="0"/>
        <w:spacing w:before="165" w:beforeLines="50" w:after="50"/>
        <w:ind w:firstLine="645"/>
        <w:rPr>
          <w:rFonts w:hint="eastAsia" w:ascii="宋体" w:hAnsi="宋体" w:cs="Times New Roman"/>
          <w:color w:val="auto"/>
          <w:sz w:val="24"/>
          <w:highlight w:val="none"/>
          <w:lang w:val="en-US" w:eastAsia="zh-CN"/>
        </w:rPr>
      </w:pPr>
    </w:p>
    <w:p w14:paraId="6CFAED13">
      <w:pPr>
        <w:snapToGrid w:val="0"/>
        <w:spacing w:before="165" w:beforeLines="50" w:after="50"/>
        <w:ind w:firstLine="645"/>
        <w:rPr>
          <w:rFonts w:hint="eastAsia" w:ascii="宋体" w:hAnsi="宋体" w:cs="Times New Roman"/>
          <w:color w:val="auto"/>
          <w:sz w:val="24"/>
          <w:highlight w:val="none"/>
          <w:lang w:val="en-US" w:eastAsia="zh-CN"/>
        </w:rPr>
      </w:pPr>
    </w:p>
    <w:p w14:paraId="2FEFF643">
      <w:pPr>
        <w:snapToGrid w:val="0"/>
        <w:spacing w:before="165" w:beforeLines="50" w:after="50"/>
        <w:ind w:firstLine="645"/>
        <w:rPr>
          <w:rFonts w:hint="eastAsia" w:ascii="宋体" w:hAnsi="宋体" w:cs="Times New Roman"/>
          <w:color w:val="auto"/>
          <w:sz w:val="24"/>
          <w:highlight w:val="none"/>
          <w:lang w:val="en-US" w:eastAsia="zh-CN"/>
        </w:rPr>
      </w:pPr>
    </w:p>
    <w:p w14:paraId="38C75CB6">
      <w:pPr>
        <w:snapToGrid w:val="0"/>
        <w:spacing w:before="165" w:beforeLines="50" w:after="50"/>
        <w:ind w:firstLine="645"/>
        <w:rPr>
          <w:rFonts w:hint="eastAsia" w:ascii="宋体" w:hAnsi="宋体" w:cs="Times New Roman"/>
          <w:color w:val="auto"/>
          <w:sz w:val="24"/>
          <w:highlight w:val="none"/>
          <w:lang w:val="en-US" w:eastAsia="zh-CN"/>
        </w:rPr>
      </w:pPr>
    </w:p>
    <w:p w14:paraId="2D422D86">
      <w:pPr>
        <w:snapToGrid w:val="0"/>
        <w:spacing w:before="165" w:beforeLines="50" w:after="50"/>
        <w:ind w:firstLine="4329" w:firstLineChars="1804"/>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年  月  日</w:t>
      </w:r>
    </w:p>
    <w:p w14:paraId="535C261C">
      <w:pPr>
        <w:spacing w:line="360" w:lineRule="auto"/>
        <w:ind w:right="420"/>
        <w:rPr>
          <w:rFonts w:hint="eastAsia" w:ascii="仿宋_GB2312" w:hAnsi="仿宋" w:eastAsia="仿宋_GB2312" w:cs="仿宋_GB2312"/>
          <w:b/>
          <w:color w:val="auto"/>
          <w:kern w:val="0"/>
          <w:sz w:val="36"/>
          <w:szCs w:val="36"/>
          <w:highlight w:val="none"/>
        </w:rPr>
      </w:pPr>
      <w:r>
        <w:rPr>
          <w:rFonts w:hint="eastAsia" w:ascii="宋体" w:hAnsi="宋体" w:eastAsia="宋体" w:cs="Times New Roman"/>
          <w:color w:val="auto"/>
          <w:sz w:val="24"/>
          <w:szCs w:val="20"/>
          <w:highlight w:val="none"/>
        </w:rPr>
        <w:t xml:space="preserve"> </w:t>
      </w:r>
    </w:p>
    <w:p w14:paraId="7B7CB22A">
      <w:pPr>
        <w:rPr>
          <w:rFonts w:hint="eastAsia" w:ascii="仿宋_GB2312" w:hAnsi="仿宋" w:eastAsia="仿宋_GB2312" w:cs="仿宋_GB2312"/>
          <w:b/>
          <w:color w:val="auto"/>
          <w:kern w:val="0"/>
          <w:sz w:val="24"/>
          <w:highlight w:val="none"/>
        </w:rPr>
      </w:pPr>
      <w:r>
        <w:rPr>
          <w:rFonts w:hint="eastAsia" w:ascii="仿宋_GB2312" w:hAnsi="仿宋" w:eastAsia="仿宋_GB2312" w:cs="仿宋_GB2312"/>
          <w:b/>
          <w:color w:val="auto"/>
          <w:kern w:val="0"/>
          <w:sz w:val="24"/>
          <w:highlight w:val="none"/>
        </w:rPr>
        <w:br w:type="page"/>
      </w:r>
    </w:p>
    <w:p w14:paraId="0ADC62B8">
      <w:pPr>
        <w:spacing w:line="360" w:lineRule="auto"/>
        <w:ind w:right="420"/>
        <w:rPr>
          <w:rFonts w:hint="eastAsia" w:ascii="宋体" w:hAnsi="宋体" w:cs="宋体"/>
          <w:color w:val="auto"/>
          <w:sz w:val="24"/>
          <w:szCs w:val="20"/>
          <w:highlight w:val="none"/>
        </w:rPr>
      </w:pPr>
      <w:r>
        <w:rPr>
          <w:rFonts w:hint="eastAsia" w:ascii="宋体" w:hAnsi="宋体" w:eastAsia="宋体" w:cs="宋体"/>
          <w:b/>
          <w:bCs/>
          <w:color w:val="auto"/>
          <w:sz w:val="28"/>
          <w:szCs w:val="28"/>
          <w:highlight w:val="none"/>
          <w:lang w:val="en-US"/>
        </w:rPr>
        <w:t>2</w:t>
      </w:r>
      <w:r>
        <w:rPr>
          <w:rFonts w:hint="eastAsia" w:ascii="宋体" w:hAnsi="宋体" w:eastAsia="宋体" w:cs="宋体"/>
          <w:b/>
          <w:bCs/>
          <w:color w:val="auto"/>
          <w:sz w:val="28"/>
          <w:szCs w:val="28"/>
          <w:highlight w:val="none"/>
        </w:rPr>
        <w:t>.商务文件目录</w:t>
      </w:r>
    </w:p>
    <w:p w14:paraId="2F9BD15B">
      <w:pPr>
        <w:snapToGrid/>
        <w:spacing w:before="0" w:beforeLines="-2147483648" w:after="0"/>
        <w:ind w:left="0"/>
        <w:jc w:val="left"/>
        <w:rPr>
          <w:rFonts w:hint="eastAsia" w:ascii="Times New Roman" w:hAnsi="Times New Roman" w:eastAsia="宋体" w:cs="Times New Roman"/>
          <w:b/>
          <w:bCs/>
          <w:color w:val="auto"/>
          <w:sz w:val="30"/>
          <w:szCs w:val="30"/>
          <w:highlight w:val="none"/>
        </w:rPr>
      </w:pPr>
      <w:r>
        <w:rPr>
          <w:rFonts w:hint="eastAsia" w:ascii="宋体" w:hAnsi="宋体" w:eastAsia="宋体" w:cs="宋体"/>
          <w:color w:val="auto"/>
          <w:kern w:val="0"/>
          <w:sz w:val="24"/>
          <w:highlight w:val="none"/>
        </w:rPr>
        <w:t>根据招标文件规定及投标人提供的材料自行编写目录（部分格式后附）。</w:t>
      </w:r>
      <w:r>
        <w:rPr>
          <w:rFonts w:hint="eastAsia" w:ascii="Times New Roman" w:hAnsi="Times New Roman" w:eastAsia="宋体" w:cs="Times New Roman"/>
          <w:b/>
          <w:bCs/>
          <w:color w:val="auto"/>
          <w:sz w:val="30"/>
          <w:szCs w:val="30"/>
          <w:highlight w:val="none"/>
        </w:rPr>
        <w:br w:type="page"/>
      </w:r>
    </w:p>
    <w:p w14:paraId="1CB9B230">
      <w:pPr>
        <w:snapToGrid w:val="0"/>
        <w:spacing w:before="120" w:beforeLines="50" w:after="50"/>
        <w:ind w:left="0"/>
        <w:jc w:val="both"/>
        <w:outlineLvl w:val="3"/>
        <w:rPr>
          <w:rFonts w:hint="eastAsia" w:ascii="Times New Roman" w:hAnsi="Times New Roman" w:eastAsia="宋体" w:cs="Times New Roman"/>
          <w:b/>
          <w:bCs/>
          <w:color w:val="auto"/>
          <w:sz w:val="30"/>
          <w:szCs w:val="30"/>
          <w:highlight w:val="none"/>
        </w:rPr>
      </w:pPr>
      <w:r>
        <w:rPr>
          <w:rFonts w:hint="eastAsia" w:ascii="宋体" w:hAnsi="宋体" w:cs="宋体"/>
          <w:b/>
          <w:bCs/>
          <w:color w:val="auto"/>
          <w:sz w:val="28"/>
          <w:szCs w:val="28"/>
          <w:highlight w:val="none"/>
          <w:lang w:val="en-US" w:eastAsia="zh-CN"/>
        </w:rPr>
        <w:t>3.</w:t>
      </w:r>
      <w:r>
        <w:rPr>
          <w:rFonts w:hint="eastAsia" w:ascii="宋体" w:hAnsi="宋体" w:cs="宋体"/>
          <w:b/>
          <w:bCs/>
          <w:color w:val="auto"/>
          <w:sz w:val="28"/>
          <w:szCs w:val="28"/>
          <w:highlight w:val="none"/>
          <w:lang w:eastAsia="zh-CN"/>
        </w:rPr>
        <w:t>无串通投标行为的承诺函的格式：</w:t>
      </w:r>
    </w:p>
    <w:p w14:paraId="20E33AF6">
      <w:pPr>
        <w:snapToGrid w:val="0"/>
        <w:spacing w:before="120" w:beforeLines="50" w:after="50"/>
        <w:ind w:left="420"/>
        <w:jc w:val="center"/>
        <w:rPr>
          <w:rFonts w:hint="eastAsia" w:ascii="宋体" w:hAnsi="宋体" w:eastAsia="宋体" w:cs="Times New Roman"/>
          <w:b/>
          <w:color w:val="auto"/>
          <w:sz w:val="32"/>
          <w:szCs w:val="32"/>
          <w:highlight w:val="none"/>
        </w:rPr>
      </w:pPr>
    </w:p>
    <w:p w14:paraId="50F30C24">
      <w:pPr>
        <w:snapToGrid w:val="0"/>
        <w:spacing w:before="120" w:beforeLines="50" w:after="50"/>
        <w:ind w:left="420"/>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参加本项目无</w:t>
      </w:r>
      <w:r>
        <w:rPr>
          <w:rFonts w:hint="eastAsia" w:ascii="Times New Roman" w:hAnsi="Times New Roman" w:eastAsia="宋体" w:cs="Times New Roman"/>
          <w:b/>
          <w:bCs/>
          <w:color w:val="auto"/>
          <w:sz w:val="32"/>
          <w:szCs w:val="32"/>
          <w:highlight w:val="none"/>
          <w:lang w:eastAsia="zh-CN"/>
        </w:rPr>
        <w:t>串通投</w:t>
      </w:r>
      <w:r>
        <w:rPr>
          <w:rFonts w:hint="eastAsia" w:ascii="宋体" w:hAnsi="宋体" w:eastAsia="宋体" w:cs="Times New Roman"/>
          <w:b/>
          <w:color w:val="auto"/>
          <w:sz w:val="32"/>
          <w:szCs w:val="32"/>
          <w:highlight w:val="none"/>
        </w:rPr>
        <w:t>标行为的承诺函</w:t>
      </w:r>
    </w:p>
    <w:p w14:paraId="395B808C">
      <w:pPr>
        <w:snapToGrid w:val="0"/>
        <w:spacing w:before="120" w:beforeLines="50" w:after="50"/>
        <w:rPr>
          <w:rFonts w:hint="eastAsia" w:ascii="宋体" w:hAnsi="宋体" w:eastAsia="宋体" w:cs="Times New Roman"/>
          <w:b/>
          <w:color w:val="auto"/>
          <w:szCs w:val="21"/>
          <w:highlight w:val="none"/>
        </w:rPr>
      </w:pPr>
    </w:p>
    <w:p w14:paraId="1C6C9E94">
      <w:pPr>
        <w:snapToGrid w:val="0"/>
        <w:spacing w:before="120" w:beforeLines="50" w:after="50" w:line="360" w:lineRule="auto"/>
        <w:jc w:val="left"/>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一、我方承诺无下列相互串通投标的情形：</w:t>
      </w:r>
    </w:p>
    <w:p w14:paraId="4DC81B53">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1.不同投标人的投标文件由同一单位或者个人编制；</w:t>
      </w:r>
      <w:r>
        <w:rPr>
          <w:rFonts w:hint="eastAsia" w:ascii="宋体" w:hAnsi="宋体" w:cs="Times New Roman"/>
          <w:b w:val="0"/>
          <w:color w:val="auto"/>
          <w:szCs w:val="21"/>
          <w:highlight w:val="none"/>
        </w:rPr>
        <w:t>或者不同投标人报名的IP地址一致的；</w:t>
      </w:r>
    </w:p>
    <w:p w14:paraId="054FCD20">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2.不同投标人委托同一单位或者个人办理投标事宜；</w:t>
      </w:r>
    </w:p>
    <w:p w14:paraId="719B5557">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3.不同的投标人的投标文件载明的项目管理员为同一个人；</w:t>
      </w:r>
    </w:p>
    <w:p w14:paraId="67D56FC6">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4.不同投标人的投标文件异常一致或者投标报价呈规律性差异；</w:t>
      </w:r>
    </w:p>
    <w:p w14:paraId="344C35CF">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5.不同投标人的投标文件相互混装；</w:t>
      </w:r>
    </w:p>
    <w:p w14:paraId="426F4CF3">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default" w:ascii="宋体" w:hAnsi="宋体" w:eastAsia="宋体" w:cs="Times New Roman"/>
          <w:color w:val="auto"/>
          <w:szCs w:val="21"/>
          <w:highlight w:val="none"/>
          <w:lang w:val="en-US"/>
        </w:rPr>
        <w:t>6</w:t>
      </w:r>
      <w:r>
        <w:rPr>
          <w:rFonts w:hint="eastAsia" w:ascii="宋体" w:hAnsi="宋体" w:eastAsia="宋体" w:cs="Times New Roman"/>
          <w:color w:val="auto"/>
          <w:szCs w:val="21"/>
          <w:highlight w:val="none"/>
        </w:rPr>
        <w:t>.不同投标人的投标保证金从同一单位或者个人账户转出。</w:t>
      </w:r>
    </w:p>
    <w:p w14:paraId="360D2C91">
      <w:pPr>
        <w:snapToGrid w:val="0"/>
        <w:spacing w:before="120" w:beforeLines="50" w:after="50" w:line="360" w:lineRule="auto"/>
        <w:jc w:val="left"/>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二、我方承诺无下列恶意串通的情形：</w:t>
      </w:r>
    </w:p>
    <w:p w14:paraId="540188F5">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1.投标人直接或者间接从采购人或者采购代理机构处获得其他投标人的相关信息并修改其投标文件；</w:t>
      </w:r>
    </w:p>
    <w:p w14:paraId="5F5314AD">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2.投标人按照采购人或者采购代理机构的授意撤换、修改投标文件；</w:t>
      </w:r>
    </w:p>
    <w:p w14:paraId="6992DEB7">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3.投标人之间协商报价、技术方案等投标文件的实质性内容；</w:t>
      </w:r>
    </w:p>
    <w:p w14:paraId="39F5C5E8">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4.属于同一集团、协会、商会等组织成员的投标人按照该组织要求协同参加政府采购活动；</w:t>
      </w:r>
    </w:p>
    <w:p w14:paraId="4F41873B">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5FBBAA28">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6.投标人之间商定部分投标人放弃参加政府采购活动或者放弃中标；</w:t>
      </w:r>
    </w:p>
    <w:p w14:paraId="1EA392B5">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7.投标人与采购人或者采购代理机构之间、投标人相互之间，为谋求特定投标人中标或者排斥其他投标人的其他串通行为。</w:t>
      </w:r>
    </w:p>
    <w:p w14:paraId="57B29B15">
      <w:pPr>
        <w:snapToGrid w:val="0"/>
        <w:spacing w:before="120" w:beforeLines="50" w:after="50" w:line="360" w:lineRule="auto"/>
        <w:ind w:firstLine="413" w:firstLineChars="196"/>
        <w:jc w:val="left"/>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以上情形一经核查属实，接受政府采购监管部门对我方认定存在围标串标行为，我方愿意承担一切后果，并不再寻求任何旨在减轻或者免除法律责任的辩解。</w:t>
      </w:r>
    </w:p>
    <w:p w14:paraId="7FCBCFBD">
      <w:pPr>
        <w:pStyle w:val="12"/>
        <w:rPr>
          <w:rFonts w:hint="eastAsia"/>
          <w:color w:val="auto"/>
          <w:highlight w:val="none"/>
          <w:lang w:eastAsia="zh-CN"/>
        </w:rPr>
      </w:pPr>
    </w:p>
    <w:p w14:paraId="031DCF6F">
      <w:pPr>
        <w:snapToGrid w:val="0"/>
        <w:spacing w:line="360" w:lineRule="auto"/>
        <w:ind w:firstLine="4935" w:firstLineChars="2350"/>
        <w:rPr>
          <w:rFonts w:hint="eastAsia" w:ascii="宋体" w:hAnsi="宋体" w:eastAsia="宋体" w:cs="宋体"/>
          <w:color w:val="auto"/>
          <w:kern w:val="0"/>
          <w:sz w:val="24"/>
          <w:highlight w:val="none"/>
        </w:rPr>
      </w:pPr>
      <w:r>
        <w:rPr>
          <w:rFonts w:ascii="Times New Roman" w:hAnsi="宋体" w:eastAsia="宋体" w:cs="Times New Roman"/>
          <w:color w:val="auto"/>
          <w:szCs w:val="21"/>
          <w:highlight w:val="none"/>
        </w:rPr>
        <w:t xml:space="preserve">  </w:t>
      </w:r>
      <w:r>
        <w:rPr>
          <w:rFonts w:hint="eastAsia" w:ascii="宋体" w:hAnsi="宋体" w:eastAsia="宋体" w:cs="宋体"/>
          <w:color w:val="auto"/>
          <w:kern w:val="0"/>
          <w:sz w:val="24"/>
          <w:highlight w:val="none"/>
          <w:lang w:val="zh-CN"/>
        </w:rPr>
        <w:t>投标人名称(盖公章)：</w:t>
      </w:r>
    </w:p>
    <w:p w14:paraId="2F4B682D">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140B206A">
      <w:pPr>
        <w:pStyle w:val="17"/>
        <w:snapToGrid w:val="0"/>
        <w:spacing w:before="295" w:after="295" w:line="360" w:lineRule="auto"/>
        <w:jc w:val="both"/>
        <w:outlineLvl w:val="3"/>
        <w:rPr>
          <w:rFonts w:hint="eastAsia" w:hAnsi="宋体" w:eastAsia="宋体" w:cs="Times New Roman"/>
          <w:b/>
          <w:color w:val="auto"/>
          <w:sz w:val="24"/>
          <w:highlight w:val="none"/>
        </w:rPr>
      </w:pPr>
      <w:r>
        <w:rPr>
          <w:rFonts w:hint="eastAsia" w:hAnsi="宋体" w:eastAsia="宋体" w:cs="Times New Roman"/>
          <w:b/>
          <w:color w:val="auto"/>
          <w:sz w:val="24"/>
          <w:highlight w:val="none"/>
        </w:rPr>
        <w:br w:type="page"/>
      </w:r>
      <w:r>
        <w:rPr>
          <w:rFonts w:hint="eastAsia" w:hAnsi="宋体" w:cs="宋体"/>
          <w:b/>
          <w:bCs/>
          <w:color w:val="auto"/>
          <w:sz w:val="28"/>
          <w:szCs w:val="28"/>
          <w:highlight w:val="none"/>
          <w:lang w:val="en-US" w:eastAsia="zh-CN"/>
        </w:rPr>
        <w:t>4.</w:t>
      </w:r>
      <w:r>
        <w:rPr>
          <w:rFonts w:hint="eastAsia" w:ascii="宋体" w:hAnsi="宋体" w:cs="宋体"/>
          <w:b/>
          <w:bCs/>
          <w:color w:val="auto"/>
          <w:sz w:val="28"/>
          <w:szCs w:val="28"/>
          <w:highlight w:val="none"/>
        </w:rPr>
        <w:t>法定代表人身份证明</w:t>
      </w:r>
      <w:r>
        <w:rPr>
          <w:rFonts w:hint="eastAsia" w:hAnsi="宋体" w:cs="宋体"/>
          <w:b/>
          <w:bCs/>
          <w:color w:val="auto"/>
          <w:sz w:val="28"/>
          <w:szCs w:val="28"/>
          <w:highlight w:val="none"/>
          <w:lang w:eastAsia="zh-CN"/>
        </w:rPr>
        <w:t>的格式：</w:t>
      </w:r>
    </w:p>
    <w:p w14:paraId="1228AAFD">
      <w:pPr>
        <w:spacing w:before="240" w:beforeLines="100" w:after="120" w:afterLines="50"/>
        <w:ind w:left="540"/>
        <w:jc w:val="center"/>
        <w:rPr>
          <w:rFonts w:hint="eastAsia" w:ascii="宋体" w:hAnsi="Courier New" w:eastAsia="宋体" w:cs="Times New Roman"/>
          <w:b/>
          <w:color w:val="auto"/>
          <w:sz w:val="32"/>
          <w:szCs w:val="32"/>
          <w:highlight w:val="none"/>
        </w:rPr>
      </w:pPr>
    </w:p>
    <w:p w14:paraId="56ECCB9D">
      <w:pPr>
        <w:spacing w:before="240" w:beforeLines="100" w:after="120" w:afterLines="50"/>
        <w:ind w:left="540"/>
        <w:jc w:val="center"/>
        <w:rPr>
          <w:rFonts w:hint="eastAsia" w:ascii="黑体" w:hAnsi="宋体" w:eastAsia="黑体" w:cs="Times New Roman"/>
          <w:color w:val="auto"/>
          <w:sz w:val="32"/>
          <w:szCs w:val="32"/>
          <w:highlight w:val="none"/>
        </w:rPr>
      </w:pPr>
      <w:r>
        <w:rPr>
          <w:rFonts w:hint="eastAsia" w:ascii="宋体" w:hAnsi="Courier New" w:eastAsia="宋体" w:cs="Times New Roman"/>
          <w:b/>
          <w:color w:val="auto"/>
          <w:sz w:val="32"/>
          <w:szCs w:val="32"/>
          <w:highlight w:val="none"/>
        </w:rPr>
        <w:t>法定代表人身份证明</w:t>
      </w:r>
    </w:p>
    <w:p w14:paraId="101CC7CC">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投 标 人：</w:t>
      </w:r>
      <w:r>
        <w:rPr>
          <w:rFonts w:hint="eastAsia" w:ascii="宋体" w:hAnsi="宋体" w:eastAsia="宋体" w:cs="Times New Roman"/>
          <w:color w:val="auto"/>
          <w:sz w:val="24"/>
          <w:highlight w:val="none"/>
          <w:u w:val="single"/>
        </w:rPr>
        <w:t xml:space="preserve">                                                        </w:t>
      </w:r>
    </w:p>
    <w:p w14:paraId="78406990">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地    址：</w:t>
      </w:r>
      <w:r>
        <w:rPr>
          <w:rFonts w:hint="eastAsia" w:ascii="宋体" w:hAnsi="宋体" w:eastAsia="宋体" w:cs="Times New Roman"/>
          <w:color w:val="auto"/>
          <w:sz w:val="24"/>
          <w:highlight w:val="none"/>
          <w:u w:val="single"/>
        </w:rPr>
        <w:t xml:space="preserve">                                                        </w:t>
      </w:r>
    </w:p>
    <w:p w14:paraId="51FF9B17">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姓    名：</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性      别：</w:t>
      </w:r>
      <w:r>
        <w:rPr>
          <w:rFonts w:hint="eastAsia" w:ascii="宋体" w:hAnsi="宋体" w:eastAsia="宋体" w:cs="Times New Roman"/>
          <w:color w:val="auto"/>
          <w:sz w:val="24"/>
          <w:highlight w:val="none"/>
          <w:u w:val="single"/>
        </w:rPr>
        <w:t xml:space="preserve">                </w:t>
      </w:r>
    </w:p>
    <w:p w14:paraId="5C06899B">
      <w:pPr>
        <w:spacing w:line="500" w:lineRule="exact"/>
        <w:ind w:left="540"/>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年    龄：</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职      务：</w:t>
      </w:r>
      <w:r>
        <w:rPr>
          <w:rFonts w:hint="eastAsia" w:ascii="宋体" w:hAnsi="宋体" w:eastAsia="宋体" w:cs="Times New Roman"/>
          <w:color w:val="auto"/>
          <w:sz w:val="24"/>
          <w:highlight w:val="none"/>
          <w:u w:val="single"/>
        </w:rPr>
        <w:t xml:space="preserve">                </w:t>
      </w:r>
    </w:p>
    <w:p w14:paraId="0867BD39">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身份证</w:t>
      </w:r>
      <w:r>
        <w:rPr>
          <w:rFonts w:hint="eastAsia" w:ascii="Times New Roman" w:hAnsi="Times New Roman" w:eastAsia="宋体" w:cs="Times New Roman"/>
          <w:color w:val="auto"/>
          <w:sz w:val="24"/>
          <w:highlight w:val="none"/>
        </w:rPr>
        <w:t>号码：</w:t>
      </w:r>
      <w:r>
        <w:rPr>
          <w:rFonts w:ascii="Times New Roman" w:hAnsi="Times New Roman" w:eastAsia="宋体" w:cs="Times New Roman"/>
          <w:color w:val="auto"/>
          <w:sz w:val="24"/>
          <w:highlight w:val="none"/>
          <w:u w:val="single"/>
        </w:rPr>
        <w:t xml:space="preserve">                                 </w:t>
      </w:r>
    </w:p>
    <w:p w14:paraId="061FB2C2">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系</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i/>
          <w:iCs/>
          <w:color w:val="auto"/>
          <w:sz w:val="24"/>
          <w:highlight w:val="none"/>
          <w:u w:val="single"/>
        </w:rPr>
        <w:t>（投标人名称</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的法定代表人。</w:t>
      </w:r>
    </w:p>
    <w:p w14:paraId="2094B615">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特此证明。</w:t>
      </w:r>
    </w:p>
    <w:p w14:paraId="35EB729F">
      <w:pPr>
        <w:spacing w:line="500" w:lineRule="exact"/>
        <w:ind w:left="540"/>
        <w:rPr>
          <w:rFonts w:hint="eastAsia" w:ascii="宋体" w:hAnsi="宋体" w:eastAsia="宋体" w:cs="Times New Roman"/>
          <w:color w:val="auto"/>
          <w:sz w:val="24"/>
          <w:highlight w:val="none"/>
        </w:rPr>
      </w:pPr>
    </w:p>
    <w:p w14:paraId="652E95E9">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附：法定代表人有效身份证正反面复印件</w:t>
      </w:r>
    </w:p>
    <w:tbl>
      <w:tblPr>
        <w:tblStyle w:val="25"/>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299F3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2" w:hRule="atLeast"/>
          <w:jc w:val="center"/>
        </w:trPr>
        <w:tc>
          <w:tcPr>
            <w:tcW w:w="8460" w:type="dxa"/>
            <w:tcBorders>
              <w:top w:val="single" w:color="auto" w:sz="4" w:space="0"/>
              <w:left w:val="single" w:color="auto" w:sz="4" w:space="0"/>
              <w:bottom w:val="single" w:color="auto" w:sz="4" w:space="0"/>
              <w:right w:val="single" w:color="auto" w:sz="4" w:space="0"/>
            </w:tcBorders>
            <w:noWrap w:val="0"/>
            <w:vAlign w:val="top"/>
          </w:tcPr>
          <w:p w14:paraId="782FF218">
            <w:pPr>
              <w:spacing w:line="360" w:lineRule="auto"/>
              <w:rPr>
                <w:rFonts w:hint="eastAsia" w:ascii="宋体" w:hAnsi="Times New Roman" w:eastAsia="宋体" w:cs="Times New Roman"/>
                <w:b/>
                <w:color w:val="auto"/>
                <w:sz w:val="24"/>
                <w:highlight w:val="none"/>
              </w:rPr>
            </w:pPr>
            <w:r>
              <w:rPr>
                <w:rFonts w:hint="eastAsia" w:ascii="宋体" w:hAnsi="Times New Roman" w:eastAsia="宋体" w:cs="Times New Roman"/>
                <w:b/>
                <w:color w:val="auto"/>
                <w:sz w:val="24"/>
                <w:highlight w:val="none"/>
              </w:rPr>
              <w:t>法定代表人有效身份证复印件粘帖处（正、反面）</w:t>
            </w:r>
          </w:p>
        </w:tc>
      </w:tr>
    </w:tbl>
    <w:p w14:paraId="7832A003">
      <w:pPr>
        <w:spacing w:line="500" w:lineRule="exact"/>
        <w:ind w:left="540"/>
        <w:rPr>
          <w:rFonts w:hint="eastAsia" w:ascii="宋体" w:hAnsi="宋体" w:eastAsia="宋体" w:cs="Times New Roman"/>
          <w:color w:val="auto"/>
          <w:sz w:val="24"/>
          <w:highlight w:val="none"/>
        </w:rPr>
      </w:pPr>
    </w:p>
    <w:p w14:paraId="7CC02874">
      <w:pPr>
        <w:snapToGrid w:val="0"/>
        <w:spacing w:line="360" w:lineRule="auto"/>
        <w:ind w:firstLine="4935" w:firstLineChars="2350"/>
        <w:rPr>
          <w:rFonts w:hint="eastAsia" w:ascii="宋体" w:hAnsi="宋体" w:eastAsia="宋体" w:cs="宋体"/>
          <w:color w:val="auto"/>
          <w:kern w:val="0"/>
          <w:sz w:val="24"/>
          <w:highlight w:val="none"/>
        </w:rPr>
      </w:pPr>
      <w:r>
        <w:rPr>
          <w:rFonts w:ascii="Times New Roman" w:hAnsi="宋体" w:eastAsia="宋体" w:cs="Times New Roman"/>
          <w:color w:val="auto"/>
          <w:szCs w:val="21"/>
          <w:highlight w:val="none"/>
        </w:rPr>
        <w:t xml:space="preserve">  </w:t>
      </w:r>
      <w:r>
        <w:rPr>
          <w:rFonts w:hint="eastAsia" w:ascii="宋体" w:hAnsi="宋体" w:eastAsia="宋体" w:cs="宋体"/>
          <w:color w:val="auto"/>
          <w:kern w:val="0"/>
          <w:sz w:val="24"/>
          <w:highlight w:val="none"/>
          <w:lang w:val="zh-CN"/>
        </w:rPr>
        <w:t>投标人名称(盖公章)：</w:t>
      </w:r>
    </w:p>
    <w:p w14:paraId="6A38B278">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734F69E3">
      <w:pPr>
        <w:snapToGrid w:val="0"/>
        <w:spacing w:before="120" w:beforeLines="50" w:after="50"/>
        <w:jc w:val="center"/>
        <w:rPr>
          <w:rFonts w:hint="eastAsia" w:ascii="宋体" w:hAnsi="宋体" w:eastAsia="宋体" w:cs="Times New Roman"/>
          <w:b/>
          <w:color w:val="auto"/>
          <w:sz w:val="24"/>
          <w:highlight w:val="none"/>
        </w:rPr>
      </w:pPr>
    </w:p>
    <w:p w14:paraId="77101651">
      <w:pP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br w:type="page"/>
      </w:r>
    </w:p>
    <w:p w14:paraId="6FB30E85">
      <w:pPr>
        <w:pStyle w:val="17"/>
        <w:snapToGrid w:val="0"/>
        <w:spacing w:before="295" w:after="295" w:line="360" w:lineRule="auto"/>
        <w:jc w:val="left"/>
        <w:outlineLvl w:val="3"/>
        <w:rPr>
          <w:rFonts w:hint="eastAsia" w:hAnsi="宋体" w:eastAsia="宋体" w:cs="Times New Roman"/>
          <w:b/>
          <w:color w:val="auto"/>
          <w:sz w:val="24"/>
          <w:highlight w:val="none"/>
        </w:rPr>
      </w:pPr>
      <w:r>
        <w:rPr>
          <w:rFonts w:hint="eastAsia" w:hAnsi="宋体" w:cs="宋体"/>
          <w:b/>
          <w:bCs/>
          <w:color w:val="auto"/>
          <w:sz w:val="30"/>
          <w:szCs w:val="30"/>
          <w:highlight w:val="none"/>
          <w:lang w:val="en-US" w:eastAsia="zh-CN"/>
        </w:rPr>
        <w:t>5.</w:t>
      </w:r>
      <w:r>
        <w:rPr>
          <w:rFonts w:hint="eastAsia" w:ascii="宋体" w:hAnsi="宋体" w:cs="宋体"/>
          <w:b/>
          <w:bCs/>
          <w:color w:val="auto"/>
          <w:sz w:val="30"/>
          <w:szCs w:val="30"/>
          <w:highlight w:val="none"/>
        </w:rPr>
        <w:t>法定代表人授权委托书</w:t>
      </w:r>
      <w:r>
        <w:rPr>
          <w:rFonts w:hint="eastAsia" w:hAnsi="宋体" w:cs="宋体"/>
          <w:b/>
          <w:bCs/>
          <w:color w:val="auto"/>
          <w:sz w:val="30"/>
          <w:szCs w:val="30"/>
          <w:highlight w:val="none"/>
          <w:lang w:eastAsia="zh-CN"/>
        </w:rPr>
        <w:t>的格式：</w:t>
      </w:r>
    </w:p>
    <w:p w14:paraId="2B0DD69C">
      <w:pPr>
        <w:snapToGrid w:val="0"/>
        <w:spacing w:before="120" w:beforeLines="50" w:after="50"/>
        <w:jc w:val="center"/>
        <w:rPr>
          <w:rFonts w:hint="eastAsia" w:ascii="宋体" w:hAnsi="宋体" w:eastAsia="宋体" w:cs="Times New Roman"/>
          <w:b/>
          <w:color w:val="auto"/>
          <w:sz w:val="32"/>
          <w:szCs w:val="32"/>
          <w:highlight w:val="none"/>
        </w:rPr>
      </w:pPr>
    </w:p>
    <w:p w14:paraId="44DAA5A2">
      <w:pPr>
        <w:snapToGrid w:val="0"/>
        <w:spacing w:before="120" w:beforeLines="50" w:after="50"/>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法定代表人授权委托书（如有委托时）</w:t>
      </w:r>
    </w:p>
    <w:p w14:paraId="3EBC0ACF">
      <w:pPr>
        <w:snapToGrid w:val="0"/>
        <w:spacing w:before="120" w:beforeLines="50" w:after="50"/>
        <w:jc w:val="center"/>
        <w:rPr>
          <w:rFonts w:hint="eastAsia" w:ascii="宋体" w:hAnsi="宋体" w:eastAsia="宋体" w:cs="Times New Roman"/>
          <w:b/>
          <w:color w:val="auto"/>
          <w:sz w:val="24"/>
          <w:highlight w:val="none"/>
        </w:rPr>
      </w:pPr>
    </w:p>
    <w:p w14:paraId="72E33527">
      <w:pPr>
        <w:pStyle w:val="17"/>
        <w:spacing w:line="360" w:lineRule="exact"/>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致：</w:t>
      </w:r>
      <w:r>
        <w:rPr>
          <w:rFonts w:ascii="Times New Roman" w:hAnsi="Times New Roman" w:eastAsia="宋体" w:cs="Times New Roman"/>
          <w:color w:val="auto"/>
          <w:highlight w:val="none"/>
          <w:u w:val="single"/>
        </w:rPr>
        <w:t xml:space="preserve"> </w:t>
      </w:r>
      <w:r>
        <w:rPr>
          <w:rFonts w:hint="eastAsia" w:ascii="Times New Roman" w:hAnsi="Times New Roman" w:eastAsia="宋体" w:cs="Times New Roman"/>
          <w:color w:val="auto"/>
          <w:highlight w:val="none"/>
          <w:u w:val="single"/>
          <w:lang w:eastAsia="zh-CN"/>
        </w:rPr>
        <w:t>广西云立方工程管理有限公司</w:t>
      </w:r>
      <w:r>
        <w:rPr>
          <w:rFonts w:ascii="Times New Roman" w:hAnsi="Times New Roman" w:eastAsia="宋体" w:cs="Times New Roman"/>
          <w:color w:val="auto"/>
          <w:highlight w:val="none"/>
          <w:u w:val="single"/>
        </w:rPr>
        <w:t xml:space="preserve"> </w:t>
      </w:r>
    </w:p>
    <w:p w14:paraId="0E8ED546">
      <w:pPr>
        <w:pStyle w:val="17"/>
        <w:spacing w:line="360" w:lineRule="exact"/>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本人</w:t>
      </w:r>
      <w:r>
        <w:rPr>
          <w:rFonts w:ascii="Times New Roman" w:hAnsi="Times New Roman" w:eastAsia="宋体" w:cs="Times New Roman"/>
          <w:color w:val="auto"/>
          <w:highlight w:val="none"/>
          <w:u w:val="single"/>
        </w:rPr>
        <w:t xml:space="preserve">        </w:t>
      </w:r>
      <w:r>
        <w:rPr>
          <w:rFonts w:hint="eastAsia" w:ascii="Times New Roman" w:hAnsi="Times New Roman" w:eastAsia="宋体" w:cs="Times New Roman"/>
          <w:color w:val="auto"/>
          <w:highlight w:val="none"/>
        </w:rPr>
        <w:t>（姓名）系</w:t>
      </w:r>
      <w:r>
        <w:rPr>
          <w:rFonts w:ascii="Times New Roman" w:hAnsi="Times New Roman" w:eastAsia="宋体" w:cs="Times New Roman"/>
          <w:color w:val="auto"/>
          <w:highlight w:val="none"/>
          <w:u w:val="single"/>
        </w:rPr>
        <w:t xml:space="preserve">                 </w:t>
      </w:r>
      <w:r>
        <w:rPr>
          <w:rFonts w:hint="eastAsia" w:ascii="Times New Roman" w:hAnsi="Times New Roman" w:eastAsia="宋体" w:cs="Times New Roman"/>
          <w:color w:val="auto"/>
          <w:highlight w:val="none"/>
        </w:rPr>
        <w:t>（投标人名称）的法定代表人，现授权我单位在职正式员工</w:t>
      </w:r>
      <w:r>
        <w:rPr>
          <w:rFonts w:ascii="Times New Roman" w:hAnsi="Times New Roman" w:eastAsia="宋体" w:cs="Times New Roman"/>
          <w:color w:val="auto"/>
          <w:highlight w:val="none"/>
          <w:u w:val="single"/>
        </w:rPr>
        <w:t xml:space="preserve">        </w:t>
      </w:r>
      <w:r>
        <w:rPr>
          <w:rFonts w:hint="eastAsia" w:ascii="Times New Roman" w:hAnsi="Times New Roman" w:eastAsia="宋体" w:cs="Times New Roman"/>
          <w:color w:val="auto"/>
          <w:highlight w:val="none"/>
        </w:rPr>
        <w:t>（姓名和职务）为我方代理人。代理人根据授权，以我方名义签署、澄清、说明、补正、递交、撤回、修改贵方组织的</w:t>
      </w:r>
      <w:r>
        <w:rPr>
          <w:rFonts w:hint="eastAsia" w:eastAsia="宋体" w:cs="Times New Roman"/>
          <w:color w:val="auto"/>
          <w:highlight w:val="none"/>
          <w:u w:val="single"/>
        </w:rPr>
        <w:t xml:space="preserve"> </w:t>
      </w:r>
      <w:r>
        <w:rPr>
          <w:rFonts w:hint="eastAsia" w:cs="Times New Roman"/>
          <w:i/>
          <w:iCs/>
          <w:color w:val="auto"/>
          <w:highlight w:val="none"/>
          <w:u w:val="single"/>
          <w:lang w:eastAsia="zh-CN"/>
        </w:rPr>
        <w:t>（项目名称）</w:t>
      </w:r>
      <w:r>
        <w:rPr>
          <w:rFonts w:hint="eastAsia" w:eastAsia="宋体" w:cs="Times New Roman"/>
          <w:color w:val="auto"/>
          <w:highlight w:val="none"/>
          <w:u w:val="single"/>
        </w:rPr>
        <w:t xml:space="preserve"> </w:t>
      </w:r>
      <w:r>
        <w:rPr>
          <w:rFonts w:hint="eastAsia" w:eastAsia="宋体" w:cs="Times New Roman"/>
          <w:color w:val="auto"/>
          <w:highlight w:val="none"/>
        </w:rPr>
        <w:t>项目（项目编号：</w:t>
      </w:r>
      <w:r>
        <w:rPr>
          <w:rFonts w:hint="eastAsia" w:hAnsi="宋体" w:cs="Times New Roman"/>
          <w:color w:val="auto"/>
          <w:highlight w:val="none"/>
          <w:u w:val="single"/>
          <w:lang w:val="en-US" w:eastAsia="zh-CN"/>
        </w:rPr>
        <w:t xml:space="preserve">            </w:t>
      </w:r>
      <w:r>
        <w:rPr>
          <w:rFonts w:hint="eastAsia" w:eastAsia="宋体" w:cs="Times New Roman"/>
          <w:color w:val="auto"/>
          <w:highlight w:val="none"/>
        </w:rPr>
        <w:t>）</w:t>
      </w:r>
      <w:r>
        <w:rPr>
          <w:rFonts w:hint="eastAsia" w:ascii="Times New Roman" w:hAnsi="Times New Roman" w:eastAsia="宋体" w:cs="Times New Roman"/>
          <w:color w:val="auto"/>
          <w:highlight w:val="none"/>
        </w:rPr>
        <w:t>的投标文件、签订合同和处理一切有关事宜，其法律后果由我方承担。</w:t>
      </w:r>
    </w:p>
    <w:p w14:paraId="4EE206C0">
      <w:pPr>
        <w:pStyle w:val="17"/>
        <w:spacing w:line="360" w:lineRule="exact"/>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本授权书于</w:t>
      </w:r>
      <w:r>
        <w:rPr>
          <w:rFonts w:hint="eastAsia" w:eastAsia="宋体" w:cs="Times New Roman"/>
          <w:color w:val="auto"/>
          <w:spacing w:val="10"/>
          <w:sz w:val="24"/>
          <w:highlight w:val="none"/>
          <w:u w:val="single"/>
        </w:rPr>
        <w:t xml:space="preserve">    </w:t>
      </w:r>
      <w:r>
        <w:rPr>
          <w:rFonts w:hint="eastAsia" w:ascii="Times New Roman" w:hAnsi="Times New Roman" w:eastAsia="宋体" w:cs="Times New Roman"/>
          <w:color w:val="auto"/>
          <w:highlight w:val="none"/>
        </w:rPr>
        <w:t>年</w:t>
      </w:r>
      <w:r>
        <w:rPr>
          <w:rFonts w:hint="eastAsia" w:eastAsia="宋体" w:cs="Times New Roman"/>
          <w:color w:val="auto"/>
          <w:spacing w:val="10"/>
          <w:sz w:val="24"/>
          <w:highlight w:val="none"/>
          <w:u w:val="single"/>
        </w:rPr>
        <w:t xml:space="preserve">    </w:t>
      </w:r>
      <w:r>
        <w:rPr>
          <w:rFonts w:hint="eastAsia" w:ascii="Times New Roman" w:hAnsi="Times New Roman" w:eastAsia="宋体" w:cs="Times New Roman"/>
          <w:color w:val="auto"/>
          <w:highlight w:val="none"/>
        </w:rPr>
        <w:t>月</w:t>
      </w:r>
      <w:r>
        <w:rPr>
          <w:rFonts w:hint="eastAsia" w:eastAsia="宋体" w:cs="Times New Roman"/>
          <w:color w:val="auto"/>
          <w:spacing w:val="10"/>
          <w:sz w:val="24"/>
          <w:highlight w:val="none"/>
          <w:u w:val="single"/>
        </w:rPr>
        <w:t xml:space="preserve">    </w:t>
      </w:r>
      <w:r>
        <w:rPr>
          <w:rFonts w:hint="eastAsia" w:ascii="Times New Roman" w:hAnsi="Times New Roman" w:eastAsia="宋体" w:cs="Times New Roman"/>
          <w:color w:val="auto"/>
          <w:highlight w:val="none"/>
        </w:rPr>
        <w:t>日签字生效，委托期限：</w:t>
      </w:r>
      <w:r>
        <w:rPr>
          <w:rFonts w:hint="eastAsia" w:eastAsia="宋体" w:cs="Times New Roman"/>
          <w:color w:val="auto"/>
          <w:spacing w:val="10"/>
          <w:sz w:val="24"/>
          <w:highlight w:val="none"/>
          <w:u w:val="single"/>
        </w:rPr>
        <w:t xml:space="preserve">  </w:t>
      </w:r>
      <w:r>
        <w:rPr>
          <w:rFonts w:hint="eastAsia" w:cs="Times New Roman"/>
          <w:color w:val="auto"/>
          <w:spacing w:val="10"/>
          <w:sz w:val="24"/>
          <w:highlight w:val="none"/>
          <w:u w:val="single"/>
          <w:lang w:val="en-US" w:eastAsia="zh-CN"/>
        </w:rPr>
        <w:t xml:space="preserve">             </w:t>
      </w:r>
      <w:r>
        <w:rPr>
          <w:rFonts w:hint="eastAsia" w:eastAsia="宋体" w:cs="Times New Roman"/>
          <w:color w:val="auto"/>
          <w:spacing w:val="10"/>
          <w:sz w:val="24"/>
          <w:highlight w:val="none"/>
          <w:u w:val="single"/>
        </w:rPr>
        <w:t xml:space="preserve">  </w:t>
      </w:r>
      <w:r>
        <w:rPr>
          <w:rFonts w:hint="eastAsia" w:ascii="Times New Roman" w:hAnsi="Times New Roman" w:eastAsia="宋体" w:cs="Times New Roman"/>
          <w:color w:val="auto"/>
          <w:highlight w:val="none"/>
        </w:rPr>
        <w:t>。</w:t>
      </w:r>
    </w:p>
    <w:p w14:paraId="1FAAFABA">
      <w:pPr>
        <w:pStyle w:val="17"/>
        <w:spacing w:line="360" w:lineRule="exact"/>
        <w:ind w:firstLine="42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代理人无转委托权。</w:t>
      </w:r>
    </w:p>
    <w:p w14:paraId="7AFE5111">
      <w:pPr>
        <w:pStyle w:val="17"/>
        <w:spacing w:line="360" w:lineRule="exact"/>
        <w:ind w:firstLine="420"/>
        <w:rPr>
          <w:rFonts w:ascii="Times New Roman" w:hAnsi="Times New Roman" w:eastAsia="宋体" w:cs="Times New Roman"/>
          <w:color w:val="auto"/>
          <w:highlight w:val="none"/>
        </w:rPr>
      </w:pPr>
    </w:p>
    <w:p w14:paraId="3C6D0A25">
      <w:pPr>
        <w:pStyle w:val="17"/>
        <w:spacing w:line="360" w:lineRule="exact"/>
        <w:ind w:firstLine="420"/>
        <w:rPr>
          <w:rFonts w:ascii="Times New Roman" w:hAnsi="Times New Roman" w:eastAsia="宋体" w:cs="Times New Roman"/>
          <w:color w:val="auto"/>
          <w:highlight w:val="none"/>
          <w:u w:val="single"/>
        </w:rPr>
      </w:pPr>
      <w:r>
        <w:rPr>
          <w:rFonts w:hint="eastAsia" w:ascii="Times New Roman" w:hAnsi="Times New Roman" w:eastAsia="宋体" w:cs="Times New Roman"/>
          <w:color w:val="auto"/>
          <w:highlight w:val="none"/>
        </w:rPr>
        <w:t>投标人</w:t>
      </w:r>
      <w:r>
        <w:rPr>
          <w:rFonts w:hint="eastAsia" w:ascii="Times New Roman" w:hAnsi="Times New Roman" w:cs="Times New Roman"/>
          <w:color w:val="auto"/>
          <w:highlight w:val="none"/>
          <w:lang w:eastAsia="zh-CN"/>
        </w:rPr>
        <w:t>名称</w:t>
      </w:r>
      <w:r>
        <w:rPr>
          <w:rFonts w:hint="eastAsia" w:ascii="Times New Roman" w:hAnsi="Times New Roman" w:eastAsia="宋体" w:cs="Times New Roman"/>
          <w:color w:val="auto"/>
          <w:highlight w:val="none"/>
        </w:rPr>
        <w:t>（盖公章）：</w:t>
      </w:r>
      <w:r>
        <w:rPr>
          <w:rFonts w:ascii="Times New Roman" w:hAnsi="Times New Roman" w:eastAsia="宋体" w:cs="Times New Roman"/>
          <w:color w:val="auto"/>
          <w:highlight w:val="none"/>
          <w:u w:val="single"/>
        </w:rPr>
        <w:t xml:space="preserve">                                    </w:t>
      </w:r>
    </w:p>
    <w:p w14:paraId="1A4D0598">
      <w:pPr>
        <w:pStyle w:val="17"/>
        <w:spacing w:line="360" w:lineRule="exact"/>
        <w:ind w:firstLine="420"/>
        <w:rPr>
          <w:rFonts w:ascii="Times New Roman" w:hAnsi="Times New Roman" w:eastAsia="宋体" w:cs="Times New Roman"/>
          <w:color w:val="auto"/>
          <w:highlight w:val="none"/>
          <w:u w:val="single"/>
        </w:rPr>
      </w:pPr>
      <w:r>
        <w:rPr>
          <w:rFonts w:hint="eastAsia" w:ascii="Times New Roman" w:hAnsi="Times New Roman" w:eastAsia="宋体" w:cs="Times New Roman"/>
          <w:color w:val="auto"/>
          <w:highlight w:val="none"/>
        </w:rPr>
        <w:t>法定代表人（签字）：</w:t>
      </w:r>
      <w:r>
        <w:rPr>
          <w:rFonts w:ascii="Times New Roman" w:hAnsi="Times New Roman" w:eastAsia="宋体"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ascii="Times New Roman" w:hAnsi="Times New Roman" w:eastAsia="宋体" w:cs="Times New Roman"/>
          <w:color w:val="auto"/>
          <w:highlight w:val="none"/>
          <w:u w:val="single"/>
        </w:rPr>
        <w:t xml:space="preserve">    </w:t>
      </w:r>
    </w:p>
    <w:p w14:paraId="25A34E15">
      <w:pPr>
        <w:pStyle w:val="17"/>
        <w:spacing w:line="360" w:lineRule="exact"/>
        <w:ind w:firstLine="420"/>
        <w:rPr>
          <w:rFonts w:ascii="Times New Roman" w:hAnsi="Times New Roman" w:eastAsia="宋体" w:cs="Times New Roman"/>
          <w:color w:val="auto"/>
          <w:highlight w:val="none"/>
          <w:u w:val="single"/>
        </w:rPr>
      </w:pPr>
      <w:r>
        <w:rPr>
          <w:rFonts w:hint="eastAsia" w:ascii="Times New Roman" w:hAnsi="Times New Roman" w:eastAsia="宋体" w:cs="Times New Roman"/>
          <w:color w:val="auto"/>
          <w:highlight w:val="none"/>
        </w:rPr>
        <w:t>法定代表人身份证号码：</w:t>
      </w:r>
      <w:r>
        <w:rPr>
          <w:rFonts w:ascii="Times New Roman" w:hAnsi="Times New Roman" w:eastAsia="宋体" w:cs="Times New Roman"/>
          <w:color w:val="auto"/>
          <w:highlight w:val="none"/>
          <w:u w:val="single"/>
        </w:rPr>
        <w:t xml:space="preserve">                                   </w:t>
      </w:r>
    </w:p>
    <w:p w14:paraId="28F4593F">
      <w:pPr>
        <w:pStyle w:val="17"/>
        <w:spacing w:line="360" w:lineRule="exact"/>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委托代理人（签字）：</w:t>
      </w:r>
      <w:r>
        <w:rPr>
          <w:rFonts w:ascii="Times New Roman" w:hAnsi="Times New Roman" w:eastAsia="宋体"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ascii="Times New Roman" w:hAnsi="Times New Roman" w:eastAsia="宋体" w:cs="Times New Roman"/>
          <w:color w:val="auto"/>
          <w:highlight w:val="none"/>
          <w:u w:val="single"/>
        </w:rPr>
        <w:t xml:space="preserve">     </w:t>
      </w:r>
    </w:p>
    <w:p w14:paraId="40480261">
      <w:pPr>
        <w:pStyle w:val="17"/>
        <w:spacing w:line="360" w:lineRule="exact"/>
        <w:ind w:firstLine="420"/>
        <w:rPr>
          <w:rFonts w:ascii="Times New Roman" w:hAnsi="Times New Roman" w:eastAsia="宋体" w:cs="Times New Roman"/>
          <w:color w:val="auto"/>
          <w:highlight w:val="none"/>
          <w:u w:val="single"/>
        </w:rPr>
      </w:pPr>
      <w:r>
        <w:rPr>
          <w:rFonts w:hint="eastAsia" w:ascii="Times New Roman" w:hAnsi="Times New Roman" w:eastAsia="宋体" w:cs="Times New Roman"/>
          <w:color w:val="auto"/>
          <w:highlight w:val="none"/>
        </w:rPr>
        <w:t>委托代理人身份证号码：</w:t>
      </w:r>
      <w:r>
        <w:rPr>
          <w:rFonts w:ascii="Times New Roman" w:hAnsi="Times New Roman" w:eastAsia="宋体" w:cs="Times New Roman"/>
          <w:color w:val="auto"/>
          <w:highlight w:val="none"/>
          <w:u w:val="single"/>
        </w:rPr>
        <w:t xml:space="preserve">                                   </w:t>
      </w:r>
    </w:p>
    <w:p w14:paraId="36524FF4">
      <w:pPr>
        <w:pStyle w:val="17"/>
        <w:spacing w:line="360" w:lineRule="exact"/>
        <w:ind w:firstLine="420"/>
        <w:rPr>
          <w:rFonts w:ascii="Times New Roman" w:hAnsi="Times New Roman" w:eastAsia="宋体" w:cs="Times New Roman"/>
          <w:color w:val="auto"/>
          <w:highlight w:val="none"/>
          <w:u w:val="single"/>
        </w:rPr>
      </w:pPr>
    </w:p>
    <w:p w14:paraId="67C79250">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01530919">
      <w:pPr>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1.法定代表人和委托代理人必须在授权委托书上</w:t>
      </w:r>
      <w:r>
        <w:rPr>
          <w:rFonts w:hint="eastAsia" w:ascii="宋体" w:hAnsi="宋体" w:eastAsia="宋体" w:cs="宋体"/>
          <w:color w:val="auto"/>
          <w:szCs w:val="21"/>
          <w:highlight w:val="none"/>
          <w:lang w:eastAsia="zh-CN"/>
        </w:rPr>
        <w:t>签字</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否则作无效投标处理</w:t>
      </w:r>
      <w:r>
        <w:rPr>
          <w:rFonts w:hint="eastAsia" w:ascii="宋体" w:hAnsi="宋体" w:eastAsia="宋体" w:cs="宋体"/>
          <w:b/>
          <w:bCs/>
          <w:color w:val="auto"/>
          <w:szCs w:val="21"/>
          <w:highlight w:val="none"/>
          <w:lang w:eastAsia="zh-CN"/>
        </w:rPr>
        <w:t>；</w:t>
      </w:r>
    </w:p>
    <w:p w14:paraId="287FE8F1">
      <w:pPr>
        <w:snapToGrid w:val="0"/>
        <w:spacing w:before="50" w:after="120" w:afterLines="50"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为其他组织或者自然人时，本招标文件规定的法定代表人指负责人或者自然人。本招标文件所称负责人是指参加投标的其他组织营业执照上的负责人，本招标文件所称自然人指参与投标的自然人本人。</w:t>
      </w:r>
    </w:p>
    <w:p w14:paraId="38E77F4F">
      <w:pPr>
        <w:rPr>
          <w:rFonts w:hint="eastAsia" w:ascii="宋体" w:hAnsi="Times New Roman" w:eastAsia="宋体" w:cs="Times New Roman"/>
          <w:b/>
          <w:color w:val="auto"/>
          <w:sz w:val="24"/>
          <w:highlight w:val="none"/>
        </w:rPr>
      </w:pPr>
    </w:p>
    <w:p w14:paraId="760834A1">
      <w:pPr>
        <w:spacing w:line="360" w:lineRule="auto"/>
        <w:rPr>
          <w:rFonts w:hint="eastAsia" w:ascii="Times New Roman" w:hAnsi="Times New Roman" w:eastAsia="宋体" w:cs="Times New Roman"/>
          <w:b/>
          <w:color w:val="auto"/>
          <w:sz w:val="24"/>
          <w:highlight w:val="none"/>
        </w:rPr>
      </w:pPr>
      <w:r>
        <w:rPr>
          <w:rFonts w:hint="eastAsia" w:ascii="宋体" w:hAnsi="Times New Roman" w:eastAsia="宋体" w:cs="Times New Roman"/>
          <w:b/>
          <w:color w:val="auto"/>
          <w:sz w:val="24"/>
          <w:highlight w:val="none"/>
        </w:rPr>
        <w:t>附件：</w:t>
      </w:r>
    </w:p>
    <w:tbl>
      <w:tblPr>
        <w:tblStyle w:val="25"/>
        <w:tblW w:w="7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5D00A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8" w:hRule="atLeast"/>
          <w:jc w:val="center"/>
        </w:trPr>
        <w:tc>
          <w:tcPr>
            <w:tcW w:w="7990" w:type="dxa"/>
            <w:tcBorders>
              <w:top w:val="single" w:color="auto" w:sz="4" w:space="0"/>
              <w:left w:val="single" w:color="auto" w:sz="4" w:space="0"/>
              <w:bottom w:val="single" w:color="auto" w:sz="4" w:space="0"/>
              <w:right w:val="single" w:color="auto" w:sz="4" w:space="0"/>
            </w:tcBorders>
            <w:noWrap w:val="0"/>
            <w:vAlign w:val="top"/>
          </w:tcPr>
          <w:p w14:paraId="356BA5D2">
            <w:pPr>
              <w:spacing w:line="360" w:lineRule="auto"/>
              <w:rPr>
                <w:rFonts w:hint="eastAsia" w:ascii="宋体" w:hAnsi="Times New Roman" w:eastAsia="宋体" w:cs="Times New Roman"/>
                <w:b/>
                <w:color w:val="auto"/>
                <w:sz w:val="24"/>
                <w:highlight w:val="none"/>
              </w:rPr>
            </w:pPr>
            <w:r>
              <w:rPr>
                <w:rFonts w:hint="eastAsia" w:ascii="Times New Roman" w:hAnsi="Times New Roman" w:eastAsia="宋体" w:cs="Times New Roman"/>
                <w:b/>
                <w:bCs/>
                <w:color w:val="auto"/>
                <w:sz w:val="24"/>
                <w:szCs w:val="24"/>
                <w:highlight w:val="none"/>
              </w:rPr>
              <w:t>委托代理人</w:t>
            </w:r>
            <w:r>
              <w:rPr>
                <w:rFonts w:hint="eastAsia" w:ascii="Times New Roman" w:hAnsi="Times New Roman" w:cs="Times New Roman"/>
                <w:b/>
                <w:bCs/>
                <w:color w:val="auto"/>
                <w:sz w:val="24"/>
                <w:szCs w:val="24"/>
                <w:highlight w:val="none"/>
                <w:lang w:eastAsia="zh-CN"/>
              </w:rPr>
              <w:t>有效</w:t>
            </w:r>
            <w:r>
              <w:rPr>
                <w:rFonts w:hint="eastAsia" w:ascii="宋体" w:hAnsi="Times New Roman" w:eastAsia="宋体" w:cs="Times New Roman"/>
                <w:b/>
                <w:color w:val="auto"/>
                <w:sz w:val="24"/>
                <w:highlight w:val="none"/>
              </w:rPr>
              <w:t>身份证复印件粘帖处（正、反面）</w:t>
            </w:r>
          </w:p>
        </w:tc>
      </w:tr>
    </w:tbl>
    <w:p w14:paraId="570B3E0B">
      <w:pPr>
        <w:snapToGrid w:val="0"/>
        <w:spacing w:before="120" w:beforeLines="50" w:after="50"/>
        <w:ind w:firstLine="566" w:firstLineChars="236"/>
        <w:jc w:val="both"/>
        <w:rPr>
          <w:rFonts w:hint="eastAsia" w:ascii="宋体" w:hAnsi="宋体" w:eastAsia="宋体" w:cs="Times New Roman"/>
          <w:color w:val="auto"/>
          <w:highlight w:val="none"/>
        </w:rPr>
      </w:pPr>
      <w:r>
        <w:rPr>
          <w:rFonts w:hint="eastAsia" w:ascii="宋体" w:hAnsi="宋体" w:eastAsia="宋体" w:cs="Times New Roman"/>
          <w:color w:val="auto"/>
          <w:sz w:val="24"/>
          <w:highlight w:val="none"/>
        </w:rPr>
        <w:br w:type="page"/>
      </w:r>
    </w:p>
    <w:p w14:paraId="50DEC0F3">
      <w:pPr>
        <w:jc w:val="left"/>
        <w:outlineLvl w:val="3"/>
        <w:rPr>
          <w:rFonts w:hint="eastAsia" w:ascii="Times New Roman" w:hAnsi="Times New Roman" w:eastAsia="宋体" w:cs="Times New Roman"/>
          <w:b/>
          <w:bCs/>
          <w:color w:val="auto"/>
          <w:sz w:val="30"/>
          <w:szCs w:val="30"/>
          <w:highlight w:val="none"/>
        </w:rPr>
      </w:pPr>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rPr>
        <w:t>.商务条款偏离表</w:t>
      </w:r>
      <w:r>
        <w:rPr>
          <w:rFonts w:hint="eastAsia" w:ascii="宋体" w:hAnsi="宋体" w:cs="宋体"/>
          <w:b/>
          <w:color w:val="auto"/>
          <w:sz w:val="28"/>
          <w:szCs w:val="28"/>
          <w:highlight w:val="none"/>
          <w:lang w:eastAsia="zh-CN"/>
        </w:rPr>
        <w:t>的</w:t>
      </w: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eastAsia="zh-CN"/>
        </w:rPr>
        <w:t>：</w:t>
      </w:r>
    </w:p>
    <w:p w14:paraId="0C83CD6A">
      <w:pPr>
        <w:jc w:val="center"/>
        <w:rPr>
          <w:rFonts w:hint="eastAsia" w:ascii="Times New Roman" w:hAnsi="Times New Roman" w:eastAsia="宋体" w:cs="Times New Roman"/>
          <w:b/>
          <w:bCs/>
          <w:color w:val="auto"/>
          <w:sz w:val="30"/>
          <w:szCs w:val="30"/>
          <w:highlight w:val="none"/>
        </w:rPr>
      </w:pPr>
    </w:p>
    <w:p w14:paraId="442AEDC0">
      <w:pPr>
        <w:jc w:val="cente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t>商务条款偏离表</w:t>
      </w:r>
    </w:p>
    <w:p w14:paraId="05394D47">
      <w:pPr>
        <w:spacing w:line="360" w:lineRule="auto"/>
        <w:ind w:firstLine="0" w:firstLineChars="0"/>
        <w:contextualSpacing/>
        <w:rPr>
          <w:rFonts w:hint="eastAsia" w:ascii="宋体" w:hAnsi="宋体" w:cs="宋体"/>
          <w:color w:val="auto"/>
          <w:sz w:val="24"/>
          <w:highlight w:val="none"/>
        </w:rPr>
      </w:pPr>
    </w:p>
    <w:p w14:paraId="73F2FCC0">
      <w:pPr>
        <w:spacing w:line="360" w:lineRule="auto"/>
        <w:ind w:firstLine="0" w:firstLineChars="0"/>
        <w:contextualSpacing/>
        <w:rPr>
          <w:rFonts w:hint="eastAsia"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6EE90A2E">
      <w:pPr>
        <w:snapToGrid/>
        <w:spacing w:before="0" w:line="360" w:lineRule="auto"/>
        <w:contextualSpacing/>
        <w:jc w:val="left"/>
        <w:rPr>
          <w:rFonts w:hint="eastAsia" w:ascii="宋体" w:hAnsi="宋体" w:cs="宋体"/>
          <w:color w:val="auto"/>
          <w:sz w:val="24"/>
          <w:highlight w:val="none"/>
          <w:u w:val="singl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p>
    <w:p w14:paraId="25DD4F21">
      <w:pPr>
        <w:pStyle w:val="17"/>
        <w:spacing w:line="480" w:lineRule="auto"/>
        <w:ind w:left="-422" w:leftChars="-201" w:firstLine="424"/>
        <w:rPr>
          <w:rFonts w:hint="eastAsia"/>
          <w:color w:val="auto"/>
          <w:highlight w:val="none"/>
        </w:rPr>
      </w:pPr>
      <w:r>
        <w:rPr>
          <w:rFonts w:hint="eastAsia" w:hAnsi="宋体" w:cs="宋体"/>
          <w:color w:val="auto"/>
          <w:sz w:val="24"/>
          <w:szCs w:val="24"/>
          <w:highlight w:val="none"/>
          <w:lang w:eastAsia="zh-CN"/>
        </w:rPr>
        <w:t>所投</w:t>
      </w:r>
      <w:r>
        <w:rPr>
          <w:rFonts w:hint="eastAsia" w:ascii="宋体" w:hAnsi="宋体" w:cs="宋体"/>
          <w:color w:val="auto"/>
          <w:sz w:val="24"/>
          <w:szCs w:val="24"/>
          <w:highlight w:val="none"/>
        </w:rPr>
        <w:t>分标</w:t>
      </w:r>
      <w:r>
        <w:rPr>
          <w:rFonts w:hint="eastAsia" w:ascii="宋体" w:hAnsi="宋体" w:cs="宋体"/>
          <w:color w:val="auto"/>
          <w:sz w:val="21"/>
          <w:szCs w:val="21"/>
          <w:highlight w:val="none"/>
        </w:rPr>
        <w:t>（此处有分标时填写具体分标号，无分标时填写“无”）</w:t>
      </w:r>
      <w:r>
        <w:rPr>
          <w:rFonts w:hint="eastAsia" w:ascii="宋体" w:hAnsi="宋体" w:cs="宋体"/>
          <w:color w:val="auto"/>
          <w:sz w:val="24"/>
          <w:szCs w:val="24"/>
          <w:highlight w:val="none"/>
          <w:lang w:eastAsia="zh-CN"/>
        </w:rPr>
        <w:t>：</w:t>
      </w:r>
      <w:r>
        <w:rPr>
          <w:rFonts w:hint="eastAsia" w:ascii="宋体" w:hAnsi="宋体" w:cs="宋体"/>
          <w:color w:val="auto"/>
          <w:sz w:val="24"/>
          <w:highlight w:val="none"/>
          <w:u w:val="single"/>
        </w:rPr>
        <w:t xml:space="preserve">           </w:t>
      </w:r>
    </w:p>
    <w:tbl>
      <w:tblPr>
        <w:tblStyle w:val="25"/>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367"/>
        <w:gridCol w:w="2905"/>
        <w:gridCol w:w="1917"/>
      </w:tblGrid>
      <w:tr w14:paraId="008CE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10" w:type="dxa"/>
            <w:tcBorders>
              <w:top w:val="single" w:color="auto" w:sz="4" w:space="0"/>
              <w:left w:val="single" w:color="auto" w:sz="4" w:space="0"/>
              <w:bottom w:val="single" w:color="auto" w:sz="4" w:space="0"/>
              <w:right w:val="single" w:color="auto" w:sz="4" w:space="0"/>
            </w:tcBorders>
            <w:noWrap w:val="0"/>
            <w:vAlign w:val="center"/>
          </w:tcPr>
          <w:p w14:paraId="173F6B3D">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项号</w:t>
            </w:r>
          </w:p>
        </w:tc>
        <w:tc>
          <w:tcPr>
            <w:tcW w:w="3367" w:type="dxa"/>
            <w:tcBorders>
              <w:top w:val="single" w:color="auto" w:sz="4" w:space="0"/>
              <w:left w:val="single" w:color="auto" w:sz="4" w:space="0"/>
              <w:bottom w:val="single" w:color="auto" w:sz="4" w:space="0"/>
              <w:right w:val="single" w:color="auto" w:sz="4" w:space="0"/>
            </w:tcBorders>
            <w:noWrap w:val="0"/>
            <w:vAlign w:val="center"/>
          </w:tcPr>
          <w:p w14:paraId="114003F4">
            <w:pPr>
              <w:spacing w:line="34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招标文件的商务</w:t>
            </w:r>
            <w:r>
              <w:rPr>
                <w:rFonts w:hint="eastAsia" w:ascii="宋体" w:hAnsi="宋体" w:cs="宋体"/>
                <w:color w:val="auto"/>
                <w:szCs w:val="21"/>
                <w:highlight w:val="none"/>
                <w:lang w:val="en-US" w:eastAsia="zh-CN"/>
              </w:rPr>
              <w:t>条款</w:t>
            </w:r>
          </w:p>
        </w:tc>
        <w:tc>
          <w:tcPr>
            <w:tcW w:w="2905" w:type="dxa"/>
            <w:tcBorders>
              <w:top w:val="single" w:color="auto" w:sz="4" w:space="0"/>
              <w:left w:val="single" w:color="auto" w:sz="4" w:space="0"/>
              <w:bottom w:val="single" w:color="auto" w:sz="4" w:space="0"/>
              <w:right w:val="single" w:color="auto" w:sz="4" w:space="0"/>
            </w:tcBorders>
            <w:noWrap w:val="0"/>
            <w:vAlign w:val="center"/>
          </w:tcPr>
          <w:p w14:paraId="7795CBF2">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投标文件</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的商务条款</w:t>
            </w:r>
          </w:p>
        </w:tc>
        <w:tc>
          <w:tcPr>
            <w:tcW w:w="1917" w:type="dxa"/>
            <w:tcBorders>
              <w:top w:val="single" w:color="auto" w:sz="4" w:space="0"/>
              <w:left w:val="single" w:color="auto" w:sz="4" w:space="0"/>
              <w:bottom w:val="single" w:color="auto" w:sz="4" w:space="0"/>
              <w:right w:val="single" w:color="auto" w:sz="4" w:space="0"/>
            </w:tcBorders>
            <w:noWrap w:val="0"/>
            <w:vAlign w:val="center"/>
          </w:tcPr>
          <w:p w14:paraId="647CA193">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偏离说明</w:t>
            </w:r>
          </w:p>
        </w:tc>
      </w:tr>
      <w:tr w14:paraId="27144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1110" w:type="dxa"/>
            <w:tcBorders>
              <w:top w:val="single" w:color="auto" w:sz="4" w:space="0"/>
              <w:left w:val="single" w:color="auto" w:sz="4" w:space="0"/>
              <w:bottom w:val="single" w:color="auto" w:sz="4" w:space="0"/>
              <w:right w:val="single" w:color="auto" w:sz="4" w:space="0"/>
            </w:tcBorders>
            <w:noWrap w:val="0"/>
            <w:vAlign w:val="top"/>
          </w:tcPr>
          <w:p w14:paraId="2437168A">
            <w:pPr>
              <w:spacing w:line="34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一</w:t>
            </w:r>
          </w:p>
        </w:tc>
        <w:tc>
          <w:tcPr>
            <w:tcW w:w="3367" w:type="dxa"/>
            <w:tcBorders>
              <w:top w:val="single" w:color="auto" w:sz="4" w:space="0"/>
              <w:left w:val="single" w:color="auto" w:sz="4" w:space="0"/>
              <w:bottom w:val="single" w:color="auto" w:sz="4" w:space="0"/>
              <w:right w:val="single" w:color="auto" w:sz="4" w:space="0"/>
            </w:tcBorders>
            <w:noWrap w:val="0"/>
            <w:vAlign w:val="top"/>
          </w:tcPr>
          <w:p w14:paraId="1031E890">
            <w:pPr>
              <w:spacing w:line="340" w:lineRule="exact"/>
              <w:rPr>
                <w:rFonts w:hint="eastAsia" w:ascii="宋体" w:hAnsi="宋体" w:cs="宋体"/>
                <w:color w:val="auto"/>
                <w:szCs w:val="21"/>
                <w:highlight w:val="none"/>
              </w:rPr>
            </w:pPr>
          </w:p>
        </w:tc>
        <w:tc>
          <w:tcPr>
            <w:tcW w:w="2905" w:type="dxa"/>
            <w:tcBorders>
              <w:top w:val="single" w:color="auto" w:sz="4" w:space="0"/>
              <w:left w:val="single" w:color="auto" w:sz="4" w:space="0"/>
              <w:bottom w:val="single" w:color="auto" w:sz="4" w:space="0"/>
              <w:right w:val="single" w:color="auto" w:sz="4" w:space="0"/>
            </w:tcBorders>
            <w:noWrap w:val="0"/>
            <w:vAlign w:val="top"/>
          </w:tcPr>
          <w:p w14:paraId="0162F549">
            <w:pPr>
              <w:spacing w:line="340" w:lineRule="exact"/>
              <w:rPr>
                <w:rFonts w:hint="eastAsia" w:ascii="宋体" w:hAnsi="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noWrap w:val="0"/>
            <w:vAlign w:val="top"/>
          </w:tcPr>
          <w:p w14:paraId="2A6C372A">
            <w:pPr>
              <w:spacing w:line="300" w:lineRule="exact"/>
              <w:rPr>
                <w:rFonts w:hint="eastAsia" w:ascii="宋体" w:hAnsi="宋体" w:cs="宋体"/>
                <w:color w:val="auto"/>
                <w:szCs w:val="21"/>
                <w:highlight w:val="none"/>
              </w:rPr>
            </w:pPr>
          </w:p>
        </w:tc>
      </w:tr>
      <w:tr w14:paraId="59EF1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1110" w:type="dxa"/>
            <w:tcBorders>
              <w:top w:val="single" w:color="auto" w:sz="4" w:space="0"/>
              <w:left w:val="single" w:color="auto" w:sz="4" w:space="0"/>
              <w:bottom w:val="single" w:color="auto" w:sz="4" w:space="0"/>
              <w:right w:val="single" w:color="auto" w:sz="4" w:space="0"/>
            </w:tcBorders>
            <w:noWrap w:val="0"/>
            <w:vAlign w:val="top"/>
          </w:tcPr>
          <w:p w14:paraId="0E8CFCE2">
            <w:pPr>
              <w:spacing w:line="34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二</w:t>
            </w:r>
          </w:p>
        </w:tc>
        <w:tc>
          <w:tcPr>
            <w:tcW w:w="3367" w:type="dxa"/>
            <w:tcBorders>
              <w:top w:val="single" w:color="auto" w:sz="4" w:space="0"/>
              <w:left w:val="single" w:color="auto" w:sz="4" w:space="0"/>
              <w:bottom w:val="single" w:color="auto" w:sz="4" w:space="0"/>
              <w:right w:val="single" w:color="auto" w:sz="4" w:space="0"/>
            </w:tcBorders>
            <w:noWrap w:val="0"/>
            <w:vAlign w:val="top"/>
          </w:tcPr>
          <w:p w14:paraId="4515CB56">
            <w:pPr>
              <w:spacing w:line="340" w:lineRule="exact"/>
              <w:rPr>
                <w:rFonts w:hint="eastAsia" w:ascii="宋体" w:hAnsi="宋体" w:cs="宋体"/>
                <w:color w:val="auto"/>
                <w:szCs w:val="21"/>
                <w:highlight w:val="none"/>
              </w:rPr>
            </w:pPr>
          </w:p>
        </w:tc>
        <w:tc>
          <w:tcPr>
            <w:tcW w:w="2905" w:type="dxa"/>
            <w:tcBorders>
              <w:top w:val="single" w:color="auto" w:sz="4" w:space="0"/>
              <w:left w:val="single" w:color="auto" w:sz="4" w:space="0"/>
              <w:bottom w:val="single" w:color="auto" w:sz="4" w:space="0"/>
              <w:right w:val="single" w:color="auto" w:sz="4" w:space="0"/>
            </w:tcBorders>
            <w:noWrap w:val="0"/>
            <w:vAlign w:val="top"/>
          </w:tcPr>
          <w:p w14:paraId="26DC36B6">
            <w:pPr>
              <w:spacing w:line="340" w:lineRule="exact"/>
              <w:rPr>
                <w:rFonts w:hint="eastAsia" w:ascii="宋体" w:hAnsi="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noWrap w:val="0"/>
            <w:vAlign w:val="top"/>
          </w:tcPr>
          <w:p w14:paraId="1933C3EE">
            <w:pPr>
              <w:spacing w:line="300" w:lineRule="exact"/>
              <w:rPr>
                <w:rFonts w:hint="eastAsia" w:ascii="宋体" w:hAnsi="宋体" w:cs="宋体"/>
                <w:color w:val="auto"/>
                <w:szCs w:val="21"/>
                <w:highlight w:val="none"/>
              </w:rPr>
            </w:pPr>
          </w:p>
        </w:tc>
      </w:tr>
      <w:tr w14:paraId="296E3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1110" w:type="dxa"/>
            <w:tcBorders>
              <w:top w:val="single" w:color="auto" w:sz="4" w:space="0"/>
              <w:left w:val="single" w:color="auto" w:sz="4" w:space="0"/>
              <w:bottom w:val="single" w:color="auto" w:sz="4" w:space="0"/>
              <w:right w:val="single" w:color="auto" w:sz="4" w:space="0"/>
            </w:tcBorders>
            <w:noWrap w:val="0"/>
            <w:vAlign w:val="top"/>
          </w:tcPr>
          <w:p w14:paraId="4481D027">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w:t>
            </w:r>
          </w:p>
        </w:tc>
        <w:tc>
          <w:tcPr>
            <w:tcW w:w="3367" w:type="dxa"/>
            <w:tcBorders>
              <w:top w:val="single" w:color="auto" w:sz="4" w:space="0"/>
              <w:left w:val="single" w:color="auto" w:sz="4" w:space="0"/>
              <w:bottom w:val="single" w:color="auto" w:sz="4" w:space="0"/>
              <w:right w:val="single" w:color="auto" w:sz="4" w:space="0"/>
            </w:tcBorders>
            <w:noWrap w:val="0"/>
            <w:vAlign w:val="top"/>
          </w:tcPr>
          <w:p w14:paraId="25D63765">
            <w:pPr>
              <w:spacing w:line="340" w:lineRule="exact"/>
              <w:rPr>
                <w:rFonts w:hint="eastAsia" w:ascii="宋体" w:hAnsi="宋体" w:cs="宋体"/>
                <w:color w:val="auto"/>
                <w:szCs w:val="21"/>
                <w:highlight w:val="none"/>
              </w:rPr>
            </w:pPr>
          </w:p>
        </w:tc>
        <w:tc>
          <w:tcPr>
            <w:tcW w:w="2905" w:type="dxa"/>
            <w:tcBorders>
              <w:top w:val="single" w:color="auto" w:sz="4" w:space="0"/>
              <w:left w:val="single" w:color="auto" w:sz="4" w:space="0"/>
              <w:bottom w:val="single" w:color="auto" w:sz="4" w:space="0"/>
              <w:right w:val="single" w:color="auto" w:sz="4" w:space="0"/>
            </w:tcBorders>
            <w:noWrap w:val="0"/>
            <w:vAlign w:val="top"/>
          </w:tcPr>
          <w:p w14:paraId="40DB7AAC">
            <w:pPr>
              <w:spacing w:line="340" w:lineRule="exact"/>
              <w:rPr>
                <w:rFonts w:hint="eastAsia" w:ascii="宋体" w:hAnsi="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noWrap w:val="0"/>
            <w:vAlign w:val="top"/>
          </w:tcPr>
          <w:p w14:paraId="05CCDBC6">
            <w:pPr>
              <w:spacing w:line="300" w:lineRule="exact"/>
              <w:rPr>
                <w:rFonts w:hint="eastAsia" w:ascii="宋体" w:hAnsi="宋体" w:cs="宋体"/>
                <w:color w:val="auto"/>
                <w:szCs w:val="21"/>
                <w:highlight w:val="none"/>
              </w:rPr>
            </w:pPr>
          </w:p>
        </w:tc>
      </w:tr>
    </w:tbl>
    <w:p w14:paraId="1736EAF4">
      <w:pPr>
        <w:pStyle w:val="17"/>
        <w:spacing w:line="360" w:lineRule="auto"/>
        <w:ind w:left="-708" w:leftChars="-337"/>
        <w:rPr>
          <w:rFonts w:hint="eastAsia" w:ascii="Times New Roman" w:hAnsi="Times New Roman" w:eastAsia="宋体" w:cs="Times New Roman"/>
          <w:color w:val="auto"/>
          <w:highlight w:val="none"/>
        </w:rPr>
      </w:pPr>
    </w:p>
    <w:p w14:paraId="096FA1C5">
      <w:pPr>
        <w:pStyle w:val="17"/>
        <w:spacing w:line="360" w:lineRule="auto"/>
        <w:ind w:left="0" w:leftChars="0"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注：</w:t>
      </w:r>
    </w:p>
    <w:p w14:paraId="3DDE94F9">
      <w:pPr>
        <w:pStyle w:val="17"/>
        <w:spacing w:line="360" w:lineRule="auto"/>
        <w:ind w:left="0"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1.表格内容均需按要求填写并加盖投标人公章。</w:t>
      </w:r>
    </w:p>
    <w:p w14:paraId="27141E04">
      <w:pPr>
        <w:pStyle w:val="17"/>
        <w:spacing w:line="360" w:lineRule="auto"/>
        <w:ind w:left="-424" w:leftChars="-202" w:firstLine="846" w:firstLineChars="0"/>
        <w:rPr>
          <w:rFonts w:hint="eastAsia" w:ascii="宋体" w:hAnsi="宋体" w:eastAsia="宋体" w:cs="宋体"/>
          <w:color w:val="auto"/>
          <w:highlight w:val="none"/>
        </w:rPr>
      </w:pPr>
      <w:r>
        <w:rPr>
          <w:rFonts w:hint="eastAsia" w:ascii="宋体" w:hAnsi="宋体" w:eastAsia="宋体" w:cs="宋体"/>
          <w:color w:val="auto"/>
          <w:highlight w:val="none"/>
        </w:rPr>
        <w:t>2.请逐条对应本项目招标文件</w:t>
      </w:r>
      <w:r>
        <w:rPr>
          <w:rFonts w:hint="eastAsia" w:ascii="宋体" w:hAnsi="宋体" w:cs="宋体"/>
          <w:color w:val="auto"/>
          <w:highlight w:val="none"/>
        </w:rPr>
        <w:t>“第二章</w:t>
      </w:r>
      <w:r>
        <w:rPr>
          <w:rFonts w:hint="eastAsia" w:ascii="宋体" w:hAnsi="宋体" w:cs="宋体"/>
          <w:color w:val="auto"/>
          <w:highlight w:val="none"/>
          <w:lang w:val="en-US" w:eastAsia="zh-CN"/>
        </w:rPr>
        <w:t xml:space="preserve">  </w:t>
      </w:r>
      <w:r>
        <w:rPr>
          <w:rFonts w:hint="eastAsia" w:ascii="宋体" w:hAnsi="宋体" w:cs="宋体"/>
          <w:b/>
          <w:color w:val="auto"/>
          <w:sz w:val="21"/>
          <w:szCs w:val="21"/>
          <w:highlight w:val="none"/>
        </w:rPr>
        <w:t>采购需求</w:t>
      </w:r>
      <w:r>
        <w:rPr>
          <w:rFonts w:hint="eastAsia" w:ascii="宋体" w:hAnsi="宋体" w:cs="宋体"/>
          <w:color w:val="auto"/>
          <w:highlight w:val="none"/>
        </w:rPr>
        <w:t>”</w:t>
      </w:r>
      <w:r>
        <w:rPr>
          <w:rFonts w:hint="eastAsia" w:ascii="宋体" w:hAnsi="宋体" w:eastAsia="宋体" w:cs="宋体"/>
          <w:color w:val="auto"/>
          <w:highlight w:val="none"/>
        </w:rPr>
        <w:t>中“商务条款”的要求，详细填写相应的具体内容。“偏离说明”一栏应当选择“正偏离”</w:t>
      </w:r>
      <w:r>
        <w:rPr>
          <w:rFonts w:hint="eastAsia" w:ascii="宋体" w:hAnsi="宋体" w:eastAsia="宋体" w:cs="宋体"/>
          <w:color w:val="auto"/>
          <w:highlight w:val="none"/>
          <w:lang w:eastAsia="zh-CN"/>
        </w:rPr>
        <w:t>或</w:t>
      </w:r>
      <w:r>
        <w:rPr>
          <w:rFonts w:hint="eastAsia" w:ascii="宋体" w:hAnsi="宋体" w:eastAsia="宋体" w:cs="宋体"/>
          <w:color w:val="auto"/>
          <w:highlight w:val="none"/>
        </w:rPr>
        <w:t>“负偏离”或“无偏离”进行填写。</w:t>
      </w:r>
    </w:p>
    <w:p w14:paraId="649F0B2A">
      <w:pPr>
        <w:pStyle w:val="17"/>
        <w:spacing w:line="360" w:lineRule="auto"/>
        <w:ind w:left="-603" w:leftChars="-287" w:firstLine="945" w:firstLineChars="450"/>
        <w:rPr>
          <w:rFonts w:hint="eastAsia" w:ascii="宋体" w:hAnsi="宋体" w:eastAsia="宋体" w:cs="宋体"/>
          <w:color w:val="auto"/>
          <w:highlight w:val="none"/>
        </w:rPr>
      </w:pPr>
      <w:r>
        <w:rPr>
          <w:rFonts w:hint="eastAsia" w:ascii="宋体" w:hAnsi="宋体" w:eastAsia="宋体" w:cs="宋体"/>
          <w:color w:val="auto"/>
          <w:highlight w:val="none"/>
        </w:rPr>
        <w:t>3.当投标文件的商务内容低于招标文件要求时，投标人应当如实写明“负偏离”。</w:t>
      </w:r>
    </w:p>
    <w:p w14:paraId="6FD62151">
      <w:pPr>
        <w:pStyle w:val="17"/>
        <w:spacing w:line="360" w:lineRule="auto"/>
        <w:ind w:left="-708" w:leftChars="-337" w:firstLine="1050" w:firstLineChars="500"/>
        <w:rPr>
          <w:rFonts w:hint="eastAsia" w:ascii="宋体" w:hAnsi="宋体" w:eastAsia="宋体" w:cs="宋体"/>
          <w:color w:val="auto"/>
          <w:szCs w:val="21"/>
          <w:highlight w:val="none"/>
        </w:rPr>
      </w:pPr>
    </w:p>
    <w:p w14:paraId="62F8952A">
      <w:pPr>
        <w:snapToGrid w:val="0"/>
        <w:spacing w:before="50" w:after="50"/>
        <w:rPr>
          <w:rFonts w:ascii="宋体" w:hAnsi="宋体" w:eastAsia="宋体" w:cs="Times New Roman"/>
          <w:color w:val="auto"/>
          <w:sz w:val="24"/>
          <w:highlight w:val="none"/>
        </w:rPr>
      </w:pPr>
    </w:p>
    <w:p w14:paraId="45B9455E">
      <w:pPr>
        <w:snapToGrid w:val="0"/>
        <w:spacing w:line="360" w:lineRule="auto"/>
        <w:ind w:firstLine="4935" w:firstLineChars="235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投标人名称(盖公章)：</w:t>
      </w:r>
    </w:p>
    <w:p w14:paraId="67447E02">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2972F4EE">
      <w:pPr>
        <w:pStyle w:val="19"/>
        <w:rPr>
          <w:rFonts w:hint="eastAsia" w:ascii="宋体" w:hAnsi="宋体" w:eastAsia="宋体" w:cs="宋体"/>
          <w:color w:val="auto"/>
          <w:kern w:val="0"/>
          <w:sz w:val="24"/>
          <w:highlight w:val="none"/>
          <w:lang w:val="zh-CN"/>
        </w:rPr>
      </w:pPr>
    </w:p>
    <w:p w14:paraId="5B3DB4C5">
      <w:pPr>
        <w:rPr>
          <w:rFonts w:hint="eastAsia" w:ascii="宋体" w:hAnsi="宋体" w:eastAsia="宋体" w:cs="宋体"/>
          <w:color w:val="auto"/>
          <w:kern w:val="0"/>
          <w:sz w:val="24"/>
          <w:highlight w:val="none"/>
          <w:lang w:val="zh-CN"/>
        </w:rPr>
      </w:pPr>
    </w:p>
    <w:p w14:paraId="1CCE494B">
      <w:pPr>
        <w:pStyle w:val="19"/>
        <w:rPr>
          <w:rFonts w:hint="eastAsia" w:ascii="宋体" w:hAnsi="宋体" w:eastAsia="宋体" w:cs="宋体"/>
          <w:color w:val="auto"/>
          <w:kern w:val="0"/>
          <w:sz w:val="24"/>
          <w:highlight w:val="none"/>
          <w:lang w:val="zh-CN"/>
        </w:rPr>
      </w:pPr>
    </w:p>
    <w:p w14:paraId="4CD93252">
      <w:pPr>
        <w:rPr>
          <w:rFonts w:hint="eastAsia" w:ascii="宋体" w:hAnsi="宋体" w:eastAsia="宋体" w:cs="宋体"/>
          <w:color w:val="auto"/>
          <w:kern w:val="0"/>
          <w:sz w:val="24"/>
          <w:highlight w:val="none"/>
          <w:lang w:val="zh-CN"/>
        </w:rPr>
      </w:pPr>
    </w:p>
    <w:p w14:paraId="33F17BB7">
      <w:pPr>
        <w:pStyle w:val="19"/>
        <w:rPr>
          <w:rFonts w:hint="eastAsia" w:ascii="宋体" w:hAnsi="宋体" w:eastAsia="宋体" w:cs="宋体"/>
          <w:color w:val="auto"/>
          <w:kern w:val="0"/>
          <w:sz w:val="24"/>
          <w:highlight w:val="none"/>
          <w:lang w:val="zh-CN"/>
        </w:rPr>
      </w:pPr>
    </w:p>
    <w:p w14:paraId="24BA2928">
      <w:pPr>
        <w:rPr>
          <w:rFonts w:hint="eastAsia" w:ascii="宋体" w:hAnsi="宋体" w:eastAsia="宋体" w:cs="宋体"/>
          <w:color w:val="auto"/>
          <w:kern w:val="0"/>
          <w:sz w:val="24"/>
          <w:highlight w:val="none"/>
          <w:lang w:val="zh-CN"/>
        </w:rPr>
      </w:pPr>
    </w:p>
    <w:p w14:paraId="17745EB0">
      <w:pPr>
        <w:pStyle w:val="19"/>
        <w:rPr>
          <w:rFonts w:hint="eastAsia" w:ascii="宋体" w:hAnsi="宋体" w:eastAsia="宋体" w:cs="宋体"/>
          <w:color w:val="auto"/>
          <w:kern w:val="0"/>
          <w:sz w:val="24"/>
          <w:highlight w:val="none"/>
          <w:lang w:val="zh-CN"/>
        </w:rPr>
      </w:pPr>
    </w:p>
    <w:p w14:paraId="2A6B9A7D">
      <w:pPr>
        <w:jc w:val="left"/>
        <w:outlineLvl w:val="3"/>
        <w:rPr>
          <w:rFonts w:hint="eastAsia" w:ascii="宋体" w:hAnsi="宋体" w:eastAsia="宋体" w:cs="宋体"/>
          <w:b/>
          <w:color w:val="auto"/>
          <w:sz w:val="28"/>
          <w:szCs w:val="28"/>
          <w:highlight w:val="none"/>
          <w:lang w:val="zh-CN" w:eastAsia="zh-CN"/>
        </w:rPr>
      </w:pP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lang w:val="en-US" w:eastAsia="zh-CN"/>
        </w:rPr>
        <w:t>企业综合实力证明材料（部分格式）</w:t>
      </w:r>
    </w:p>
    <w:p w14:paraId="6FB73B9E">
      <w:pPr>
        <w:jc w:val="left"/>
        <w:rPr>
          <w:rFonts w:hint="eastAsia"/>
          <w:color w:val="auto"/>
          <w:highlight w:val="none"/>
          <w:lang w:val="zh-CN"/>
        </w:rPr>
      </w:pPr>
    </w:p>
    <w:p w14:paraId="7A61AD76">
      <w:pPr>
        <w:keepNext w:val="0"/>
        <w:keepLines w:val="0"/>
        <w:widowControl/>
        <w:suppressLineNumbers w:val="0"/>
        <w:jc w:val="left"/>
        <w:rPr>
          <w:color w:val="auto"/>
          <w:sz w:val="21"/>
          <w:szCs w:val="24"/>
          <w:highlight w:val="none"/>
        </w:rPr>
      </w:pPr>
      <w:r>
        <w:rPr>
          <w:rFonts w:hint="eastAsia" w:ascii="宋体" w:hAnsi="宋体" w:eastAsia="宋体" w:cs="宋体"/>
          <w:b/>
          <w:bCs/>
          <w:color w:val="auto"/>
          <w:kern w:val="0"/>
          <w:sz w:val="24"/>
          <w:szCs w:val="24"/>
          <w:highlight w:val="none"/>
          <w:lang w:val="en-US" w:eastAsia="zh-CN" w:bidi="ar"/>
        </w:rPr>
        <w:t>7.1拟投入车辆一览表（格式）</w:t>
      </w:r>
    </w:p>
    <w:p w14:paraId="1BD077AF">
      <w:pPr>
        <w:pStyle w:val="19"/>
        <w:rPr>
          <w:rFonts w:hint="eastAsia"/>
          <w:color w:val="auto"/>
          <w:highlight w:val="none"/>
          <w:lang w:val="zh-CN"/>
        </w:rPr>
      </w:pPr>
    </w:p>
    <w:p w14:paraId="68315205">
      <w:pPr>
        <w:jc w:val="center"/>
        <w:rPr>
          <w:rFonts w:hint="eastAsia"/>
          <w:color w:val="auto"/>
          <w:highlight w:val="none"/>
          <w:lang w:val="zh-CN"/>
        </w:rPr>
      </w:pPr>
      <w:r>
        <w:rPr>
          <w:rFonts w:hint="eastAsia" w:ascii="宋体" w:hAnsi="宋体" w:eastAsia="宋体" w:cs="宋体"/>
          <w:b/>
          <w:bCs/>
          <w:color w:val="auto"/>
          <w:kern w:val="0"/>
          <w:sz w:val="24"/>
          <w:szCs w:val="24"/>
          <w:highlight w:val="none"/>
          <w:lang w:val="en-US" w:eastAsia="zh-CN" w:bidi="ar"/>
        </w:rPr>
        <w:t>拟投入车辆一览表</w:t>
      </w:r>
    </w:p>
    <w:p w14:paraId="5D8C9B96">
      <w:pPr>
        <w:pStyle w:val="19"/>
        <w:rPr>
          <w:rFonts w:hint="eastAsia"/>
          <w:color w:val="auto"/>
          <w:highlight w:val="none"/>
          <w:lang w:val="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
        <w:gridCol w:w="2729"/>
        <w:gridCol w:w="2209"/>
        <w:gridCol w:w="1956"/>
        <w:gridCol w:w="1956"/>
      </w:tblGrid>
      <w:tr w14:paraId="61C82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27" w:type="dxa"/>
            <w:vAlign w:val="center"/>
          </w:tcPr>
          <w:p w14:paraId="1CF11337">
            <w:pPr>
              <w:keepNext w:val="0"/>
              <w:keepLines w:val="0"/>
              <w:widowControl/>
              <w:suppressLineNumbers w:val="0"/>
              <w:jc w:val="center"/>
              <w:rPr>
                <w:rFonts w:hint="eastAsia"/>
                <w:color w:val="auto"/>
                <w:sz w:val="28"/>
                <w:szCs w:val="36"/>
                <w:highlight w:val="none"/>
                <w:vertAlign w:val="baseline"/>
                <w:lang w:val="zh-CN"/>
              </w:rPr>
            </w:pPr>
            <w:r>
              <w:rPr>
                <w:rFonts w:hint="eastAsia" w:ascii="宋体" w:hAnsi="宋体" w:eastAsia="宋体" w:cs="宋体"/>
                <w:color w:val="auto"/>
                <w:kern w:val="0"/>
                <w:sz w:val="24"/>
                <w:szCs w:val="24"/>
                <w:highlight w:val="none"/>
                <w:lang w:val="en-US" w:eastAsia="zh-CN" w:bidi="ar"/>
              </w:rPr>
              <w:t>序号</w:t>
            </w:r>
          </w:p>
        </w:tc>
        <w:tc>
          <w:tcPr>
            <w:tcW w:w="2729" w:type="dxa"/>
            <w:vAlign w:val="center"/>
          </w:tcPr>
          <w:p w14:paraId="5DE8C360">
            <w:pPr>
              <w:keepNext w:val="0"/>
              <w:keepLines w:val="0"/>
              <w:widowControl/>
              <w:suppressLineNumbers w:val="0"/>
              <w:jc w:val="center"/>
              <w:rPr>
                <w:rFonts w:hint="eastAsia"/>
                <w:color w:val="auto"/>
                <w:sz w:val="28"/>
                <w:szCs w:val="36"/>
                <w:highlight w:val="none"/>
                <w:vertAlign w:val="baseline"/>
                <w:lang w:val="zh-CN"/>
              </w:rPr>
            </w:pPr>
            <w:r>
              <w:rPr>
                <w:rFonts w:hint="eastAsia" w:ascii="宋体" w:hAnsi="宋体" w:eastAsia="宋体" w:cs="宋体"/>
                <w:color w:val="auto"/>
                <w:kern w:val="0"/>
                <w:sz w:val="24"/>
                <w:szCs w:val="24"/>
                <w:highlight w:val="none"/>
                <w:lang w:val="en-US" w:eastAsia="zh-CN" w:bidi="ar"/>
              </w:rPr>
              <w:t>车辆名称</w:t>
            </w:r>
          </w:p>
        </w:tc>
        <w:tc>
          <w:tcPr>
            <w:tcW w:w="2209" w:type="dxa"/>
            <w:vAlign w:val="center"/>
          </w:tcPr>
          <w:p w14:paraId="273855B7">
            <w:pPr>
              <w:keepNext w:val="0"/>
              <w:keepLines w:val="0"/>
              <w:widowControl/>
              <w:suppressLineNumbers w:val="0"/>
              <w:jc w:val="center"/>
              <w:rPr>
                <w:rFonts w:hint="eastAsia"/>
                <w:color w:val="auto"/>
                <w:sz w:val="28"/>
                <w:szCs w:val="36"/>
                <w:highlight w:val="none"/>
                <w:vertAlign w:val="baseline"/>
                <w:lang w:val="zh-CN"/>
              </w:rPr>
            </w:pPr>
            <w:r>
              <w:rPr>
                <w:rFonts w:hint="eastAsia" w:ascii="宋体" w:hAnsi="宋体" w:eastAsia="宋体" w:cs="宋体"/>
                <w:color w:val="auto"/>
                <w:kern w:val="0"/>
                <w:sz w:val="24"/>
                <w:szCs w:val="24"/>
                <w:highlight w:val="none"/>
                <w:lang w:val="en-US" w:eastAsia="zh-CN" w:bidi="ar"/>
              </w:rPr>
              <w:t>车牌号码</w:t>
            </w:r>
          </w:p>
        </w:tc>
        <w:tc>
          <w:tcPr>
            <w:tcW w:w="1956" w:type="dxa"/>
            <w:vAlign w:val="center"/>
          </w:tcPr>
          <w:p w14:paraId="2390CCDF">
            <w:pPr>
              <w:keepNext w:val="0"/>
              <w:keepLines w:val="0"/>
              <w:widowControl/>
              <w:suppressLineNumbers w:val="0"/>
              <w:jc w:val="center"/>
              <w:rPr>
                <w:rFonts w:hint="eastAsia"/>
                <w:color w:val="auto"/>
                <w:sz w:val="28"/>
                <w:szCs w:val="36"/>
                <w:highlight w:val="none"/>
                <w:vertAlign w:val="baseline"/>
                <w:lang w:val="zh-CN"/>
              </w:rPr>
            </w:pPr>
            <w:r>
              <w:rPr>
                <w:rFonts w:hint="eastAsia" w:ascii="宋体" w:hAnsi="宋体" w:eastAsia="宋体" w:cs="宋体"/>
                <w:color w:val="auto"/>
                <w:kern w:val="0"/>
                <w:sz w:val="24"/>
                <w:szCs w:val="24"/>
                <w:highlight w:val="none"/>
                <w:lang w:val="en-US" w:eastAsia="zh-CN" w:bidi="ar"/>
              </w:rPr>
              <w:t>自有</w:t>
            </w:r>
            <w:r>
              <w:rPr>
                <w:rFonts w:hint="default" w:ascii="Times New Roman" w:hAnsi="Times New Roman" w:eastAsia="宋体" w:cs="Times New Roman"/>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租赁</w:t>
            </w:r>
          </w:p>
        </w:tc>
        <w:tc>
          <w:tcPr>
            <w:tcW w:w="1956" w:type="dxa"/>
            <w:vAlign w:val="center"/>
          </w:tcPr>
          <w:p w14:paraId="177F12F8">
            <w:pPr>
              <w:keepNext w:val="0"/>
              <w:keepLines w:val="0"/>
              <w:widowControl/>
              <w:suppressLineNumbers w:val="0"/>
              <w:jc w:val="center"/>
              <w:rPr>
                <w:rFonts w:hint="eastAsia"/>
                <w:color w:val="auto"/>
                <w:sz w:val="28"/>
                <w:szCs w:val="36"/>
                <w:highlight w:val="none"/>
                <w:vertAlign w:val="baseline"/>
                <w:lang w:val="zh-CN"/>
              </w:rPr>
            </w:pPr>
            <w:r>
              <w:rPr>
                <w:rFonts w:hint="eastAsia" w:ascii="宋体" w:hAnsi="宋体" w:eastAsia="宋体" w:cs="宋体"/>
                <w:color w:val="auto"/>
                <w:kern w:val="0"/>
                <w:sz w:val="24"/>
                <w:szCs w:val="24"/>
                <w:highlight w:val="none"/>
                <w:lang w:val="en-US" w:eastAsia="zh-CN" w:bidi="ar"/>
              </w:rPr>
              <w:t>车辆所有人名称</w:t>
            </w:r>
          </w:p>
        </w:tc>
      </w:tr>
      <w:tr w14:paraId="25469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927" w:type="dxa"/>
            <w:vAlign w:val="center"/>
          </w:tcPr>
          <w:p w14:paraId="0FB14228">
            <w:pPr>
              <w:keepNext w:val="0"/>
              <w:keepLines w:val="0"/>
              <w:widowControl/>
              <w:suppressLineNumbers w:val="0"/>
              <w:jc w:val="center"/>
              <w:rPr>
                <w:rFonts w:hint="eastAsia" w:eastAsia="宋体"/>
                <w:color w:val="auto"/>
                <w:sz w:val="28"/>
                <w:szCs w:val="36"/>
                <w:highlight w:val="none"/>
                <w:vertAlign w:val="baseline"/>
                <w:lang w:val="en-US" w:eastAsia="zh-CN"/>
              </w:rPr>
            </w:pPr>
            <w:r>
              <w:rPr>
                <w:rFonts w:hint="eastAsia"/>
                <w:color w:val="auto"/>
                <w:sz w:val="28"/>
                <w:szCs w:val="36"/>
                <w:highlight w:val="none"/>
                <w:vertAlign w:val="baseline"/>
                <w:lang w:val="en-US" w:eastAsia="zh-CN"/>
              </w:rPr>
              <w:t>1</w:t>
            </w:r>
          </w:p>
        </w:tc>
        <w:tc>
          <w:tcPr>
            <w:tcW w:w="2729" w:type="dxa"/>
            <w:vAlign w:val="center"/>
          </w:tcPr>
          <w:p w14:paraId="2EB7438C">
            <w:pPr>
              <w:keepNext w:val="0"/>
              <w:keepLines w:val="0"/>
              <w:widowControl/>
              <w:suppressLineNumbers w:val="0"/>
              <w:jc w:val="center"/>
              <w:rPr>
                <w:rFonts w:hint="eastAsia"/>
                <w:color w:val="auto"/>
                <w:sz w:val="28"/>
                <w:szCs w:val="36"/>
                <w:highlight w:val="none"/>
                <w:vertAlign w:val="baseline"/>
                <w:lang w:val="zh-CN"/>
              </w:rPr>
            </w:pPr>
          </w:p>
        </w:tc>
        <w:tc>
          <w:tcPr>
            <w:tcW w:w="2209" w:type="dxa"/>
            <w:vAlign w:val="center"/>
          </w:tcPr>
          <w:p w14:paraId="0E6D9ED5">
            <w:pPr>
              <w:keepNext w:val="0"/>
              <w:keepLines w:val="0"/>
              <w:widowControl/>
              <w:suppressLineNumbers w:val="0"/>
              <w:jc w:val="center"/>
              <w:rPr>
                <w:rFonts w:hint="eastAsia"/>
                <w:color w:val="auto"/>
                <w:sz w:val="28"/>
                <w:szCs w:val="36"/>
                <w:highlight w:val="none"/>
                <w:vertAlign w:val="baseline"/>
                <w:lang w:val="zh-CN"/>
              </w:rPr>
            </w:pPr>
          </w:p>
        </w:tc>
        <w:tc>
          <w:tcPr>
            <w:tcW w:w="1956" w:type="dxa"/>
            <w:vAlign w:val="center"/>
          </w:tcPr>
          <w:p w14:paraId="4D432F58">
            <w:pPr>
              <w:keepNext w:val="0"/>
              <w:keepLines w:val="0"/>
              <w:widowControl/>
              <w:suppressLineNumbers w:val="0"/>
              <w:jc w:val="center"/>
              <w:rPr>
                <w:rFonts w:hint="eastAsia"/>
                <w:color w:val="auto"/>
                <w:sz w:val="28"/>
                <w:szCs w:val="36"/>
                <w:highlight w:val="none"/>
                <w:vertAlign w:val="baseline"/>
                <w:lang w:val="zh-CN"/>
              </w:rPr>
            </w:pPr>
          </w:p>
        </w:tc>
        <w:tc>
          <w:tcPr>
            <w:tcW w:w="1956" w:type="dxa"/>
            <w:vAlign w:val="center"/>
          </w:tcPr>
          <w:p w14:paraId="2CEB5523">
            <w:pPr>
              <w:keepNext w:val="0"/>
              <w:keepLines w:val="0"/>
              <w:widowControl/>
              <w:suppressLineNumbers w:val="0"/>
              <w:jc w:val="center"/>
              <w:rPr>
                <w:rFonts w:hint="eastAsia"/>
                <w:color w:val="auto"/>
                <w:sz w:val="28"/>
                <w:szCs w:val="36"/>
                <w:highlight w:val="none"/>
                <w:vertAlign w:val="baseline"/>
                <w:lang w:val="zh-CN"/>
              </w:rPr>
            </w:pPr>
          </w:p>
        </w:tc>
      </w:tr>
      <w:tr w14:paraId="79DE1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927" w:type="dxa"/>
            <w:vAlign w:val="center"/>
          </w:tcPr>
          <w:p w14:paraId="42BCAE1B">
            <w:pPr>
              <w:keepNext w:val="0"/>
              <w:keepLines w:val="0"/>
              <w:widowControl/>
              <w:suppressLineNumbers w:val="0"/>
              <w:jc w:val="center"/>
              <w:rPr>
                <w:rFonts w:hint="eastAsia" w:eastAsia="宋体"/>
                <w:color w:val="auto"/>
                <w:sz w:val="28"/>
                <w:szCs w:val="36"/>
                <w:highlight w:val="none"/>
                <w:vertAlign w:val="baseline"/>
                <w:lang w:val="en-US" w:eastAsia="zh-CN"/>
              </w:rPr>
            </w:pPr>
            <w:r>
              <w:rPr>
                <w:rFonts w:hint="eastAsia"/>
                <w:color w:val="auto"/>
                <w:sz w:val="28"/>
                <w:szCs w:val="36"/>
                <w:highlight w:val="none"/>
                <w:vertAlign w:val="baseline"/>
                <w:lang w:val="en-US" w:eastAsia="zh-CN"/>
              </w:rPr>
              <w:t>2</w:t>
            </w:r>
          </w:p>
        </w:tc>
        <w:tc>
          <w:tcPr>
            <w:tcW w:w="2729" w:type="dxa"/>
            <w:vAlign w:val="center"/>
          </w:tcPr>
          <w:p w14:paraId="335ECF8D">
            <w:pPr>
              <w:keepNext w:val="0"/>
              <w:keepLines w:val="0"/>
              <w:widowControl/>
              <w:suppressLineNumbers w:val="0"/>
              <w:jc w:val="center"/>
              <w:rPr>
                <w:rFonts w:hint="eastAsia"/>
                <w:color w:val="auto"/>
                <w:sz w:val="28"/>
                <w:szCs w:val="36"/>
                <w:highlight w:val="none"/>
                <w:vertAlign w:val="baseline"/>
                <w:lang w:val="zh-CN"/>
              </w:rPr>
            </w:pPr>
          </w:p>
        </w:tc>
        <w:tc>
          <w:tcPr>
            <w:tcW w:w="2209" w:type="dxa"/>
            <w:vAlign w:val="center"/>
          </w:tcPr>
          <w:p w14:paraId="41542056">
            <w:pPr>
              <w:keepNext w:val="0"/>
              <w:keepLines w:val="0"/>
              <w:widowControl/>
              <w:suppressLineNumbers w:val="0"/>
              <w:jc w:val="center"/>
              <w:rPr>
                <w:rFonts w:hint="eastAsia"/>
                <w:color w:val="auto"/>
                <w:sz w:val="28"/>
                <w:szCs w:val="36"/>
                <w:highlight w:val="none"/>
                <w:vertAlign w:val="baseline"/>
                <w:lang w:val="zh-CN"/>
              </w:rPr>
            </w:pPr>
          </w:p>
        </w:tc>
        <w:tc>
          <w:tcPr>
            <w:tcW w:w="1956" w:type="dxa"/>
            <w:vAlign w:val="center"/>
          </w:tcPr>
          <w:p w14:paraId="1C3E42AB">
            <w:pPr>
              <w:keepNext w:val="0"/>
              <w:keepLines w:val="0"/>
              <w:widowControl/>
              <w:suppressLineNumbers w:val="0"/>
              <w:jc w:val="center"/>
              <w:rPr>
                <w:rFonts w:hint="eastAsia"/>
                <w:color w:val="auto"/>
                <w:sz w:val="28"/>
                <w:szCs w:val="36"/>
                <w:highlight w:val="none"/>
                <w:vertAlign w:val="baseline"/>
                <w:lang w:val="zh-CN"/>
              </w:rPr>
            </w:pPr>
          </w:p>
        </w:tc>
        <w:tc>
          <w:tcPr>
            <w:tcW w:w="1956" w:type="dxa"/>
            <w:vAlign w:val="center"/>
          </w:tcPr>
          <w:p w14:paraId="7D26A18C">
            <w:pPr>
              <w:keepNext w:val="0"/>
              <w:keepLines w:val="0"/>
              <w:widowControl/>
              <w:suppressLineNumbers w:val="0"/>
              <w:jc w:val="center"/>
              <w:rPr>
                <w:rFonts w:hint="eastAsia"/>
                <w:color w:val="auto"/>
                <w:sz w:val="28"/>
                <w:szCs w:val="36"/>
                <w:highlight w:val="none"/>
                <w:vertAlign w:val="baseline"/>
                <w:lang w:val="zh-CN"/>
              </w:rPr>
            </w:pPr>
          </w:p>
        </w:tc>
      </w:tr>
      <w:tr w14:paraId="18341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927" w:type="dxa"/>
            <w:vAlign w:val="center"/>
          </w:tcPr>
          <w:p w14:paraId="4E6E5475">
            <w:pPr>
              <w:keepNext w:val="0"/>
              <w:keepLines w:val="0"/>
              <w:widowControl/>
              <w:suppressLineNumbers w:val="0"/>
              <w:jc w:val="center"/>
              <w:rPr>
                <w:rFonts w:hint="eastAsia" w:eastAsia="宋体"/>
                <w:color w:val="auto"/>
                <w:sz w:val="28"/>
                <w:szCs w:val="36"/>
                <w:highlight w:val="none"/>
                <w:vertAlign w:val="baseline"/>
                <w:lang w:val="en-US" w:eastAsia="zh-CN"/>
              </w:rPr>
            </w:pPr>
            <w:r>
              <w:rPr>
                <w:rFonts w:hint="eastAsia"/>
                <w:color w:val="auto"/>
                <w:sz w:val="28"/>
                <w:szCs w:val="36"/>
                <w:highlight w:val="none"/>
                <w:vertAlign w:val="baseline"/>
                <w:lang w:val="en-US" w:eastAsia="zh-CN"/>
              </w:rPr>
              <w:t>3</w:t>
            </w:r>
          </w:p>
        </w:tc>
        <w:tc>
          <w:tcPr>
            <w:tcW w:w="2729" w:type="dxa"/>
            <w:vAlign w:val="center"/>
          </w:tcPr>
          <w:p w14:paraId="4DF187CE">
            <w:pPr>
              <w:keepNext w:val="0"/>
              <w:keepLines w:val="0"/>
              <w:widowControl/>
              <w:suppressLineNumbers w:val="0"/>
              <w:jc w:val="center"/>
              <w:rPr>
                <w:rFonts w:hint="eastAsia"/>
                <w:color w:val="auto"/>
                <w:sz w:val="28"/>
                <w:szCs w:val="36"/>
                <w:highlight w:val="none"/>
                <w:vertAlign w:val="baseline"/>
                <w:lang w:val="zh-CN"/>
              </w:rPr>
            </w:pPr>
          </w:p>
        </w:tc>
        <w:tc>
          <w:tcPr>
            <w:tcW w:w="2209" w:type="dxa"/>
            <w:vAlign w:val="center"/>
          </w:tcPr>
          <w:p w14:paraId="7905A8BB">
            <w:pPr>
              <w:keepNext w:val="0"/>
              <w:keepLines w:val="0"/>
              <w:widowControl/>
              <w:suppressLineNumbers w:val="0"/>
              <w:jc w:val="center"/>
              <w:rPr>
                <w:rFonts w:hint="eastAsia"/>
                <w:color w:val="auto"/>
                <w:sz w:val="28"/>
                <w:szCs w:val="36"/>
                <w:highlight w:val="none"/>
                <w:vertAlign w:val="baseline"/>
                <w:lang w:val="zh-CN"/>
              </w:rPr>
            </w:pPr>
          </w:p>
        </w:tc>
        <w:tc>
          <w:tcPr>
            <w:tcW w:w="1956" w:type="dxa"/>
            <w:vAlign w:val="center"/>
          </w:tcPr>
          <w:p w14:paraId="2D5BEA44">
            <w:pPr>
              <w:keepNext w:val="0"/>
              <w:keepLines w:val="0"/>
              <w:widowControl/>
              <w:suppressLineNumbers w:val="0"/>
              <w:jc w:val="center"/>
              <w:rPr>
                <w:rFonts w:hint="eastAsia"/>
                <w:color w:val="auto"/>
                <w:sz w:val="28"/>
                <w:szCs w:val="36"/>
                <w:highlight w:val="none"/>
                <w:vertAlign w:val="baseline"/>
                <w:lang w:val="zh-CN"/>
              </w:rPr>
            </w:pPr>
          </w:p>
        </w:tc>
        <w:tc>
          <w:tcPr>
            <w:tcW w:w="1956" w:type="dxa"/>
            <w:vAlign w:val="center"/>
          </w:tcPr>
          <w:p w14:paraId="61B3E509">
            <w:pPr>
              <w:keepNext w:val="0"/>
              <w:keepLines w:val="0"/>
              <w:widowControl/>
              <w:suppressLineNumbers w:val="0"/>
              <w:jc w:val="center"/>
              <w:rPr>
                <w:rFonts w:hint="eastAsia"/>
                <w:color w:val="auto"/>
                <w:sz w:val="28"/>
                <w:szCs w:val="36"/>
                <w:highlight w:val="none"/>
                <w:vertAlign w:val="baseline"/>
                <w:lang w:val="zh-CN"/>
              </w:rPr>
            </w:pPr>
          </w:p>
        </w:tc>
      </w:tr>
      <w:tr w14:paraId="17D03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927" w:type="dxa"/>
            <w:vAlign w:val="center"/>
          </w:tcPr>
          <w:p w14:paraId="7B7D66F5">
            <w:pPr>
              <w:keepNext w:val="0"/>
              <w:keepLines w:val="0"/>
              <w:widowControl/>
              <w:suppressLineNumbers w:val="0"/>
              <w:jc w:val="center"/>
              <w:rPr>
                <w:rFonts w:hint="default"/>
                <w:color w:val="auto"/>
                <w:sz w:val="28"/>
                <w:szCs w:val="36"/>
                <w:highlight w:val="none"/>
                <w:vertAlign w:val="baseline"/>
                <w:lang w:val="en-US" w:eastAsia="zh-CN"/>
              </w:rPr>
            </w:pPr>
            <w:r>
              <w:rPr>
                <w:rFonts w:hint="eastAsia"/>
                <w:color w:val="auto"/>
                <w:sz w:val="28"/>
                <w:szCs w:val="36"/>
                <w:highlight w:val="none"/>
                <w:vertAlign w:val="baseline"/>
                <w:lang w:val="en-US" w:eastAsia="zh-CN"/>
              </w:rPr>
              <w:t>4</w:t>
            </w:r>
          </w:p>
        </w:tc>
        <w:tc>
          <w:tcPr>
            <w:tcW w:w="2729" w:type="dxa"/>
            <w:vAlign w:val="center"/>
          </w:tcPr>
          <w:p w14:paraId="1D70E936">
            <w:pPr>
              <w:keepNext w:val="0"/>
              <w:keepLines w:val="0"/>
              <w:widowControl/>
              <w:suppressLineNumbers w:val="0"/>
              <w:jc w:val="center"/>
              <w:rPr>
                <w:rFonts w:hint="eastAsia"/>
                <w:color w:val="auto"/>
                <w:sz w:val="28"/>
                <w:szCs w:val="36"/>
                <w:highlight w:val="none"/>
                <w:vertAlign w:val="baseline"/>
                <w:lang w:val="zh-CN"/>
              </w:rPr>
            </w:pPr>
          </w:p>
        </w:tc>
        <w:tc>
          <w:tcPr>
            <w:tcW w:w="2209" w:type="dxa"/>
            <w:vAlign w:val="center"/>
          </w:tcPr>
          <w:p w14:paraId="53E87D06">
            <w:pPr>
              <w:keepNext w:val="0"/>
              <w:keepLines w:val="0"/>
              <w:widowControl/>
              <w:suppressLineNumbers w:val="0"/>
              <w:jc w:val="center"/>
              <w:rPr>
                <w:rFonts w:hint="eastAsia"/>
                <w:color w:val="auto"/>
                <w:sz w:val="28"/>
                <w:szCs w:val="36"/>
                <w:highlight w:val="none"/>
                <w:vertAlign w:val="baseline"/>
                <w:lang w:val="zh-CN"/>
              </w:rPr>
            </w:pPr>
          </w:p>
        </w:tc>
        <w:tc>
          <w:tcPr>
            <w:tcW w:w="1956" w:type="dxa"/>
            <w:vAlign w:val="center"/>
          </w:tcPr>
          <w:p w14:paraId="3F7B5E43">
            <w:pPr>
              <w:keepNext w:val="0"/>
              <w:keepLines w:val="0"/>
              <w:widowControl/>
              <w:suppressLineNumbers w:val="0"/>
              <w:jc w:val="center"/>
              <w:rPr>
                <w:rFonts w:hint="eastAsia"/>
                <w:color w:val="auto"/>
                <w:sz w:val="28"/>
                <w:szCs w:val="36"/>
                <w:highlight w:val="none"/>
                <w:vertAlign w:val="baseline"/>
                <w:lang w:val="zh-CN"/>
              </w:rPr>
            </w:pPr>
          </w:p>
        </w:tc>
        <w:tc>
          <w:tcPr>
            <w:tcW w:w="1956" w:type="dxa"/>
            <w:vAlign w:val="center"/>
          </w:tcPr>
          <w:p w14:paraId="10465CEB">
            <w:pPr>
              <w:keepNext w:val="0"/>
              <w:keepLines w:val="0"/>
              <w:widowControl/>
              <w:suppressLineNumbers w:val="0"/>
              <w:jc w:val="center"/>
              <w:rPr>
                <w:rFonts w:hint="eastAsia"/>
                <w:color w:val="auto"/>
                <w:sz w:val="28"/>
                <w:szCs w:val="36"/>
                <w:highlight w:val="none"/>
                <w:vertAlign w:val="baseline"/>
                <w:lang w:val="zh-CN"/>
              </w:rPr>
            </w:pPr>
          </w:p>
        </w:tc>
      </w:tr>
      <w:tr w14:paraId="4F20B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927" w:type="dxa"/>
            <w:vAlign w:val="center"/>
          </w:tcPr>
          <w:p w14:paraId="3411657B">
            <w:pPr>
              <w:keepNext w:val="0"/>
              <w:keepLines w:val="0"/>
              <w:widowControl/>
              <w:suppressLineNumbers w:val="0"/>
              <w:jc w:val="center"/>
              <w:rPr>
                <w:rFonts w:hint="default"/>
                <w:color w:val="auto"/>
                <w:sz w:val="28"/>
                <w:szCs w:val="36"/>
                <w:highlight w:val="none"/>
                <w:vertAlign w:val="baseline"/>
                <w:lang w:val="en-US" w:eastAsia="zh-CN"/>
              </w:rPr>
            </w:pPr>
            <w:r>
              <w:rPr>
                <w:rFonts w:hint="eastAsia"/>
                <w:color w:val="auto"/>
                <w:sz w:val="28"/>
                <w:szCs w:val="36"/>
                <w:highlight w:val="none"/>
                <w:vertAlign w:val="baseline"/>
                <w:lang w:val="en-US" w:eastAsia="zh-CN"/>
              </w:rPr>
              <w:t>5</w:t>
            </w:r>
          </w:p>
        </w:tc>
        <w:tc>
          <w:tcPr>
            <w:tcW w:w="2729" w:type="dxa"/>
            <w:vAlign w:val="center"/>
          </w:tcPr>
          <w:p w14:paraId="40DA6E01">
            <w:pPr>
              <w:keepNext w:val="0"/>
              <w:keepLines w:val="0"/>
              <w:widowControl/>
              <w:suppressLineNumbers w:val="0"/>
              <w:jc w:val="center"/>
              <w:rPr>
                <w:rFonts w:hint="eastAsia"/>
                <w:color w:val="auto"/>
                <w:sz w:val="28"/>
                <w:szCs w:val="36"/>
                <w:highlight w:val="none"/>
                <w:vertAlign w:val="baseline"/>
                <w:lang w:val="zh-CN"/>
              </w:rPr>
            </w:pPr>
          </w:p>
        </w:tc>
        <w:tc>
          <w:tcPr>
            <w:tcW w:w="2209" w:type="dxa"/>
            <w:vAlign w:val="center"/>
          </w:tcPr>
          <w:p w14:paraId="37B6643B">
            <w:pPr>
              <w:keepNext w:val="0"/>
              <w:keepLines w:val="0"/>
              <w:widowControl/>
              <w:suppressLineNumbers w:val="0"/>
              <w:jc w:val="center"/>
              <w:rPr>
                <w:rFonts w:hint="eastAsia"/>
                <w:color w:val="auto"/>
                <w:sz w:val="28"/>
                <w:szCs w:val="36"/>
                <w:highlight w:val="none"/>
                <w:vertAlign w:val="baseline"/>
                <w:lang w:val="zh-CN"/>
              </w:rPr>
            </w:pPr>
          </w:p>
        </w:tc>
        <w:tc>
          <w:tcPr>
            <w:tcW w:w="1956" w:type="dxa"/>
            <w:vAlign w:val="center"/>
          </w:tcPr>
          <w:p w14:paraId="2125C557">
            <w:pPr>
              <w:keepNext w:val="0"/>
              <w:keepLines w:val="0"/>
              <w:widowControl/>
              <w:suppressLineNumbers w:val="0"/>
              <w:jc w:val="center"/>
              <w:rPr>
                <w:rFonts w:hint="eastAsia"/>
                <w:color w:val="auto"/>
                <w:sz w:val="28"/>
                <w:szCs w:val="36"/>
                <w:highlight w:val="none"/>
                <w:vertAlign w:val="baseline"/>
                <w:lang w:val="zh-CN"/>
              </w:rPr>
            </w:pPr>
          </w:p>
        </w:tc>
        <w:tc>
          <w:tcPr>
            <w:tcW w:w="1956" w:type="dxa"/>
            <w:vAlign w:val="center"/>
          </w:tcPr>
          <w:p w14:paraId="7601E3B8">
            <w:pPr>
              <w:keepNext w:val="0"/>
              <w:keepLines w:val="0"/>
              <w:widowControl/>
              <w:suppressLineNumbers w:val="0"/>
              <w:jc w:val="center"/>
              <w:rPr>
                <w:rFonts w:hint="eastAsia"/>
                <w:color w:val="auto"/>
                <w:sz w:val="28"/>
                <w:szCs w:val="36"/>
                <w:highlight w:val="none"/>
                <w:vertAlign w:val="baseline"/>
                <w:lang w:val="zh-CN"/>
              </w:rPr>
            </w:pPr>
          </w:p>
        </w:tc>
      </w:tr>
      <w:tr w14:paraId="095FC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927" w:type="dxa"/>
            <w:vAlign w:val="center"/>
          </w:tcPr>
          <w:p w14:paraId="044FB23B">
            <w:pPr>
              <w:keepNext w:val="0"/>
              <w:keepLines w:val="0"/>
              <w:widowControl/>
              <w:suppressLineNumbers w:val="0"/>
              <w:jc w:val="center"/>
              <w:rPr>
                <w:rFonts w:hint="default"/>
                <w:color w:val="auto"/>
                <w:sz w:val="28"/>
                <w:szCs w:val="36"/>
                <w:highlight w:val="none"/>
                <w:vertAlign w:val="baseline"/>
                <w:lang w:val="en-US" w:eastAsia="zh-CN"/>
              </w:rPr>
            </w:pPr>
          </w:p>
        </w:tc>
        <w:tc>
          <w:tcPr>
            <w:tcW w:w="2729" w:type="dxa"/>
            <w:vAlign w:val="center"/>
          </w:tcPr>
          <w:p w14:paraId="1C480B6A">
            <w:pPr>
              <w:keepNext w:val="0"/>
              <w:keepLines w:val="0"/>
              <w:widowControl/>
              <w:suppressLineNumbers w:val="0"/>
              <w:jc w:val="center"/>
              <w:rPr>
                <w:rFonts w:hint="eastAsia"/>
                <w:color w:val="auto"/>
                <w:sz w:val="28"/>
                <w:szCs w:val="36"/>
                <w:highlight w:val="none"/>
                <w:vertAlign w:val="baseline"/>
                <w:lang w:val="zh-CN"/>
              </w:rPr>
            </w:pPr>
          </w:p>
        </w:tc>
        <w:tc>
          <w:tcPr>
            <w:tcW w:w="2209" w:type="dxa"/>
            <w:vAlign w:val="center"/>
          </w:tcPr>
          <w:p w14:paraId="35F01521">
            <w:pPr>
              <w:keepNext w:val="0"/>
              <w:keepLines w:val="0"/>
              <w:widowControl/>
              <w:suppressLineNumbers w:val="0"/>
              <w:jc w:val="center"/>
              <w:rPr>
                <w:rFonts w:hint="eastAsia"/>
                <w:color w:val="auto"/>
                <w:sz w:val="28"/>
                <w:szCs w:val="36"/>
                <w:highlight w:val="none"/>
                <w:vertAlign w:val="baseline"/>
                <w:lang w:val="zh-CN"/>
              </w:rPr>
            </w:pPr>
          </w:p>
        </w:tc>
        <w:tc>
          <w:tcPr>
            <w:tcW w:w="1956" w:type="dxa"/>
            <w:vAlign w:val="center"/>
          </w:tcPr>
          <w:p w14:paraId="5E7FA095">
            <w:pPr>
              <w:keepNext w:val="0"/>
              <w:keepLines w:val="0"/>
              <w:widowControl/>
              <w:suppressLineNumbers w:val="0"/>
              <w:jc w:val="center"/>
              <w:rPr>
                <w:rFonts w:hint="eastAsia"/>
                <w:color w:val="auto"/>
                <w:sz w:val="28"/>
                <w:szCs w:val="36"/>
                <w:highlight w:val="none"/>
                <w:vertAlign w:val="baseline"/>
                <w:lang w:val="zh-CN"/>
              </w:rPr>
            </w:pPr>
          </w:p>
        </w:tc>
        <w:tc>
          <w:tcPr>
            <w:tcW w:w="1956" w:type="dxa"/>
            <w:vAlign w:val="center"/>
          </w:tcPr>
          <w:p w14:paraId="60C20D42">
            <w:pPr>
              <w:keepNext w:val="0"/>
              <w:keepLines w:val="0"/>
              <w:widowControl/>
              <w:suppressLineNumbers w:val="0"/>
              <w:jc w:val="center"/>
              <w:rPr>
                <w:rFonts w:hint="eastAsia"/>
                <w:color w:val="auto"/>
                <w:sz w:val="28"/>
                <w:szCs w:val="36"/>
                <w:highlight w:val="none"/>
                <w:vertAlign w:val="baseline"/>
                <w:lang w:val="zh-CN"/>
              </w:rPr>
            </w:pPr>
          </w:p>
        </w:tc>
      </w:tr>
      <w:tr w14:paraId="713F4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27" w:type="dxa"/>
            <w:vAlign w:val="center"/>
          </w:tcPr>
          <w:p w14:paraId="4B079F87">
            <w:pPr>
              <w:keepNext w:val="0"/>
              <w:keepLines w:val="0"/>
              <w:widowControl/>
              <w:suppressLineNumbers w:val="0"/>
              <w:jc w:val="center"/>
              <w:rPr>
                <w:rFonts w:hint="default"/>
                <w:color w:val="auto"/>
                <w:sz w:val="28"/>
                <w:szCs w:val="36"/>
                <w:highlight w:val="none"/>
                <w:vertAlign w:val="baseline"/>
                <w:lang w:val="en-US" w:eastAsia="zh-CN"/>
              </w:rPr>
            </w:pPr>
            <w:r>
              <w:rPr>
                <w:rFonts w:hint="eastAsia"/>
                <w:color w:val="auto"/>
                <w:sz w:val="28"/>
                <w:szCs w:val="36"/>
                <w:highlight w:val="none"/>
                <w:vertAlign w:val="baseline"/>
                <w:lang w:val="en-US" w:eastAsia="zh-CN"/>
              </w:rPr>
              <w:t>...</w:t>
            </w:r>
          </w:p>
        </w:tc>
        <w:tc>
          <w:tcPr>
            <w:tcW w:w="2729" w:type="dxa"/>
            <w:vAlign w:val="center"/>
          </w:tcPr>
          <w:p w14:paraId="0BAFD951">
            <w:pPr>
              <w:keepNext w:val="0"/>
              <w:keepLines w:val="0"/>
              <w:widowControl/>
              <w:suppressLineNumbers w:val="0"/>
              <w:jc w:val="center"/>
              <w:rPr>
                <w:rFonts w:hint="eastAsia"/>
                <w:color w:val="auto"/>
                <w:sz w:val="28"/>
                <w:szCs w:val="36"/>
                <w:highlight w:val="none"/>
                <w:vertAlign w:val="baseline"/>
                <w:lang w:val="zh-CN"/>
              </w:rPr>
            </w:pPr>
          </w:p>
        </w:tc>
        <w:tc>
          <w:tcPr>
            <w:tcW w:w="2209" w:type="dxa"/>
            <w:vAlign w:val="center"/>
          </w:tcPr>
          <w:p w14:paraId="2D0AFD03">
            <w:pPr>
              <w:keepNext w:val="0"/>
              <w:keepLines w:val="0"/>
              <w:widowControl/>
              <w:suppressLineNumbers w:val="0"/>
              <w:jc w:val="center"/>
              <w:rPr>
                <w:rFonts w:hint="eastAsia"/>
                <w:color w:val="auto"/>
                <w:sz w:val="28"/>
                <w:szCs w:val="36"/>
                <w:highlight w:val="none"/>
                <w:vertAlign w:val="baseline"/>
                <w:lang w:val="zh-CN"/>
              </w:rPr>
            </w:pPr>
          </w:p>
        </w:tc>
        <w:tc>
          <w:tcPr>
            <w:tcW w:w="1956" w:type="dxa"/>
            <w:vAlign w:val="center"/>
          </w:tcPr>
          <w:p w14:paraId="1953AFC4">
            <w:pPr>
              <w:keepNext w:val="0"/>
              <w:keepLines w:val="0"/>
              <w:widowControl/>
              <w:suppressLineNumbers w:val="0"/>
              <w:jc w:val="center"/>
              <w:rPr>
                <w:rFonts w:hint="eastAsia"/>
                <w:color w:val="auto"/>
                <w:sz w:val="28"/>
                <w:szCs w:val="36"/>
                <w:highlight w:val="none"/>
                <w:vertAlign w:val="baseline"/>
                <w:lang w:val="zh-CN"/>
              </w:rPr>
            </w:pPr>
          </w:p>
        </w:tc>
        <w:tc>
          <w:tcPr>
            <w:tcW w:w="1956" w:type="dxa"/>
            <w:vAlign w:val="center"/>
          </w:tcPr>
          <w:p w14:paraId="721DAF63">
            <w:pPr>
              <w:keepNext w:val="0"/>
              <w:keepLines w:val="0"/>
              <w:widowControl/>
              <w:suppressLineNumbers w:val="0"/>
              <w:jc w:val="center"/>
              <w:rPr>
                <w:rFonts w:hint="eastAsia"/>
                <w:color w:val="auto"/>
                <w:sz w:val="28"/>
                <w:szCs w:val="36"/>
                <w:highlight w:val="none"/>
                <w:vertAlign w:val="baseline"/>
                <w:lang w:val="zh-CN"/>
              </w:rPr>
            </w:pPr>
          </w:p>
        </w:tc>
      </w:tr>
    </w:tbl>
    <w:p w14:paraId="1812EA6B">
      <w:pPr>
        <w:rPr>
          <w:rFonts w:hint="eastAsia"/>
          <w:color w:val="auto"/>
          <w:highlight w:val="none"/>
          <w:lang w:val="zh-CN"/>
        </w:rPr>
      </w:pPr>
    </w:p>
    <w:p w14:paraId="05B5C33E">
      <w:pPr>
        <w:keepNext w:val="0"/>
        <w:keepLines w:val="0"/>
        <w:widowControl/>
        <w:suppressLineNumbers w:val="0"/>
        <w:jc w:val="left"/>
        <w:rPr>
          <w:color w:val="auto"/>
          <w:highlight w:val="none"/>
        </w:rPr>
      </w:pPr>
      <w:r>
        <w:rPr>
          <w:rFonts w:hint="eastAsia" w:ascii="宋体" w:hAnsi="宋体" w:eastAsia="宋体" w:cs="宋体"/>
          <w:color w:val="auto"/>
          <w:kern w:val="0"/>
          <w:sz w:val="20"/>
          <w:szCs w:val="20"/>
          <w:highlight w:val="none"/>
          <w:lang w:val="en-US" w:eastAsia="zh-CN" w:bidi="ar"/>
        </w:rPr>
        <w:t>注：车辆证明材料附后（加盖</w:t>
      </w:r>
      <w:r>
        <w:rPr>
          <w:rFonts w:hint="eastAsia" w:ascii="宋体" w:hAnsi="宋体" w:cs="宋体"/>
          <w:color w:val="auto"/>
          <w:kern w:val="0"/>
          <w:sz w:val="20"/>
          <w:szCs w:val="20"/>
          <w:highlight w:val="none"/>
          <w:lang w:val="en-US" w:eastAsia="zh-CN" w:bidi="ar"/>
        </w:rPr>
        <w:t>投标人</w:t>
      </w:r>
      <w:r>
        <w:rPr>
          <w:rFonts w:hint="eastAsia" w:ascii="宋体" w:hAnsi="宋体" w:eastAsia="宋体" w:cs="宋体"/>
          <w:color w:val="auto"/>
          <w:kern w:val="0"/>
          <w:sz w:val="20"/>
          <w:szCs w:val="20"/>
          <w:highlight w:val="none"/>
          <w:lang w:val="en-US" w:eastAsia="zh-CN" w:bidi="ar"/>
        </w:rPr>
        <w:t>公章）。</w:t>
      </w:r>
    </w:p>
    <w:p w14:paraId="2F0AF662">
      <w:pPr>
        <w:pStyle w:val="19"/>
        <w:rPr>
          <w:rFonts w:hint="eastAsia"/>
          <w:color w:val="auto"/>
          <w:highlight w:val="none"/>
          <w:lang w:val="zh-CN"/>
        </w:rPr>
      </w:pPr>
    </w:p>
    <w:p w14:paraId="5133F01F">
      <w:pPr>
        <w:rPr>
          <w:rFonts w:hint="eastAsia"/>
          <w:color w:val="auto"/>
          <w:highlight w:val="none"/>
          <w:lang w:val="zh-CN"/>
        </w:rPr>
      </w:pPr>
    </w:p>
    <w:p w14:paraId="12176BBD">
      <w:pPr>
        <w:snapToGrid w:val="0"/>
        <w:spacing w:line="360" w:lineRule="auto"/>
        <w:ind w:firstLine="4935" w:firstLineChars="235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投标人名称(盖公章)：</w:t>
      </w:r>
    </w:p>
    <w:p w14:paraId="12738391">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73C47A7A">
      <w:pPr>
        <w:pStyle w:val="19"/>
        <w:rPr>
          <w:rFonts w:hint="eastAsia"/>
          <w:color w:val="auto"/>
          <w:highlight w:val="none"/>
          <w:lang w:val="zh-CN"/>
        </w:rPr>
      </w:pPr>
    </w:p>
    <w:p w14:paraId="70600373">
      <w:pPr>
        <w:rPr>
          <w:rFonts w:hint="eastAsia"/>
          <w:color w:val="auto"/>
          <w:highlight w:val="none"/>
          <w:lang w:val="zh-CN"/>
        </w:rPr>
      </w:pPr>
    </w:p>
    <w:p w14:paraId="5D20F3F1">
      <w:pPr>
        <w:pStyle w:val="19"/>
        <w:rPr>
          <w:rFonts w:hint="eastAsia"/>
          <w:color w:val="auto"/>
          <w:highlight w:val="none"/>
          <w:lang w:val="zh-CN"/>
        </w:rPr>
      </w:pPr>
    </w:p>
    <w:p w14:paraId="407FCBC8">
      <w:pPr>
        <w:rPr>
          <w:rFonts w:hint="eastAsia"/>
          <w:color w:val="auto"/>
          <w:highlight w:val="none"/>
          <w:lang w:val="zh-CN"/>
        </w:rPr>
      </w:pPr>
    </w:p>
    <w:p w14:paraId="7752BA6B">
      <w:pPr>
        <w:pStyle w:val="19"/>
        <w:rPr>
          <w:rFonts w:hint="eastAsia"/>
          <w:color w:val="auto"/>
          <w:highlight w:val="none"/>
          <w:lang w:val="zh-CN"/>
        </w:rPr>
      </w:pPr>
    </w:p>
    <w:p w14:paraId="5DD71286">
      <w:pPr>
        <w:pStyle w:val="19"/>
        <w:rPr>
          <w:rFonts w:hint="eastAsia"/>
          <w:color w:val="auto"/>
          <w:highlight w:val="none"/>
          <w:lang w:val="zh-CN"/>
        </w:rPr>
      </w:pPr>
    </w:p>
    <w:p w14:paraId="763B86B2">
      <w:pPr>
        <w:keepNext w:val="0"/>
        <w:keepLines w:val="0"/>
        <w:widowControl/>
        <w:suppressLineNumbers w:val="0"/>
        <w:jc w:val="left"/>
        <w:rPr>
          <w:rFonts w:hint="eastAsia" w:ascii="宋体" w:hAnsi="宋体" w:eastAsia="宋体" w:cs="宋体"/>
          <w:b/>
          <w:bCs/>
          <w:color w:val="auto"/>
          <w:kern w:val="0"/>
          <w:sz w:val="24"/>
          <w:szCs w:val="24"/>
          <w:highlight w:val="none"/>
          <w:lang w:val="zh-CN" w:eastAsia="zh-CN" w:bidi="ar"/>
        </w:rPr>
      </w:pPr>
      <w:r>
        <w:rPr>
          <w:rFonts w:hint="eastAsia" w:ascii="宋体" w:hAnsi="宋体" w:cs="宋体"/>
          <w:b/>
          <w:bCs/>
          <w:color w:val="auto"/>
          <w:kern w:val="0"/>
          <w:sz w:val="24"/>
          <w:szCs w:val="24"/>
          <w:highlight w:val="none"/>
          <w:lang w:val="en-US" w:eastAsia="zh-CN" w:bidi="ar"/>
        </w:rPr>
        <w:t>7.2</w:t>
      </w:r>
      <w:r>
        <w:rPr>
          <w:rFonts w:hint="eastAsia" w:ascii="宋体" w:hAnsi="宋体" w:eastAsia="宋体" w:cs="宋体"/>
          <w:b/>
          <w:bCs/>
          <w:color w:val="auto"/>
          <w:kern w:val="0"/>
          <w:sz w:val="24"/>
          <w:szCs w:val="24"/>
          <w:highlight w:val="none"/>
          <w:lang w:val="en-US" w:eastAsia="zh-CN" w:bidi="ar"/>
        </w:rPr>
        <w:t>拟投入人员一览表（格式）</w:t>
      </w:r>
    </w:p>
    <w:p w14:paraId="1369E62B">
      <w:pPr>
        <w:rPr>
          <w:rFonts w:hint="eastAsia"/>
          <w:color w:val="auto"/>
          <w:highlight w:val="none"/>
          <w:lang w:val="zh-CN"/>
        </w:rPr>
      </w:pPr>
    </w:p>
    <w:p w14:paraId="020701EE">
      <w:pPr>
        <w:pStyle w:val="19"/>
        <w:jc w:val="center"/>
        <w:rPr>
          <w:rFonts w:hint="eastAsia"/>
          <w:color w:val="auto"/>
          <w:highlight w:val="none"/>
          <w:lang w:val="zh-CN"/>
        </w:rPr>
      </w:pPr>
      <w:r>
        <w:rPr>
          <w:rFonts w:hint="eastAsia" w:ascii="宋体" w:hAnsi="宋体" w:eastAsia="宋体" w:cs="宋体"/>
          <w:b/>
          <w:bCs/>
          <w:color w:val="auto"/>
          <w:kern w:val="0"/>
          <w:sz w:val="24"/>
          <w:szCs w:val="24"/>
          <w:highlight w:val="none"/>
          <w:lang w:val="en-US" w:eastAsia="zh-CN" w:bidi="ar"/>
        </w:rPr>
        <w:t>拟投入人员一览表</w:t>
      </w:r>
    </w:p>
    <w:p w14:paraId="006C5364">
      <w:pPr>
        <w:rPr>
          <w:rFonts w:hint="eastAsia"/>
          <w:color w:val="auto"/>
          <w:highlight w:val="none"/>
          <w:lang w:val="zh-CN"/>
        </w:rPr>
      </w:pPr>
    </w:p>
    <w:tbl>
      <w:tblPr>
        <w:tblStyle w:val="26"/>
        <w:tblW w:w="95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1458"/>
        <w:gridCol w:w="1460"/>
        <w:gridCol w:w="2653"/>
        <w:gridCol w:w="1950"/>
        <w:gridCol w:w="1146"/>
      </w:tblGrid>
      <w:tr w14:paraId="20DA1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930" w:type="dxa"/>
            <w:vAlign w:val="center"/>
          </w:tcPr>
          <w:p w14:paraId="32921951">
            <w:pPr>
              <w:pStyle w:val="19"/>
              <w:jc w:val="center"/>
              <w:rPr>
                <w:rFonts w:hint="default"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序号</w:t>
            </w:r>
          </w:p>
        </w:tc>
        <w:tc>
          <w:tcPr>
            <w:tcW w:w="1458" w:type="dxa"/>
            <w:vAlign w:val="center"/>
          </w:tcPr>
          <w:p w14:paraId="06741E69">
            <w:pPr>
              <w:pStyle w:val="19"/>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姓名</w:t>
            </w:r>
          </w:p>
        </w:tc>
        <w:tc>
          <w:tcPr>
            <w:tcW w:w="1460" w:type="dxa"/>
            <w:vAlign w:val="center"/>
          </w:tcPr>
          <w:p w14:paraId="3525B534">
            <w:pPr>
              <w:pStyle w:val="19"/>
              <w:jc w:val="center"/>
              <w:rPr>
                <w:rFonts w:hint="eastAsia" w:ascii="宋体" w:hAnsi="宋体" w:eastAsia="宋体" w:cs="宋体"/>
                <w:color w:val="auto"/>
                <w:kern w:val="0"/>
                <w:sz w:val="24"/>
                <w:szCs w:val="24"/>
                <w:highlight w:val="none"/>
                <w:lang w:val="zh-CN" w:eastAsia="zh-CN" w:bidi="ar"/>
              </w:rPr>
            </w:pPr>
            <w:r>
              <w:rPr>
                <w:rFonts w:hint="eastAsia" w:ascii="宋体" w:hAnsi="宋体" w:eastAsia="宋体" w:cs="宋体"/>
                <w:color w:val="auto"/>
                <w:kern w:val="0"/>
                <w:sz w:val="24"/>
                <w:szCs w:val="24"/>
                <w:highlight w:val="none"/>
                <w:lang w:val="en-US" w:eastAsia="zh-CN" w:bidi="ar"/>
              </w:rPr>
              <w:t>职务</w:t>
            </w:r>
          </w:p>
        </w:tc>
        <w:tc>
          <w:tcPr>
            <w:tcW w:w="2653" w:type="dxa"/>
            <w:vAlign w:val="center"/>
          </w:tcPr>
          <w:p w14:paraId="78C7AF95">
            <w:pPr>
              <w:keepNext w:val="0"/>
              <w:keepLines w:val="0"/>
              <w:widowControl/>
              <w:suppressLineNumbers w:val="0"/>
              <w:jc w:val="center"/>
              <w:rPr>
                <w:rFonts w:hint="eastAsia" w:ascii="宋体" w:hAnsi="宋体" w:eastAsia="宋体" w:cs="宋体"/>
                <w:color w:val="auto"/>
                <w:kern w:val="0"/>
                <w:sz w:val="24"/>
                <w:szCs w:val="24"/>
                <w:highlight w:val="none"/>
                <w:lang w:val="zh-CN" w:eastAsia="zh-CN" w:bidi="ar"/>
              </w:rPr>
            </w:pPr>
            <w:r>
              <w:rPr>
                <w:rFonts w:hint="eastAsia" w:ascii="宋体" w:hAnsi="宋体" w:eastAsia="宋体" w:cs="宋体"/>
                <w:color w:val="auto"/>
                <w:kern w:val="0"/>
                <w:sz w:val="24"/>
                <w:szCs w:val="24"/>
                <w:highlight w:val="none"/>
                <w:lang w:val="en-US" w:eastAsia="zh-CN" w:bidi="ar"/>
              </w:rPr>
              <w:t>专业技术资格（职称）或者其他证书</w:t>
            </w:r>
          </w:p>
        </w:tc>
        <w:tc>
          <w:tcPr>
            <w:tcW w:w="1950" w:type="dxa"/>
            <w:vAlign w:val="center"/>
          </w:tcPr>
          <w:p w14:paraId="27745AB1">
            <w:pPr>
              <w:pStyle w:val="19"/>
              <w:jc w:val="center"/>
              <w:rPr>
                <w:rFonts w:hint="eastAsia" w:ascii="宋体" w:hAnsi="宋体" w:eastAsia="宋体" w:cs="宋体"/>
                <w:color w:val="auto"/>
                <w:kern w:val="0"/>
                <w:sz w:val="24"/>
                <w:szCs w:val="24"/>
                <w:highlight w:val="none"/>
                <w:lang w:val="zh-CN" w:eastAsia="zh-CN" w:bidi="ar"/>
              </w:rPr>
            </w:pPr>
            <w:r>
              <w:rPr>
                <w:rFonts w:hint="eastAsia" w:ascii="宋体" w:hAnsi="宋体" w:eastAsia="宋体" w:cs="宋体"/>
                <w:color w:val="auto"/>
                <w:kern w:val="0"/>
                <w:sz w:val="24"/>
                <w:szCs w:val="24"/>
                <w:highlight w:val="none"/>
                <w:lang w:val="en-US" w:eastAsia="zh-CN" w:bidi="ar"/>
              </w:rPr>
              <w:t>证书编号</w:t>
            </w:r>
          </w:p>
        </w:tc>
        <w:tc>
          <w:tcPr>
            <w:tcW w:w="1146" w:type="dxa"/>
            <w:vAlign w:val="center"/>
          </w:tcPr>
          <w:p w14:paraId="08500616">
            <w:pPr>
              <w:keepNext w:val="0"/>
              <w:keepLines w:val="0"/>
              <w:widowControl/>
              <w:suppressLineNumbers w:val="0"/>
              <w:jc w:val="center"/>
              <w:rPr>
                <w:rFonts w:hint="eastAsia" w:ascii="宋体" w:hAnsi="宋体" w:eastAsia="宋体" w:cs="宋体"/>
                <w:color w:val="auto"/>
                <w:kern w:val="0"/>
                <w:sz w:val="24"/>
                <w:szCs w:val="24"/>
                <w:highlight w:val="none"/>
                <w:lang w:val="zh-CN" w:eastAsia="zh-CN" w:bidi="ar"/>
              </w:rPr>
            </w:pPr>
            <w:r>
              <w:rPr>
                <w:rFonts w:hint="eastAsia" w:ascii="宋体" w:hAnsi="宋体" w:cs="宋体"/>
                <w:color w:val="auto"/>
                <w:kern w:val="0"/>
                <w:sz w:val="24"/>
                <w:szCs w:val="24"/>
                <w:highlight w:val="none"/>
                <w:lang w:val="en-US" w:eastAsia="zh-CN" w:bidi="ar"/>
              </w:rPr>
              <w:t>备注</w:t>
            </w:r>
          </w:p>
        </w:tc>
      </w:tr>
      <w:tr w14:paraId="4434B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30" w:type="dxa"/>
            <w:vAlign w:val="center"/>
          </w:tcPr>
          <w:p w14:paraId="5E9D41CA">
            <w:pPr>
              <w:keepNext w:val="0"/>
              <w:keepLines w:val="0"/>
              <w:widowControl/>
              <w:suppressLineNumbers w:val="0"/>
              <w:jc w:val="center"/>
              <w:rPr>
                <w:rFonts w:hint="eastAsia" w:ascii="Times New Roman" w:hAnsi="Times New Roman" w:eastAsia="宋体" w:cs="Times New Roman"/>
                <w:color w:val="auto"/>
                <w:kern w:val="2"/>
                <w:sz w:val="28"/>
                <w:szCs w:val="36"/>
                <w:highlight w:val="none"/>
                <w:vertAlign w:val="baseline"/>
                <w:lang w:val="zh-CN" w:eastAsia="zh-CN" w:bidi="ar-SA"/>
              </w:rPr>
            </w:pPr>
            <w:r>
              <w:rPr>
                <w:rFonts w:hint="eastAsia"/>
                <w:color w:val="auto"/>
                <w:sz w:val="28"/>
                <w:szCs w:val="36"/>
                <w:highlight w:val="none"/>
                <w:vertAlign w:val="baseline"/>
                <w:lang w:val="en-US" w:eastAsia="zh-CN"/>
              </w:rPr>
              <w:t>1</w:t>
            </w:r>
          </w:p>
        </w:tc>
        <w:tc>
          <w:tcPr>
            <w:tcW w:w="1458" w:type="dxa"/>
            <w:vAlign w:val="center"/>
          </w:tcPr>
          <w:p w14:paraId="7334C452">
            <w:pPr>
              <w:keepNext w:val="0"/>
              <w:keepLines w:val="0"/>
              <w:widowControl/>
              <w:suppressLineNumbers w:val="0"/>
              <w:jc w:val="center"/>
              <w:rPr>
                <w:rFonts w:hint="eastAsia"/>
                <w:color w:val="auto"/>
                <w:sz w:val="28"/>
                <w:szCs w:val="36"/>
                <w:highlight w:val="none"/>
                <w:vertAlign w:val="baseline"/>
                <w:lang w:val="zh-CN"/>
              </w:rPr>
            </w:pPr>
          </w:p>
        </w:tc>
        <w:tc>
          <w:tcPr>
            <w:tcW w:w="1460" w:type="dxa"/>
            <w:vAlign w:val="center"/>
          </w:tcPr>
          <w:p w14:paraId="7FBE3A9F">
            <w:pPr>
              <w:keepNext w:val="0"/>
              <w:keepLines w:val="0"/>
              <w:widowControl/>
              <w:suppressLineNumbers w:val="0"/>
              <w:jc w:val="center"/>
              <w:rPr>
                <w:rFonts w:hint="eastAsia"/>
                <w:color w:val="auto"/>
                <w:sz w:val="28"/>
                <w:szCs w:val="36"/>
                <w:highlight w:val="none"/>
                <w:vertAlign w:val="baseline"/>
                <w:lang w:val="zh-CN"/>
              </w:rPr>
            </w:pPr>
          </w:p>
        </w:tc>
        <w:tc>
          <w:tcPr>
            <w:tcW w:w="2653" w:type="dxa"/>
            <w:vAlign w:val="center"/>
          </w:tcPr>
          <w:p w14:paraId="349685EF">
            <w:pPr>
              <w:keepNext w:val="0"/>
              <w:keepLines w:val="0"/>
              <w:widowControl/>
              <w:suppressLineNumbers w:val="0"/>
              <w:jc w:val="center"/>
              <w:rPr>
                <w:rFonts w:hint="eastAsia"/>
                <w:color w:val="auto"/>
                <w:sz w:val="28"/>
                <w:szCs w:val="36"/>
                <w:highlight w:val="none"/>
                <w:vertAlign w:val="baseline"/>
                <w:lang w:val="zh-CN"/>
              </w:rPr>
            </w:pPr>
          </w:p>
        </w:tc>
        <w:tc>
          <w:tcPr>
            <w:tcW w:w="1950" w:type="dxa"/>
            <w:vAlign w:val="center"/>
          </w:tcPr>
          <w:p w14:paraId="377AE65B">
            <w:pPr>
              <w:keepNext w:val="0"/>
              <w:keepLines w:val="0"/>
              <w:widowControl/>
              <w:suppressLineNumbers w:val="0"/>
              <w:jc w:val="center"/>
              <w:rPr>
                <w:rFonts w:hint="eastAsia"/>
                <w:color w:val="auto"/>
                <w:sz w:val="28"/>
                <w:szCs w:val="36"/>
                <w:highlight w:val="none"/>
                <w:vertAlign w:val="baseline"/>
                <w:lang w:val="zh-CN"/>
              </w:rPr>
            </w:pPr>
          </w:p>
        </w:tc>
        <w:tc>
          <w:tcPr>
            <w:tcW w:w="1146" w:type="dxa"/>
            <w:vAlign w:val="center"/>
          </w:tcPr>
          <w:p w14:paraId="60012735">
            <w:pPr>
              <w:keepNext w:val="0"/>
              <w:keepLines w:val="0"/>
              <w:widowControl/>
              <w:suppressLineNumbers w:val="0"/>
              <w:jc w:val="center"/>
              <w:rPr>
                <w:rFonts w:hint="eastAsia"/>
                <w:color w:val="auto"/>
                <w:sz w:val="28"/>
                <w:szCs w:val="36"/>
                <w:highlight w:val="none"/>
                <w:vertAlign w:val="baseline"/>
                <w:lang w:val="zh-CN"/>
              </w:rPr>
            </w:pPr>
          </w:p>
        </w:tc>
      </w:tr>
      <w:tr w14:paraId="5B403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30" w:type="dxa"/>
            <w:vAlign w:val="center"/>
          </w:tcPr>
          <w:p w14:paraId="54397BC8">
            <w:pPr>
              <w:keepNext w:val="0"/>
              <w:keepLines w:val="0"/>
              <w:widowControl/>
              <w:suppressLineNumbers w:val="0"/>
              <w:jc w:val="center"/>
              <w:rPr>
                <w:rFonts w:hint="eastAsia" w:ascii="Times New Roman" w:hAnsi="Times New Roman" w:eastAsia="宋体" w:cs="Times New Roman"/>
                <w:color w:val="auto"/>
                <w:kern w:val="2"/>
                <w:sz w:val="28"/>
                <w:szCs w:val="36"/>
                <w:highlight w:val="none"/>
                <w:vertAlign w:val="baseline"/>
                <w:lang w:val="zh-CN" w:eastAsia="zh-CN" w:bidi="ar-SA"/>
              </w:rPr>
            </w:pPr>
            <w:r>
              <w:rPr>
                <w:rFonts w:hint="eastAsia"/>
                <w:color w:val="auto"/>
                <w:sz w:val="28"/>
                <w:szCs w:val="36"/>
                <w:highlight w:val="none"/>
                <w:vertAlign w:val="baseline"/>
                <w:lang w:val="en-US" w:eastAsia="zh-CN"/>
              </w:rPr>
              <w:t>2</w:t>
            </w:r>
          </w:p>
        </w:tc>
        <w:tc>
          <w:tcPr>
            <w:tcW w:w="1458" w:type="dxa"/>
            <w:vAlign w:val="center"/>
          </w:tcPr>
          <w:p w14:paraId="239CE176">
            <w:pPr>
              <w:keepNext w:val="0"/>
              <w:keepLines w:val="0"/>
              <w:widowControl/>
              <w:suppressLineNumbers w:val="0"/>
              <w:jc w:val="center"/>
              <w:rPr>
                <w:rFonts w:hint="eastAsia"/>
                <w:color w:val="auto"/>
                <w:sz w:val="28"/>
                <w:szCs w:val="36"/>
                <w:highlight w:val="none"/>
                <w:vertAlign w:val="baseline"/>
                <w:lang w:val="zh-CN"/>
              </w:rPr>
            </w:pPr>
          </w:p>
        </w:tc>
        <w:tc>
          <w:tcPr>
            <w:tcW w:w="1460" w:type="dxa"/>
            <w:vAlign w:val="center"/>
          </w:tcPr>
          <w:p w14:paraId="5CBB5125">
            <w:pPr>
              <w:keepNext w:val="0"/>
              <w:keepLines w:val="0"/>
              <w:widowControl/>
              <w:suppressLineNumbers w:val="0"/>
              <w:jc w:val="center"/>
              <w:rPr>
                <w:rFonts w:hint="eastAsia"/>
                <w:color w:val="auto"/>
                <w:sz w:val="28"/>
                <w:szCs w:val="36"/>
                <w:highlight w:val="none"/>
                <w:vertAlign w:val="baseline"/>
                <w:lang w:val="zh-CN"/>
              </w:rPr>
            </w:pPr>
          </w:p>
        </w:tc>
        <w:tc>
          <w:tcPr>
            <w:tcW w:w="2653" w:type="dxa"/>
            <w:vAlign w:val="center"/>
          </w:tcPr>
          <w:p w14:paraId="04616975">
            <w:pPr>
              <w:keepNext w:val="0"/>
              <w:keepLines w:val="0"/>
              <w:widowControl/>
              <w:suppressLineNumbers w:val="0"/>
              <w:jc w:val="center"/>
              <w:rPr>
                <w:rFonts w:hint="eastAsia"/>
                <w:color w:val="auto"/>
                <w:sz w:val="28"/>
                <w:szCs w:val="36"/>
                <w:highlight w:val="none"/>
                <w:vertAlign w:val="baseline"/>
                <w:lang w:val="zh-CN"/>
              </w:rPr>
            </w:pPr>
          </w:p>
        </w:tc>
        <w:tc>
          <w:tcPr>
            <w:tcW w:w="1950" w:type="dxa"/>
            <w:vAlign w:val="center"/>
          </w:tcPr>
          <w:p w14:paraId="26E68BAF">
            <w:pPr>
              <w:keepNext w:val="0"/>
              <w:keepLines w:val="0"/>
              <w:widowControl/>
              <w:suppressLineNumbers w:val="0"/>
              <w:jc w:val="center"/>
              <w:rPr>
                <w:rFonts w:hint="eastAsia"/>
                <w:color w:val="auto"/>
                <w:sz w:val="28"/>
                <w:szCs w:val="36"/>
                <w:highlight w:val="none"/>
                <w:vertAlign w:val="baseline"/>
                <w:lang w:val="zh-CN"/>
              </w:rPr>
            </w:pPr>
          </w:p>
        </w:tc>
        <w:tc>
          <w:tcPr>
            <w:tcW w:w="1146" w:type="dxa"/>
            <w:vAlign w:val="center"/>
          </w:tcPr>
          <w:p w14:paraId="68A77D26">
            <w:pPr>
              <w:keepNext w:val="0"/>
              <w:keepLines w:val="0"/>
              <w:widowControl/>
              <w:suppressLineNumbers w:val="0"/>
              <w:jc w:val="center"/>
              <w:rPr>
                <w:rFonts w:hint="eastAsia"/>
                <w:color w:val="auto"/>
                <w:sz w:val="28"/>
                <w:szCs w:val="36"/>
                <w:highlight w:val="none"/>
                <w:vertAlign w:val="baseline"/>
                <w:lang w:val="zh-CN"/>
              </w:rPr>
            </w:pPr>
          </w:p>
        </w:tc>
      </w:tr>
      <w:tr w14:paraId="2A8E6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30" w:type="dxa"/>
            <w:vAlign w:val="center"/>
          </w:tcPr>
          <w:p w14:paraId="2F582A8A">
            <w:pPr>
              <w:keepNext w:val="0"/>
              <w:keepLines w:val="0"/>
              <w:widowControl/>
              <w:suppressLineNumbers w:val="0"/>
              <w:jc w:val="center"/>
              <w:rPr>
                <w:rFonts w:hint="eastAsia" w:ascii="Times New Roman" w:hAnsi="Times New Roman" w:eastAsia="宋体" w:cs="Times New Roman"/>
                <w:color w:val="auto"/>
                <w:kern w:val="2"/>
                <w:sz w:val="28"/>
                <w:szCs w:val="36"/>
                <w:highlight w:val="none"/>
                <w:vertAlign w:val="baseline"/>
                <w:lang w:val="zh-CN" w:eastAsia="zh-CN" w:bidi="ar-SA"/>
              </w:rPr>
            </w:pPr>
            <w:r>
              <w:rPr>
                <w:rFonts w:hint="eastAsia"/>
                <w:color w:val="auto"/>
                <w:sz w:val="28"/>
                <w:szCs w:val="36"/>
                <w:highlight w:val="none"/>
                <w:vertAlign w:val="baseline"/>
                <w:lang w:val="en-US" w:eastAsia="zh-CN"/>
              </w:rPr>
              <w:t>3</w:t>
            </w:r>
          </w:p>
        </w:tc>
        <w:tc>
          <w:tcPr>
            <w:tcW w:w="1458" w:type="dxa"/>
            <w:vAlign w:val="center"/>
          </w:tcPr>
          <w:p w14:paraId="48958BA9">
            <w:pPr>
              <w:keepNext w:val="0"/>
              <w:keepLines w:val="0"/>
              <w:widowControl/>
              <w:suppressLineNumbers w:val="0"/>
              <w:jc w:val="center"/>
              <w:rPr>
                <w:rFonts w:hint="eastAsia"/>
                <w:color w:val="auto"/>
                <w:sz w:val="28"/>
                <w:szCs w:val="36"/>
                <w:highlight w:val="none"/>
                <w:vertAlign w:val="baseline"/>
                <w:lang w:val="zh-CN"/>
              </w:rPr>
            </w:pPr>
          </w:p>
        </w:tc>
        <w:tc>
          <w:tcPr>
            <w:tcW w:w="1460" w:type="dxa"/>
            <w:vAlign w:val="center"/>
          </w:tcPr>
          <w:p w14:paraId="6E6FA1FE">
            <w:pPr>
              <w:keepNext w:val="0"/>
              <w:keepLines w:val="0"/>
              <w:widowControl/>
              <w:suppressLineNumbers w:val="0"/>
              <w:jc w:val="center"/>
              <w:rPr>
                <w:rFonts w:hint="eastAsia"/>
                <w:color w:val="auto"/>
                <w:sz w:val="28"/>
                <w:szCs w:val="36"/>
                <w:highlight w:val="none"/>
                <w:vertAlign w:val="baseline"/>
                <w:lang w:val="zh-CN"/>
              </w:rPr>
            </w:pPr>
          </w:p>
        </w:tc>
        <w:tc>
          <w:tcPr>
            <w:tcW w:w="2653" w:type="dxa"/>
            <w:vAlign w:val="center"/>
          </w:tcPr>
          <w:p w14:paraId="494DCC29">
            <w:pPr>
              <w:keepNext w:val="0"/>
              <w:keepLines w:val="0"/>
              <w:widowControl/>
              <w:suppressLineNumbers w:val="0"/>
              <w:jc w:val="center"/>
              <w:rPr>
                <w:rFonts w:hint="eastAsia"/>
                <w:color w:val="auto"/>
                <w:sz w:val="28"/>
                <w:szCs w:val="36"/>
                <w:highlight w:val="none"/>
                <w:vertAlign w:val="baseline"/>
                <w:lang w:val="zh-CN"/>
              </w:rPr>
            </w:pPr>
          </w:p>
        </w:tc>
        <w:tc>
          <w:tcPr>
            <w:tcW w:w="1950" w:type="dxa"/>
            <w:vAlign w:val="center"/>
          </w:tcPr>
          <w:p w14:paraId="63A8F2EA">
            <w:pPr>
              <w:keepNext w:val="0"/>
              <w:keepLines w:val="0"/>
              <w:widowControl/>
              <w:suppressLineNumbers w:val="0"/>
              <w:jc w:val="center"/>
              <w:rPr>
                <w:rFonts w:hint="eastAsia"/>
                <w:color w:val="auto"/>
                <w:sz w:val="28"/>
                <w:szCs w:val="36"/>
                <w:highlight w:val="none"/>
                <w:vertAlign w:val="baseline"/>
                <w:lang w:val="zh-CN"/>
              </w:rPr>
            </w:pPr>
          </w:p>
        </w:tc>
        <w:tc>
          <w:tcPr>
            <w:tcW w:w="1146" w:type="dxa"/>
            <w:vAlign w:val="center"/>
          </w:tcPr>
          <w:p w14:paraId="54E54B10">
            <w:pPr>
              <w:keepNext w:val="0"/>
              <w:keepLines w:val="0"/>
              <w:widowControl/>
              <w:suppressLineNumbers w:val="0"/>
              <w:jc w:val="center"/>
              <w:rPr>
                <w:rFonts w:hint="eastAsia"/>
                <w:color w:val="auto"/>
                <w:sz w:val="28"/>
                <w:szCs w:val="36"/>
                <w:highlight w:val="none"/>
                <w:vertAlign w:val="baseline"/>
                <w:lang w:val="zh-CN"/>
              </w:rPr>
            </w:pPr>
          </w:p>
        </w:tc>
      </w:tr>
      <w:tr w14:paraId="551AE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30" w:type="dxa"/>
            <w:vAlign w:val="center"/>
          </w:tcPr>
          <w:p w14:paraId="4CA2221A">
            <w:pPr>
              <w:keepNext w:val="0"/>
              <w:keepLines w:val="0"/>
              <w:widowControl/>
              <w:suppressLineNumbers w:val="0"/>
              <w:jc w:val="center"/>
              <w:rPr>
                <w:rFonts w:hint="eastAsia" w:ascii="Times New Roman" w:hAnsi="Times New Roman" w:eastAsia="宋体" w:cs="Times New Roman"/>
                <w:color w:val="auto"/>
                <w:kern w:val="2"/>
                <w:sz w:val="28"/>
                <w:szCs w:val="36"/>
                <w:highlight w:val="none"/>
                <w:vertAlign w:val="baseline"/>
                <w:lang w:val="zh-CN" w:eastAsia="zh-CN" w:bidi="ar-SA"/>
              </w:rPr>
            </w:pPr>
            <w:r>
              <w:rPr>
                <w:rFonts w:hint="eastAsia"/>
                <w:color w:val="auto"/>
                <w:sz w:val="28"/>
                <w:szCs w:val="36"/>
                <w:highlight w:val="none"/>
                <w:vertAlign w:val="baseline"/>
                <w:lang w:val="en-US" w:eastAsia="zh-CN"/>
              </w:rPr>
              <w:t>4</w:t>
            </w:r>
          </w:p>
        </w:tc>
        <w:tc>
          <w:tcPr>
            <w:tcW w:w="1458" w:type="dxa"/>
            <w:vAlign w:val="center"/>
          </w:tcPr>
          <w:p w14:paraId="5BCA48D9">
            <w:pPr>
              <w:keepNext w:val="0"/>
              <w:keepLines w:val="0"/>
              <w:widowControl/>
              <w:suppressLineNumbers w:val="0"/>
              <w:jc w:val="center"/>
              <w:rPr>
                <w:rFonts w:hint="eastAsia"/>
                <w:color w:val="auto"/>
                <w:sz w:val="28"/>
                <w:szCs w:val="36"/>
                <w:highlight w:val="none"/>
                <w:vertAlign w:val="baseline"/>
                <w:lang w:val="zh-CN"/>
              </w:rPr>
            </w:pPr>
          </w:p>
        </w:tc>
        <w:tc>
          <w:tcPr>
            <w:tcW w:w="1460" w:type="dxa"/>
            <w:vAlign w:val="center"/>
          </w:tcPr>
          <w:p w14:paraId="6C1E234B">
            <w:pPr>
              <w:keepNext w:val="0"/>
              <w:keepLines w:val="0"/>
              <w:widowControl/>
              <w:suppressLineNumbers w:val="0"/>
              <w:jc w:val="center"/>
              <w:rPr>
                <w:rFonts w:hint="eastAsia"/>
                <w:color w:val="auto"/>
                <w:sz w:val="28"/>
                <w:szCs w:val="36"/>
                <w:highlight w:val="none"/>
                <w:vertAlign w:val="baseline"/>
                <w:lang w:val="zh-CN"/>
              </w:rPr>
            </w:pPr>
          </w:p>
        </w:tc>
        <w:tc>
          <w:tcPr>
            <w:tcW w:w="2653" w:type="dxa"/>
            <w:vAlign w:val="center"/>
          </w:tcPr>
          <w:p w14:paraId="0475224D">
            <w:pPr>
              <w:keepNext w:val="0"/>
              <w:keepLines w:val="0"/>
              <w:widowControl/>
              <w:suppressLineNumbers w:val="0"/>
              <w:jc w:val="center"/>
              <w:rPr>
                <w:rFonts w:hint="eastAsia"/>
                <w:color w:val="auto"/>
                <w:sz w:val="28"/>
                <w:szCs w:val="36"/>
                <w:highlight w:val="none"/>
                <w:vertAlign w:val="baseline"/>
                <w:lang w:val="zh-CN"/>
              </w:rPr>
            </w:pPr>
          </w:p>
        </w:tc>
        <w:tc>
          <w:tcPr>
            <w:tcW w:w="1950" w:type="dxa"/>
            <w:vAlign w:val="center"/>
          </w:tcPr>
          <w:p w14:paraId="40325ABB">
            <w:pPr>
              <w:keepNext w:val="0"/>
              <w:keepLines w:val="0"/>
              <w:widowControl/>
              <w:suppressLineNumbers w:val="0"/>
              <w:jc w:val="center"/>
              <w:rPr>
                <w:rFonts w:hint="eastAsia"/>
                <w:color w:val="auto"/>
                <w:sz w:val="28"/>
                <w:szCs w:val="36"/>
                <w:highlight w:val="none"/>
                <w:vertAlign w:val="baseline"/>
                <w:lang w:val="zh-CN"/>
              </w:rPr>
            </w:pPr>
          </w:p>
        </w:tc>
        <w:tc>
          <w:tcPr>
            <w:tcW w:w="1146" w:type="dxa"/>
            <w:vAlign w:val="center"/>
          </w:tcPr>
          <w:p w14:paraId="6F2FEFCF">
            <w:pPr>
              <w:keepNext w:val="0"/>
              <w:keepLines w:val="0"/>
              <w:widowControl/>
              <w:suppressLineNumbers w:val="0"/>
              <w:jc w:val="center"/>
              <w:rPr>
                <w:rFonts w:hint="eastAsia"/>
                <w:color w:val="auto"/>
                <w:sz w:val="28"/>
                <w:szCs w:val="36"/>
                <w:highlight w:val="none"/>
                <w:vertAlign w:val="baseline"/>
                <w:lang w:val="zh-CN"/>
              </w:rPr>
            </w:pPr>
          </w:p>
        </w:tc>
      </w:tr>
      <w:tr w14:paraId="29283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30" w:type="dxa"/>
            <w:vAlign w:val="center"/>
          </w:tcPr>
          <w:p w14:paraId="1DFF6BF7">
            <w:pPr>
              <w:keepNext w:val="0"/>
              <w:keepLines w:val="0"/>
              <w:widowControl/>
              <w:suppressLineNumbers w:val="0"/>
              <w:jc w:val="center"/>
              <w:rPr>
                <w:rFonts w:hint="eastAsia" w:ascii="Times New Roman" w:hAnsi="Times New Roman" w:eastAsia="宋体" w:cs="Times New Roman"/>
                <w:color w:val="auto"/>
                <w:kern w:val="2"/>
                <w:sz w:val="28"/>
                <w:szCs w:val="36"/>
                <w:highlight w:val="none"/>
                <w:vertAlign w:val="baseline"/>
                <w:lang w:val="zh-CN" w:eastAsia="zh-CN" w:bidi="ar-SA"/>
              </w:rPr>
            </w:pPr>
            <w:r>
              <w:rPr>
                <w:rFonts w:hint="eastAsia"/>
                <w:color w:val="auto"/>
                <w:sz w:val="28"/>
                <w:szCs w:val="36"/>
                <w:highlight w:val="none"/>
                <w:vertAlign w:val="baseline"/>
                <w:lang w:val="en-US" w:eastAsia="zh-CN"/>
              </w:rPr>
              <w:t>5</w:t>
            </w:r>
          </w:p>
        </w:tc>
        <w:tc>
          <w:tcPr>
            <w:tcW w:w="1458" w:type="dxa"/>
            <w:vAlign w:val="center"/>
          </w:tcPr>
          <w:p w14:paraId="102249A3">
            <w:pPr>
              <w:keepNext w:val="0"/>
              <w:keepLines w:val="0"/>
              <w:widowControl/>
              <w:suppressLineNumbers w:val="0"/>
              <w:jc w:val="center"/>
              <w:rPr>
                <w:rFonts w:hint="eastAsia"/>
                <w:color w:val="auto"/>
                <w:sz w:val="28"/>
                <w:szCs w:val="36"/>
                <w:highlight w:val="none"/>
                <w:vertAlign w:val="baseline"/>
                <w:lang w:val="zh-CN"/>
              </w:rPr>
            </w:pPr>
          </w:p>
        </w:tc>
        <w:tc>
          <w:tcPr>
            <w:tcW w:w="1460" w:type="dxa"/>
            <w:vAlign w:val="center"/>
          </w:tcPr>
          <w:p w14:paraId="670A29EF">
            <w:pPr>
              <w:keepNext w:val="0"/>
              <w:keepLines w:val="0"/>
              <w:widowControl/>
              <w:suppressLineNumbers w:val="0"/>
              <w:jc w:val="center"/>
              <w:rPr>
                <w:rFonts w:hint="eastAsia"/>
                <w:color w:val="auto"/>
                <w:sz w:val="28"/>
                <w:szCs w:val="36"/>
                <w:highlight w:val="none"/>
                <w:vertAlign w:val="baseline"/>
                <w:lang w:val="zh-CN"/>
              </w:rPr>
            </w:pPr>
          </w:p>
        </w:tc>
        <w:tc>
          <w:tcPr>
            <w:tcW w:w="2653" w:type="dxa"/>
            <w:vAlign w:val="center"/>
          </w:tcPr>
          <w:p w14:paraId="1254F101">
            <w:pPr>
              <w:keepNext w:val="0"/>
              <w:keepLines w:val="0"/>
              <w:widowControl/>
              <w:suppressLineNumbers w:val="0"/>
              <w:jc w:val="center"/>
              <w:rPr>
                <w:rFonts w:hint="eastAsia"/>
                <w:color w:val="auto"/>
                <w:sz w:val="28"/>
                <w:szCs w:val="36"/>
                <w:highlight w:val="none"/>
                <w:vertAlign w:val="baseline"/>
                <w:lang w:val="zh-CN"/>
              </w:rPr>
            </w:pPr>
          </w:p>
        </w:tc>
        <w:tc>
          <w:tcPr>
            <w:tcW w:w="1950" w:type="dxa"/>
            <w:vAlign w:val="center"/>
          </w:tcPr>
          <w:p w14:paraId="5955BBAB">
            <w:pPr>
              <w:keepNext w:val="0"/>
              <w:keepLines w:val="0"/>
              <w:widowControl/>
              <w:suppressLineNumbers w:val="0"/>
              <w:jc w:val="center"/>
              <w:rPr>
                <w:rFonts w:hint="eastAsia"/>
                <w:color w:val="auto"/>
                <w:sz w:val="28"/>
                <w:szCs w:val="36"/>
                <w:highlight w:val="none"/>
                <w:vertAlign w:val="baseline"/>
                <w:lang w:val="zh-CN"/>
              </w:rPr>
            </w:pPr>
          </w:p>
        </w:tc>
        <w:tc>
          <w:tcPr>
            <w:tcW w:w="1146" w:type="dxa"/>
            <w:vAlign w:val="center"/>
          </w:tcPr>
          <w:p w14:paraId="09003AFA">
            <w:pPr>
              <w:keepNext w:val="0"/>
              <w:keepLines w:val="0"/>
              <w:widowControl/>
              <w:suppressLineNumbers w:val="0"/>
              <w:jc w:val="center"/>
              <w:rPr>
                <w:rFonts w:hint="eastAsia"/>
                <w:color w:val="auto"/>
                <w:sz w:val="28"/>
                <w:szCs w:val="36"/>
                <w:highlight w:val="none"/>
                <w:vertAlign w:val="baseline"/>
                <w:lang w:val="zh-CN"/>
              </w:rPr>
            </w:pPr>
          </w:p>
        </w:tc>
      </w:tr>
      <w:tr w14:paraId="6F8CF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930" w:type="dxa"/>
            <w:vAlign w:val="center"/>
          </w:tcPr>
          <w:p w14:paraId="3FD7037A">
            <w:pPr>
              <w:keepNext w:val="0"/>
              <w:keepLines w:val="0"/>
              <w:widowControl/>
              <w:suppressLineNumbers w:val="0"/>
              <w:jc w:val="center"/>
              <w:rPr>
                <w:rFonts w:hint="eastAsia" w:ascii="Times New Roman" w:hAnsi="Times New Roman" w:eastAsia="宋体" w:cs="Times New Roman"/>
                <w:color w:val="auto"/>
                <w:kern w:val="2"/>
                <w:sz w:val="28"/>
                <w:szCs w:val="36"/>
                <w:highlight w:val="none"/>
                <w:vertAlign w:val="baseline"/>
                <w:lang w:val="zh-CN" w:eastAsia="zh-CN" w:bidi="ar-SA"/>
              </w:rPr>
            </w:pPr>
          </w:p>
        </w:tc>
        <w:tc>
          <w:tcPr>
            <w:tcW w:w="1458" w:type="dxa"/>
            <w:vAlign w:val="center"/>
          </w:tcPr>
          <w:p w14:paraId="73F2FF5E">
            <w:pPr>
              <w:keepNext w:val="0"/>
              <w:keepLines w:val="0"/>
              <w:widowControl/>
              <w:suppressLineNumbers w:val="0"/>
              <w:jc w:val="center"/>
              <w:rPr>
                <w:rFonts w:hint="eastAsia"/>
                <w:color w:val="auto"/>
                <w:sz w:val="28"/>
                <w:szCs w:val="36"/>
                <w:highlight w:val="none"/>
                <w:vertAlign w:val="baseline"/>
                <w:lang w:val="zh-CN"/>
              </w:rPr>
            </w:pPr>
          </w:p>
        </w:tc>
        <w:tc>
          <w:tcPr>
            <w:tcW w:w="1460" w:type="dxa"/>
            <w:vAlign w:val="center"/>
          </w:tcPr>
          <w:p w14:paraId="602F07F3">
            <w:pPr>
              <w:keepNext w:val="0"/>
              <w:keepLines w:val="0"/>
              <w:widowControl/>
              <w:suppressLineNumbers w:val="0"/>
              <w:jc w:val="center"/>
              <w:rPr>
                <w:rFonts w:hint="eastAsia"/>
                <w:color w:val="auto"/>
                <w:sz w:val="28"/>
                <w:szCs w:val="36"/>
                <w:highlight w:val="none"/>
                <w:vertAlign w:val="baseline"/>
                <w:lang w:val="zh-CN"/>
              </w:rPr>
            </w:pPr>
          </w:p>
        </w:tc>
        <w:tc>
          <w:tcPr>
            <w:tcW w:w="2653" w:type="dxa"/>
            <w:vAlign w:val="center"/>
          </w:tcPr>
          <w:p w14:paraId="29B5F6A9">
            <w:pPr>
              <w:keepNext w:val="0"/>
              <w:keepLines w:val="0"/>
              <w:widowControl/>
              <w:suppressLineNumbers w:val="0"/>
              <w:jc w:val="center"/>
              <w:rPr>
                <w:rFonts w:hint="eastAsia"/>
                <w:color w:val="auto"/>
                <w:sz w:val="28"/>
                <w:szCs w:val="36"/>
                <w:highlight w:val="none"/>
                <w:vertAlign w:val="baseline"/>
                <w:lang w:val="zh-CN"/>
              </w:rPr>
            </w:pPr>
          </w:p>
        </w:tc>
        <w:tc>
          <w:tcPr>
            <w:tcW w:w="1950" w:type="dxa"/>
            <w:vAlign w:val="center"/>
          </w:tcPr>
          <w:p w14:paraId="5AD3FFC7">
            <w:pPr>
              <w:keepNext w:val="0"/>
              <w:keepLines w:val="0"/>
              <w:widowControl/>
              <w:suppressLineNumbers w:val="0"/>
              <w:jc w:val="center"/>
              <w:rPr>
                <w:rFonts w:hint="eastAsia"/>
                <w:color w:val="auto"/>
                <w:sz w:val="28"/>
                <w:szCs w:val="36"/>
                <w:highlight w:val="none"/>
                <w:vertAlign w:val="baseline"/>
                <w:lang w:val="zh-CN"/>
              </w:rPr>
            </w:pPr>
          </w:p>
        </w:tc>
        <w:tc>
          <w:tcPr>
            <w:tcW w:w="1146" w:type="dxa"/>
            <w:vAlign w:val="center"/>
          </w:tcPr>
          <w:p w14:paraId="185FD03F">
            <w:pPr>
              <w:keepNext w:val="0"/>
              <w:keepLines w:val="0"/>
              <w:widowControl/>
              <w:suppressLineNumbers w:val="0"/>
              <w:jc w:val="center"/>
              <w:rPr>
                <w:rFonts w:hint="eastAsia"/>
                <w:color w:val="auto"/>
                <w:sz w:val="28"/>
                <w:szCs w:val="36"/>
                <w:highlight w:val="none"/>
                <w:vertAlign w:val="baseline"/>
                <w:lang w:val="zh-CN"/>
              </w:rPr>
            </w:pPr>
          </w:p>
        </w:tc>
      </w:tr>
      <w:tr w14:paraId="62085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30" w:type="dxa"/>
            <w:vAlign w:val="center"/>
          </w:tcPr>
          <w:p w14:paraId="17347F2F">
            <w:pPr>
              <w:keepNext w:val="0"/>
              <w:keepLines w:val="0"/>
              <w:widowControl/>
              <w:suppressLineNumbers w:val="0"/>
              <w:jc w:val="center"/>
              <w:rPr>
                <w:rFonts w:hint="eastAsia" w:ascii="Times New Roman" w:hAnsi="Times New Roman" w:eastAsia="宋体" w:cs="Times New Roman"/>
                <w:color w:val="auto"/>
                <w:kern w:val="2"/>
                <w:sz w:val="28"/>
                <w:szCs w:val="36"/>
                <w:highlight w:val="none"/>
                <w:vertAlign w:val="baseline"/>
                <w:lang w:val="zh-CN" w:eastAsia="zh-CN" w:bidi="ar-SA"/>
              </w:rPr>
            </w:pPr>
            <w:r>
              <w:rPr>
                <w:rFonts w:hint="eastAsia"/>
                <w:color w:val="auto"/>
                <w:sz w:val="28"/>
                <w:szCs w:val="36"/>
                <w:highlight w:val="none"/>
                <w:vertAlign w:val="baseline"/>
                <w:lang w:val="en-US" w:eastAsia="zh-CN"/>
              </w:rPr>
              <w:t>...</w:t>
            </w:r>
          </w:p>
        </w:tc>
        <w:tc>
          <w:tcPr>
            <w:tcW w:w="1458" w:type="dxa"/>
            <w:vAlign w:val="center"/>
          </w:tcPr>
          <w:p w14:paraId="7AF7A570">
            <w:pPr>
              <w:keepNext w:val="0"/>
              <w:keepLines w:val="0"/>
              <w:widowControl/>
              <w:suppressLineNumbers w:val="0"/>
              <w:jc w:val="center"/>
              <w:rPr>
                <w:rFonts w:hint="eastAsia"/>
                <w:color w:val="auto"/>
                <w:sz w:val="28"/>
                <w:szCs w:val="36"/>
                <w:highlight w:val="none"/>
                <w:vertAlign w:val="baseline"/>
                <w:lang w:val="zh-CN"/>
              </w:rPr>
            </w:pPr>
          </w:p>
        </w:tc>
        <w:tc>
          <w:tcPr>
            <w:tcW w:w="1460" w:type="dxa"/>
            <w:vAlign w:val="center"/>
          </w:tcPr>
          <w:p w14:paraId="1B61E2B1">
            <w:pPr>
              <w:keepNext w:val="0"/>
              <w:keepLines w:val="0"/>
              <w:widowControl/>
              <w:suppressLineNumbers w:val="0"/>
              <w:jc w:val="center"/>
              <w:rPr>
                <w:rFonts w:hint="eastAsia"/>
                <w:color w:val="auto"/>
                <w:sz w:val="28"/>
                <w:szCs w:val="36"/>
                <w:highlight w:val="none"/>
                <w:vertAlign w:val="baseline"/>
                <w:lang w:val="zh-CN"/>
              </w:rPr>
            </w:pPr>
          </w:p>
        </w:tc>
        <w:tc>
          <w:tcPr>
            <w:tcW w:w="2653" w:type="dxa"/>
            <w:vAlign w:val="center"/>
          </w:tcPr>
          <w:p w14:paraId="46922352">
            <w:pPr>
              <w:keepNext w:val="0"/>
              <w:keepLines w:val="0"/>
              <w:widowControl/>
              <w:suppressLineNumbers w:val="0"/>
              <w:jc w:val="center"/>
              <w:rPr>
                <w:rFonts w:hint="eastAsia"/>
                <w:color w:val="auto"/>
                <w:sz w:val="28"/>
                <w:szCs w:val="36"/>
                <w:highlight w:val="none"/>
                <w:vertAlign w:val="baseline"/>
                <w:lang w:val="zh-CN"/>
              </w:rPr>
            </w:pPr>
          </w:p>
        </w:tc>
        <w:tc>
          <w:tcPr>
            <w:tcW w:w="1950" w:type="dxa"/>
            <w:vAlign w:val="center"/>
          </w:tcPr>
          <w:p w14:paraId="2166BB5A">
            <w:pPr>
              <w:keepNext w:val="0"/>
              <w:keepLines w:val="0"/>
              <w:widowControl/>
              <w:suppressLineNumbers w:val="0"/>
              <w:jc w:val="center"/>
              <w:rPr>
                <w:rFonts w:hint="eastAsia"/>
                <w:color w:val="auto"/>
                <w:sz w:val="28"/>
                <w:szCs w:val="36"/>
                <w:highlight w:val="none"/>
                <w:vertAlign w:val="baseline"/>
                <w:lang w:val="zh-CN"/>
              </w:rPr>
            </w:pPr>
          </w:p>
        </w:tc>
        <w:tc>
          <w:tcPr>
            <w:tcW w:w="1146" w:type="dxa"/>
            <w:vAlign w:val="center"/>
          </w:tcPr>
          <w:p w14:paraId="127DC901">
            <w:pPr>
              <w:keepNext w:val="0"/>
              <w:keepLines w:val="0"/>
              <w:widowControl/>
              <w:suppressLineNumbers w:val="0"/>
              <w:jc w:val="center"/>
              <w:rPr>
                <w:rFonts w:hint="eastAsia"/>
                <w:color w:val="auto"/>
                <w:sz w:val="28"/>
                <w:szCs w:val="36"/>
                <w:highlight w:val="none"/>
                <w:vertAlign w:val="baseline"/>
                <w:lang w:val="zh-CN"/>
              </w:rPr>
            </w:pPr>
          </w:p>
        </w:tc>
      </w:tr>
    </w:tbl>
    <w:p w14:paraId="126057D2">
      <w:pPr>
        <w:pStyle w:val="19"/>
        <w:rPr>
          <w:rFonts w:hint="eastAsia"/>
          <w:color w:val="auto"/>
          <w:highlight w:val="none"/>
          <w:lang w:val="zh-CN"/>
        </w:rPr>
      </w:pPr>
    </w:p>
    <w:p w14:paraId="6869B530">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 xml:space="preserve">注： </w:t>
      </w:r>
    </w:p>
    <w:p w14:paraId="68E2AB60">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 xml:space="preserve">1.在填写时，如本表格不适合投标人的实际情况，可根据本表格式自行制表填写。 </w:t>
      </w:r>
    </w:p>
    <w:p w14:paraId="7B0A0E4B">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2附</w:t>
      </w:r>
      <w:r>
        <w:rPr>
          <w:rFonts w:hint="eastAsia" w:ascii="宋体" w:hAnsi="宋体" w:cs="宋体"/>
          <w:color w:val="auto"/>
          <w:kern w:val="0"/>
          <w:sz w:val="20"/>
          <w:szCs w:val="20"/>
          <w:highlight w:val="none"/>
          <w:lang w:val="en-US" w:eastAsia="zh-CN" w:bidi="ar"/>
        </w:rPr>
        <w:t>相关证明材料</w:t>
      </w:r>
      <w:r>
        <w:rPr>
          <w:rFonts w:hint="eastAsia" w:ascii="宋体" w:hAnsi="宋体" w:eastAsia="宋体" w:cs="宋体"/>
          <w:color w:val="auto"/>
          <w:kern w:val="0"/>
          <w:sz w:val="20"/>
          <w:szCs w:val="20"/>
          <w:highlight w:val="none"/>
          <w:lang w:val="en-US" w:eastAsia="zh-CN" w:bidi="ar"/>
        </w:rPr>
        <w:t>复印件并加盖投标</w:t>
      </w:r>
      <w:r>
        <w:rPr>
          <w:rFonts w:hint="eastAsia" w:ascii="宋体" w:hAnsi="宋体" w:cs="宋体"/>
          <w:color w:val="auto"/>
          <w:kern w:val="0"/>
          <w:sz w:val="20"/>
          <w:szCs w:val="20"/>
          <w:highlight w:val="none"/>
          <w:lang w:val="en-US" w:eastAsia="zh-CN" w:bidi="ar"/>
        </w:rPr>
        <w:t>人公</w:t>
      </w:r>
      <w:r>
        <w:rPr>
          <w:rFonts w:hint="eastAsia" w:ascii="宋体" w:hAnsi="宋体" w:eastAsia="宋体" w:cs="宋体"/>
          <w:color w:val="auto"/>
          <w:kern w:val="0"/>
          <w:sz w:val="20"/>
          <w:szCs w:val="20"/>
          <w:highlight w:val="none"/>
          <w:lang w:val="en-US" w:eastAsia="zh-CN" w:bidi="ar"/>
        </w:rPr>
        <w:t>章。</w:t>
      </w:r>
    </w:p>
    <w:p w14:paraId="76866350">
      <w:pPr>
        <w:rPr>
          <w:rFonts w:hint="eastAsia"/>
          <w:color w:val="auto"/>
          <w:highlight w:val="none"/>
          <w:lang w:val="zh-CN"/>
        </w:rPr>
      </w:pPr>
    </w:p>
    <w:p w14:paraId="508A4815">
      <w:pPr>
        <w:pStyle w:val="19"/>
        <w:rPr>
          <w:rFonts w:hint="eastAsia"/>
          <w:color w:val="auto"/>
          <w:highlight w:val="none"/>
          <w:lang w:val="zh-CN"/>
        </w:rPr>
      </w:pPr>
    </w:p>
    <w:p w14:paraId="29CDCC99">
      <w:pPr>
        <w:snapToGrid w:val="0"/>
        <w:spacing w:line="360" w:lineRule="auto"/>
        <w:ind w:firstLine="5640" w:firstLineChars="2350"/>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lang w:val="en-US" w:eastAsia="zh-CN" w:bidi="ar"/>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投标人名称(盖公章)：</w:t>
      </w:r>
    </w:p>
    <w:p w14:paraId="02F1506B">
      <w:pPr>
        <w:snapToGrid w:val="0"/>
        <w:spacing w:line="360" w:lineRule="auto"/>
        <w:ind w:firstLine="5880" w:firstLineChars="24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5292CDDE">
      <w:pPr>
        <w:rPr>
          <w:rFonts w:hint="eastAsia"/>
          <w:color w:val="auto"/>
          <w:highlight w:val="none"/>
          <w:lang w:val="zh-CN"/>
        </w:rPr>
      </w:pPr>
    </w:p>
    <w:p w14:paraId="3B00E1C9">
      <w:pPr>
        <w:keepNext w:val="0"/>
        <w:keepLines w:val="0"/>
        <w:widowControl/>
        <w:suppressLineNumbers w:val="0"/>
        <w:jc w:val="left"/>
        <w:rPr>
          <w:rFonts w:hint="default" w:ascii="宋体" w:hAnsi="宋体" w:cs="宋体"/>
          <w:b/>
          <w:bCs/>
          <w:color w:val="auto"/>
          <w:kern w:val="0"/>
          <w:sz w:val="24"/>
          <w:szCs w:val="24"/>
          <w:highlight w:val="none"/>
          <w:lang w:val="en-US" w:eastAsia="zh-CN" w:bidi="ar"/>
        </w:rPr>
      </w:pPr>
      <w:r>
        <w:rPr>
          <w:rFonts w:hint="eastAsia" w:ascii="宋体" w:hAnsi="宋体" w:cs="宋体"/>
          <w:b/>
          <w:bCs/>
          <w:color w:val="auto"/>
          <w:kern w:val="0"/>
          <w:sz w:val="24"/>
          <w:szCs w:val="24"/>
          <w:highlight w:val="none"/>
          <w:lang w:val="en-US" w:eastAsia="zh-CN" w:bidi="ar"/>
        </w:rPr>
        <w:t>7.3</w:t>
      </w:r>
      <w:r>
        <w:rPr>
          <w:rFonts w:hint="eastAsia" w:ascii="宋体" w:hAnsi="宋体" w:cs="宋体"/>
          <w:b/>
          <w:bCs/>
          <w:color w:val="auto"/>
          <w:kern w:val="0"/>
          <w:sz w:val="24"/>
          <w:szCs w:val="24"/>
          <w:highlight w:val="none"/>
          <w:lang w:val="zh-CN" w:eastAsia="zh-CN" w:bidi="ar"/>
        </w:rPr>
        <w:t>经营场所</w:t>
      </w:r>
      <w:r>
        <w:rPr>
          <w:rFonts w:hint="eastAsia" w:ascii="宋体" w:hAnsi="宋体" w:cs="宋体"/>
          <w:b/>
          <w:bCs/>
          <w:color w:val="auto"/>
          <w:kern w:val="0"/>
          <w:sz w:val="24"/>
          <w:szCs w:val="24"/>
          <w:highlight w:val="none"/>
          <w:lang w:val="en-US" w:eastAsia="zh-CN" w:bidi="ar"/>
        </w:rPr>
        <w:t>证明材料（格式自拟，加盖投标人公章）</w:t>
      </w:r>
    </w:p>
    <w:p w14:paraId="2F932894">
      <w:pPr>
        <w:rPr>
          <w:rFonts w:hint="eastAsia"/>
          <w:color w:val="auto"/>
          <w:highlight w:val="none"/>
          <w:lang w:val="zh-CN"/>
        </w:rPr>
      </w:pPr>
    </w:p>
    <w:p w14:paraId="4480A21E">
      <w:pPr>
        <w:rPr>
          <w:rFonts w:hint="eastAsia"/>
          <w:color w:val="auto"/>
          <w:highlight w:val="none"/>
          <w:lang w:val="zh-CN"/>
        </w:rPr>
      </w:pPr>
    </w:p>
    <w:p w14:paraId="1CC7E193">
      <w:pPr>
        <w:pStyle w:val="19"/>
        <w:rPr>
          <w:rFonts w:hint="eastAsia"/>
          <w:color w:val="auto"/>
          <w:highlight w:val="none"/>
          <w:lang w:val="zh-CN"/>
        </w:rPr>
      </w:pPr>
    </w:p>
    <w:p w14:paraId="2EEA31ED">
      <w:pPr>
        <w:rPr>
          <w:rFonts w:hint="eastAsia"/>
          <w:color w:val="auto"/>
          <w:highlight w:val="none"/>
          <w:lang w:val="zh-CN"/>
        </w:rPr>
      </w:pPr>
    </w:p>
    <w:p w14:paraId="0810C397">
      <w:pPr>
        <w:pStyle w:val="19"/>
        <w:rPr>
          <w:rFonts w:hint="eastAsia"/>
          <w:color w:val="auto"/>
          <w:highlight w:val="none"/>
          <w:lang w:val="zh-CN"/>
        </w:rPr>
      </w:pPr>
    </w:p>
    <w:p w14:paraId="5CAC2C2B">
      <w:pPr>
        <w:rPr>
          <w:rFonts w:hint="eastAsia"/>
          <w:color w:val="auto"/>
          <w:highlight w:val="none"/>
          <w:lang w:val="zh-CN"/>
        </w:rPr>
      </w:pPr>
    </w:p>
    <w:p w14:paraId="0633CFEE">
      <w:pPr>
        <w:pStyle w:val="19"/>
        <w:rPr>
          <w:rFonts w:hint="eastAsia"/>
          <w:color w:val="auto"/>
          <w:highlight w:val="none"/>
          <w:lang w:val="zh-CN"/>
        </w:rPr>
      </w:pPr>
    </w:p>
    <w:p w14:paraId="330BCCA9">
      <w:pPr>
        <w:rPr>
          <w:rFonts w:hint="eastAsia"/>
          <w:color w:val="auto"/>
          <w:highlight w:val="none"/>
          <w:lang w:val="zh-CN"/>
        </w:rPr>
      </w:pPr>
    </w:p>
    <w:p w14:paraId="13C429AC">
      <w:pPr>
        <w:rPr>
          <w:rFonts w:hint="eastAsia"/>
          <w:color w:val="auto"/>
          <w:highlight w:val="none"/>
          <w:lang w:val="zh-CN"/>
        </w:rPr>
      </w:pPr>
    </w:p>
    <w:p w14:paraId="2207DE5B">
      <w:pPr>
        <w:pStyle w:val="19"/>
        <w:rPr>
          <w:rFonts w:hint="eastAsia"/>
          <w:color w:val="auto"/>
          <w:highlight w:val="none"/>
          <w:lang w:val="zh-CN"/>
        </w:rPr>
      </w:pPr>
    </w:p>
    <w:p w14:paraId="40753EBB">
      <w:pPr>
        <w:rPr>
          <w:rFonts w:hint="eastAsia"/>
          <w:color w:val="auto"/>
          <w:highlight w:val="none"/>
          <w:lang w:val="zh-CN"/>
        </w:rPr>
      </w:pPr>
    </w:p>
    <w:p w14:paraId="735A59BC">
      <w:pPr>
        <w:pStyle w:val="19"/>
        <w:rPr>
          <w:rFonts w:hint="eastAsia"/>
          <w:color w:val="auto"/>
          <w:highlight w:val="none"/>
          <w:lang w:val="zh-CN"/>
        </w:rPr>
      </w:pPr>
      <w:r>
        <w:rPr>
          <w:rFonts w:hint="eastAsia" w:ascii="宋体" w:hAnsi="宋体" w:cs="宋体"/>
          <w:b/>
          <w:bCs/>
          <w:color w:val="auto"/>
          <w:kern w:val="0"/>
          <w:sz w:val="24"/>
          <w:szCs w:val="24"/>
          <w:highlight w:val="none"/>
          <w:lang w:val="en-US" w:eastAsia="zh-CN" w:bidi="ar"/>
        </w:rPr>
        <w:t>7.4投标人2022年1月1日以来类似食品供应服务的业绩（格式）</w:t>
      </w:r>
    </w:p>
    <w:p w14:paraId="179AF9FE">
      <w:pPr>
        <w:pStyle w:val="19"/>
        <w:rPr>
          <w:rFonts w:hint="eastAsia"/>
          <w:color w:val="auto"/>
          <w:highlight w:val="none"/>
          <w:lang w:val="zh-CN"/>
        </w:rPr>
      </w:pPr>
    </w:p>
    <w:p w14:paraId="7A94F62F">
      <w:pPr>
        <w:jc w:val="center"/>
        <w:rPr>
          <w:rFonts w:hint="default"/>
          <w:color w:val="auto"/>
          <w:highlight w:val="none"/>
          <w:lang w:val="en-US"/>
        </w:rPr>
      </w:pPr>
      <w:r>
        <w:rPr>
          <w:rFonts w:hint="eastAsia" w:ascii="宋体" w:hAnsi="宋体" w:cs="宋体"/>
          <w:b/>
          <w:bCs/>
          <w:color w:val="auto"/>
          <w:kern w:val="0"/>
          <w:sz w:val="24"/>
          <w:szCs w:val="24"/>
          <w:highlight w:val="none"/>
          <w:lang w:val="en-US" w:eastAsia="zh-CN" w:bidi="ar"/>
        </w:rPr>
        <w:t>投标人2022年1月1日以来类似食品供应服务的业绩一览表</w:t>
      </w:r>
    </w:p>
    <w:p w14:paraId="3DCC0038">
      <w:pPr>
        <w:pStyle w:val="19"/>
        <w:rPr>
          <w:rFonts w:hint="eastAsia"/>
          <w:color w:val="auto"/>
          <w:highlight w:val="none"/>
          <w:lang w:val="zh-CN"/>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1693"/>
        <w:gridCol w:w="2059"/>
        <w:gridCol w:w="3155"/>
        <w:gridCol w:w="2084"/>
      </w:tblGrid>
      <w:tr w14:paraId="2FE2A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748" w:type="dxa"/>
            <w:vAlign w:val="center"/>
          </w:tcPr>
          <w:p w14:paraId="1FA5A9E4">
            <w:pPr>
              <w:keepNext w:val="0"/>
              <w:keepLines w:val="0"/>
              <w:widowControl/>
              <w:suppressLineNumbers w:val="0"/>
              <w:jc w:val="center"/>
              <w:rPr>
                <w:rFonts w:hint="eastAsia"/>
                <w:color w:val="auto"/>
                <w:sz w:val="28"/>
                <w:szCs w:val="36"/>
                <w:highlight w:val="none"/>
                <w:vertAlign w:val="baseline"/>
                <w:lang w:val="zh-CN"/>
              </w:rPr>
            </w:pPr>
            <w:r>
              <w:rPr>
                <w:rFonts w:hint="eastAsia" w:ascii="宋体" w:hAnsi="宋体" w:eastAsia="宋体" w:cs="宋体"/>
                <w:color w:val="auto"/>
                <w:kern w:val="0"/>
                <w:sz w:val="24"/>
                <w:szCs w:val="24"/>
                <w:highlight w:val="none"/>
                <w:lang w:val="en-US" w:eastAsia="zh-CN" w:bidi="ar"/>
              </w:rPr>
              <w:t>序号</w:t>
            </w:r>
          </w:p>
        </w:tc>
        <w:tc>
          <w:tcPr>
            <w:tcW w:w="1693" w:type="dxa"/>
            <w:vAlign w:val="center"/>
          </w:tcPr>
          <w:p w14:paraId="3CF7EBAC">
            <w:pPr>
              <w:keepNext w:val="0"/>
              <w:keepLines w:val="0"/>
              <w:widowControl/>
              <w:suppressLineNumbers w:val="0"/>
              <w:jc w:val="center"/>
              <w:rPr>
                <w:rFonts w:hint="eastAsia"/>
                <w:color w:val="auto"/>
                <w:sz w:val="28"/>
                <w:szCs w:val="36"/>
                <w:highlight w:val="none"/>
                <w:vertAlign w:val="baseline"/>
                <w:lang w:val="zh-CN"/>
              </w:rPr>
            </w:pPr>
            <w:r>
              <w:rPr>
                <w:rFonts w:hint="eastAsia" w:ascii="宋体" w:hAnsi="宋体" w:cs="宋体"/>
                <w:color w:val="auto"/>
                <w:kern w:val="0"/>
                <w:sz w:val="24"/>
                <w:szCs w:val="24"/>
                <w:highlight w:val="none"/>
                <w:lang w:val="en-US" w:eastAsia="zh-CN" w:bidi="ar"/>
              </w:rPr>
              <w:t>采购单位</w:t>
            </w:r>
            <w:r>
              <w:rPr>
                <w:rFonts w:hint="eastAsia" w:ascii="宋体" w:hAnsi="宋体" w:eastAsia="宋体" w:cs="宋体"/>
                <w:color w:val="auto"/>
                <w:kern w:val="0"/>
                <w:sz w:val="24"/>
                <w:szCs w:val="24"/>
                <w:highlight w:val="none"/>
                <w:lang w:val="en-US" w:eastAsia="zh-CN" w:bidi="ar"/>
              </w:rPr>
              <w:t>名称</w:t>
            </w:r>
          </w:p>
        </w:tc>
        <w:tc>
          <w:tcPr>
            <w:tcW w:w="2059" w:type="dxa"/>
            <w:vAlign w:val="center"/>
          </w:tcPr>
          <w:p w14:paraId="4A54E668">
            <w:pPr>
              <w:keepNext w:val="0"/>
              <w:keepLines w:val="0"/>
              <w:widowControl/>
              <w:suppressLineNumbers w:val="0"/>
              <w:jc w:val="center"/>
              <w:rPr>
                <w:rFonts w:hint="eastAsia"/>
                <w:color w:val="auto"/>
                <w:sz w:val="28"/>
                <w:szCs w:val="36"/>
                <w:highlight w:val="none"/>
                <w:vertAlign w:val="baseline"/>
                <w:lang w:val="zh-CN"/>
              </w:rPr>
            </w:pPr>
            <w:r>
              <w:rPr>
                <w:rFonts w:hint="eastAsia" w:ascii="宋体" w:hAnsi="宋体" w:cs="宋体"/>
                <w:color w:val="auto"/>
                <w:kern w:val="0"/>
                <w:sz w:val="24"/>
                <w:szCs w:val="24"/>
                <w:highlight w:val="none"/>
                <w:lang w:val="en-US" w:eastAsia="zh-CN" w:bidi="ar"/>
              </w:rPr>
              <w:t>项目名称</w:t>
            </w:r>
          </w:p>
        </w:tc>
        <w:tc>
          <w:tcPr>
            <w:tcW w:w="3155" w:type="dxa"/>
            <w:vAlign w:val="center"/>
          </w:tcPr>
          <w:p w14:paraId="7ABBCBD6">
            <w:pPr>
              <w:keepNext w:val="0"/>
              <w:keepLines w:val="0"/>
              <w:widowControl/>
              <w:suppressLineNumbers w:val="0"/>
              <w:jc w:val="center"/>
              <w:rPr>
                <w:rFonts w:hint="default"/>
                <w:color w:val="auto"/>
                <w:sz w:val="28"/>
                <w:szCs w:val="36"/>
                <w:highlight w:val="none"/>
                <w:vertAlign w:val="baseline"/>
                <w:lang w:val="en-US"/>
              </w:rPr>
            </w:pPr>
            <w:r>
              <w:rPr>
                <w:rFonts w:hint="eastAsia" w:ascii="宋体" w:hAnsi="宋体" w:cs="宋体"/>
                <w:color w:val="auto"/>
                <w:kern w:val="0"/>
                <w:sz w:val="24"/>
                <w:szCs w:val="24"/>
                <w:highlight w:val="none"/>
                <w:lang w:val="en-US" w:eastAsia="zh-CN" w:bidi="ar"/>
              </w:rPr>
              <w:t>合同履行期限</w:t>
            </w:r>
          </w:p>
        </w:tc>
        <w:tc>
          <w:tcPr>
            <w:tcW w:w="2084" w:type="dxa"/>
            <w:vAlign w:val="center"/>
          </w:tcPr>
          <w:p w14:paraId="598A308C">
            <w:pPr>
              <w:keepNext w:val="0"/>
              <w:keepLines w:val="0"/>
              <w:widowControl/>
              <w:suppressLineNumbers w:val="0"/>
              <w:jc w:val="center"/>
              <w:rPr>
                <w:rFonts w:hint="default"/>
                <w:color w:val="auto"/>
                <w:sz w:val="28"/>
                <w:szCs w:val="36"/>
                <w:highlight w:val="none"/>
                <w:vertAlign w:val="baseline"/>
                <w:lang w:val="en-US"/>
              </w:rPr>
            </w:pPr>
            <w:r>
              <w:rPr>
                <w:rFonts w:hint="eastAsia" w:ascii="宋体" w:hAnsi="宋体" w:cs="宋体"/>
                <w:color w:val="auto"/>
                <w:kern w:val="0"/>
                <w:sz w:val="24"/>
                <w:szCs w:val="24"/>
                <w:highlight w:val="none"/>
                <w:lang w:val="en-US" w:eastAsia="zh-CN" w:bidi="ar"/>
              </w:rPr>
              <w:t>合同金额（万元）</w:t>
            </w:r>
          </w:p>
        </w:tc>
      </w:tr>
      <w:tr w14:paraId="0F417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48" w:type="dxa"/>
            <w:vAlign w:val="center"/>
          </w:tcPr>
          <w:p w14:paraId="6ABFE4CA">
            <w:pPr>
              <w:keepNext w:val="0"/>
              <w:keepLines w:val="0"/>
              <w:widowControl/>
              <w:suppressLineNumbers w:val="0"/>
              <w:jc w:val="center"/>
              <w:rPr>
                <w:rFonts w:hint="eastAsia" w:eastAsia="宋体"/>
                <w:color w:val="auto"/>
                <w:sz w:val="28"/>
                <w:szCs w:val="36"/>
                <w:highlight w:val="none"/>
                <w:vertAlign w:val="baseline"/>
                <w:lang w:val="en-US" w:eastAsia="zh-CN"/>
              </w:rPr>
            </w:pPr>
            <w:r>
              <w:rPr>
                <w:rFonts w:hint="eastAsia"/>
                <w:color w:val="auto"/>
                <w:sz w:val="28"/>
                <w:szCs w:val="36"/>
                <w:highlight w:val="none"/>
                <w:vertAlign w:val="baseline"/>
                <w:lang w:val="en-US" w:eastAsia="zh-CN"/>
              </w:rPr>
              <w:t>1</w:t>
            </w:r>
          </w:p>
        </w:tc>
        <w:tc>
          <w:tcPr>
            <w:tcW w:w="1693" w:type="dxa"/>
            <w:vAlign w:val="center"/>
          </w:tcPr>
          <w:p w14:paraId="2B86BCCF">
            <w:pPr>
              <w:keepNext w:val="0"/>
              <w:keepLines w:val="0"/>
              <w:widowControl/>
              <w:suppressLineNumbers w:val="0"/>
              <w:jc w:val="center"/>
              <w:rPr>
                <w:rFonts w:hint="eastAsia"/>
                <w:color w:val="auto"/>
                <w:sz w:val="28"/>
                <w:szCs w:val="36"/>
                <w:highlight w:val="none"/>
                <w:vertAlign w:val="baseline"/>
                <w:lang w:val="zh-CN"/>
              </w:rPr>
            </w:pPr>
          </w:p>
        </w:tc>
        <w:tc>
          <w:tcPr>
            <w:tcW w:w="2059" w:type="dxa"/>
            <w:vAlign w:val="center"/>
          </w:tcPr>
          <w:p w14:paraId="6385A6BB">
            <w:pPr>
              <w:keepNext w:val="0"/>
              <w:keepLines w:val="0"/>
              <w:widowControl/>
              <w:suppressLineNumbers w:val="0"/>
              <w:jc w:val="center"/>
              <w:rPr>
                <w:rFonts w:hint="eastAsia"/>
                <w:color w:val="auto"/>
                <w:sz w:val="28"/>
                <w:szCs w:val="36"/>
                <w:highlight w:val="none"/>
                <w:vertAlign w:val="baseline"/>
                <w:lang w:val="zh-CN"/>
              </w:rPr>
            </w:pPr>
          </w:p>
        </w:tc>
        <w:tc>
          <w:tcPr>
            <w:tcW w:w="3155" w:type="dxa"/>
            <w:vAlign w:val="center"/>
          </w:tcPr>
          <w:p w14:paraId="0EA46BF6">
            <w:pPr>
              <w:keepNext w:val="0"/>
              <w:keepLines w:val="0"/>
              <w:widowControl/>
              <w:suppressLineNumbers w:val="0"/>
              <w:jc w:val="right"/>
              <w:rPr>
                <w:rFonts w:hint="default" w:eastAsia="宋体"/>
                <w:color w:val="auto"/>
                <w:sz w:val="28"/>
                <w:szCs w:val="36"/>
                <w:highlight w:val="none"/>
                <w:vertAlign w:val="baseline"/>
                <w:lang w:val="en-US" w:eastAsia="zh-CN"/>
              </w:rPr>
            </w:pPr>
            <w:r>
              <w:rPr>
                <w:rFonts w:hint="eastAsia"/>
                <w:color w:val="auto"/>
                <w:sz w:val="22"/>
                <w:szCs w:val="28"/>
                <w:highlight w:val="none"/>
                <w:vertAlign w:val="baseline"/>
                <w:lang w:val="en-US" w:eastAsia="zh-CN"/>
              </w:rPr>
              <w:t xml:space="preserve"> 年  月  日至  年  月  日</w:t>
            </w:r>
          </w:p>
        </w:tc>
        <w:tc>
          <w:tcPr>
            <w:tcW w:w="2084" w:type="dxa"/>
            <w:vAlign w:val="center"/>
          </w:tcPr>
          <w:p w14:paraId="3DD81F6A">
            <w:pPr>
              <w:keepNext w:val="0"/>
              <w:keepLines w:val="0"/>
              <w:widowControl/>
              <w:suppressLineNumbers w:val="0"/>
              <w:jc w:val="center"/>
              <w:rPr>
                <w:rFonts w:hint="eastAsia"/>
                <w:color w:val="auto"/>
                <w:sz w:val="28"/>
                <w:szCs w:val="36"/>
                <w:highlight w:val="none"/>
                <w:vertAlign w:val="baseline"/>
                <w:lang w:val="zh-CN"/>
              </w:rPr>
            </w:pPr>
          </w:p>
        </w:tc>
      </w:tr>
      <w:tr w14:paraId="13EBF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48" w:type="dxa"/>
            <w:vAlign w:val="center"/>
          </w:tcPr>
          <w:p w14:paraId="129B012D">
            <w:pPr>
              <w:keepNext w:val="0"/>
              <w:keepLines w:val="0"/>
              <w:widowControl/>
              <w:suppressLineNumbers w:val="0"/>
              <w:jc w:val="center"/>
              <w:rPr>
                <w:rFonts w:hint="eastAsia" w:eastAsia="宋体"/>
                <w:color w:val="auto"/>
                <w:sz w:val="28"/>
                <w:szCs w:val="36"/>
                <w:highlight w:val="none"/>
                <w:vertAlign w:val="baseline"/>
                <w:lang w:val="en-US" w:eastAsia="zh-CN"/>
              </w:rPr>
            </w:pPr>
            <w:r>
              <w:rPr>
                <w:rFonts w:hint="eastAsia"/>
                <w:color w:val="auto"/>
                <w:sz w:val="28"/>
                <w:szCs w:val="36"/>
                <w:highlight w:val="none"/>
                <w:vertAlign w:val="baseline"/>
                <w:lang w:val="en-US" w:eastAsia="zh-CN"/>
              </w:rPr>
              <w:t>2</w:t>
            </w:r>
          </w:p>
        </w:tc>
        <w:tc>
          <w:tcPr>
            <w:tcW w:w="1693" w:type="dxa"/>
            <w:vAlign w:val="center"/>
          </w:tcPr>
          <w:p w14:paraId="188DFDAC">
            <w:pPr>
              <w:keepNext w:val="0"/>
              <w:keepLines w:val="0"/>
              <w:widowControl/>
              <w:suppressLineNumbers w:val="0"/>
              <w:jc w:val="center"/>
              <w:rPr>
                <w:rFonts w:hint="eastAsia"/>
                <w:color w:val="auto"/>
                <w:sz w:val="28"/>
                <w:szCs w:val="36"/>
                <w:highlight w:val="none"/>
                <w:vertAlign w:val="baseline"/>
                <w:lang w:val="zh-CN"/>
              </w:rPr>
            </w:pPr>
          </w:p>
        </w:tc>
        <w:tc>
          <w:tcPr>
            <w:tcW w:w="2059" w:type="dxa"/>
            <w:vAlign w:val="center"/>
          </w:tcPr>
          <w:p w14:paraId="5208BA36">
            <w:pPr>
              <w:keepNext w:val="0"/>
              <w:keepLines w:val="0"/>
              <w:widowControl/>
              <w:suppressLineNumbers w:val="0"/>
              <w:jc w:val="center"/>
              <w:rPr>
                <w:rFonts w:hint="eastAsia"/>
                <w:color w:val="auto"/>
                <w:sz w:val="28"/>
                <w:szCs w:val="36"/>
                <w:highlight w:val="none"/>
                <w:vertAlign w:val="baseline"/>
                <w:lang w:val="zh-CN"/>
              </w:rPr>
            </w:pPr>
          </w:p>
        </w:tc>
        <w:tc>
          <w:tcPr>
            <w:tcW w:w="3155" w:type="dxa"/>
            <w:vAlign w:val="center"/>
          </w:tcPr>
          <w:p w14:paraId="7FB51E4C">
            <w:pPr>
              <w:keepNext w:val="0"/>
              <w:keepLines w:val="0"/>
              <w:widowControl/>
              <w:suppressLineNumbers w:val="0"/>
              <w:jc w:val="right"/>
              <w:rPr>
                <w:rFonts w:hint="eastAsia"/>
                <w:color w:val="auto"/>
                <w:sz w:val="28"/>
                <w:szCs w:val="36"/>
                <w:highlight w:val="none"/>
                <w:vertAlign w:val="baseline"/>
                <w:lang w:val="zh-CN"/>
              </w:rPr>
            </w:pPr>
            <w:r>
              <w:rPr>
                <w:rFonts w:hint="eastAsia"/>
                <w:color w:val="auto"/>
                <w:sz w:val="22"/>
                <w:szCs w:val="28"/>
                <w:highlight w:val="none"/>
                <w:vertAlign w:val="baseline"/>
                <w:lang w:val="en-US" w:eastAsia="zh-CN"/>
              </w:rPr>
              <w:t xml:space="preserve"> 年  月  日至  年  月  日</w:t>
            </w:r>
          </w:p>
        </w:tc>
        <w:tc>
          <w:tcPr>
            <w:tcW w:w="2084" w:type="dxa"/>
            <w:vAlign w:val="center"/>
          </w:tcPr>
          <w:p w14:paraId="2C72B871">
            <w:pPr>
              <w:keepNext w:val="0"/>
              <w:keepLines w:val="0"/>
              <w:widowControl/>
              <w:suppressLineNumbers w:val="0"/>
              <w:jc w:val="center"/>
              <w:rPr>
                <w:rFonts w:hint="eastAsia"/>
                <w:color w:val="auto"/>
                <w:sz w:val="28"/>
                <w:szCs w:val="36"/>
                <w:highlight w:val="none"/>
                <w:vertAlign w:val="baseline"/>
                <w:lang w:val="zh-CN"/>
              </w:rPr>
            </w:pPr>
          </w:p>
        </w:tc>
      </w:tr>
      <w:tr w14:paraId="01AF4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48" w:type="dxa"/>
            <w:vAlign w:val="center"/>
          </w:tcPr>
          <w:p w14:paraId="525A2936">
            <w:pPr>
              <w:keepNext w:val="0"/>
              <w:keepLines w:val="0"/>
              <w:widowControl/>
              <w:suppressLineNumbers w:val="0"/>
              <w:jc w:val="center"/>
              <w:rPr>
                <w:rFonts w:hint="eastAsia" w:eastAsia="宋体"/>
                <w:color w:val="auto"/>
                <w:sz w:val="28"/>
                <w:szCs w:val="36"/>
                <w:highlight w:val="none"/>
                <w:vertAlign w:val="baseline"/>
                <w:lang w:val="en-US" w:eastAsia="zh-CN"/>
              </w:rPr>
            </w:pPr>
            <w:r>
              <w:rPr>
                <w:rFonts w:hint="eastAsia"/>
                <w:color w:val="auto"/>
                <w:sz w:val="28"/>
                <w:szCs w:val="36"/>
                <w:highlight w:val="none"/>
                <w:vertAlign w:val="baseline"/>
                <w:lang w:val="en-US" w:eastAsia="zh-CN"/>
              </w:rPr>
              <w:t>3</w:t>
            </w:r>
          </w:p>
        </w:tc>
        <w:tc>
          <w:tcPr>
            <w:tcW w:w="1693" w:type="dxa"/>
            <w:vAlign w:val="center"/>
          </w:tcPr>
          <w:p w14:paraId="3D1C7367">
            <w:pPr>
              <w:keepNext w:val="0"/>
              <w:keepLines w:val="0"/>
              <w:widowControl/>
              <w:suppressLineNumbers w:val="0"/>
              <w:jc w:val="center"/>
              <w:rPr>
                <w:rFonts w:hint="eastAsia"/>
                <w:color w:val="auto"/>
                <w:sz w:val="28"/>
                <w:szCs w:val="36"/>
                <w:highlight w:val="none"/>
                <w:vertAlign w:val="baseline"/>
                <w:lang w:val="zh-CN"/>
              </w:rPr>
            </w:pPr>
          </w:p>
        </w:tc>
        <w:tc>
          <w:tcPr>
            <w:tcW w:w="2059" w:type="dxa"/>
            <w:vAlign w:val="center"/>
          </w:tcPr>
          <w:p w14:paraId="126C5DDC">
            <w:pPr>
              <w:keepNext w:val="0"/>
              <w:keepLines w:val="0"/>
              <w:widowControl/>
              <w:suppressLineNumbers w:val="0"/>
              <w:jc w:val="center"/>
              <w:rPr>
                <w:rFonts w:hint="eastAsia"/>
                <w:color w:val="auto"/>
                <w:sz w:val="28"/>
                <w:szCs w:val="36"/>
                <w:highlight w:val="none"/>
                <w:vertAlign w:val="baseline"/>
                <w:lang w:val="zh-CN"/>
              </w:rPr>
            </w:pPr>
          </w:p>
        </w:tc>
        <w:tc>
          <w:tcPr>
            <w:tcW w:w="3155" w:type="dxa"/>
            <w:vAlign w:val="center"/>
          </w:tcPr>
          <w:p w14:paraId="52ACBF11">
            <w:pPr>
              <w:keepNext w:val="0"/>
              <w:keepLines w:val="0"/>
              <w:widowControl/>
              <w:suppressLineNumbers w:val="0"/>
              <w:jc w:val="right"/>
              <w:rPr>
                <w:rFonts w:hint="eastAsia"/>
                <w:color w:val="auto"/>
                <w:sz w:val="28"/>
                <w:szCs w:val="36"/>
                <w:highlight w:val="none"/>
                <w:vertAlign w:val="baseline"/>
                <w:lang w:val="zh-CN"/>
              </w:rPr>
            </w:pPr>
            <w:r>
              <w:rPr>
                <w:rFonts w:hint="eastAsia"/>
                <w:color w:val="auto"/>
                <w:sz w:val="22"/>
                <w:szCs w:val="28"/>
                <w:highlight w:val="none"/>
                <w:vertAlign w:val="baseline"/>
                <w:lang w:val="en-US" w:eastAsia="zh-CN"/>
              </w:rPr>
              <w:t xml:space="preserve"> 年  月  日至  年  月  日</w:t>
            </w:r>
          </w:p>
        </w:tc>
        <w:tc>
          <w:tcPr>
            <w:tcW w:w="2084" w:type="dxa"/>
            <w:vAlign w:val="center"/>
          </w:tcPr>
          <w:p w14:paraId="6C709CF4">
            <w:pPr>
              <w:keepNext w:val="0"/>
              <w:keepLines w:val="0"/>
              <w:widowControl/>
              <w:suppressLineNumbers w:val="0"/>
              <w:jc w:val="center"/>
              <w:rPr>
                <w:rFonts w:hint="eastAsia"/>
                <w:color w:val="auto"/>
                <w:sz w:val="28"/>
                <w:szCs w:val="36"/>
                <w:highlight w:val="none"/>
                <w:vertAlign w:val="baseline"/>
                <w:lang w:val="zh-CN"/>
              </w:rPr>
            </w:pPr>
          </w:p>
        </w:tc>
      </w:tr>
      <w:tr w14:paraId="69CE0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48" w:type="dxa"/>
            <w:vAlign w:val="center"/>
          </w:tcPr>
          <w:p w14:paraId="763BBD05">
            <w:pPr>
              <w:keepNext w:val="0"/>
              <w:keepLines w:val="0"/>
              <w:widowControl/>
              <w:suppressLineNumbers w:val="0"/>
              <w:jc w:val="center"/>
              <w:rPr>
                <w:rFonts w:hint="default"/>
                <w:color w:val="auto"/>
                <w:sz w:val="28"/>
                <w:szCs w:val="36"/>
                <w:highlight w:val="none"/>
                <w:vertAlign w:val="baseline"/>
                <w:lang w:val="en-US" w:eastAsia="zh-CN"/>
              </w:rPr>
            </w:pPr>
            <w:r>
              <w:rPr>
                <w:rFonts w:hint="eastAsia"/>
                <w:color w:val="auto"/>
                <w:sz w:val="28"/>
                <w:szCs w:val="36"/>
                <w:highlight w:val="none"/>
                <w:vertAlign w:val="baseline"/>
                <w:lang w:val="en-US" w:eastAsia="zh-CN"/>
              </w:rPr>
              <w:t>4</w:t>
            </w:r>
          </w:p>
        </w:tc>
        <w:tc>
          <w:tcPr>
            <w:tcW w:w="1693" w:type="dxa"/>
            <w:vAlign w:val="center"/>
          </w:tcPr>
          <w:p w14:paraId="626BA8C1">
            <w:pPr>
              <w:keepNext w:val="0"/>
              <w:keepLines w:val="0"/>
              <w:widowControl/>
              <w:suppressLineNumbers w:val="0"/>
              <w:jc w:val="center"/>
              <w:rPr>
                <w:rFonts w:hint="eastAsia"/>
                <w:color w:val="auto"/>
                <w:sz w:val="28"/>
                <w:szCs w:val="36"/>
                <w:highlight w:val="none"/>
                <w:vertAlign w:val="baseline"/>
                <w:lang w:val="zh-CN"/>
              </w:rPr>
            </w:pPr>
          </w:p>
        </w:tc>
        <w:tc>
          <w:tcPr>
            <w:tcW w:w="2059" w:type="dxa"/>
            <w:vAlign w:val="center"/>
          </w:tcPr>
          <w:p w14:paraId="72B84D8B">
            <w:pPr>
              <w:keepNext w:val="0"/>
              <w:keepLines w:val="0"/>
              <w:widowControl/>
              <w:suppressLineNumbers w:val="0"/>
              <w:jc w:val="center"/>
              <w:rPr>
                <w:rFonts w:hint="eastAsia"/>
                <w:color w:val="auto"/>
                <w:sz w:val="28"/>
                <w:szCs w:val="36"/>
                <w:highlight w:val="none"/>
                <w:vertAlign w:val="baseline"/>
                <w:lang w:val="zh-CN"/>
              </w:rPr>
            </w:pPr>
          </w:p>
        </w:tc>
        <w:tc>
          <w:tcPr>
            <w:tcW w:w="3155" w:type="dxa"/>
            <w:vAlign w:val="center"/>
          </w:tcPr>
          <w:p w14:paraId="24D021DC">
            <w:pPr>
              <w:keepNext w:val="0"/>
              <w:keepLines w:val="0"/>
              <w:widowControl/>
              <w:suppressLineNumbers w:val="0"/>
              <w:jc w:val="right"/>
              <w:rPr>
                <w:rFonts w:hint="eastAsia"/>
                <w:color w:val="auto"/>
                <w:sz w:val="28"/>
                <w:szCs w:val="36"/>
                <w:highlight w:val="none"/>
                <w:vertAlign w:val="baseline"/>
                <w:lang w:val="zh-CN"/>
              </w:rPr>
            </w:pPr>
            <w:r>
              <w:rPr>
                <w:rFonts w:hint="eastAsia"/>
                <w:color w:val="auto"/>
                <w:sz w:val="22"/>
                <w:szCs w:val="28"/>
                <w:highlight w:val="none"/>
                <w:vertAlign w:val="baseline"/>
                <w:lang w:val="en-US" w:eastAsia="zh-CN"/>
              </w:rPr>
              <w:t xml:space="preserve"> 年  月  日至  年  月  日</w:t>
            </w:r>
          </w:p>
        </w:tc>
        <w:tc>
          <w:tcPr>
            <w:tcW w:w="2084" w:type="dxa"/>
            <w:vAlign w:val="center"/>
          </w:tcPr>
          <w:p w14:paraId="438ED42D">
            <w:pPr>
              <w:keepNext w:val="0"/>
              <w:keepLines w:val="0"/>
              <w:widowControl/>
              <w:suppressLineNumbers w:val="0"/>
              <w:jc w:val="center"/>
              <w:rPr>
                <w:rFonts w:hint="eastAsia"/>
                <w:color w:val="auto"/>
                <w:sz w:val="28"/>
                <w:szCs w:val="36"/>
                <w:highlight w:val="none"/>
                <w:vertAlign w:val="baseline"/>
                <w:lang w:val="zh-CN"/>
              </w:rPr>
            </w:pPr>
          </w:p>
        </w:tc>
      </w:tr>
      <w:tr w14:paraId="33913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48" w:type="dxa"/>
            <w:vAlign w:val="center"/>
          </w:tcPr>
          <w:p w14:paraId="58660E6B">
            <w:pPr>
              <w:keepNext w:val="0"/>
              <w:keepLines w:val="0"/>
              <w:widowControl/>
              <w:suppressLineNumbers w:val="0"/>
              <w:jc w:val="center"/>
              <w:rPr>
                <w:rFonts w:hint="default"/>
                <w:color w:val="auto"/>
                <w:sz w:val="28"/>
                <w:szCs w:val="36"/>
                <w:highlight w:val="none"/>
                <w:vertAlign w:val="baseline"/>
                <w:lang w:val="en-US" w:eastAsia="zh-CN"/>
              </w:rPr>
            </w:pPr>
            <w:r>
              <w:rPr>
                <w:rFonts w:hint="eastAsia"/>
                <w:color w:val="auto"/>
                <w:sz w:val="28"/>
                <w:szCs w:val="36"/>
                <w:highlight w:val="none"/>
                <w:vertAlign w:val="baseline"/>
                <w:lang w:val="en-US" w:eastAsia="zh-CN"/>
              </w:rPr>
              <w:t>5</w:t>
            </w:r>
          </w:p>
        </w:tc>
        <w:tc>
          <w:tcPr>
            <w:tcW w:w="1693" w:type="dxa"/>
            <w:vAlign w:val="center"/>
          </w:tcPr>
          <w:p w14:paraId="3AD8B29E">
            <w:pPr>
              <w:keepNext w:val="0"/>
              <w:keepLines w:val="0"/>
              <w:widowControl/>
              <w:suppressLineNumbers w:val="0"/>
              <w:jc w:val="center"/>
              <w:rPr>
                <w:rFonts w:hint="eastAsia"/>
                <w:color w:val="auto"/>
                <w:sz w:val="28"/>
                <w:szCs w:val="36"/>
                <w:highlight w:val="none"/>
                <w:vertAlign w:val="baseline"/>
                <w:lang w:val="zh-CN"/>
              </w:rPr>
            </w:pPr>
          </w:p>
        </w:tc>
        <w:tc>
          <w:tcPr>
            <w:tcW w:w="2059" w:type="dxa"/>
            <w:vAlign w:val="center"/>
          </w:tcPr>
          <w:p w14:paraId="7D552C84">
            <w:pPr>
              <w:keepNext w:val="0"/>
              <w:keepLines w:val="0"/>
              <w:widowControl/>
              <w:suppressLineNumbers w:val="0"/>
              <w:jc w:val="center"/>
              <w:rPr>
                <w:rFonts w:hint="eastAsia"/>
                <w:color w:val="auto"/>
                <w:sz w:val="28"/>
                <w:szCs w:val="36"/>
                <w:highlight w:val="none"/>
                <w:vertAlign w:val="baseline"/>
                <w:lang w:val="zh-CN"/>
              </w:rPr>
            </w:pPr>
          </w:p>
        </w:tc>
        <w:tc>
          <w:tcPr>
            <w:tcW w:w="3155" w:type="dxa"/>
            <w:vAlign w:val="center"/>
          </w:tcPr>
          <w:p w14:paraId="1E88B75B">
            <w:pPr>
              <w:keepNext w:val="0"/>
              <w:keepLines w:val="0"/>
              <w:widowControl/>
              <w:suppressLineNumbers w:val="0"/>
              <w:jc w:val="right"/>
              <w:rPr>
                <w:rFonts w:hint="eastAsia"/>
                <w:color w:val="auto"/>
                <w:sz w:val="28"/>
                <w:szCs w:val="36"/>
                <w:highlight w:val="none"/>
                <w:vertAlign w:val="baseline"/>
                <w:lang w:val="zh-CN"/>
              </w:rPr>
            </w:pPr>
            <w:r>
              <w:rPr>
                <w:rFonts w:hint="eastAsia"/>
                <w:color w:val="auto"/>
                <w:sz w:val="22"/>
                <w:szCs w:val="28"/>
                <w:highlight w:val="none"/>
                <w:vertAlign w:val="baseline"/>
                <w:lang w:val="en-US" w:eastAsia="zh-CN"/>
              </w:rPr>
              <w:t xml:space="preserve"> 年  月  日至  年  月  日</w:t>
            </w:r>
          </w:p>
        </w:tc>
        <w:tc>
          <w:tcPr>
            <w:tcW w:w="2084" w:type="dxa"/>
            <w:vAlign w:val="center"/>
          </w:tcPr>
          <w:p w14:paraId="783F2D01">
            <w:pPr>
              <w:keepNext w:val="0"/>
              <w:keepLines w:val="0"/>
              <w:widowControl/>
              <w:suppressLineNumbers w:val="0"/>
              <w:jc w:val="center"/>
              <w:rPr>
                <w:rFonts w:hint="eastAsia"/>
                <w:color w:val="auto"/>
                <w:sz w:val="28"/>
                <w:szCs w:val="36"/>
                <w:highlight w:val="none"/>
                <w:vertAlign w:val="baseline"/>
                <w:lang w:val="zh-CN"/>
              </w:rPr>
            </w:pPr>
          </w:p>
        </w:tc>
      </w:tr>
      <w:tr w14:paraId="0E778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48" w:type="dxa"/>
            <w:vAlign w:val="center"/>
          </w:tcPr>
          <w:p w14:paraId="0469D82E">
            <w:pPr>
              <w:keepNext w:val="0"/>
              <w:keepLines w:val="0"/>
              <w:widowControl/>
              <w:suppressLineNumbers w:val="0"/>
              <w:jc w:val="center"/>
              <w:rPr>
                <w:rFonts w:hint="default"/>
                <w:color w:val="auto"/>
                <w:sz w:val="28"/>
                <w:szCs w:val="36"/>
                <w:highlight w:val="none"/>
                <w:vertAlign w:val="baseline"/>
                <w:lang w:val="en-US" w:eastAsia="zh-CN"/>
              </w:rPr>
            </w:pPr>
          </w:p>
        </w:tc>
        <w:tc>
          <w:tcPr>
            <w:tcW w:w="1693" w:type="dxa"/>
            <w:vAlign w:val="center"/>
          </w:tcPr>
          <w:p w14:paraId="707CB6FD">
            <w:pPr>
              <w:keepNext w:val="0"/>
              <w:keepLines w:val="0"/>
              <w:widowControl/>
              <w:suppressLineNumbers w:val="0"/>
              <w:jc w:val="center"/>
              <w:rPr>
                <w:rFonts w:hint="eastAsia"/>
                <w:color w:val="auto"/>
                <w:sz w:val="28"/>
                <w:szCs w:val="36"/>
                <w:highlight w:val="none"/>
                <w:vertAlign w:val="baseline"/>
                <w:lang w:val="zh-CN"/>
              </w:rPr>
            </w:pPr>
          </w:p>
        </w:tc>
        <w:tc>
          <w:tcPr>
            <w:tcW w:w="2059" w:type="dxa"/>
            <w:vAlign w:val="center"/>
          </w:tcPr>
          <w:p w14:paraId="64FB230A">
            <w:pPr>
              <w:keepNext w:val="0"/>
              <w:keepLines w:val="0"/>
              <w:widowControl/>
              <w:suppressLineNumbers w:val="0"/>
              <w:jc w:val="center"/>
              <w:rPr>
                <w:rFonts w:hint="eastAsia"/>
                <w:color w:val="auto"/>
                <w:sz w:val="28"/>
                <w:szCs w:val="36"/>
                <w:highlight w:val="none"/>
                <w:vertAlign w:val="baseline"/>
                <w:lang w:val="zh-CN"/>
              </w:rPr>
            </w:pPr>
          </w:p>
        </w:tc>
        <w:tc>
          <w:tcPr>
            <w:tcW w:w="3155" w:type="dxa"/>
            <w:vAlign w:val="center"/>
          </w:tcPr>
          <w:p w14:paraId="4945751A">
            <w:pPr>
              <w:keepNext w:val="0"/>
              <w:keepLines w:val="0"/>
              <w:widowControl/>
              <w:suppressLineNumbers w:val="0"/>
              <w:jc w:val="right"/>
              <w:rPr>
                <w:rFonts w:hint="eastAsia"/>
                <w:color w:val="auto"/>
                <w:sz w:val="28"/>
                <w:szCs w:val="36"/>
                <w:highlight w:val="none"/>
                <w:vertAlign w:val="baseline"/>
                <w:lang w:val="zh-CN"/>
              </w:rPr>
            </w:pPr>
            <w:r>
              <w:rPr>
                <w:rFonts w:hint="eastAsia"/>
                <w:color w:val="auto"/>
                <w:sz w:val="22"/>
                <w:szCs w:val="28"/>
                <w:highlight w:val="none"/>
                <w:vertAlign w:val="baseline"/>
                <w:lang w:val="en-US" w:eastAsia="zh-CN"/>
              </w:rPr>
              <w:t xml:space="preserve"> 年  月  日至  年  月  日</w:t>
            </w:r>
          </w:p>
        </w:tc>
        <w:tc>
          <w:tcPr>
            <w:tcW w:w="2084" w:type="dxa"/>
            <w:vAlign w:val="center"/>
          </w:tcPr>
          <w:p w14:paraId="0DBFD507">
            <w:pPr>
              <w:keepNext w:val="0"/>
              <w:keepLines w:val="0"/>
              <w:widowControl/>
              <w:suppressLineNumbers w:val="0"/>
              <w:jc w:val="center"/>
              <w:rPr>
                <w:rFonts w:hint="eastAsia"/>
                <w:color w:val="auto"/>
                <w:sz w:val="28"/>
                <w:szCs w:val="36"/>
                <w:highlight w:val="none"/>
                <w:vertAlign w:val="baseline"/>
                <w:lang w:val="zh-CN"/>
              </w:rPr>
            </w:pPr>
          </w:p>
        </w:tc>
      </w:tr>
      <w:tr w14:paraId="7CAFF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48" w:type="dxa"/>
            <w:vAlign w:val="center"/>
          </w:tcPr>
          <w:p w14:paraId="43833782">
            <w:pPr>
              <w:keepNext w:val="0"/>
              <w:keepLines w:val="0"/>
              <w:widowControl/>
              <w:suppressLineNumbers w:val="0"/>
              <w:jc w:val="center"/>
              <w:rPr>
                <w:rFonts w:hint="default"/>
                <w:color w:val="auto"/>
                <w:sz w:val="28"/>
                <w:szCs w:val="36"/>
                <w:highlight w:val="none"/>
                <w:vertAlign w:val="baseline"/>
                <w:lang w:val="en-US" w:eastAsia="zh-CN"/>
              </w:rPr>
            </w:pPr>
            <w:r>
              <w:rPr>
                <w:rFonts w:hint="eastAsia"/>
                <w:color w:val="auto"/>
                <w:sz w:val="28"/>
                <w:szCs w:val="36"/>
                <w:highlight w:val="none"/>
                <w:vertAlign w:val="baseline"/>
                <w:lang w:val="en-US" w:eastAsia="zh-CN"/>
              </w:rPr>
              <w:t>...</w:t>
            </w:r>
          </w:p>
        </w:tc>
        <w:tc>
          <w:tcPr>
            <w:tcW w:w="1693" w:type="dxa"/>
            <w:vAlign w:val="center"/>
          </w:tcPr>
          <w:p w14:paraId="6686F1B2">
            <w:pPr>
              <w:keepNext w:val="0"/>
              <w:keepLines w:val="0"/>
              <w:widowControl/>
              <w:suppressLineNumbers w:val="0"/>
              <w:jc w:val="center"/>
              <w:rPr>
                <w:rFonts w:hint="eastAsia"/>
                <w:color w:val="auto"/>
                <w:sz w:val="28"/>
                <w:szCs w:val="36"/>
                <w:highlight w:val="none"/>
                <w:vertAlign w:val="baseline"/>
                <w:lang w:val="zh-CN"/>
              </w:rPr>
            </w:pPr>
          </w:p>
        </w:tc>
        <w:tc>
          <w:tcPr>
            <w:tcW w:w="2059" w:type="dxa"/>
            <w:vAlign w:val="center"/>
          </w:tcPr>
          <w:p w14:paraId="2CD6EDF3">
            <w:pPr>
              <w:keepNext w:val="0"/>
              <w:keepLines w:val="0"/>
              <w:widowControl/>
              <w:suppressLineNumbers w:val="0"/>
              <w:jc w:val="center"/>
              <w:rPr>
                <w:rFonts w:hint="eastAsia"/>
                <w:color w:val="auto"/>
                <w:sz w:val="28"/>
                <w:szCs w:val="36"/>
                <w:highlight w:val="none"/>
                <w:vertAlign w:val="baseline"/>
                <w:lang w:val="zh-CN"/>
              </w:rPr>
            </w:pPr>
          </w:p>
        </w:tc>
        <w:tc>
          <w:tcPr>
            <w:tcW w:w="3155" w:type="dxa"/>
            <w:vAlign w:val="center"/>
          </w:tcPr>
          <w:p w14:paraId="37B98933">
            <w:pPr>
              <w:keepNext w:val="0"/>
              <w:keepLines w:val="0"/>
              <w:widowControl/>
              <w:suppressLineNumbers w:val="0"/>
              <w:jc w:val="right"/>
              <w:rPr>
                <w:rFonts w:hint="eastAsia"/>
                <w:color w:val="auto"/>
                <w:sz w:val="28"/>
                <w:szCs w:val="36"/>
                <w:highlight w:val="none"/>
                <w:vertAlign w:val="baseline"/>
                <w:lang w:val="zh-CN"/>
              </w:rPr>
            </w:pPr>
            <w:r>
              <w:rPr>
                <w:rFonts w:hint="eastAsia"/>
                <w:color w:val="auto"/>
                <w:sz w:val="22"/>
                <w:szCs w:val="28"/>
                <w:highlight w:val="none"/>
                <w:vertAlign w:val="baseline"/>
                <w:lang w:val="en-US" w:eastAsia="zh-CN"/>
              </w:rPr>
              <w:t xml:space="preserve"> 年  月  日至  年  月  日</w:t>
            </w:r>
          </w:p>
        </w:tc>
        <w:tc>
          <w:tcPr>
            <w:tcW w:w="2084" w:type="dxa"/>
            <w:vAlign w:val="center"/>
          </w:tcPr>
          <w:p w14:paraId="19D9C8D3">
            <w:pPr>
              <w:keepNext w:val="0"/>
              <w:keepLines w:val="0"/>
              <w:widowControl/>
              <w:suppressLineNumbers w:val="0"/>
              <w:jc w:val="center"/>
              <w:rPr>
                <w:rFonts w:hint="eastAsia"/>
                <w:color w:val="auto"/>
                <w:sz w:val="28"/>
                <w:szCs w:val="36"/>
                <w:highlight w:val="none"/>
                <w:vertAlign w:val="baseline"/>
                <w:lang w:val="zh-CN"/>
              </w:rPr>
            </w:pPr>
          </w:p>
        </w:tc>
      </w:tr>
    </w:tbl>
    <w:p w14:paraId="73491F83">
      <w:pPr>
        <w:rPr>
          <w:rFonts w:hint="eastAsia"/>
          <w:color w:val="auto"/>
          <w:highlight w:val="none"/>
          <w:lang w:val="zh-CN"/>
        </w:rPr>
      </w:pPr>
    </w:p>
    <w:p w14:paraId="72D087C3">
      <w:pPr>
        <w:keepNext w:val="0"/>
        <w:keepLines w:val="0"/>
        <w:widowControl/>
        <w:suppressLineNumbers w:val="0"/>
        <w:jc w:val="left"/>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color w:val="auto"/>
          <w:kern w:val="0"/>
          <w:sz w:val="20"/>
          <w:szCs w:val="20"/>
          <w:highlight w:val="none"/>
          <w:lang w:val="en-US" w:eastAsia="zh-CN" w:bidi="ar"/>
        </w:rPr>
        <w:t>注：附</w:t>
      </w:r>
      <w:r>
        <w:rPr>
          <w:rFonts w:hint="eastAsia" w:ascii="宋体" w:hAnsi="宋体" w:cs="宋体"/>
          <w:color w:val="auto"/>
          <w:kern w:val="0"/>
          <w:sz w:val="20"/>
          <w:szCs w:val="20"/>
          <w:highlight w:val="none"/>
          <w:lang w:val="en-US" w:eastAsia="zh-CN" w:bidi="ar"/>
        </w:rPr>
        <w:t>相关证明材料</w:t>
      </w:r>
      <w:r>
        <w:rPr>
          <w:rFonts w:hint="eastAsia" w:ascii="宋体" w:hAnsi="宋体" w:eastAsia="宋体" w:cs="宋体"/>
          <w:color w:val="auto"/>
          <w:kern w:val="0"/>
          <w:sz w:val="20"/>
          <w:szCs w:val="20"/>
          <w:highlight w:val="none"/>
          <w:lang w:val="en-US" w:eastAsia="zh-CN" w:bidi="ar"/>
        </w:rPr>
        <w:t>复印件并加盖投标</w:t>
      </w:r>
      <w:r>
        <w:rPr>
          <w:rFonts w:hint="eastAsia" w:ascii="宋体" w:hAnsi="宋体" w:cs="宋体"/>
          <w:color w:val="auto"/>
          <w:kern w:val="0"/>
          <w:sz w:val="20"/>
          <w:szCs w:val="20"/>
          <w:highlight w:val="none"/>
          <w:lang w:val="en-US" w:eastAsia="zh-CN" w:bidi="ar"/>
        </w:rPr>
        <w:t>人公</w:t>
      </w:r>
      <w:r>
        <w:rPr>
          <w:rFonts w:hint="eastAsia" w:ascii="宋体" w:hAnsi="宋体" w:eastAsia="宋体" w:cs="宋体"/>
          <w:color w:val="auto"/>
          <w:kern w:val="0"/>
          <w:sz w:val="20"/>
          <w:szCs w:val="20"/>
          <w:highlight w:val="none"/>
          <w:lang w:val="en-US" w:eastAsia="zh-CN" w:bidi="ar"/>
        </w:rPr>
        <w:t>章。</w:t>
      </w:r>
    </w:p>
    <w:p w14:paraId="6D7364F0">
      <w:pPr>
        <w:rPr>
          <w:rFonts w:hint="eastAsia"/>
          <w:color w:val="auto"/>
          <w:highlight w:val="none"/>
          <w:lang w:val="zh-CN"/>
        </w:rPr>
      </w:pPr>
    </w:p>
    <w:p w14:paraId="404B7E61">
      <w:pPr>
        <w:pStyle w:val="19"/>
        <w:rPr>
          <w:rFonts w:hint="eastAsia"/>
          <w:color w:val="auto"/>
          <w:highlight w:val="none"/>
          <w:lang w:val="zh-CN"/>
        </w:rPr>
      </w:pPr>
    </w:p>
    <w:p w14:paraId="141C647E">
      <w:pPr>
        <w:snapToGrid w:val="0"/>
        <w:spacing w:line="360" w:lineRule="auto"/>
        <w:ind w:firstLine="5640" w:firstLineChars="2350"/>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lang w:val="en-US" w:eastAsia="zh-CN" w:bidi="ar"/>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投标人名称(盖公章)：</w:t>
      </w:r>
    </w:p>
    <w:p w14:paraId="1F9BE9C3">
      <w:pPr>
        <w:snapToGrid w:val="0"/>
        <w:spacing w:line="360" w:lineRule="auto"/>
        <w:ind w:firstLine="5880" w:firstLineChars="24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6890CAAB">
      <w:pPr>
        <w:rPr>
          <w:rFonts w:hint="eastAsia"/>
          <w:color w:val="auto"/>
          <w:highlight w:val="none"/>
          <w:lang w:val="zh-CN"/>
        </w:rPr>
      </w:pPr>
    </w:p>
    <w:p w14:paraId="362B6A44">
      <w:pPr>
        <w:pStyle w:val="19"/>
        <w:rPr>
          <w:rFonts w:hint="eastAsia"/>
          <w:color w:val="auto"/>
          <w:highlight w:val="none"/>
          <w:lang w:val="zh-CN"/>
        </w:rPr>
      </w:pPr>
    </w:p>
    <w:p w14:paraId="7D591A42">
      <w:pPr>
        <w:rPr>
          <w:rFonts w:hint="eastAsia"/>
          <w:color w:val="auto"/>
          <w:highlight w:val="none"/>
          <w:lang w:val="zh-CN"/>
        </w:rPr>
      </w:pPr>
    </w:p>
    <w:p w14:paraId="40BD8017">
      <w:pPr>
        <w:pStyle w:val="19"/>
        <w:rPr>
          <w:rFonts w:hint="eastAsia"/>
          <w:color w:val="auto"/>
          <w:highlight w:val="none"/>
          <w:lang w:val="zh-CN"/>
        </w:rPr>
      </w:pPr>
    </w:p>
    <w:p w14:paraId="1397C828">
      <w:pPr>
        <w:rPr>
          <w:rFonts w:hint="eastAsia"/>
          <w:color w:val="auto"/>
          <w:highlight w:val="none"/>
          <w:lang w:val="zh-CN"/>
        </w:rPr>
      </w:pPr>
    </w:p>
    <w:p w14:paraId="6C25DBF0">
      <w:pPr>
        <w:pStyle w:val="19"/>
        <w:rPr>
          <w:rFonts w:hint="eastAsia"/>
          <w:color w:val="auto"/>
          <w:highlight w:val="none"/>
          <w:lang w:val="zh-CN"/>
        </w:rPr>
      </w:pPr>
    </w:p>
    <w:p w14:paraId="22EAC22F">
      <w:pPr>
        <w:rPr>
          <w:rFonts w:hint="eastAsia"/>
          <w:color w:val="auto"/>
          <w:highlight w:val="none"/>
          <w:lang w:val="zh-CN"/>
        </w:rPr>
      </w:pPr>
    </w:p>
    <w:p w14:paraId="50DC556A">
      <w:pPr>
        <w:pStyle w:val="19"/>
        <w:rPr>
          <w:rFonts w:hint="eastAsia"/>
          <w:color w:val="auto"/>
          <w:highlight w:val="none"/>
          <w:lang w:val="zh-CN"/>
        </w:rPr>
      </w:pPr>
    </w:p>
    <w:p w14:paraId="502D01B9">
      <w:pPr>
        <w:rPr>
          <w:rFonts w:hint="eastAsia"/>
          <w:color w:val="auto"/>
          <w:highlight w:val="none"/>
          <w:lang w:val="zh-CN"/>
        </w:rPr>
      </w:pPr>
    </w:p>
    <w:p w14:paraId="570EAA25">
      <w:pPr>
        <w:pStyle w:val="19"/>
        <w:rPr>
          <w:rFonts w:hint="eastAsia"/>
          <w:color w:val="auto"/>
          <w:highlight w:val="none"/>
          <w:lang w:val="zh-CN"/>
        </w:rPr>
      </w:pPr>
    </w:p>
    <w:p w14:paraId="739E263B">
      <w:pPr>
        <w:rPr>
          <w:rFonts w:hint="eastAsia"/>
          <w:color w:val="auto"/>
          <w:highlight w:val="none"/>
          <w:lang w:val="zh-CN"/>
        </w:rPr>
      </w:pPr>
      <w:r>
        <w:rPr>
          <w:rFonts w:hint="eastAsia" w:ascii="宋体" w:hAnsi="宋体" w:cs="宋体"/>
          <w:b/>
          <w:bCs/>
          <w:color w:val="auto"/>
          <w:kern w:val="0"/>
          <w:sz w:val="24"/>
          <w:szCs w:val="24"/>
          <w:highlight w:val="none"/>
          <w:lang w:val="en-US" w:eastAsia="zh-CN" w:bidi="ar"/>
        </w:rPr>
        <w:t>7.5采购渠道正规合法及可追溯性证明材料（格式自拟，加盖投标人公章）</w:t>
      </w:r>
    </w:p>
    <w:p w14:paraId="0E9347B9">
      <w:pPr>
        <w:pStyle w:val="19"/>
        <w:rPr>
          <w:rFonts w:hint="eastAsia"/>
          <w:color w:val="auto"/>
          <w:highlight w:val="none"/>
          <w:lang w:val="zh-CN"/>
        </w:rPr>
      </w:pPr>
    </w:p>
    <w:p w14:paraId="6E004F4A">
      <w:pPr>
        <w:rPr>
          <w:rFonts w:hint="eastAsia"/>
          <w:color w:val="auto"/>
          <w:highlight w:val="none"/>
          <w:lang w:val="zh-CN"/>
        </w:rPr>
      </w:pPr>
    </w:p>
    <w:p w14:paraId="601EA3F1">
      <w:pPr>
        <w:rPr>
          <w:rFonts w:hint="eastAsia" w:hAnsi="宋体" w:eastAsia="宋体" w:cs="Times New Roman"/>
          <w:b/>
          <w:bCs/>
          <w:color w:val="auto"/>
          <w:sz w:val="28"/>
          <w:szCs w:val="28"/>
          <w:highlight w:val="none"/>
        </w:rPr>
      </w:pPr>
      <w:r>
        <w:rPr>
          <w:rFonts w:hint="eastAsia" w:hAnsi="宋体" w:eastAsia="宋体" w:cs="Times New Roman"/>
          <w:b/>
          <w:bCs/>
          <w:color w:val="auto"/>
          <w:sz w:val="28"/>
          <w:szCs w:val="28"/>
          <w:highlight w:val="none"/>
        </w:rPr>
        <w:br w:type="page"/>
      </w:r>
    </w:p>
    <w:p w14:paraId="08C2F874">
      <w:pPr>
        <w:pStyle w:val="9"/>
        <w:rPr>
          <w:rFonts w:hint="eastAsia"/>
          <w:color w:val="auto"/>
          <w:highlight w:val="none"/>
        </w:rPr>
      </w:pPr>
    </w:p>
    <w:p w14:paraId="247B5DCE">
      <w:pPr>
        <w:pStyle w:val="17"/>
        <w:jc w:val="center"/>
        <w:outlineLvl w:val="1"/>
        <w:rPr>
          <w:rFonts w:hint="eastAsia" w:hAnsi="宋体" w:eastAsia="宋体" w:cs="Times New Roman"/>
          <w:b/>
          <w:bCs/>
          <w:color w:val="auto"/>
          <w:sz w:val="28"/>
          <w:szCs w:val="28"/>
          <w:highlight w:val="none"/>
        </w:rPr>
      </w:pPr>
      <w:r>
        <w:rPr>
          <w:rFonts w:hint="eastAsia" w:hAnsi="宋体" w:eastAsia="宋体" w:cs="Times New Roman"/>
          <w:b/>
          <w:bCs/>
          <w:color w:val="auto"/>
          <w:sz w:val="28"/>
          <w:szCs w:val="28"/>
          <w:highlight w:val="none"/>
        </w:rPr>
        <w:t>第</w:t>
      </w:r>
      <w:r>
        <w:rPr>
          <w:rFonts w:hint="eastAsia" w:hAnsi="宋体" w:cs="Times New Roman"/>
          <w:b/>
          <w:bCs/>
          <w:color w:val="auto"/>
          <w:sz w:val="28"/>
          <w:szCs w:val="28"/>
          <w:highlight w:val="none"/>
          <w:lang w:eastAsia="zh-CN"/>
        </w:rPr>
        <w:t>三</w:t>
      </w:r>
      <w:r>
        <w:rPr>
          <w:rFonts w:hint="eastAsia" w:hAnsi="宋体" w:eastAsia="宋体" w:cs="Times New Roman"/>
          <w:b/>
          <w:bCs/>
          <w:color w:val="auto"/>
          <w:sz w:val="28"/>
          <w:szCs w:val="28"/>
          <w:highlight w:val="none"/>
        </w:rPr>
        <w:t>节 技术文件格式</w:t>
      </w:r>
    </w:p>
    <w:p w14:paraId="78DA962A">
      <w:pPr>
        <w:snapToGrid w:val="0"/>
        <w:spacing w:before="165" w:beforeLines="50" w:after="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p>
    <w:p w14:paraId="593F4BCC">
      <w:pPr>
        <w:snapToGrid w:val="0"/>
        <w:spacing w:before="165" w:beforeLines="50" w:after="50"/>
        <w:rPr>
          <w:rFonts w:hint="eastAsia" w:ascii="宋体" w:hAnsi="宋体" w:eastAsia="宋体" w:cs="Times New Roman"/>
          <w:color w:val="auto"/>
          <w:sz w:val="24"/>
          <w:highlight w:val="none"/>
        </w:rPr>
      </w:pPr>
      <w:r>
        <w:rPr>
          <w:rFonts w:hint="eastAsia" w:ascii="宋体" w:hAnsi="宋体" w:eastAsia="宋体" w:cs="宋体"/>
          <w:b/>
          <w:color w:val="auto"/>
          <w:sz w:val="28"/>
          <w:szCs w:val="28"/>
          <w:highlight w:val="none"/>
        </w:rPr>
        <w:t>1. 技术文件封面</w:t>
      </w:r>
      <w:r>
        <w:rPr>
          <w:rFonts w:hint="eastAsia" w:ascii="宋体" w:hAnsi="宋体" w:cs="宋体"/>
          <w:b/>
          <w:color w:val="auto"/>
          <w:sz w:val="28"/>
          <w:szCs w:val="28"/>
          <w:highlight w:val="none"/>
          <w:lang w:eastAsia="zh-CN"/>
        </w:rPr>
        <w:t>的</w:t>
      </w:r>
      <w:r>
        <w:rPr>
          <w:rFonts w:hint="eastAsia" w:ascii="宋体" w:hAnsi="宋体" w:eastAsia="宋体" w:cs="宋体"/>
          <w:b/>
          <w:color w:val="auto"/>
          <w:sz w:val="28"/>
          <w:szCs w:val="28"/>
          <w:highlight w:val="none"/>
        </w:rPr>
        <w:t>格式（参照此格式自拟）：</w:t>
      </w:r>
    </w:p>
    <w:p w14:paraId="040A3149">
      <w:pPr>
        <w:snapToGrid w:val="0"/>
        <w:spacing w:before="165" w:beforeLines="50" w:after="50"/>
        <w:ind w:firstLine="1200" w:firstLineChars="500"/>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highlight w:val="none"/>
        </w:rPr>
        <w:t xml:space="preserve">                                         </w:t>
      </w:r>
      <w:r>
        <w:rPr>
          <w:rFonts w:hint="eastAsia" w:ascii="宋体" w:hAnsi="宋体" w:cs="Times New Roman"/>
          <w:color w:val="auto"/>
          <w:sz w:val="24"/>
          <w:highlight w:val="none"/>
          <w:lang w:val="en-US" w:eastAsia="zh-CN"/>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bCs/>
          <w:color w:val="auto"/>
          <w:highlight w:val="none"/>
        </w:rPr>
        <w:t>电子投标文件</w:t>
      </w:r>
    </w:p>
    <w:p w14:paraId="04EC7D52">
      <w:pPr>
        <w:snapToGrid w:val="0"/>
        <w:spacing w:before="165" w:beforeLines="50" w:after="50"/>
        <w:rPr>
          <w:rFonts w:hint="eastAsia" w:ascii="宋体" w:hAnsi="宋体" w:eastAsia="宋体" w:cs="Times New Roman"/>
          <w:color w:val="auto"/>
          <w:sz w:val="24"/>
          <w:szCs w:val="20"/>
          <w:highlight w:val="none"/>
        </w:rPr>
      </w:pPr>
    </w:p>
    <w:p w14:paraId="6D3136F0">
      <w:pPr>
        <w:snapToGrid w:val="0"/>
        <w:spacing w:before="165" w:beforeLines="50" w:after="50"/>
        <w:jc w:val="center"/>
        <w:rPr>
          <w:rFonts w:hint="eastAsia" w:ascii="宋体" w:hAnsi="宋体" w:eastAsia="宋体" w:cs="Times New Roman"/>
          <w:b/>
          <w:bCs/>
          <w:color w:val="auto"/>
          <w:sz w:val="32"/>
          <w:szCs w:val="32"/>
          <w:highlight w:val="none"/>
        </w:rPr>
      </w:pPr>
    </w:p>
    <w:p w14:paraId="0D48029A">
      <w:pPr>
        <w:snapToGrid w:val="0"/>
        <w:spacing w:before="165" w:beforeLines="50" w:after="50"/>
        <w:jc w:val="center"/>
        <w:rPr>
          <w:rFonts w:hint="eastAsia"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rPr>
        <w:t>技术文件</w:t>
      </w:r>
    </w:p>
    <w:p w14:paraId="61ECB224">
      <w:pPr>
        <w:snapToGrid w:val="0"/>
        <w:spacing w:before="165" w:beforeLines="50" w:after="50"/>
        <w:rPr>
          <w:rFonts w:hint="eastAsia" w:ascii="宋体" w:hAnsi="宋体" w:eastAsia="宋体" w:cs="Times New Roman"/>
          <w:bCs/>
          <w:color w:val="auto"/>
          <w:sz w:val="24"/>
          <w:szCs w:val="20"/>
          <w:highlight w:val="none"/>
        </w:rPr>
      </w:pPr>
    </w:p>
    <w:p w14:paraId="50F62E9B">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 xml:space="preserve">项目名称： </w:t>
      </w:r>
    </w:p>
    <w:p w14:paraId="3DB98E32">
      <w:pPr>
        <w:snapToGrid w:val="0"/>
        <w:spacing w:before="165" w:beforeLines="50" w:after="50" w:line="400" w:lineRule="exact"/>
        <w:ind w:firstLine="360" w:firstLineChars="150"/>
        <w:rPr>
          <w:rFonts w:hint="eastAsia" w:ascii="宋体" w:hAnsi="宋体" w:eastAsia="宋体" w:cs="Times New Roman"/>
          <w:bCs/>
          <w:color w:val="auto"/>
          <w:sz w:val="24"/>
          <w:highlight w:val="none"/>
          <w:lang w:eastAsia="zh-CN"/>
        </w:rPr>
      </w:pPr>
      <w:r>
        <w:rPr>
          <w:rFonts w:hint="eastAsia" w:ascii="宋体" w:hAnsi="宋体" w:eastAsia="宋体" w:cs="Times New Roman"/>
          <w:bCs/>
          <w:color w:val="auto"/>
          <w:sz w:val="24"/>
          <w:highlight w:val="none"/>
        </w:rPr>
        <w:t xml:space="preserve">项目编号： </w:t>
      </w:r>
    </w:p>
    <w:p w14:paraId="730D7B89">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所投分标（如有则填写，无分标时填写“无”或者留空）：</w:t>
      </w:r>
    </w:p>
    <w:p w14:paraId="71609144">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投标人名称：</w:t>
      </w:r>
    </w:p>
    <w:p w14:paraId="127ABF22">
      <w:pPr>
        <w:snapToGrid w:val="0"/>
        <w:spacing w:before="165" w:beforeLines="50" w:after="50"/>
        <w:ind w:firstLine="645"/>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p>
    <w:p w14:paraId="679E24F7">
      <w:pPr>
        <w:snapToGrid w:val="0"/>
        <w:spacing w:before="165" w:beforeLines="50" w:after="50"/>
        <w:ind w:firstLine="645"/>
        <w:jc w:val="center"/>
        <w:rPr>
          <w:rFonts w:hint="eastAsia" w:ascii="宋体" w:hAnsi="宋体" w:eastAsia="宋体" w:cs="Times New Roman"/>
          <w:color w:val="auto"/>
          <w:sz w:val="24"/>
          <w:highlight w:val="none"/>
        </w:rPr>
      </w:pPr>
    </w:p>
    <w:p w14:paraId="05121DB4">
      <w:pPr>
        <w:snapToGrid w:val="0"/>
        <w:spacing w:before="165" w:beforeLines="50" w:after="50"/>
        <w:ind w:firstLine="645"/>
        <w:jc w:val="center"/>
        <w:rPr>
          <w:rFonts w:hint="eastAsia" w:ascii="宋体" w:hAnsi="宋体" w:eastAsia="宋体" w:cs="Times New Roman"/>
          <w:color w:val="auto"/>
          <w:sz w:val="24"/>
          <w:highlight w:val="none"/>
        </w:rPr>
      </w:pPr>
    </w:p>
    <w:p w14:paraId="6CABCC77">
      <w:pPr>
        <w:snapToGrid w:val="0"/>
        <w:spacing w:before="165" w:beforeLines="50" w:after="50"/>
        <w:ind w:firstLine="645"/>
        <w:jc w:val="center"/>
        <w:rPr>
          <w:rFonts w:hint="eastAsia" w:ascii="宋体" w:hAnsi="宋体" w:eastAsia="宋体" w:cs="Times New Roman"/>
          <w:color w:val="auto"/>
          <w:sz w:val="24"/>
          <w:highlight w:val="none"/>
        </w:rPr>
      </w:pPr>
    </w:p>
    <w:p w14:paraId="7046403D">
      <w:pPr>
        <w:snapToGrid w:val="0"/>
        <w:spacing w:before="165" w:beforeLines="50" w:after="50"/>
        <w:ind w:firstLine="645"/>
        <w:jc w:val="center"/>
        <w:rPr>
          <w:rFonts w:hint="eastAsia" w:ascii="宋体" w:hAnsi="宋体" w:eastAsia="宋体" w:cs="Times New Roman"/>
          <w:color w:val="auto"/>
          <w:sz w:val="24"/>
          <w:highlight w:val="none"/>
        </w:rPr>
      </w:pPr>
    </w:p>
    <w:p w14:paraId="772B1ACE">
      <w:pPr>
        <w:snapToGrid w:val="0"/>
        <w:spacing w:before="165" w:beforeLines="50" w:after="50"/>
        <w:ind w:firstLine="645"/>
        <w:jc w:val="center"/>
        <w:rPr>
          <w:rFonts w:hint="eastAsia" w:ascii="宋体" w:hAnsi="宋体" w:eastAsia="宋体" w:cs="Times New Roman"/>
          <w:color w:val="auto"/>
          <w:sz w:val="24"/>
          <w:highlight w:val="none"/>
        </w:rPr>
      </w:pPr>
    </w:p>
    <w:p w14:paraId="7E7A6FF8">
      <w:pPr>
        <w:snapToGrid w:val="0"/>
        <w:spacing w:before="165" w:beforeLines="50" w:after="50"/>
        <w:ind w:firstLine="645"/>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年    月    日</w:t>
      </w:r>
    </w:p>
    <w:p w14:paraId="1CDCDDEA">
      <w:pPr>
        <w:snapToGrid w:val="0"/>
        <w:spacing w:before="165" w:beforeLines="50" w:after="50"/>
        <w:ind w:firstLine="645"/>
        <w:jc w:val="center"/>
        <w:rPr>
          <w:rFonts w:hint="eastAsia" w:ascii="宋体" w:hAnsi="宋体" w:eastAsia="宋体" w:cs="Times New Roman"/>
          <w:color w:val="auto"/>
          <w:sz w:val="24"/>
          <w:szCs w:val="20"/>
          <w:highlight w:val="none"/>
        </w:rPr>
      </w:pPr>
    </w:p>
    <w:p w14:paraId="6F29B1D0">
      <w:pPr>
        <w:jc w:val="center"/>
        <w:rPr>
          <w:rFonts w:hint="eastAsia" w:ascii="宋体" w:hAnsi="宋体" w:eastAsia="宋体" w:cs="Times New Roman"/>
          <w:b/>
          <w:bCs/>
          <w:color w:val="auto"/>
          <w:sz w:val="24"/>
          <w:highlight w:val="none"/>
        </w:rPr>
      </w:pPr>
      <w:r>
        <w:rPr>
          <w:rFonts w:hint="eastAsia" w:ascii="宋体" w:hAnsi="宋体" w:eastAsia="宋体" w:cs="Times New Roman"/>
          <w:b/>
          <w:bCs/>
          <w:color w:val="auto"/>
          <w:sz w:val="24"/>
          <w:highlight w:val="none"/>
        </w:rPr>
        <w:br w:type="page"/>
      </w:r>
    </w:p>
    <w:p w14:paraId="13C73FD6">
      <w:pPr>
        <w:numPr>
          <w:ilvl w:val="0"/>
          <w:numId w:val="4"/>
        </w:numPr>
        <w:snapToGrid w:val="0"/>
        <w:spacing w:before="120" w:beforeLines="50" w:after="50"/>
        <w:ind w:left="142"/>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技术文件目录</w:t>
      </w:r>
    </w:p>
    <w:p w14:paraId="40EFD013">
      <w:pPr>
        <w:snapToGrid w:val="0"/>
        <w:spacing w:before="120" w:beforeLines="50" w:after="50"/>
        <w:ind w:left="142" w:leftChars="0" w:firstLine="0" w:firstLineChars="0"/>
        <w:jc w:val="left"/>
        <w:rPr>
          <w:rFonts w:hint="eastAsia" w:ascii="宋体" w:hAnsi="宋体" w:eastAsia="宋体" w:cs="Times New Roman"/>
          <w:b/>
          <w:color w:val="auto"/>
          <w:sz w:val="24"/>
          <w:highlight w:val="none"/>
        </w:rPr>
      </w:pPr>
      <w:r>
        <w:rPr>
          <w:rFonts w:hint="eastAsia" w:ascii="宋体" w:hAnsi="宋体" w:eastAsia="宋体" w:cs="宋体"/>
          <w:color w:val="auto"/>
          <w:kern w:val="0"/>
          <w:sz w:val="24"/>
          <w:highlight w:val="none"/>
        </w:rPr>
        <w:t>根据招标文件规定及投标人提供的材料自行编写目录（部分格式后附）。</w:t>
      </w:r>
    </w:p>
    <w:p w14:paraId="4BC1A8D2">
      <w:pPr>
        <w:snapToGrid w:val="0"/>
        <w:spacing w:before="165" w:beforeLines="50" w:after="50"/>
        <w:ind w:left="0" w:leftChars="0" w:firstLine="0" w:firstLineChars="0"/>
        <w:jc w:val="left"/>
        <w:outlineLvl w:val="3"/>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br w:type="page"/>
      </w:r>
      <w:r>
        <w:rPr>
          <w:rFonts w:hint="eastAsia" w:ascii="宋体" w:hAnsi="宋体" w:eastAsia="宋体" w:cs="Times New Roman"/>
          <w:b/>
          <w:color w:val="auto"/>
          <w:sz w:val="24"/>
          <w:highlight w:val="none"/>
        </w:rPr>
        <w:t xml:space="preserve"> </w:t>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 服务要求偏离表</w:t>
      </w:r>
      <w:r>
        <w:rPr>
          <w:rFonts w:hint="eastAsia" w:hAnsi="宋体" w:cs="宋体"/>
          <w:b/>
          <w:color w:val="auto"/>
          <w:sz w:val="28"/>
          <w:szCs w:val="28"/>
          <w:highlight w:val="none"/>
          <w:lang w:eastAsia="zh-CN"/>
        </w:rPr>
        <w:t>的</w:t>
      </w:r>
      <w:r>
        <w:rPr>
          <w:rFonts w:hint="eastAsia" w:ascii="宋体" w:hAnsi="宋体" w:eastAsia="宋体" w:cs="宋体"/>
          <w:b/>
          <w:color w:val="auto"/>
          <w:sz w:val="28"/>
          <w:szCs w:val="28"/>
          <w:highlight w:val="none"/>
        </w:rPr>
        <w:t>格式</w:t>
      </w:r>
      <w:r>
        <w:rPr>
          <w:rFonts w:hint="eastAsia" w:hAnsi="宋体" w:cs="宋体"/>
          <w:b/>
          <w:color w:val="auto"/>
          <w:sz w:val="28"/>
          <w:szCs w:val="28"/>
          <w:highlight w:val="none"/>
          <w:lang w:eastAsia="zh-CN"/>
        </w:rPr>
        <w:t>：</w:t>
      </w:r>
    </w:p>
    <w:p w14:paraId="27A473B3">
      <w:pPr>
        <w:pStyle w:val="17"/>
        <w:spacing w:line="500" w:lineRule="exact"/>
        <w:jc w:val="cente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t>服务</w:t>
      </w:r>
      <w:r>
        <w:rPr>
          <w:rFonts w:hint="eastAsia" w:ascii="Times New Roman" w:hAnsi="Times New Roman" w:cs="Times New Roman"/>
          <w:b/>
          <w:bCs/>
          <w:color w:val="auto"/>
          <w:sz w:val="30"/>
          <w:szCs w:val="30"/>
          <w:highlight w:val="none"/>
          <w:lang w:eastAsia="zh-CN"/>
        </w:rPr>
        <w:t>要求</w:t>
      </w:r>
      <w:r>
        <w:rPr>
          <w:rFonts w:hint="eastAsia" w:ascii="Times New Roman" w:hAnsi="Times New Roman" w:eastAsia="宋体" w:cs="Times New Roman"/>
          <w:b/>
          <w:bCs/>
          <w:color w:val="auto"/>
          <w:sz w:val="30"/>
          <w:szCs w:val="30"/>
          <w:highlight w:val="none"/>
        </w:rPr>
        <w:t>偏离表</w:t>
      </w:r>
    </w:p>
    <w:p w14:paraId="72FC4425">
      <w:pPr>
        <w:pStyle w:val="17"/>
        <w:spacing w:line="440" w:lineRule="exact"/>
        <w:ind w:firstLine="420" w:firstLineChars="200"/>
        <w:rPr>
          <w:rFonts w:eastAsia="宋体" w:cs="Times New Roman"/>
          <w:color w:val="auto"/>
          <w:highlight w:val="none"/>
        </w:rPr>
      </w:pPr>
    </w:p>
    <w:p w14:paraId="2EB64A31">
      <w:pPr>
        <w:spacing w:line="360" w:lineRule="auto"/>
        <w:ind w:firstLine="0" w:firstLineChars="0"/>
        <w:contextualSpacing/>
        <w:rPr>
          <w:rFonts w:hint="eastAsia" w:ascii="宋体" w:hAnsi="宋体" w:cs="宋体"/>
          <w:color w:val="auto"/>
          <w:sz w:val="24"/>
          <w:highlight w:val="none"/>
          <w:u w:val="single"/>
        </w:rPr>
      </w:pPr>
      <w:r>
        <w:rPr>
          <w:rFonts w:hint="eastAsia" w:ascii="宋体" w:hAnsi="宋体" w:cs="宋体"/>
          <w:color w:val="auto"/>
          <w:sz w:val="24"/>
          <w:highlight w:val="none"/>
        </w:rPr>
        <w:t>项目</w:t>
      </w:r>
      <w:r>
        <w:rPr>
          <w:rFonts w:hint="eastAsia" w:hAnsi="宋体" w:cs="宋体"/>
          <w:color w:val="auto"/>
          <w:sz w:val="24"/>
          <w:highlight w:val="none"/>
        </w:rPr>
        <w:t>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4FF1D0FA">
      <w:pPr>
        <w:pStyle w:val="17"/>
        <w:spacing w:line="600" w:lineRule="exact"/>
        <w:ind w:firstLine="0" w:firstLineChars="0"/>
        <w:rPr>
          <w:rFonts w:hint="eastAsia" w:hAnsi="宋体" w:cs="宋体"/>
          <w:color w:val="auto"/>
          <w:sz w:val="24"/>
          <w:highlight w:val="none"/>
          <w:u w:val="single"/>
        </w:rPr>
      </w:pPr>
      <w:r>
        <w:rPr>
          <w:rFonts w:hint="eastAsia" w:hAnsi="宋体" w:cs="宋体"/>
          <w:color w:val="auto"/>
          <w:sz w:val="24"/>
          <w:highlight w:val="none"/>
        </w:rPr>
        <w:t>项目</w:t>
      </w:r>
      <w:r>
        <w:rPr>
          <w:rFonts w:hint="eastAsia" w:ascii="宋体" w:hAnsi="宋体" w:cs="宋体"/>
          <w:color w:val="auto"/>
          <w:sz w:val="24"/>
          <w:highlight w:val="none"/>
        </w:rPr>
        <w:t>编号</w:t>
      </w:r>
      <w:r>
        <w:rPr>
          <w:rFonts w:hint="eastAsia" w:hAnsi="宋体" w:cs="宋体"/>
          <w:color w:val="auto"/>
          <w:sz w:val="24"/>
          <w:highlight w:val="none"/>
        </w:rPr>
        <w:t>：</w:t>
      </w:r>
      <w:r>
        <w:rPr>
          <w:rFonts w:hint="eastAsia" w:hAnsi="宋体" w:cs="宋体"/>
          <w:color w:val="auto"/>
          <w:sz w:val="24"/>
          <w:highlight w:val="none"/>
          <w:u w:val="single"/>
        </w:rPr>
        <w:t xml:space="preserve">                 </w:t>
      </w:r>
    </w:p>
    <w:p w14:paraId="7F2824FD">
      <w:pPr>
        <w:pStyle w:val="9"/>
        <w:rPr>
          <w:rFonts w:hint="eastAsia"/>
          <w:color w:val="auto"/>
          <w:highlight w:val="none"/>
        </w:rPr>
      </w:pPr>
    </w:p>
    <w:p w14:paraId="1170FFD6">
      <w:pPr>
        <w:pStyle w:val="9"/>
        <w:ind w:left="0" w:firstLine="0" w:firstLineChars="0"/>
        <w:rPr>
          <w:rFonts w:hint="eastAsia" w:ascii="宋体" w:hAnsi="宋体" w:cs="宋体"/>
          <w:color w:val="auto"/>
          <w:sz w:val="24"/>
          <w:highlight w:val="none"/>
          <w:u w:val="single"/>
        </w:rPr>
      </w:pPr>
      <w:r>
        <w:rPr>
          <w:rFonts w:hint="eastAsia" w:hAnsi="宋体" w:cs="宋体"/>
          <w:color w:val="auto"/>
          <w:sz w:val="24"/>
          <w:szCs w:val="20"/>
          <w:highlight w:val="none"/>
          <w:lang w:eastAsia="zh-CN"/>
        </w:rPr>
        <w:t>所投</w:t>
      </w:r>
      <w:r>
        <w:rPr>
          <w:rFonts w:hint="eastAsia" w:ascii="宋体" w:hAnsi="宋体" w:cs="宋体"/>
          <w:color w:val="auto"/>
          <w:sz w:val="24"/>
          <w:szCs w:val="20"/>
          <w:highlight w:val="none"/>
        </w:rPr>
        <w:t>分标</w:t>
      </w:r>
      <w:r>
        <w:rPr>
          <w:rFonts w:hint="eastAsia" w:ascii="宋体" w:hAnsi="宋体" w:cs="宋体"/>
          <w:color w:val="auto"/>
          <w:sz w:val="21"/>
          <w:szCs w:val="21"/>
          <w:highlight w:val="none"/>
        </w:rPr>
        <w:t>（此处有分标时填写具体分标号，无分标时填写“无”）</w:t>
      </w:r>
      <w:r>
        <w:rPr>
          <w:rFonts w:hint="eastAsia" w:ascii="宋体" w:hAnsi="宋体" w:cs="宋体"/>
          <w:color w:val="auto"/>
          <w:sz w:val="24"/>
          <w:szCs w:val="24"/>
          <w:highlight w:val="none"/>
          <w:lang w:eastAsia="zh-CN"/>
        </w:rPr>
        <w:t>：</w:t>
      </w:r>
      <w:r>
        <w:rPr>
          <w:rFonts w:hint="eastAsia" w:ascii="宋体" w:hAnsi="宋体" w:cs="宋体"/>
          <w:color w:val="auto"/>
          <w:sz w:val="24"/>
          <w:highlight w:val="none"/>
          <w:u w:val="single"/>
        </w:rPr>
        <w:t xml:space="preserve">           </w:t>
      </w:r>
    </w:p>
    <w:p w14:paraId="20881464">
      <w:pPr>
        <w:rPr>
          <w:rFonts w:hint="eastAsia"/>
          <w:color w:val="auto"/>
          <w:highlight w:val="none"/>
        </w:rPr>
      </w:pPr>
    </w:p>
    <w:tbl>
      <w:tblPr>
        <w:tblStyle w:val="25"/>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262"/>
        <w:gridCol w:w="3425"/>
        <w:gridCol w:w="3477"/>
        <w:gridCol w:w="1168"/>
      </w:tblGrid>
      <w:tr w14:paraId="62A9A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401D23CD">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项号</w:t>
            </w:r>
          </w:p>
        </w:tc>
        <w:tc>
          <w:tcPr>
            <w:tcW w:w="1262" w:type="dxa"/>
            <w:tcBorders>
              <w:top w:val="single" w:color="auto" w:sz="4" w:space="0"/>
              <w:left w:val="single" w:color="auto" w:sz="4" w:space="0"/>
              <w:right w:val="single" w:color="auto" w:sz="4" w:space="0"/>
            </w:tcBorders>
            <w:noWrap w:val="0"/>
            <w:vAlign w:val="center"/>
          </w:tcPr>
          <w:p w14:paraId="21D9F914">
            <w:pPr>
              <w:jc w:val="center"/>
              <w:rPr>
                <w:rFonts w:hint="eastAsia" w:ascii="宋体" w:hAnsi="宋体" w:eastAsia="宋体" w:cs="Times New Roman"/>
                <w:color w:val="auto"/>
                <w:szCs w:val="21"/>
                <w:highlight w:val="none"/>
              </w:rPr>
            </w:pPr>
            <w:r>
              <w:rPr>
                <w:rFonts w:hint="eastAsia" w:ascii="宋体" w:hAnsi="宋体" w:cs="Times New Roman"/>
                <w:color w:val="auto"/>
                <w:szCs w:val="21"/>
                <w:highlight w:val="none"/>
                <w:lang w:eastAsia="zh-CN"/>
              </w:rPr>
              <w:t>标的</w:t>
            </w:r>
            <w:r>
              <w:rPr>
                <w:rFonts w:hint="eastAsia" w:ascii="宋体" w:hAnsi="宋体" w:eastAsia="宋体" w:cs="Times New Roman"/>
                <w:color w:val="auto"/>
                <w:szCs w:val="21"/>
                <w:highlight w:val="none"/>
              </w:rPr>
              <w:t>名称</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17412A0A">
            <w:pPr>
              <w:jc w:val="center"/>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招标文件</w:t>
            </w:r>
            <w:r>
              <w:rPr>
                <w:rFonts w:hint="eastAsia" w:ascii="宋体" w:hAnsi="宋体" w:cs="Times New Roman"/>
                <w:color w:val="auto"/>
                <w:szCs w:val="21"/>
                <w:highlight w:val="none"/>
                <w:lang w:eastAsia="zh-CN"/>
              </w:rPr>
              <w:t>采购需求</w:t>
            </w:r>
            <w:r>
              <w:rPr>
                <w:rFonts w:hint="eastAsia" w:ascii="宋体" w:hAnsi="宋体" w:cs="Times New Roman"/>
                <w:color w:val="auto"/>
                <w:szCs w:val="21"/>
                <w:highlight w:val="none"/>
                <w:lang w:val="en-US" w:eastAsia="zh-CN"/>
              </w:rPr>
              <w:t>中的</w:t>
            </w:r>
            <w:r>
              <w:rPr>
                <w:rFonts w:hint="eastAsia" w:ascii="宋体" w:hAnsi="宋体" w:eastAsia="宋体" w:cs="Times New Roman"/>
                <w:color w:val="auto"/>
                <w:szCs w:val="21"/>
                <w:highlight w:val="none"/>
              </w:rPr>
              <w:t>服务</w:t>
            </w:r>
            <w:r>
              <w:rPr>
                <w:rFonts w:hint="eastAsia" w:ascii="宋体" w:hAnsi="宋体" w:cs="Times New Roman"/>
                <w:color w:val="auto"/>
                <w:szCs w:val="21"/>
                <w:highlight w:val="none"/>
                <w:lang w:eastAsia="zh-CN"/>
              </w:rPr>
              <w:t>内容</w:t>
            </w:r>
          </w:p>
        </w:tc>
        <w:tc>
          <w:tcPr>
            <w:tcW w:w="3477" w:type="dxa"/>
            <w:tcBorders>
              <w:top w:val="single" w:color="auto" w:sz="4" w:space="0"/>
              <w:left w:val="single" w:color="auto" w:sz="4" w:space="0"/>
              <w:right w:val="single" w:color="auto" w:sz="4" w:space="0"/>
            </w:tcBorders>
            <w:noWrap w:val="0"/>
            <w:vAlign w:val="center"/>
          </w:tcPr>
          <w:p w14:paraId="75AE4C7E">
            <w:pPr>
              <w:jc w:val="center"/>
              <w:rPr>
                <w:rFonts w:hint="eastAsia" w:ascii="宋体" w:hAnsi="宋体" w:eastAsia="宋体" w:cs="Times New Roman"/>
                <w:color w:val="auto"/>
                <w:szCs w:val="21"/>
                <w:highlight w:val="none"/>
                <w:lang w:eastAsia="zh-CN"/>
              </w:rPr>
            </w:pPr>
            <w:r>
              <w:rPr>
                <w:rFonts w:hint="eastAsia" w:ascii="宋体" w:hAnsi="宋体" w:cs="Times New Roman"/>
                <w:color w:val="auto"/>
                <w:szCs w:val="21"/>
                <w:highlight w:val="none"/>
                <w:lang w:eastAsia="zh-CN"/>
              </w:rPr>
              <w:t>投标</w:t>
            </w:r>
            <w:r>
              <w:rPr>
                <w:rFonts w:hint="eastAsia" w:ascii="宋体" w:hAnsi="宋体" w:eastAsia="宋体" w:cs="Times New Roman"/>
                <w:color w:val="auto"/>
                <w:szCs w:val="21"/>
                <w:highlight w:val="none"/>
              </w:rPr>
              <w:t>文件</w:t>
            </w:r>
            <w:r>
              <w:rPr>
                <w:rFonts w:hint="eastAsia" w:ascii="宋体" w:hAnsi="宋体" w:cs="Times New Roman"/>
                <w:color w:val="auto"/>
                <w:szCs w:val="21"/>
                <w:highlight w:val="none"/>
                <w:lang w:val="en-US" w:eastAsia="zh-CN"/>
              </w:rPr>
              <w:t>响应的</w:t>
            </w:r>
            <w:r>
              <w:rPr>
                <w:rFonts w:hint="eastAsia" w:ascii="宋体" w:hAnsi="宋体" w:cs="Times New Roman"/>
                <w:color w:val="auto"/>
                <w:szCs w:val="21"/>
                <w:highlight w:val="none"/>
                <w:lang w:eastAsia="zh-CN"/>
              </w:rPr>
              <w:t>服务内容</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5258544F">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偏离说明</w:t>
            </w:r>
          </w:p>
        </w:tc>
      </w:tr>
      <w:tr w14:paraId="5C83F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36DDB78E">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2EBE5B37">
            <w:pPr>
              <w:rPr>
                <w:rFonts w:hint="eastAsia" w:ascii="宋体" w:hAnsi="宋体" w:eastAsia="宋体" w:cs="Times New Roman"/>
                <w:color w:val="auto"/>
                <w:szCs w:val="21"/>
                <w:highlight w:val="none"/>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14:paraId="47D934C2">
            <w:pPr>
              <w:rPr>
                <w:rFonts w:hint="eastAsia" w:ascii="宋体" w:hAnsi="宋体" w:eastAsia="宋体" w:cs="Times New Roman"/>
                <w:color w:val="auto"/>
                <w:szCs w:val="21"/>
                <w:highlight w:val="none"/>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14:paraId="0C1F3B56">
            <w:pPr>
              <w:rPr>
                <w:rFonts w:hint="eastAsia" w:ascii="宋体" w:hAnsi="宋体" w:eastAsia="宋体" w:cs="Times New Roman"/>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1C8BF66E">
            <w:pPr>
              <w:rPr>
                <w:rFonts w:hint="eastAsia" w:ascii="宋体" w:hAnsi="宋体" w:eastAsia="宋体" w:cs="Times New Roman"/>
                <w:color w:val="auto"/>
                <w:szCs w:val="21"/>
                <w:highlight w:val="none"/>
              </w:rPr>
            </w:pPr>
          </w:p>
        </w:tc>
      </w:tr>
      <w:tr w14:paraId="27662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3A6B42B6">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5B7932A2">
            <w:pPr>
              <w:rPr>
                <w:rFonts w:hint="eastAsia" w:ascii="宋体" w:hAnsi="宋体" w:eastAsia="宋体" w:cs="Times New Roman"/>
                <w:color w:val="auto"/>
                <w:szCs w:val="21"/>
                <w:highlight w:val="none"/>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14:paraId="0D8A4150">
            <w:pPr>
              <w:rPr>
                <w:rFonts w:hint="eastAsia" w:ascii="宋体" w:hAnsi="宋体" w:eastAsia="宋体" w:cs="Times New Roman"/>
                <w:color w:val="auto"/>
                <w:szCs w:val="21"/>
                <w:highlight w:val="none"/>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14:paraId="5C3231D0">
            <w:pPr>
              <w:rPr>
                <w:rFonts w:hint="eastAsia" w:ascii="宋体" w:hAnsi="宋体" w:eastAsia="宋体" w:cs="Times New Roman"/>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08CD5A99">
            <w:pPr>
              <w:rPr>
                <w:rFonts w:hint="eastAsia" w:ascii="宋体" w:hAnsi="宋体" w:eastAsia="宋体" w:cs="Times New Roman"/>
                <w:color w:val="auto"/>
                <w:szCs w:val="21"/>
                <w:highlight w:val="none"/>
              </w:rPr>
            </w:pPr>
          </w:p>
        </w:tc>
      </w:tr>
      <w:tr w14:paraId="0D414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688FE6FB">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4D03A122">
            <w:pPr>
              <w:rPr>
                <w:rFonts w:hint="eastAsia" w:ascii="宋体" w:hAnsi="宋体" w:eastAsia="宋体" w:cs="Times New Roman"/>
                <w:color w:val="auto"/>
                <w:szCs w:val="21"/>
                <w:highlight w:val="none"/>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14:paraId="1BCC98AF">
            <w:pPr>
              <w:rPr>
                <w:rFonts w:hint="eastAsia" w:ascii="宋体" w:hAnsi="宋体" w:eastAsia="宋体" w:cs="Times New Roman"/>
                <w:color w:val="auto"/>
                <w:szCs w:val="21"/>
                <w:highlight w:val="none"/>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14:paraId="2CC87BFF">
            <w:pPr>
              <w:rPr>
                <w:rFonts w:hint="eastAsia" w:ascii="宋体" w:hAnsi="宋体" w:eastAsia="宋体" w:cs="Times New Roman"/>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591BE4E5">
            <w:pPr>
              <w:rPr>
                <w:rFonts w:hint="eastAsia" w:ascii="宋体" w:hAnsi="宋体" w:eastAsia="宋体" w:cs="Times New Roman"/>
                <w:color w:val="auto"/>
                <w:szCs w:val="21"/>
                <w:highlight w:val="none"/>
              </w:rPr>
            </w:pPr>
          </w:p>
        </w:tc>
      </w:tr>
    </w:tbl>
    <w:p w14:paraId="4B800B9D">
      <w:pPr>
        <w:pStyle w:val="17"/>
        <w:spacing w:line="360" w:lineRule="auto"/>
        <w:ind w:firstLine="0" w:firstLineChars="0"/>
        <w:rPr>
          <w:rFonts w:hint="eastAsia" w:hAnsi="宋体" w:cs="宋体"/>
          <w:color w:val="auto"/>
          <w:szCs w:val="21"/>
          <w:highlight w:val="none"/>
        </w:rPr>
      </w:pPr>
    </w:p>
    <w:p w14:paraId="24EF244D">
      <w:pPr>
        <w:pStyle w:val="17"/>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注：</w:t>
      </w:r>
    </w:p>
    <w:p w14:paraId="0F24CD93">
      <w:pPr>
        <w:pStyle w:val="17"/>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1.表格内容均需按要求填写并</w:t>
      </w:r>
      <w:r>
        <w:rPr>
          <w:rFonts w:hint="eastAsia" w:hAnsi="宋体" w:cs="宋体"/>
          <w:color w:val="auto"/>
          <w:szCs w:val="21"/>
          <w:highlight w:val="none"/>
          <w:lang w:eastAsia="zh-CN"/>
        </w:rPr>
        <w:t>加</w:t>
      </w:r>
      <w:r>
        <w:rPr>
          <w:rFonts w:hint="eastAsia" w:hAnsi="宋体" w:cs="宋体"/>
          <w:color w:val="auto"/>
          <w:szCs w:val="21"/>
          <w:highlight w:val="none"/>
        </w:rPr>
        <w:t>盖</w:t>
      </w:r>
      <w:r>
        <w:rPr>
          <w:rFonts w:hint="eastAsia" w:hAnsi="宋体" w:cs="宋体"/>
          <w:color w:val="auto"/>
          <w:szCs w:val="21"/>
          <w:highlight w:val="none"/>
          <w:lang w:eastAsia="zh-CN"/>
        </w:rPr>
        <w:t>投标人公</w:t>
      </w:r>
      <w:r>
        <w:rPr>
          <w:rFonts w:hint="eastAsia" w:hAnsi="宋体" w:cs="宋体"/>
          <w:color w:val="auto"/>
          <w:szCs w:val="21"/>
          <w:highlight w:val="none"/>
        </w:rPr>
        <w:t>章。</w:t>
      </w:r>
    </w:p>
    <w:p w14:paraId="1FA851E8">
      <w:pPr>
        <w:pStyle w:val="17"/>
        <w:spacing w:line="360" w:lineRule="auto"/>
        <w:ind w:firstLine="420" w:firstLineChars="200"/>
        <w:rPr>
          <w:rFonts w:hint="eastAsia" w:ascii="宋体" w:hAnsi="宋体" w:eastAsia="宋体" w:cs="宋体"/>
          <w:bCs w:val="0"/>
          <w:color w:val="auto"/>
          <w:szCs w:val="21"/>
          <w:highlight w:val="none"/>
        </w:rPr>
      </w:pPr>
      <w:r>
        <w:rPr>
          <w:rFonts w:hint="eastAsia" w:hAnsi="宋体" w:cs="宋体"/>
          <w:bCs/>
          <w:color w:val="auto"/>
          <w:szCs w:val="21"/>
          <w:highlight w:val="none"/>
        </w:rPr>
        <w:t>2.</w:t>
      </w:r>
      <w:r>
        <w:rPr>
          <w:rFonts w:hint="eastAsia" w:ascii="宋体" w:hAnsi="宋体" w:eastAsia="宋体" w:cs="宋体"/>
          <w:color w:val="auto"/>
          <w:sz w:val="21"/>
          <w:szCs w:val="21"/>
          <w:highlight w:val="none"/>
        </w:rPr>
        <w:t>请根据所投</w:t>
      </w:r>
      <w:r>
        <w:rPr>
          <w:rFonts w:hint="eastAsia" w:hAnsi="宋体" w:cs="宋体"/>
          <w:color w:val="auto"/>
          <w:sz w:val="21"/>
          <w:szCs w:val="21"/>
          <w:highlight w:val="none"/>
          <w:lang w:eastAsia="zh-CN"/>
        </w:rPr>
        <w:t>服务内容</w:t>
      </w:r>
      <w:r>
        <w:rPr>
          <w:rFonts w:hint="eastAsia" w:ascii="宋体" w:hAnsi="宋体" w:eastAsia="宋体" w:cs="宋体"/>
          <w:color w:val="auto"/>
          <w:sz w:val="21"/>
          <w:szCs w:val="21"/>
          <w:highlight w:val="none"/>
        </w:rPr>
        <w:t>，</w:t>
      </w:r>
      <w:r>
        <w:rPr>
          <w:rFonts w:hint="eastAsia" w:ascii="宋体" w:hAnsi="宋体" w:eastAsia="宋体" w:cs="宋体"/>
          <w:b w:val="0"/>
          <w:color w:val="auto"/>
          <w:sz w:val="21"/>
          <w:szCs w:val="21"/>
          <w:highlight w:val="none"/>
        </w:rPr>
        <w:t>逐条对应</w:t>
      </w:r>
      <w:r>
        <w:rPr>
          <w:rFonts w:hint="eastAsia" w:ascii="宋体" w:hAnsi="宋体" w:eastAsia="宋体" w:cs="宋体"/>
          <w:color w:val="auto"/>
          <w:sz w:val="21"/>
          <w:szCs w:val="21"/>
          <w:highlight w:val="none"/>
        </w:rPr>
        <w:t>本项目招标文件“第二章</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采购需求</w:t>
      </w: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w:t>
      </w:r>
      <w:r>
        <w:rPr>
          <w:rFonts w:hint="eastAsia" w:hAnsi="宋体" w:cs="宋体"/>
          <w:color w:val="auto"/>
          <w:sz w:val="21"/>
          <w:szCs w:val="21"/>
          <w:highlight w:val="none"/>
          <w:lang w:eastAsia="zh-CN"/>
        </w:rPr>
        <w:t>服务要求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w:t>
      </w:r>
      <w:r>
        <w:rPr>
          <w:rFonts w:hint="eastAsia" w:hAnsi="宋体" w:cs="宋体"/>
          <w:color w:val="auto"/>
          <w:sz w:val="21"/>
          <w:szCs w:val="21"/>
          <w:highlight w:val="none"/>
          <w:lang w:val="en-US" w:eastAsia="zh-CN"/>
        </w:rPr>
        <w:t>服务内容作出明确响应，并作出偏离说明</w:t>
      </w:r>
      <w:r>
        <w:rPr>
          <w:rFonts w:hint="eastAsia" w:ascii="宋体" w:hAnsi="宋体" w:eastAsia="宋体" w:cs="宋体"/>
          <w:color w:val="auto"/>
          <w:sz w:val="21"/>
          <w:szCs w:val="21"/>
          <w:highlight w:val="none"/>
        </w:rPr>
        <w:t>。“偏离说明”一栏应当选择“正偏离”</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“负偏离”或“无偏离”进行填写。</w:t>
      </w:r>
    </w:p>
    <w:p w14:paraId="371C6935">
      <w:pPr>
        <w:pStyle w:val="17"/>
        <w:spacing w:line="360" w:lineRule="auto"/>
        <w:ind w:firstLine="420" w:firstLineChars="200"/>
        <w:rPr>
          <w:rFonts w:hint="eastAsia" w:hAnsi="宋体" w:cs="宋体"/>
          <w:color w:val="auto"/>
          <w:szCs w:val="21"/>
          <w:highlight w:val="none"/>
        </w:rPr>
      </w:pPr>
      <w:r>
        <w:rPr>
          <w:rFonts w:hint="eastAsia" w:hAnsi="宋体" w:cs="宋体"/>
          <w:bCs/>
          <w:color w:val="auto"/>
          <w:szCs w:val="21"/>
          <w:highlight w:val="none"/>
          <w:lang w:val="en-US" w:eastAsia="zh-CN"/>
        </w:rPr>
        <w:t>3.</w:t>
      </w:r>
      <w:r>
        <w:rPr>
          <w:rFonts w:hint="eastAsia" w:hAnsi="宋体" w:cs="宋体"/>
          <w:bCs/>
          <w:color w:val="auto"/>
          <w:szCs w:val="21"/>
          <w:highlight w:val="none"/>
        </w:rPr>
        <w:t>当投标文件的</w:t>
      </w:r>
      <w:r>
        <w:rPr>
          <w:rFonts w:hint="eastAsia" w:hAnsi="宋体" w:cs="宋体"/>
          <w:bCs/>
          <w:color w:val="auto"/>
          <w:szCs w:val="21"/>
          <w:highlight w:val="none"/>
          <w:lang w:eastAsia="zh-CN"/>
        </w:rPr>
        <w:t>服务</w:t>
      </w:r>
      <w:r>
        <w:rPr>
          <w:rFonts w:hint="eastAsia" w:hAnsi="宋体" w:cs="宋体"/>
          <w:bCs/>
          <w:color w:val="auto"/>
          <w:szCs w:val="21"/>
          <w:highlight w:val="none"/>
        </w:rPr>
        <w:t>内容低于招标文件要求时，投标人应当如实写明“负偏离”。</w:t>
      </w:r>
    </w:p>
    <w:p w14:paraId="245A8FE3">
      <w:pPr>
        <w:pStyle w:val="9"/>
        <w:rPr>
          <w:rFonts w:hint="eastAsia" w:hAnsi="宋体" w:eastAsia="宋体" w:cs="宋体"/>
          <w:color w:val="auto"/>
          <w:szCs w:val="21"/>
          <w:highlight w:val="none"/>
        </w:rPr>
      </w:pPr>
    </w:p>
    <w:p w14:paraId="146C2B2B">
      <w:pPr>
        <w:rPr>
          <w:rFonts w:hint="eastAsia" w:hAnsi="宋体" w:eastAsia="宋体" w:cs="宋体"/>
          <w:color w:val="auto"/>
          <w:szCs w:val="21"/>
          <w:highlight w:val="none"/>
        </w:rPr>
      </w:pPr>
    </w:p>
    <w:p w14:paraId="421D758A">
      <w:pPr>
        <w:snapToGrid w:val="0"/>
        <w:spacing w:line="360" w:lineRule="auto"/>
        <w:ind w:firstLine="5640" w:firstLineChars="2350"/>
        <w:rPr>
          <w:rFonts w:hint="eastAsia" w:ascii="仿宋_GB2312" w:hAnsi="仿宋" w:eastAsia="仿宋_GB2312" w:cs="仿宋_GB2312"/>
          <w:color w:val="auto"/>
          <w:kern w:val="0"/>
          <w:sz w:val="24"/>
          <w:highlight w:val="none"/>
          <w:lang w:val="zh-CN"/>
        </w:rPr>
      </w:pPr>
    </w:p>
    <w:p w14:paraId="4DF34B4A">
      <w:pPr>
        <w:snapToGrid w:val="0"/>
        <w:spacing w:line="360" w:lineRule="auto"/>
        <w:ind w:firstLine="5640" w:firstLineChars="23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14:paraId="57700410">
      <w:pPr>
        <w:snapToGrid w:val="0"/>
        <w:spacing w:line="360" w:lineRule="auto"/>
        <w:ind w:firstLine="5640" w:firstLineChars="23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2612F0B6">
      <w:pPr>
        <w:widowControl/>
        <w:jc w:val="left"/>
        <w:rPr>
          <w:rFonts w:ascii="宋体" w:hAnsi="宋体"/>
          <w:color w:val="auto"/>
          <w:sz w:val="30"/>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1EC78DA3">
      <w:pPr>
        <w:pStyle w:val="17"/>
        <w:jc w:val="center"/>
        <w:outlineLvl w:val="1"/>
        <w:rPr>
          <w:rFonts w:hint="eastAsia" w:hAnsi="宋体" w:eastAsia="宋体" w:cs="Times New Roman"/>
          <w:b/>
          <w:bCs/>
          <w:color w:val="auto"/>
          <w:sz w:val="28"/>
          <w:szCs w:val="28"/>
          <w:highlight w:val="none"/>
        </w:rPr>
      </w:pPr>
      <w:bookmarkStart w:id="366" w:name="_Toc12675"/>
      <w:bookmarkStart w:id="367" w:name="_Toc3481"/>
      <w:bookmarkStart w:id="368" w:name="_Toc12868"/>
      <w:bookmarkStart w:id="369" w:name="_Toc30951"/>
      <w:bookmarkStart w:id="370" w:name="_Toc17719"/>
      <w:bookmarkStart w:id="371" w:name="_Toc1343"/>
      <w:bookmarkStart w:id="372" w:name="_Toc9015"/>
      <w:bookmarkStart w:id="373" w:name="_Toc31920"/>
      <w:bookmarkStart w:id="374" w:name="_Toc28617"/>
      <w:bookmarkStart w:id="375" w:name="_Toc22926"/>
      <w:r>
        <w:rPr>
          <w:rFonts w:hint="eastAsia" w:hAnsi="宋体" w:eastAsia="宋体" w:cs="Times New Roman"/>
          <w:b/>
          <w:bCs/>
          <w:color w:val="auto"/>
          <w:sz w:val="28"/>
          <w:szCs w:val="28"/>
          <w:highlight w:val="none"/>
        </w:rPr>
        <w:t>第</w:t>
      </w:r>
      <w:r>
        <w:rPr>
          <w:rFonts w:hint="eastAsia" w:hAnsi="宋体" w:cs="Times New Roman"/>
          <w:b/>
          <w:bCs/>
          <w:color w:val="auto"/>
          <w:sz w:val="28"/>
          <w:szCs w:val="28"/>
          <w:highlight w:val="none"/>
          <w:lang w:eastAsia="zh-CN"/>
        </w:rPr>
        <w:t>四</w:t>
      </w:r>
      <w:r>
        <w:rPr>
          <w:rFonts w:hint="eastAsia" w:hAnsi="宋体" w:eastAsia="宋体" w:cs="Times New Roman"/>
          <w:b/>
          <w:bCs/>
          <w:color w:val="auto"/>
          <w:sz w:val="28"/>
          <w:szCs w:val="28"/>
          <w:highlight w:val="none"/>
        </w:rPr>
        <w:t>节 报价文件格式</w:t>
      </w:r>
      <w:bookmarkEnd w:id="366"/>
      <w:bookmarkEnd w:id="367"/>
      <w:bookmarkEnd w:id="368"/>
      <w:bookmarkEnd w:id="369"/>
      <w:bookmarkEnd w:id="370"/>
      <w:bookmarkEnd w:id="371"/>
      <w:bookmarkEnd w:id="372"/>
      <w:bookmarkEnd w:id="373"/>
      <w:bookmarkEnd w:id="374"/>
      <w:bookmarkEnd w:id="375"/>
    </w:p>
    <w:p w14:paraId="64D42AD6">
      <w:pPr>
        <w:snapToGrid w:val="0"/>
        <w:spacing w:before="165" w:beforeLines="50" w:after="50" w:line="400" w:lineRule="exact"/>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r>
        <w:rPr>
          <w:rFonts w:hint="eastAsia" w:ascii="宋体" w:hAnsi="宋体" w:cs="宋体"/>
          <w:b/>
          <w:bCs/>
          <w:color w:val="auto"/>
          <w:sz w:val="28"/>
          <w:szCs w:val="28"/>
          <w:highlight w:val="none"/>
          <w:lang w:val="en-US" w:eastAsia="zh-CN"/>
        </w:rPr>
        <w:t>1.</w:t>
      </w:r>
      <w:r>
        <w:rPr>
          <w:rFonts w:hint="eastAsia" w:ascii="宋体" w:hAnsi="宋体" w:cs="宋体"/>
          <w:b/>
          <w:bCs/>
          <w:color w:val="auto"/>
          <w:sz w:val="28"/>
          <w:szCs w:val="28"/>
          <w:highlight w:val="none"/>
        </w:rPr>
        <w:t>报价文件</w:t>
      </w:r>
      <w:r>
        <w:rPr>
          <w:rFonts w:hint="eastAsia" w:ascii="宋体" w:hAnsi="宋体" w:cs="宋体"/>
          <w:b/>
          <w:bCs/>
          <w:color w:val="auto"/>
          <w:sz w:val="28"/>
          <w:szCs w:val="28"/>
          <w:highlight w:val="none"/>
          <w:lang w:eastAsia="zh-CN"/>
        </w:rPr>
        <w:t>封面的格式（参照此格式自拟）：</w:t>
      </w:r>
      <w:r>
        <w:rPr>
          <w:rFonts w:hint="eastAsia" w:ascii="宋体" w:hAnsi="宋体" w:eastAsia="宋体" w:cs="Times New Roman"/>
          <w:color w:val="auto"/>
          <w:sz w:val="24"/>
          <w:highlight w:val="none"/>
        </w:rPr>
        <w:t xml:space="preserve">                                </w:t>
      </w:r>
    </w:p>
    <w:p w14:paraId="4C98F8D8">
      <w:pPr>
        <w:snapToGrid w:val="0"/>
        <w:spacing w:before="165" w:beforeLines="50" w:after="50" w:line="400" w:lineRule="exact"/>
        <w:rPr>
          <w:rFonts w:hint="eastAsia" w:ascii="宋体" w:hAnsi="宋体" w:eastAsia="宋体" w:cs="Times New Roman"/>
          <w:color w:val="auto"/>
          <w:sz w:val="24"/>
          <w:highlight w:val="none"/>
        </w:rPr>
      </w:pPr>
    </w:p>
    <w:p w14:paraId="3873C788">
      <w:pPr>
        <w:snapToGrid w:val="0"/>
        <w:spacing w:before="165" w:beforeLines="50" w:after="50" w:line="400" w:lineRule="exact"/>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highlight w:val="none"/>
        </w:rPr>
        <w:t xml:space="preserve">                        </w:t>
      </w:r>
      <w:r>
        <w:rPr>
          <w:rFonts w:hint="eastAsia" w:ascii="宋体" w:hAnsi="宋体" w:cs="Times New Roman"/>
          <w:color w:val="auto"/>
          <w:sz w:val="24"/>
          <w:highlight w:val="none"/>
          <w:lang w:val="en-US" w:eastAsia="zh-CN"/>
        </w:rPr>
        <w:t xml:space="preserve">                                  </w:t>
      </w:r>
      <w:r>
        <w:rPr>
          <w:rFonts w:hint="eastAsia" w:ascii="宋体" w:hAnsi="宋体" w:eastAsia="宋体" w:cs="Times New Roman"/>
          <w:bCs/>
          <w:color w:val="auto"/>
          <w:highlight w:val="none"/>
        </w:rPr>
        <w:t>电子投标文件</w:t>
      </w:r>
    </w:p>
    <w:p w14:paraId="0A676946">
      <w:pPr>
        <w:snapToGrid w:val="0"/>
        <w:spacing w:before="165" w:beforeLines="50" w:after="50" w:line="400" w:lineRule="exact"/>
        <w:jc w:val="center"/>
        <w:rPr>
          <w:rFonts w:hint="eastAsia" w:ascii="宋体" w:hAnsi="宋体" w:eastAsia="宋体" w:cs="Times New Roman"/>
          <w:bCs/>
          <w:color w:val="auto"/>
          <w:sz w:val="24"/>
          <w:szCs w:val="20"/>
          <w:highlight w:val="none"/>
        </w:rPr>
      </w:pPr>
    </w:p>
    <w:p w14:paraId="28BD585A">
      <w:pPr>
        <w:snapToGrid w:val="0"/>
        <w:spacing w:before="165" w:beforeLines="50" w:after="50" w:line="400" w:lineRule="exact"/>
        <w:jc w:val="center"/>
        <w:rPr>
          <w:rFonts w:hint="eastAsia"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rPr>
        <w:t>报价文件</w:t>
      </w:r>
    </w:p>
    <w:p w14:paraId="71E7843B">
      <w:pPr>
        <w:snapToGrid w:val="0"/>
        <w:spacing w:before="165" w:beforeLines="50" w:after="50" w:line="400" w:lineRule="exact"/>
        <w:rPr>
          <w:rFonts w:hint="eastAsia" w:ascii="宋体" w:hAnsi="宋体" w:eastAsia="宋体" w:cs="Times New Roman"/>
          <w:bCs/>
          <w:color w:val="auto"/>
          <w:sz w:val="24"/>
          <w:szCs w:val="20"/>
          <w:highlight w:val="none"/>
        </w:rPr>
      </w:pPr>
    </w:p>
    <w:p w14:paraId="798FF408">
      <w:pPr>
        <w:snapToGrid w:val="0"/>
        <w:spacing w:before="165" w:beforeLines="50" w:after="50" w:line="400" w:lineRule="exact"/>
        <w:rPr>
          <w:rFonts w:hint="eastAsia" w:ascii="宋体" w:hAnsi="宋体" w:eastAsia="宋体" w:cs="Times New Roman"/>
          <w:bCs/>
          <w:color w:val="auto"/>
          <w:sz w:val="24"/>
          <w:szCs w:val="20"/>
          <w:highlight w:val="none"/>
        </w:rPr>
      </w:pPr>
    </w:p>
    <w:p w14:paraId="0079659C">
      <w:pPr>
        <w:snapToGrid w:val="0"/>
        <w:spacing w:before="165" w:beforeLines="50" w:after="50" w:line="400" w:lineRule="exact"/>
        <w:rPr>
          <w:rFonts w:hint="eastAsia" w:ascii="宋体" w:hAnsi="宋体" w:eastAsia="宋体" w:cs="Times New Roman"/>
          <w:bCs/>
          <w:color w:val="auto"/>
          <w:sz w:val="24"/>
          <w:szCs w:val="20"/>
          <w:highlight w:val="none"/>
        </w:rPr>
      </w:pPr>
    </w:p>
    <w:p w14:paraId="7717F352">
      <w:pPr>
        <w:snapToGrid w:val="0"/>
        <w:spacing w:before="165" w:beforeLines="50" w:after="50" w:line="400" w:lineRule="exact"/>
        <w:rPr>
          <w:rFonts w:hint="eastAsia" w:ascii="宋体" w:hAnsi="宋体" w:eastAsia="宋体" w:cs="Times New Roman"/>
          <w:bCs/>
          <w:color w:val="auto"/>
          <w:sz w:val="24"/>
          <w:szCs w:val="20"/>
          <w:highlight w:val="none"/>
        </w:rPr>
      </w:pPr>
    </w:p>
    <w:p w14:paraId="7F428157">
      <w:pPr>
        <w:snapToGrid w:val="0"/>
        <w:spacing w:before="165" w:beforeLines="50" w:after="50" w:line="400" w:lineRule="exact"/>
        <w:ind w:firstLine="360" w:firstLineChars="150"/>
        <w:rPr>
          <w:rFonts w:hint="eastAsia" w:ascii="宋体" w:hAnsi="宋体" w:eastAsia="宋体" w:cs="Times New Roman"/>
          <w:bCs/>
          <w:color w:val="auto"/>
          <w:sz w:val="24"/>
          <w:highlight w:val="none"/>
          <w:lang w:eastAsia="zh-CN"/>
        </w:rPr>
      </w:pPr>
      <w:r>
        <w:rPr>
          <w:rFonts w:hint="eastAsia" w:ascii="宋体" w:hAnsi="宋体" w:eastAsia="宋体" w:cs="Times New Roman"/>
          <w:bCs/>
          <w:color w:val="auto"/>
          <w:sz w:val="24"/>
          <w:highlight w:val="none"/>
        </w:rPr>
        <w:t xml:space="preserve">项目名称： </w:t>
      </w:r>
    </w:p>
    <w:p w14:paraId="3C10A242">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p>
    <w:p w14:paraId="5C4E04E7">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 xml:space="preserve">项目编号： </w:t>
      </w:r>
    </w:p>
    <w:p w14:paraId="353B38CF">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p>
    <w:p w14:paraId="6929A329">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所投分标（如有则填写，无分标时填写“无”或者留空）：</w:t>
      </w:r>
    </w:p>
    <w:p w14:paraId="24E11968">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p>
    <w:p w14:paraId="29D1CFAE">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投标人名称：</w:t>
      </w:r>
    </w:p>
    <w:p w14:paraId="7265FABC">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p>
    <w:p w14:paraId="503D229B">
      <w:pPr>
        <w:pStyle w:val="8"/>
        <w:snapToGrid w:val="0"/>
        <w:spacing w:before="50" w:after="50" w:line="400" w:lineRule="exact"/>
        <w:ind w:firstLine="960" w:firstLineChars="400"/>
        <w:rPr>
          <w:rFonts w:hint="eastAsia" w:ascii="宋体" w:hAnsi="宋体" w:eastAsia="宋体" w:cs="Times New Roman"/>
          <w:bCs/>
          <w:color w:val="auto"/>
          <w:sz w:val="24"/>
          <w:szCs w:val="24"/>
          <w:highlight w:val="none"/>
        </w:rPr>
      </w:pPr>
    </w:p>
    <w:p w14:paraId="2321FAA8">
      <w:pPr>
        <w:snapToGrid w:val="0"/>
        <w:spacing w:before="165" w:beforeLines="50" w:after="50" w:line="400" w:lineRule="exac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p>
    <w:p w14:paraId="54338533">
      <w:pPr>
        <w:snapToGrid w:val="0"/>
        <w:spacing w:before="165" w:beforeLines="50" w:after="50" w:line="400" w:lineRule="exact"/>
        <w:ind w:firstLine="3120" w:firstLineChars="1300"/>
        <w:rPr>
          <w:rFonts w:hint="eastAsia" w:ascii="宋体" w:hAnsi="宋体" w:eastAsia="宋体" w:cs="Times New Roman"/>
          <w:color w:val="auto"/>
          <w:sz w:val="24"/>
          <w:highlight w:val="none"/>
        </w:rPr>
      </w:pPr>
    </w:p>
    <w:p w14:paraId="6CD0A187">
      <w:pPr>
        <w:snapToGrid w:val="0"/>
        <w:spacing w:before="165" w:beforeLines="50" w:after="50" w:line="400" w:lineRule="exact"/>
        <w:ind w:firstLine="4320" w:firstLineChars="18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年  月  日</w:t>
      </w:r>
    </w:p>
    <w:p w14:paraId="1B35A8BC">
      <w:pPr>
        <w:widowControl/>
        <w:jc w:val="left"/>
        <w:rPr>
          <w:rFonts w:ascii="宋体" w:hAnsi="宋体"/>
          <w:color w:val="auto"/>
          <w:sz w:val="24"/>
          <w:highlight w:val="none"/>
        </w:rPr>
        <w:sectPr>
          <w:pgSz w:w="11905" w:h="16838"/>
          <w:pgMar w:top="1134" w:right="1134" w:bottom="1134" w:left="1134" w:header="850" w:footer="850" w:gutter="0"/>
          <w:pgNumType w:fmt="decimal"/>
          <w:cols w:space="0" w:num="1"/>
          <w:titlePg/>
          <w:rtlGutter w:val="0"/>
          <w:docGrid w:linePitch="331" w:charSpace="0"/>
        </w:sectPr>
      </w:pPr>
    </w:p>
    <w:p w14:paraId="39393752">
      <w:pPr>
        <w:snapToGrid w:val="0"/>
        <w:spacing w:before="120" w:beforeLines="50" w:after="50" w:line="360" w:lineRule="auto"/>
        <w:jc w:val="left"/>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lang w:val="en-US"/>
        </w:rPr>
        <w:t>2</w:t>
      </w:r>
      <w:r>
        <w:rPr>
          <w:rFonts w:hint="eastAsia" w:ascii="宋体" w:hAnsi="宋体" w:eastAsia="宋体" w:cs="宋体"/>
          <w:b/>
          <w:color w:val="auto"/>
          <w:sz w:val="28"/>
          <w:szCs w:val="28"/>
          <w:highlight w:val="none"/>
        </w:rPr>
        <w:t>.</w:t>
      </w:r>
      <w:r>
        <w:rPr>
          <w:rFonts w:hint="eastAsia" w:ascii="宋体" w:hAnsi="宋体" w:eastAsia="宋体" w:cs="宋体"/>
          <w:b/>
          <w:bCs/>
          <w:color w:val="auto"/>
          <w:sz w:val="28"/>
          <w:szCs w:val="28"/>
          <w:highlight w:val="none"/>
        </w:rPr>
        <w:t>报价文件目录</w:t>
      </w:r>
    </w:p>
    <w:p w14:paraId="6DB812EE">
      <w:pPr>
        <w:snapToGrid w:val="0"/>
        <w:spacing w:before="50" w:after="120" w:afterLines="50" w:line="360" w:lineRule="auto"/>
        <w:jc w:val="left"/>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根据招标文件规定及投标人提供的材料自行编写目录</w:t>
      </w:r>
      <w:r>
        <w:rPr>
          <w:rFonts w:hint="eastAsia" w:ascii="宋体" w:hAnsi="宋体" w:eastAsia="宋体" w:cs="宋体"/>
          <w:color w:val="auto"/>
          <w:kern w:val="0"/>
          <w:sz w:val="28"/>
          <w:szCs w:val="28"/>
          <w:highlight w:val="none"/>
        </w:rPr>
        <w:t>（部分格式后附）</w:t>
      </w:r>
      <w:r>
        <w:rPr>
          <w:rFonts w:hint="eastAsia" w:ascii="宋体" w:hAnsi="宋体" w:eastAsia="宋体" w:cs="宋体"/>
          <w:color w:val="auto"/>
          <w:sz w:val="28"/>
          <w:szCs w:val="28"/>
          <w:highlight w:val="none"/>
        </w:rPr>
        <w:t>。</w:t>
      </w:r>
    </w:p>
    <w:p w14:paraId="081639FA">
      <w:pPr>
        <w:spacing w:line="500" w:lineRule="exact"/>
        <w:jc w:val="cente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br w:type="page"/>
      </w:r>
    </w:p>
    <w:p w14:paraId="278CA78E">
      <w:pPr>
        <w:pStyle w:val="17"/>
        <w:spacing w:line="500" w:lineRule="exact"/>
        <w:jc w:val="left"/>
        <w:outlineLvl w:val="3"/>
        <w:rPr>
          <w:rFonts w:hint="eastAsia" w:ascii="Times New Roman" w:hAnsi="Times New Roman" w:eastAsia="宋体" w:cs="Times New Roman"/>
          <w:b/>
          <w:bCs/>
          <w:color w:val="auto"/>
          <w:sz w:val="30"/>
          <w:szCs w:val="30"/>
          <w:highlight w:val="none"/>
        </w:rPr>
      </w:pPr>
      <w:r>
        <w:rPr>
          <w:rFonts w:hint="eastAsia" w:ascii="宋体" w:hAnsi="宋体" w:cs="宋体"/>
          <w:b/>
          <w:bCs/>
          <w:color w:val="auto"/>
          <w:sz w:val="28"/>
          <w:szCs w:val="28"/>
          <w:highlight w:val="none"/>
          <w:lang w:val="en-US" w:eastAsia="zh-CN"/>
        </w:rPr>
        <w:t>3.投标函的格式：</w:t>
      </w:r>
    </w:p>
    <w:p w14:paraId="656712E9">
      <w:pPr>
        <w:pStyle w:val="17"/>
        <w:spacing w:line="500" w:lineRule="exact"/>
        <w:jc w:val="cente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t>投标函</w:t>
      </w:r>
    </w:p>
    <w:p w14:paraId="1615CBBA">
      <w:pPr>
        <w:pStyle w:val="17"/>
        <w:spacing w:line="440" w:lineRule="exact"/>
        <w:ind w:firstLine="420" w:firstLineChars="200"/>
        <w:rPr>
          <w:rFonts w:hint="eastAsia" w:ascii="Times New Roman" w:hAnsi="Times New Roman" w:eastAsia="宋体" w:cs="Times New Roman"/>
          <w:color w:val="auto"/>
          <w:highlight w:val="none"/>
        </w:rPr>
      </w:pPr>
    </w:p>
    <w:p w14:paraId="10848568">
      <w:pPr>
        <w:pStyle w:val="17"/>
        <w:spacing w:line="440" w:lineRule="exact"/>
        <w:ind w:firstLine="420" w:firstLineChars="2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致：</w:t>
      </w:r>
      <w:r>
        <w:rPr>
          <w:rFonts w:hint="eastAsia" w:ascii="Times New Roman" w:hAnsi="Times New Roman" w:eastAsia="宋体" w:cs="Times New Roman"/>
          <w:color w:val="auto"/>
          <w:highlight w:val="none"/>
          <w:u w:val="single"/>
          <w:lang w:eastAsia="zh-CN"/>
        </w:rPr>
        <w:t>广西云立方工程管理有限公司</w:t>
      </w:r>
    </w:p>
    <w:p w14:paraId="75ACED73">
      <w:pPr>
        <w:pStyle w:val="17"/>
        <w:spacing w:line="440" w:lineRule="exact"/>
        <w:ind w:firstLine="420" w:firstLineChars="200"/>
        <w:rPr>
          <w:rFonts w:eastAsia="宋体" w:cs="Times New Roman"/>
          <w:color w:val="auto"/>
          <w:highlight w:val="none"/>
        </w:rPr>
      </w:pPr>
      <w:r>
        <w:rPr>
          <w:rFonts w:hint="eastAsia" w:eastAsia="宋体" w:cs="Times New Roman"/>
          <w:color w:val="auto"/>
          <w:highlight w:val="none"/>
        </w:rPr>
        <w:t>我方已仔细阅读了贵方组织的</w:t>
      </w:r>
      <w:r>
        <w:rPr>
          <w:rFonts w:hint="eastAsia" w:ascii="宋体" w:hAnsi="宋体" w:cs="宋体"/>
          <w:i/>
          <w:iCs/>
          <w:color w:val="auto"/>
          <w:highlight w:val="none"/>
          <w:u w:val="single"/>
          <w:lang w:eastAsia="zh-CN"/>
        </w:rPr>
        <w:t>（项目名称）</w:t>
      </w:r>
      <w:r>
        <w:rPr>
          <w:rFonts w:ascii="Times New Roman" w:hAnsi="Times New Roman" w:eastAsia="宋体" w:cs="Times New Roman"/>
          <w:color w:val="auto"/>
          <w:highlight w:val="none"/>
          <w:u w:val="single"/>
        </w:rPr>
        <w:t xml:space="preserve"> </w:t>
      </w:r>
      <w:r>
        <w:rPr>
          <w:rFonts w:hint="eastAsia" w:eastAsia="宋体" w:cs="Times New Roman"/>
          <w:color w:val="auto"/>
          <w:highlight w:val="none"/>
        </w:rPr>
        <w:t>项目（项目编号：</w:t>
      </w:r>
      <w:r>
        <w:rPr>
          <w:rFonts w:hint="eastAsia" w:cs="Times New Roman"/>
          <w:color w:val="auto"/>
          <w:highlight w:val="none"/>
          <w:u w:val="single"/>
          <w:lang w:val="en-US" w:eastAsia="zh-CN"/>
        </w:rPr>
        <w:t xml:space="preserve">        </w:t>
      </w:r>
      <w:r>
        <w:rPr>
          <w:rFonts w:hint="eastAsia" w:eastAsia="宋体" w:cs="Times New Roman"/>
          <w:color w:val="auto"/>
          <w:highlight w:val="none"/>
        </w:rPr>
        <w:t>）的招标文件的全部内容，授权</w:t>
      </w:r>
      <w:r>
        <w:rPr>
          <w:rFonts w:ascii="Times New Roman" w:hAnsi="Times New Roman" w:eastAsia="宋体" w:cs="Times New Roman"/>
          <w:color w:val="auto"/>
          <w:highlight w:val="none"/>
          <w:u w:val="single"/>
        </w:rPr>
        <w:t xml:space="preserve">                      </w:t>
      </w:r>
      <w:r>
        <w:rPr>
          <w:rFonts w:hint="eastAsia" w:eastAsia="宋体" w:cs="Times New Roman"/>
          <w:color w:val="auto"/>
          <w:highlight w:val="none"/>
        </w:rPr>
        <w:t>(全权代表姓名)</w:t>
      </w:r>
      <w:r>
        <w:rPr>
          <w:rFonts w:ascii="Times New Roman" w:hAnsi="Times New Roman" w:eastAsia="宋体" w:cs="Times New Roman"/>
          <w:color w:val="auto"/>
          <w:highlight w:val="none"/>
          <w:u w:val="single"/>
        </w:rPr>
        <w:t xml:space="preserve">          </w:t>
      </w:r>
      <w:r>
        <w:rPr>
          <w:rFonts w:hint="eastAsia" w:eastAsia="宋体" w:cs="Times New Roman"/>
          <w:color w:val="auto"/>
          <w:highlight w:val="none"/>
        </w:rPr>
        <w:t xml:space="preserve"> (职务、职称)为全权代表，现正式递交下述文件参加贵方组织的本次政府采购活动： </w:t>
      </w:r>
    </w:p>
    <w:p w14:paraId="381433EA">
      <w:pPr>
        <w:pStyle w:val="17"/>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一、报价文件电子版（包含按投标人须知前附表要求提交的全部文件）；</w:t>
      </w:r>
    </w:p>
    <w:p w14:paraId="2E27FB69">
      <w:pPr>
        <w:pStyle w:val="17"/>
        <w:spacing w:line="440" w:lineRule="exact"/>
        <w:ind w:firstLine="482"/>
        <w:rPr>
          <w:rFonts w:hint="eastAsia" w:eastAsia="宋体" w:cs="Times New Roman"/>
          <w:color w:val="auto"/>
          <w:highlight w:val="none"/>
        </w:rPr>
      </w:pPr>
      <w:r>
        <w:rPr>
          <w:rFonts w:hint="eastAsia" w:eastAsia="宋体" w:cs="Times New Roman"/>
          <w:color w:val="auto"/>
          <w:highlight w:val="none"/>
        </w:rPr>
        <w:t>二、资格文件电子版（包含按投标人须知前附表要求提交的全部文件）；</w:t>
      </w:r>
    </w:p>
    <w:p w14:paraId="4EE1E752">
      <w:pPr>
        <w:pStyle w:val="17"/>
        <w:spacing w:line="440" w:lineRule="exact"/>
        <w:ind w:firstLine="482"/>
        <w:rPr>
          <w:rFonts w:hint="eastAsia" w:eastAsia="宋体" w:cs="Times New Roman"/>
          <w:color w:val="auto"/>
          <w:highlight w:val="none"/>
        </w:rPr>
      </w:pPr>
      <w:r>
        <w:rPr>
          <w:rFonts w:hint="eastAsia" w:eastAsia="宋体" w:cs="Times New Roman"/>
          <w:color w:val="auto"/>
          <w:highlight w:val="none"/>
        </w:rPr>
        <w:t>三、</w:t>
      </w:r>
      <w:r>
        <w:rPr>
          <w:rFonts w:hint="eastAsia" w:hAnsi="宋体" w:eastAsia="宋体" w:cs="Times New Roman"/>
          <w:color w:val="auto"/>
          <w:highlight w:val="none"/>
        </w:rPr>
        <w:t>技术</w:t>
      </w:r>
      <w:r>
        <w:rPr>
          <w:rFonts w:hint="eastAsia" w:eastAsia="宋体" w:cs="Times New Roman"/>
          <w:color w:val="auto"/>
          <w:highlight w:val="none"/>
        </w:rPr>
        <w:t>文件电子版（包含按投标人须知前附表要求提交的全部文件）；</w:t>
      </w:r>
    </w:p>
    <w:p w14:paraId="1092BACC">
      <w:pPr>
        <w:pStyle w:val="17"/>
        <w:spacing w:line="440" w:lineRule="exact"/>
        <w:ind w:firstLine="482"/>
        <w:rPr>
          <w:rFonts w:hint="eastAsia" w:eastAsia="宋体" w:cs="Times New Roman"/>
          <w:color w:val="auto"/>
          <w:highlight w:val="none"/>
        </w:rPr>
      </w:pPr>
      <w:r>
        <w:rPr>
          <w:rFonts w:hint="eastAsia" w:hAnsi="宋体" w:eastAsia="宋体" w:cs="Times New Roman"/>
          <w:color w:val="auto"/>
          <w:highlight w:val="none"/>
        </w:rPr>
        <w:t>四、</w:t>
      </w:r>
      <w:r>
        <w:rPr>
          <w:rFonts w:hint="eastAsia" w:eastAsia="宋体" w:cs="Times New Roman"/>
          <w:color w:val="auto"/>
          <w:highlight w:val="none"/>
        </w:rPr>
        <w:t>商务</w:t>
      </w:r>
      <w:r>
        <w:rPr>
          <w:rFonts w:hint="eastAsia" w:hAnsi="宋体" w:eastAsia="宋体" w:cs="Times New Roman"/>
          <w:color w:val="auto"/>
          <w:highlight w:val="none"/>
        </w:rPr>
        <w:t>文件</w:t>
      </w:r>
      <w:r>
        <w:rPr>
          <w:rFonts w:hint="eastAsia" w:eastAsia="宋体" w:cs="Times New Roman"/>
          <w:color w:val="auto"/>
          <w:highlight w:val="none"/>
        </w:rPr>
        <w:t>电子版（包含按投标人须知前附表要求提交的全部文件）；</w:t>
      </w:r>
    </w:p>
    <w:p w14:paraId="49B099FA">
      <w:pPr>
        <w:pStyle w:val="17"/>
        <w:spacing w:line="440" w:lineRule="exact"/>
        <w:ind w:firstLine="482"/>
        <w:rPr>
          <w:rFonts w:hint="eastAsia" w:ascii="Times New Roman" w:hAnsi="Times New Roman" w:eastAsia="宋体" w:cs="Times New Roman"/>
          <w:color w:val="auto"/>
          <w:highlight w:val="none"/>
        </w:rPr>
      </w:pPr>
      <w:r>
        <w:rPr>
          <w:rFonts w:hint="eastAsia" w:eastAsia="宋体" w:cs="Times New Roman"/>
          <w:color w:val="auto"/>
          <w:highlight w:val="none"/>
        </w:rPr>
        <w:t>据此函，</w:t>
      </w:r>
      <w:r>
        <w:rPr>
          <w:rFonts w:hint="eastAsia" w:cs="Times New Roman"/>
          <w:color w:val="auto"/>
          <w:highlight w:val="none"/>
          <w:lang w:val="en-US" w:eastAsia="zh-CN"/>
        </w:rPr>
        <w:t>我方</w:t>
      </w:r>
      <w:r>
        <w:rPr>
          <w:rFonts w:hint="default" w:eastAsia="宋体" w:cs="Times New Roman"/>
          <w:color w:val="auto"/>
          <w:highlight w:val="none"/>
          <w:lang w:val="en-US"/>
        </w:rPr>
        <w:t>兹</w:t>
      </w:r>
      <w:r>
        <w:rPr>
          <w:rFonts w:hint="eastAsia" w:eastAsia="宋体" w:cs="Times New Roman"/>
          <w:color w:val="auto"/>
          <w:highlight w:val="none"/>
        </w:rPr>
        <w:t>宣布：</w:t>
      </w:r>
    </w:p>
    <w:p w14:paraId="586E411C">
      <w:pPr>
        <w:pStyle w:val="17"/>
        <w:spacing w:line="440" w:lineRule="exact"/>
        <w:ind w:firstLine="420" w:firstLineChars="200"/>
        <w:rPr>
          <w:rFonts w:ascii="Times New Roman" w:hAnsi="Times New Roman" w:eastAsia="宋体" w:cs="Times New Roman"/>
          <w:color w:val="auto"/>
          <w:highlight w:val="none"/>
        </w:rPr>
      </w:pPr>
      <w:r>
        <w:rPr>
          <w:rFonts w:hint="eastAsia" w:eastAsia="宋体" w:cs="Times New Roman"/>
          <w:color w:val="auto"/>
          <w:highlight w:val="none"/>
        </w:rPr>
        <w:t>1、我方愿意以投标时提供</w:t>
      </w:r>
      <w:r>
        <w:rPr>
          <w:rFonts w:hint="eastAsia" w:hAnsi="宋体" w:cs="宋体"/>
          <w:color w:val="auto"/>
          <w:highlight w:val="none"/>
          <w:lang w:eastAsia="zh-CN"/>
        </w:rPr>
        <w:t>的开标一览表中的投标折扣率</w:t>
      </w:r>
      <w:r>
        <w:rPr>
          <w:rFonts w:hint="eastAsia" w:hAnsi="宋体" w:cs="宋体"/>
          <w:color w:val="auto"/>
          <w:szCs w:val="22"/>
          <w:highlight w:val="none"/>
          <w:lang w:eastAsia="zh-CN"/>
        </w:rPr>
        <w:t>，在承诺的提交服务成果时间内</w:t>
      </w:r>
      <w:r>
        <w:rPr>
          <w:rFonts w:hint="eastAsia" w:eastAsia="宋体" w:cs="Times New Roman"/>
          <w:color w:val="auto"/>
          <w:highlight w:val="none"/>
        </w:rPr>
        <w:t>提供本项目</w:t>
      </w:r>
      <w:r>
        <w:rPr>
          <w:rFonts w:hint="eastAsia" w:hAnsi="Times New Roman" w:eastAsia="宋体" w:cs="Times New Roman"/>
          <w:color w:val="auto"/>
          <w:highlight w:val="none"/>
        </w:rPr>
        <w:t>招标文件“第二章  采购需求”的“</w:t>
      </w:r>
      <w:r>
        <w:rPr>
          <w:rFonts w:hint="eastAsia" w:hAnsi="Times New Roman" w:cs="Times New Roman"/>
          <w:color w:val="auto"/>
          <w:highlight w:val="none"/>
          <w:lang w:eastAsia="zh-CN"/>
        </w:rPr>
        <w:t>服务要求</w:t>
      </w:r>
      <w:r>
        <w:rPr>
          <w:rFonts w:hint="eastAsia" w:hAnsi="Times New Roman" w:eastAsia="宋体" w:cs="Times New Roman"/>
          <w:color w:val="auto"/>
          <w:highlight w:val="none"/>
        </w:rPr>
        <w:t>”</w:t>
      </w:r>
      <w:r>
        <w:rPr>
          <w:rFonts w:hint="eastAsia" w:hAnsi="Times New Roman" w:cs="Times New Roman"/>
          <w:color w:val="auto"/>
          <w:highlight w:val="none"/>
          <w:lang w:eastAsia="zh-CN"/>
        </w:rPr>
        <w:t>中</w:t>
      </w:r>
      <w:r>
        <w:rPr>
          <w:rFonts w:hint="eastAsia" w:eastAsia="宋体" w:cs="Times New Roman"/>
          <w:color w:val="auto"/>
          <w:highlight w:val="none"/>
        </w:rPr>
        <w:t>的相应的采购内容</w:t>
      </w:r>
      <w:r>
        <w:rPr>
          <w:rFonts w:hint="eastAsia" w:hAnsi="宋体" w:cs="宋体"/>
          <w:color w:val="auto"/>
          <w:highlight w:val="none"/>
          <w:lang w:eastAsia="zh-CN"/>
        </w:rPr>
        <w:t>，具体详见开标一览表</w:t>
      </w:r>
      <w:r>
        <w:rPr>
          <w:rFonts w:hint="eastAsia" w:eastAsia="宋体" w:cs="Times New Roman"/>
          <w:color w:val="auto"/>
          <w:highlight w:val="none"/>
        </w:rPr>
        <w:t>。</w:t>
      </w:r>
    </w:p>
    <w:p w14:paraId="01B803C8">
      <w:pPr>
        <w:pStyle w:val="17"/>
        <w:spacing w:line="360" w:lineRule="exact"/>
        <w:ind w:firstLine="420" w:firstLineChars="200"/>
        <w:rPr>
          <w:rFonts w:hint="eastAsia" w:eastAsia="宋体" w:cs="Times New Roman"/>
          <w:color w:val="auto"/>
          <w:highlight w:val="none"/>
          <w:u w:val="single"/>
        </w:rPr>
      </w:pPr>
      <w:r>
        <w:rPr>
          <w:rFonts w:hint="eastAsia" w:eastAsia="宋体" w:cs="Times New Roman"/>
          <w:color w:val="auto"/>
          <w:highlight w:val="none"/>
        </w:rPr>
        <w:t>2、我方同意自本项目招标文件“第三章 投标人须知”第一节 投标人须知前附表 第21.</w:t>
      </w:r>
      <w:r>
        <w:rPr>
          <w:rFonts w:hint="eastAsia" w:cs="Times New Roman"/>
          <w:color w:val="auto"/>
          <w:highlight w:val="none"/>
          <w:lang w:val="en-US" w:eastAsia="zh-CN"/>
        </w:rPr>
        <w:t>1</w:t>
      </w:r>
      <w:r>
        <w:rPr>
          <w:rFonts w:hint="eastAsia" w:eastAsia="宋体" w:cs="Times New Roman"/>
          <w:color w:val="auto"/>
          <w:highlight w:val="none"/>
        </w:rPr>
        <w:t>项规定的投标截止时间（开标时间）起遵循</w:t>
      </w:r>
      <w:r>
        <w:rPr>
          <w:rFonts w:hint="eastAsia" w:hAnsi="宋体" w:eastAsia="宋体" w:cs="Times New Roman"/>
          <w:color w:val="auto"/>
          <w:highlight w:val="none"/>
        </w:rPr>
        <w:t>本投标函</w:t>
      </w:r>
      <w:r>
        <w:rPr>
          <w:rFonts w:hint="eastAsia" w:eastAsia="宋体" w:cs="Times New Roman"/>
          <w:color w:val="auto"/>
          <w:highlight w:val="none"/>
        </w:rPr>
        <w:t>，并承诺在“投标人须知前附表”第17.2项规定的投标有效期内不修改、撤销投标文件。</w:t>
      </w:r>
    </w:p>
    <w:p w14:paraId="287421A2">
      <w:pPr>
        <w:pStyle w:val="17"/>
        <w:spacing w:line="360" w:lineRule="exact"/>
        <w:ind w:firstLine="420" w:firstLineChars="200"/>
        <w:rPr>
          <w:rFonts w:hint="eastAsia" w:eastAsia="宋体" w:cs="Times New Roman"/>
          <w:color w:val="auto"/>
          <w:highlight w:val="none"/>
          <w:u w:val="single"/>
        </w:rPr>
      </w:pPr>
      <w:r>
        <w:rPr>
          <w:rFonts w:hint="eastAsia" w:eastAsia="宋体" w:cs="Times New Roman"/>
          <w:color w:val="auto"/>
          <w:highlight w:val="none"/>
        </w:rPr>
        <w:t>3、我方</w:t>
      </w:r>
      <w:r>
        <w:rPr>
          <w:rFonts w:hint="eastAsia" w:ascii="宋体" w:hAnsi="宋体" w:eastAsia="宋体" w:cs="宋体"/>
          <w:color w:val="auto"/>
          <w:kern w:val="0"/>
          <w:sz w:val="20"/>
          <w:szCs w:val="21"/>
          <w:highlight w:val="none"/>
          <w:lang w:val="zh-CN" w:eastAsia="zh-CN"/>
        </w:rPr>
        <w:t>在此声明</w:t>
      </w:r>
      <w:r>
        <w:rPr>
          <w:rFonts w:hint="eastAsia" w:eastAsia="宋体" w:cs="Times New Roman"/>
          <w:color w:val="auto"/>
          <w:highlight w:val="none"/>
        </w:rPr>
        <w:t>所递交的投标文件及有关资料都是内容完整、真实和准确的。</w:t>
      </w:r>
    </w:p>
    <w:p w14:paraId="6D14E753">
      <w:pPr>
        <w:pStyle w:val="17"/>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4、</w:t>
      </w:r>
      <w:r>
        <w:rPr>
          <w:rFonts w:hint="eastAsia" w:eastAsia="宋体" w:cs="Times New Roman"/>
          <w:color w:val="auto"/>
          <w:szCs w:val="21"/>
          <w:highlight w:val="none"/>
        </w:rPr>
        <w:t>如本项目采购内容涉及须符合国家强制规定的，我方承诺我方本次投标（包括资格条件和所投产品）均符合国家有关强制规定。</w:t>
      </w:r>
    </w:p>
    <w:p w14:paraId="6AA84280">
      <w:pPr>
        <w:pStyle w:val="17"/>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5、如我方中标，我方承诺在收到中标通知书后，在中标通知书规定的期限内，</w:t>
      </w:r>
      <w:r>
        <w:rPr>
          <w:rFonts w:hint="eastAsia" w:hAnsi="宋体" w:eastAsia="宋体" w:cs="Times New Roman"/>
          <w:color w:val="auto"/>
          <w:highlight w:val="none"/>
        </w:rPr>
        <w:t>根据招标文件、我方的投标文件及有关澄清承诺书的要求按第五章“拟签订的合同文本”与采购人订立书面合同，并按照合同约定</w:t>
      </w:r>
      <w:r>
        <w:rPr>
          <w:rFonts w:hint="eastAsia" w:eastAsia="宋体" w:cs="Times New Roman"/>
          <w:color w:val="auto"/>
          <w:highlight w:val="none"/>
        </w:rPr>
        <w:t>承担完成合同的责任和义务。</w:t>
      </w:r>
    </w:p>
    <w:p w14:paraId="5E85B5F6">
      <w:pPr>
        <w:pStyle w:val="17"/>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6、我方已详细审核招标文件，我方知道必须放弃提出含糊不清或误解问题的权利。</w:t>
      </w:r>
    </w:p>
    <w:p w14:paraId="1BD37A0A">
      <w:pPr>
        <w:pStyle w:val="17"/>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7、我方同意应贵方要求提供与本投标有关的任何数据或资料。若贵方需要，我方愿意提供我方作出的一切承诺的证明材料。</w:t>
      </w:r>
    </w:p>
    <w:p w14:paraId="5E7A1139">
      <w:pPr>
        <w:pStyle w:val="17"/>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8、我方完全理解贵方不一定接受投标报价最低的投标人为中标</w:t>
      </w:r>
      <w:r>
        <w:rPr>
          <w:rFonts w:hint="eastAsia" w:cs="Times New Roman"/>
          <w:color w:val="auto"/>
          <w:highlight w:val="none"/>
          <w:lang w:val="en-US" w:eastAsia="zh-CN"/>
        </w:rPr>
        <w:t>人</w:t>
      </w:r>
      <w:r>
        <w:rPr>
          <w:rFonts w:hint="eastAsia" w:eastAsia="宋体" w:cs="Times New Roman"/>
          <w:color w:val="auto"/>
          <w:highlight w:val="none"/>
        </w:rPr>
        <w:t>的行为。</w:t>
      </w:r>
    </w:p>
    <w:p w14:paraId="3DFB8B94">
      <w:pPr>
        <w:pStyle w:val="17"/>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9、我方将严格遵守《中华人民共和国政府采购法》第七十七条的规定，即供应商有下列情形之一的，处以采购金额千分之五以上千分之十</w:t>
      </w:r>
      <w:r>
        <w:rPr>
          <w:rFonts w:hint="eastAsia" w:hAnsi="宋体" w:eastAsia="宋体" w:cs="Times New Roman"/>
          <w:color w:val="auto"/>
          <w:highlight w:val="none"/>
        </w:rPr>
        <w:t>以下的罚款，列入不良行为记录名单，在一至三年内禁止参加政府采购活动，有违法所得的，并处没收违法所得，情节严重的，由工商行政管理机关吊销营业执照；构成犯罪的，依法追究刑事责任：</w:t>
      </w:r>
    </w:p>
    <w:p w14:paraId="293418C9">
      <w:pPr>
        <w:pStyle w:val="17"/>
        <w:numPr>
          <w:ilvl w:val="0"/>
          <w:numId w:val="5"/>
        </w:numPr>
        <w:spacing w:line="440" w:lineRule="exact"/>
        <w:ind w:left="1140" w:hanging="720"/>
        <w:rPr>
          <w:rFonts w:hint="eastAsia" w:hAnsi="宋体" w:eastAsia="宋体" w:cs="Times New Roman"/>
          <w:color w:val="auto"/>
          <w:highlight w:val="none"/>
        </w:rPr>
      </w:pPr>
      <w:r>
        <w:rPr>
          <w:rFonts w:hint="eastAsia" w:hAnsi="宋体" w:eastAsia="宋体" w:cs="Times New Roman"/>
          <w:color w:val="auto"/>
          <w:highlight w:val="none"/>
        </w:rPr>
        <w:t>提供虚假材料谋取中标、成交的；</w:t>
      </w:r>
    </w:p>
    <w:p w14:paraId="5F5031FC">
      <w:pPr>
        <w:pStyle w:val="17"/>
        <w:numPr>
          <w:ilvl w:val="0"/>
          <w:numId w:val="5"/>
        </w:numPr>
        <w:spacing w:line="440" w:lineRule="exact"/>
        <w:ind w:left="1140" w:hanging="720"/>
        <w:rPr>
          <w:rFonts w:hint="eastAsia" w:hAnsi="宋体" w:eastAsia="宋体" w:cs="Times New Roman"/>
          <w:color w:val="auto"/>
          <w:highlight w:val="none"/>
        </w:rPr>
      </w:pPr>
      <w:r>
        <w:rPr>
          <w:rFonts w:hint="eastAsia" w:hAnsi="宋体" w:eastAsia="宋体" w:cs="Times New Roman"/>
          <w:color w:val="auto"/>
          <w:highlight w:val="none"/>
        </w:rPr>
        <w:t>采取不正当手段诋毁、排挤其他供应商的；</w:t>
      </w:r>
    </w:p>
    <w:p w14:paraId="17B2A7A9">
      <w:pPr>
        <w:pStyle w:val="17"/>
        <w:numPr>
          <w:ilvl w:val="0"/>
          <w:numId w:val="5"/>
        </w:numPr>
        <w:spacing w:line="440" w:lineRule="exact"/>
        <w:ind w:left="1140" w:hanging="720"/>
        <w:rPr>
          <w:rFonts w:hint="eastAsia" w:eastAsia="宋体" w:cs="Times New Roman"/>
          <w:color w:val="auto"/>
          <w:highlight w:val="none"/>
        </w:rPr>
      </w:pPr>
      <w:r>
        <w:rPr>
          <w:rFonts w:hint="eastAsia" w:hAnsi="宋体" w:eastAsia="宋体" w:cs="Times New Roman"/>
          <w:color w:val="auto"/>
          <w:highlight w:val="none"/>
        </w:rPr>
        <w:t>与采购人、其他供应商或者采购代理机构恶意串通的；</w:t>
      </w:r>
    </w:p>
    <w:p w14:paraId="71E95C42">
      <w:pPr>
        <w:pStyle w:val="17"/>
        <w:numPr>
          <w:ilvl w:val="0"/>
          <w:numId w:val="5"/>
        </w:numPr>
        <w:spacing w:line="440" w:lineRule="exact"/>
        <w:ind w:left="1140" w:hanging="720"/>
        <w:rPr>
          <w:rFonts w:hint="eastAsia" w:eastAsia="宋体" w:cs="Times New Roman"/>
          <w:color w:val="auto"/>
          <w:highlight w:val="none"/>
        </w:rPr>
      </w:pPr>
      <w:r>
        <w:rPr>
          <w:rFonts w:hint="eastAsia" w:hAnsi="宋体" w:eastAsia="宋体" w:cs="Times New Roman"/>
          <w:color w:val="auto"/>
          <w:highlight w:val="none"/>
        </w:rPr>
        <w:t>向采购人、采购代理机构行贿或者提供其他不正当利益的；</w:t>
      </w:r>
    </w:p>
    <w:p w14:paraId="3807C476">
      <w:pPr>
        <w:pStyle w:val="17"/>
        <w:numPr>
          <w:ilvl w:val="0"/>
          <w:numId w:val="5"/>
        </w:numPr>
        <w:spacing w:line="440" w:lineRule="exact"/>
        <w:ind w:left="1140" w:hanging="720"/>
        <w:rPr>
          <w:rFonts w:hint="eastAsia" w:eastAsia="宋体" w:cs="Times New Roman"/>
          <w:color w:val="auto"/>
          <w:highlight w:val="none"/>
        </w:rPr>
      </w:pPr>
      <w:r>
        <w:rPr>
          <w:rFonts w:hint="eastAsia" w:hAnsi="宋体" w:eastAsia="宋体" w:cs="Times New Roman"/>
          <w:color w:val="auto"/>
          <w:highlight w:val="none"/>
        </w:rPr>
        <w:t>在招标采购过程中与采购人进行协商谈判的；</w:t>
      </w:r>
    </w:p>
    <w:p w14:paraId="6B8902B7">
      <w:pPr>
        <w:pStyle w:val="17"/>
        <w:numPr>
          <w:ilvl w:val="0"/>
          <w:numId w:val="5"/>
        </w:numPr>
        <w:spacing w:line="440" w:lineRule="exact"/>
        <w:ind w:left="1140" w:hanging="720"/>
        <w:rPr>
          <w:rFonts w:hint="eastAsia" w:eastAsia="宋体" w:cs="Times New Roman"/>
          <w:color w:val="auto"/>
          <w:highlight w:val="none"/>
        </w:rPr>
      </w:pPr>
      <w:r>
        <w:rPr>
          <w:rFonts w:hint="eastAsia" w:hAnsi="宋体" w:eastAsia="宋体" w:cs="Times New Roman"/>
          <w:color w:val="auto"/>
          <w:highlight w:val="none"/>
        </w:rPr>
        <w:t>拒绝有关部门监督检查或提供虚假情况的。</w:t>
      </w:r>
    </w:p>
    <w:p w14:paraId="1782AD15">
      <w:pPr>
        <w:pStyle w:val="17"/>
        <w:spacing w:line="360" w:lineRule="auto"/>
        <w:ind w:firstLine="420"/>
        <w:rPr>
          <w:rFonts w:hint="eastAsia" w:eastAsia="宋体" w:cs="Times New Roman"/>
          <w:color w:val="auto"/>
          <w:highlight w:val="none"/>
        </w:rPr>
      </w:pPr>
      <w:r>
        <w:rPr>
          <w:rFonts w:hint="eastAsia" w:eastAsia="宋体" w:cs="Times New Roman"/>
          <w:color w:val="auto"/>
          <w:highlight w:val="none"/>
        </w:rPr>
        <w:t>10、以上事项如有虚假或</w:t>
      </w:r>
      <w:r>
        <w:rPr>
          <w:rFonts w:hint="eastAsia" w:cs="Times New Roman"/>
          <w:color w:val="auto"/>
          <w:highlight w:val="none"/>
          <w:lang w:val="en-US" w:eastAsia="zh-CN"/>
        </w:rPr>
        <w:t>者</w:t>
      </w:r>
      <w:r>
        <w:rPr>
          <w:rFonts w:hint="eastAsia" w:eastAsia="宋体" w:cs="Times New Roman"/>
          <w:color w:val="auto"/>
          <w:highlight w:val="none"/>
        </w:rPr>
        <w:t>隐瞒，我方愿意承担一切后果，并不再寻求任何旨在减轻或</w:t>
      </w:r>
      <w:r>
        <w:rPr>
          <w:rFonts w:hint="eastAsia" w:cs="Times New Roman"/>
          <w:color w:val="auto"/>
          <w:highlight w:val="none"/>
          <w:lang w:val="en-US" w:eastAsia="zh-CN"/>
        </w:rPr>
        <w:t>者</w:t>
      </w:r>
      <w:r>
        <w:rPr>
          <w:rFonts w:hint="eastAsia" w:eastAsia="宋体" w:cs="Times New Roman"/>
          <w:color w:val="auto"/>
          <w:highlight w:val="none"/>
        </w:rPr>
        <w:t>免除法律责任的辩解。</w:t>
      </w:r>
    </w:p>
    <w:p w14:paraId="3F561FA9">
      <w:pPr>
        <w:pStyle w:val="17"/>
        <w:spacing w:line="360" w:lineRule="auto"/>
        <w:ind w:firstLine="420"/>
        <w:rPr>
          <w:rFonts w:hint="eastAsia" w:eastAsia="宋体" w:cs="Times New Roman"/>
          <w:color w:val="auto"/>
          <w:highlight w:val="none"/>
        </w:rPr>
      </w:pPr>
      <w:r>
        <w:rPr>
          <w:rFonts w:hint="eastAsia" w:eastAsia="宋体" w:cs="Times New Roman"/>
          <w:color w:val="auto"/>
          <w:highlight w:val="none"/>
        </w:rPr>
        <w:t>1</w:t>
      </w:r>
      <w:r>
        <w:rPr>
          <w:rFonts w:hint="eastAsia" w:cs="Times New Roman"/>
          <w:color w:val="auto"/>
          <w:highlight w:val="none"/>
          <w:lang w:val="en-US" w:eastAsia="zh-CN"/>
        </w:rPr>
        <w:t>1</w:t>
      </w:r>
      <w:r>
        <w:rPr>
          <w:rFonts w:hint="eastAsia" w:eastAsia="宋体" w:cs="Times New Roman"/>
          <w:color w:val="auto"/>
          <w:highlight w:val="none"/>
        </w:rPr>
        <w:t>、与本投标有关的一切正式往来信函请寄：</w:t>
      </w:r>
    </w:p>
    <w:p w14:paraId="2A8A4F15">
      <w:pPr>
        <w:pStyle w:val="17"/>
        <w:spacing w:line="360" w:lineRule="auto"/>
        <w:ind w:firstLine="420"/>
        <w:rPr>
          <w:rFonts w:hint="eastAsia" w:eastAsia="宋体" w:cs="Times New Roman"/>
          <w:color w:val="auto"/>
          <w:highlight w:val="none"/>
        </w:rPr>
      </w:pPr>
      <w:r>
        <w:rPr>
          <w:rFonts w:hint="eastAsia" w:eastAsia="宋体" w:cs="Times New Roman"/>
          <w:color w:val="auto"/>
          <w:highlight w:val="none"/>
        </w:rPr>
        <w:t>地址：</w:t>
      </w:r>
      <w:r>
        <w:rPr>
          <w:rFonts w:hint="eastAsia" w:eastAsia="宋体" w:cs="Times New Roman"/>
          <w:color w:val="auto"/>
          <w:highlight w:val="none"/>
          <w:u w:val="single"/>
        </w:rPr>
        <w:t xml:space="preserve">                                                        </w:t>
      </w:r>
      <w:r>
        <w:rPr>
          <w:rFonts w:hint="eastAsia" w:eastAsia="宋体" w:cs="Times New Roman"/>
          <w:color w:val="auto"/>
          <w:highlight w:val="none"/>
        </w:rPr>
        <w:t xml:space="preserve"> </w:t>
      </w:r>
    </w:p>
    <w:p w14:paraId="33589778">
      <w:pPr>
        <w:pStyle w:val="17"/>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电话：</w:t>
      </w:r>
      <w:r>
        <w:rPr>
          <w:rFonts w:hint="eastAsia" w:eastAsia="宋体" w:cs="Times New Roman"/>
          <w:color w:val="auto"/>
          <w:highlight w:val="none"/>
          <w:u w:val="single"/>
        </w:rPr>
        <w:t xml:space="preserve">                                      　　　　　　　　　</w:t>
      </w:r>
    </w:p>
    <w:p w14:paraId="1B53926C">
      <w:pPr>
        <w:pStyle w:val="17"/>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传真：</w:t>
      </w:r>
      <w:r>
        <w:rPr>
          <w:rFonts w:hint="eastAsia" w:eastAsia="宋体" w:cs="Times New Roman"/>
          <w:color w:val="auto"/>
          <w:highlight w:val="none"/>
          <w:u w:val="single"/>
        </w:rPr>
        <w:t>　　　　　　　　　　　　　　　　　　　　　　　　　　　　</w:t>
      </w:r>
    </w:p>
    <w:p w14:paraId="6894DF0A">
      <w:pPr>
        <w:pStyle w:val="9"/>
        <w:spacing w:line="360" w:lineRule="auto"/>
        <w:ind w:left="0" w:firstLine="420" w:firstLineChars="200"/>
        <w:rPr>
          <w:rFonts w:hint="eastAsia"/>
          <w:color w:val="auto"/>
          <w:highlight w:val="none"/>
        </w:rPr>
      </w:pPr>
      <w:r>
        <w:rPr>
          <w:rFonts w:hint="eastAsia"/>
          <w:color w:val="auto"/>
          <w:highlight w:val="none"/>
          <w:u w:val="none"/>
        </w:rPr>
        <w:t>电子邮箱：</w:t>
      </w:r>
      <w:r>
        <w:rPr>
          <w:rFonts w:hint="eastAsia" w:eastAsia="宋体" w:cs="Times New Roman"/>
          <w:color w:val="auto"/>
          <w:highlight w:val="none"/>
          <w:u w:val="single"/>
        </w:rPr>
        <w:t>　　　　　　　　　　　　　　　　　　　　　　　　　　</w:t>
      </w:r>
    </w:p>
    <w:p w14:paraId="27075838">
      <w:pPr>
        <w:pStyle w:val="17"/>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邮政编码：</w:t>
      </w:r>
      <w:r>
        <w:rPr>
          <w:rFonts w:hint="eastAsia" w:eastAsia="宋体" w:cs="Times New Roman"/>
          <w:color w:val="auto"/>
          <w:highlight w:val="none"/>
          <w:u w:val="single"/>
        </w:rPr>
        <w:t xml:space="preserve">                                                    </w:t>
      </w:r>
    </w:p>
    <w:p w14:paraId="5E72892A">
      <w:pPr>
        <w:pStyle w:val="17"/>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开户名称：</w:t>
      </w:r>
      <w:r>
        <w:rPr>
          <w:rFonts w:hint="eastAsia" w:eastAsia="宋体" w:cs="Times New Roman"/>
          <w:color w:val="auto"/>
          <w:highlight w:val="none"/>
          <w:u w:val="single"/>
        </w:rPr>
        <w:t xml:space="preserve">                                                    </w:t>
      </w:r>
    </w:p>
    <w:p w14:paraId="60D89B87">
      <w:pPr>
        <w:pStyle w:val="17"/>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开户银行：</w:t>
      </w:r>
      <w:r>
        <w:rPr>
          <w:rFonts w:hint="eastAsia" w:eastAsia="宋体" w:cs="Times New Roman"/>
          <w:color w:val="auto"/>
          <w:highlight w:val="none"/>
          <w:u w:val="single"/>
        </w:rPr>
        <w:t xml:space="preserve">                                                    </w:t>
      </w:r>
    </w:p>
    <w:p w14:paraId="1B8A1155">
      <w:pPr>
        <w:pStyle w:val="17"/>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银行账号：</w:t>
      </w:r>
      <w:r>
        <w:rPr>
          <w:rFonts w:hint="eastAsia" w:eastAsia="宋体" w:cs="Times New Roman"/>
          <w:color w:val="auto"/>
          <w:highlight w:val="none"/>
          <w:u w:val="single"/>
        </w:rPr>
        <w:t xml:space="preserve">                                                    </w:t>
      </w:r>
    </w:p>
    <w:p w14:paraId="3194D497">
      <w:pPr>
        <w:snapToGrid w:val="0"/>
        <w:spacing w:line="360" w:lineRule="auto"/>
        <w:ind w:firstLine="5040" w:firstLineChars="2100"/>
        <w:rPr>
          <w:rFonts w:hint="eastAsia" w:ascii="仿宋_GB2312" w:hAnsi="仿宋" w:eastAsia="仿宋_GB2312" w:cs="仿宋_GB2312"/>
          <w:color w:val="auto"/>
          <w:kern w:val="0"/>
          <w:sz w:val="24"/>
          <w:highlight w:val="none"/>
          <w:lang w:val="zh-CN"/>
        </w:rPr>
      </w:pPr>
    </w:p>
    <w:p w14:paraId="371F69C9">
      <w:pPr>
        <w:snapToGrid w:val="0"/>
        <w:spacing w:line="360" w:lineRule="auto"/>
        <w:ind w:firstLine="5040" w:firstLineChars="2100"/>
        <w:rPr>
          <w:rFonts w:hint="eastAsia" w:ascii="仿宋_GB2312" w:hAnsi="仿宋" w:eastAsia="仿宋_GB2312" w:cs="仿宋_GB2312"/>
          <w:color w:val="auto"/>
          <w:kern w:val="0"/>
          <w:sz w:val="24"/>
          <w:highlight w:val="none"/>
          <w:lang w:val="zh-CN"/>
        </w:rPr>
      </w:pPr>
    </w:p>
    <w:p w14:paraId="5AE98BFC">
      <w:pPr>
        <w:snapToGrid w:val="0"/>
        <w:spacing w:line="360" w:lineRule="auto"/>
        <w:ind w:firstLine="5280" w:firstLineChars="2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14:paraId="602E3EB7">
      <w:pPr>
        <w:snapToGrid w:val="0"/>
        <w:spacing w:line="360" w:lineRule="auto"/>
        <w:ind w:firstLine="5280" w:firstLineChars="2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762F800E">
      <w:pPr>
        <w:widowControl/>
        <w:spacing w:line="360" w:lineRule="auto"/>
        <w:jc w:val="left"/>
        <w:rPr>
          <w:rFonts w:ascii="仿宋_GB2312" w:hAnsi="仿宋" w:eastAsia="仿宋_GB2312" w:cs="仿宋_GB2312"/>
          <w:color w:val="auto"/>
          <w:kern w:val="0"/>
          <w:sz w:val="24"/>
          <w:highlight w:val="none"/>
          <w:lang w:val="zh-CN"/>
        </w:rPr>
        <w:sectPr>
          <w:pgSz w:w="11905" w:h="16838"/>
          <w:pgMar w:top="1134" w:right="1134" w:bottom="1134" w:left="1134" w:header="850" w:footer="850" w:gutter="0"/>
          <w:pgNumType w:fmt="decimal"/>
          <w:cols w:space="0" w:num="1"/>
          <w:titlePg/>
          <w:rtlGutter w:val="0"/>
          <w:docGrid w:linePitch="331" w:charSpace="0"/>
        </w:sectPr>
      </w:pPr>
    </w:p>
    <w:p w14:paraId="16325808">
      <w:pPr>
        <w:pStyle w:val="17"/>
        <w:spacing w:line="360" w:lineRule="auto"/>
        <w:jc w:val="left"/>
        <w:outlineLvl w:val="3"/>
        <w:rPr>
          <w:rFonts w:hint="eastAsia" w:hAnsi="宋体" w:cs="宋体"/>
          <w:b/>
          <w:bCs w:val="0"/>
          <w:color w:val="auto"/>
          <w:sz w:val="28"/>
          <w:szCs w:val="28"/>
          <w:highlight w:val="none"/>
        </w:rPr>
      </w:pPr>
      <w:r>
        <w:rPr>
          <w:rFonts w:hint="eastAsia" w:ascii="宋体" w:hAnsi="宋体" w:eastAsia="宋体" w:cs="宋体"/>
          <w:b/>
          <w:bCs w:val="0"/>
          <w:color w:val="auto"/>
          <w:sz w:val="28"/>
          <w:szCs w:val="28"/>
          <w:highlight w:val="none"/>
          <w:lang w:val="en-US"/>
        </w:rPr>
        <w:t>4</w:t>
      </w:r>
      <w:r>
        <w:rPr>
          <w:rFonts w:hint="eastAsia" w:ascii="宋体" w:hAnsi="宋体" w:eastAsia="宋体" w:cs="宋体"/>
          <w:b/>
          <w:bCs w:val="0"/>
          <w:color w:val="auto"/>
          <w:sz w:val="28"/>
          <w:szCs w:val="28"/>
          <w:highlight w:val="none"/>
        </w:rPr>
        <w:t>. 开标一览表</w:t>
      </w:r>
      <w:r>
        <w:rPr>
          <w:rFonts w:hint="eastAsia" w:hAnsi="宋体" w:cs="宋体"/>
          <w:b/>
          <w:bCs w:val="0"/>
          <w:color w:val="auto"/>
          <w:sz w:val="28"/>
          <w:szCs w:val="28"/>
          <w:highlight w:val="none"/>
          <w:lang w:eastAsia="zh-CN"/>
        </w:rPr>
        <w:t>的</w:t>
      </w:r>
      <w:r>
        <w:rPr>
          <w:rFonts w:hint="eastAsia" w:ascii="宋体" w:hAnsi="宋体" w:eastAsia="宋体" w:cs="宋体"/>
          <w:b/>
          <w:bCs w:val="0"/>
          <w:color w:val="auto"/>
          <w:sz w:val="28"/>
          <w:szCs w:val="28"/>
          <w:highlight w:val="none"/>
        </w:rPr>
        <w:t>格式</w:t>
      </w:r>
      <w:r>
        <w:rPr>
          <w:rFonts w:hint="eastAsia" w:hAnsi="宋体" w:cs="宋体"/>
          <w:b/>
          <w:bCs w:val="0"/>
          <w:color w:val="auto"/>
          <w:sz w:val="28"/>
          <w:szCs w:val="28"/>
          <w:highlight w:val="none"/>
          <w:lang w:eastAsia="zh-CN"/>
        </w:rPr>
        <w:t>：</w:t>
      </w:r>
    </w:p>
    <w:p w14:paraId="64A1EF95">
      <w:pPr>
        <w:pStyle w:val="17"/>
        <w:spacing w:line="360" w:lineRule="auto"/>
        <w:jc w:val="center"/>
        <w:rPr>
          <w:rFonts w:hint="eastAsia" w:eastAsia="宋体" w:cs="Times New Roman"/>
          <w:b/>
          <w:color w:val="auto"/>
          <w:sz w:val="30"/>
          <w:szCs w:val="30"/>
          <w:highlight w:val="none"/>
        </w:rPr>
      </w:pPr>
      <w:r>
        <w:rPr>
          <w:rFonts w:hint="eastAsia" w:eastAsia="宋体" w:cs="Times New Roman"/>
          <w:b/>
          <w:color w:val="auto"/>
          <w:sz w:val="30"/>
          <w:szCs w:val="30"/>
          <w:highlight w:val="none"/>
        </w:rPr>
        <w:t>开标一览表</w:t>
      </w:r>
    </w:p>
    <w:p w14:paraId="4DCF89B8">
      <w:pPr>
        <w:snapToGrid w:val="0"/>
        <w:spacing w:before="50" w:after="50" w:line="360" w:lineRule="auto"/>
        <w:rPr>
          <w:rFonts w:hint="eastAsia" w:ascii="宋体" w:hAnsi="宋体" w:cs="Times New Roman"/>
          <w:color w:val="auto"/>
          <w:sz w:val="24"/>
          <w:highlight w:val="none"/>
          <w:u w:val="none"/>
          <w:lang w:val="en-US" w:eastAsia="zh-CN"/>
        </w:rPr>
      </w:pPr>
      <w:r>
        <w:rPr>
          <w:rFonts w:hint="eastAsia" w:ascii="宋体" w:hAnsi="宋体" w:eastAsia="宋体" w:cs="Times New Roman"/>
          <w:color w:val="auto"/>
          <w:sz w:val="24"/>
          <w:highlight w:val="none"/>
        </w:rPr>
        <w:t>项目名称：</w:t>
      </w:r>
      <w:r>
        <w:rPr>
          <w:rFonts w:hint="eastAsia" w:ascii="宋体" w:hAnsi="宋体" w:cs="Times New Roman"/>
          <w:color w:val="auto"/>
          <w:sz w:val="24"/>
          <w:highlight w:val="none"/>
          <w:u w:val="none"/>
          <w:lang w:eastAsia="zh-CN"/>
        </w:rPr>
        <w:t xml:space="preserve"> </w:t>
      </w:r>
      <w:r>
        <w:rPr>
          <w:rFonts w:hint="eastAsia" w:ascii="宋体" w:hAnsi="宋体" w:cs="Times New Roman"/>
          <w:color w:val="auto"/>
          <w:sz w:val="24"/>
          <w:highlight w:val="none"/>
          <w:u w:val="none"/>
          <w:lang w:val="en-US" w:eastAsia="zh-CN"/>
        </w:rPr>
        <w:t xml:space="preserve">                      </w:t>
      </w:r>
    </w:p>
    <w:p w14:paraId="34C124B7">
      <w:pPr>
        <w:snapToGrid w:val="0"/>
        <w:spacing w:before="50" w:after="50" w:line="360" w:lineRule="auto"/>
        <w:rPr>
          <w:rFonts w:hint="eastAsia" w:ascii="宋体" w:hAnsi="宋体" w:cs="Times New Roman"/>
          <w:color w:val="auto"/>
          <w:sz w:val="24"/>
          <w:highlight w:val="none"/>
          <w:u w:val="none"/>
          <w:lang w:val="en-US" w:eastAsia="zh-CN"/>
        </w:rPr>
      </w:pPr>
      <w:r>
        <w:rPr>
          <w:rFonts w:hint="eastAsia" w:ascii="宋体" w:hAnsi="宋体" w:eastAsia="宋体" w:cs="Times New Roman"/>
          <w:color w:val="auto"/>
          <w:sz w:val="24"/>
          <w:highlight w:val="none"/>
        </w:rPr>
        <w:t>项目编号：</w:t>
      </w:r>
      <w:r>
        <w:rPr>
          <w:rFonts w:hint="eastAsia" w:ascii="宋体" w:hAnsi="宋体" w:cs="Times New Roman"/>
          <w:color w:val="auto"/>
          <w:sz w:val="24"/>
          <w:highlight w:val="none"/>
          <w:u w:val="none"/>
          <w:lang w:eastAsia="zh-CN"/>
        </w:rPr>
        <w:t xml:space="preserve"> </w:t>
      </w:r>
      <w:r>
        <w:rPr>
          <w:rFonts w:hint="eastAsia" w:ascii="宋体" w:hAnsi="宋体" w:cs="Times New Roman"/>
          <w:color w:val="auto"/>
          <w:sz w:val="24"/>
          <w:highlight w:val="none"/>
          <w:u w:val="none"/>
          <w:lang w:val="en-US" w:eastAsia="zh-CN"/>
        </w:rPr>
        <w:t xml:space="preserve">  </w:t>
      </w:r>
    </w:p>
    <w:p w14:paraId="273A666E">
      <w:pPr>
        <w:snapToGrid w:val="0"/>
        <w:spacing w:before="50" w:after="50" w:line="360" w:lineRule="auto"/>
        <w:rPr>
          <w:rFonts w:hint="eastAsia" w:ascii="宋体" w:hAnsi="宋体" w:eastAsia="宋体" w:cs="Times New Roman"/>
          <w:color w:val="auto"/>
          <w:sz w:val="24"/>
          <w:highlight w:val="none"/>
          <w:u w:val="single"/>
        </w:rPr>
      </w:pPr>
      <w:r>
        <w:rPr>
          <w:rFonts w:hint="eastAsia" w:ascii="宋体" w:hAnsi="宋体" w:cs="宋体"/>
          <w:bCs/>
          <w:color w:val="auto"/>
          <w:sz w:val="24"/>
          <w:highlight w:val="none"/>
        </w:rPr>
        <w:t>所投分标（如有则填写，无分标时填写“无”或者留空）：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tbl>
      <w:tblPr>
        <w:tblStyle w:val="25"/>
        <w:tblW w:w="926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375"/>
        <w:gridCol w:w="2413"/>
        <w:gridCol w:w="2404"/>
        <w:gridCol w:w="1075"/>
      </w:tblGrid>
      <w:tr w14:paraId="465895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3" w:hRule="atLeast"/>
          <w:jc w:val="center"/>
        </w:trPr>
        <w:tc>
          <w:tcPr>
            <w:tcW w:w="3375" w:type="dxa"/>
            <w:tcBorders>
              <w:top w:val="single" w:color="auto" w:sz="4" w:space="0"/>
              <w:left w:val="single" w:color="auto" w:sz="4" w:space="0"/>
              <w:bottom w:val="single" w:color="auto" w:sz="4" w:space="0"/>
              <w:right w:val="single" w:color="auto" w:sz="4" w:space="0"/>
            </w:tcBorders>
            <w:noWrap w:val="0"/>
            <w:vAlign w:val="center"/>
          </w:tcPr>
          <w:p w14:paraId="4BE01EB2">
            <w:pPr>
              <w:shd w:val="clear" w:color="auto" w:fill="auto"/>
              <w:spacing w:line="4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服务项目名称</w:t>
            </w:r>
          </w:p>
        </w:tc>
        <w:tc>
          <w:tcPr>
            <w:tcW w:w="2413" w:type="dxa"/>
            <w:tcBorders>
              <w:top w:val="single" w:color="auto" w:sz="4" w:space="0"/>
              <w:left w:val="single" w:color="auto" w:sz="4" w:space="0"/>
              <w:bottom w:val="single" w:color="auto" w:sz="4" w:space="0"/>
              <w:right w:val="single" w:color="auto" w:sz="4" w:space="0"/>
            </w:tcBorders>
            <w:noWrap w:val="0"/>
            <w:vAlign w:val="center"/>
          </w:tcPr>
          <w:p w14:paraId="5D1DE699">
            <w:pPr>
              <w:shd w:val="clear" w:color="auto" w:fill="auto"/>
              <w:spacing w:line="4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标的名称</w:t>
            </w:r>
          </w:p>
        </w:tc>
        <w:tc>
          <w:tcPr>
            <w:tcW w:w="2404" w:type="dxa"/>
            <w:tcBorders>
              <w:top w:val="single" w:color="auto" w:sz="4" w:space="0"/>
              <w:left w:val="single" w:color="auto" w:sz="4" w:space="0"/>
              <w:bottom w:val="single" w:color="auto" w:sz="4" w:space="0"/>
              <w:right w:val="single" w:color="auto" w:sz="4" w:space="0"/>
            </w:tcBorders>
            <w:noWrap w:val="0"/>
            <w:vAlign w:val="center"/>
          </w:tcPr>
          <w:p w14:paraId="0C7E66D2">
            <w:pPr>
              <w:shd w:val="clear" w:color="auto" w:fill="auto"/>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lang w:eastAsia="zh-CN"/>
              </w:rPr>
              <w:t>投标折扣率</w:t>
            </w:r>
          </w:p>
        </w:tc>
        <w:tc>
          <w:tcPr>
            <w:tcW w:w="1075" w:type="dxa"/>
            <w:tcBorders>
              <w:top w:val="single" w:color="auto" w:sz="4" w:space="0"/>
              <w:left w:val="single" w:color="auto" w:sz="4" w:space="0"/>
              <w:bottom w:val="single" w:color="auto" w:sz="4" w:space="0"/>
            </w:tcBorders>
            <w:noWrap w:val="0"/>
            <w:vAlign w:val="center"/>
          </w:tcPr>
          <w:p w14:paraId="776914F5">
            <w:pPr>
              <w:shd w:val="clear" w:color="auto" w:fill="auto"/>
              <w:spacing w:line="420" w:lineRule="exact"/>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14:paraId="759ECC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05" w:hRule="atLeast"/>
          <w:jc w:val="center"/>
        </w:trPr>
        <w:tc>
          <w:tcPr>
            <w:tcW w:w="3375" w:type="dxa"/>
            <w:tcBorders>
              <w:top w:val="single" w:color="auto" w:sz="4" w:space="0"/>
              <w:left w:val="single" w:color="auto" w:sz="4" w:space="0"/>
              <w:bottom w:val="single" w:color="auto" w:sz="4" w:space="0"/>
              <w:right w:val="single" w:color="auto" w:sz="4" w:space="0"/>
            </w:tcBorders>
            <w:noWrap w:val="0"/>
            <w:vAlign w:val="center"/>
          </w:tcPr>
          <w:p w14:paraId="39FD360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cs="宋体"/>
                <w:bCs/>
                <w:color w:val="auto"/>
                <w:sz w:val="24"/>
                <w:highlight w:val="none"/>
              </w:rPr>
            </w:pPr>
            <w:r>
              <w:rPr>
                <w:rFonts w:hint="eastAsia" w:cs="宋体"/>
                <w:color w:val="auto"/>
                <w:sz w:val="24"/>
                <w:szCs w:val="24"/>
                <w:highlight w:val="none"/>
                <w:lang w:eastAsia="zh-CN"/>
              </w:rPr>
              <w:t>贵港市江南中学食堂和小卖部部分大宗食品采购项目（重）</w:t>
            </w:r>
          </w:p>
        </w:tc>
        <w:tc>
          <w:tcPr>
            <w:tcW w:w="2413" w:type="dxa"/>
            <w:tcBorders>
              <w:top w:val="single" w:color="auto" w:sz="4" w:space="0"/>
              <w:left w:val="single" w:color="auto" w:sz="4" w:space="0"/>
              <w:bottom w:val="single" w:color="auto" w:sz="4" w:space="0"/>
              <w:right w:val="single" w:color="auto" w:sz="4" w:space="0"/>
            </w:tcBorders>
            <w:noWrap w:val="0"/>
            <w:vAlign w:val="center"/>
          </w:tcPr>
          <w:p w14:paraId="5E7B8551">
            <w:pPr>
              <w:shd w:val="clear" w:color="auto" w:fill="auto"/>
              <w:snapToGrid w:val="0"/>
              <w:spacing w:line="420" w:lineRule="exact"/>
              <w:jc w:val="center"/>
              <w:rPr>
                <w:rFonts w:ascii="宋体" w:hAnsi="宋体" w:cs="宋体"/>
                <w:color w:val="auto"/>
                <w:sz w:val="24"/>
                <w:highlight w:val="none"/>
              </w:rPr>
            </w:pPr>
          </w:p>
        </w:tc>
        <w:tc>
          <w:tcPr>
            <w:tcW w:w="2404" w:type="dxa"/>
            <w:tcBorders>
              <w:top w:val="single" w:color="auto" w:sz="4" w:space="0"/>
              <w:left w:val="single" w:color="auto" w:sz="4" w:space="0"/>
              <w:bottom w:val="single" w:color="auto" w:sz="4" w:space="0"/>
              <w:right w:val="single" w:color="auto" w:sz="4" w:space="0"/>
            </w:tcBorders>
            <w:noWrap w:val="0"/>
            <w:vAlign w:val="center"/>
          </w:tcPr>
          <w:p w14:paraId="5EC3EE32">
            <w:pPr>
              <w:shd w:val="clear" w:color="auto" w:fill="auto"/>
              <w:spacing w:line="420" w:lineRule="exact"/>
              <w:jc w:val="center"/>
              <w:rPr>
                <w:rFonts w:hint="eastAsia" w:ascii="宋体" w:hAnsi="宋体" w:cs="宋体"/>
                <w:bCs/>
                <w:color w:val="auto"/>
                <w:sz w:val="24"/>
                <w:highlight w:val="none"/>
              </w:rPr>
            </w:pPr>
            <w:r>
              <w:rPr>
                <w:rFonts w:hint="eastAsia" w:ascii="宋体" w:hAnsi="宋体" w:cs="宋体"/>
                <w:color w:val="auto"/>
                <w:sz w:val="24"/>
                <w:highlight w:val="none"/>
                <w:lang w:val="en-US" w:eastAsia="zh-CN"/>
              </w:rPr>
              <w:t>%</w:t>
            </w:r>
          </w:p>
        </w:tc>
        <w:tc>
          <w:tcPr>
            <w:tcW w:w="1075" w:type="dxa"/>
            <w:tcBorders>
              <w:top w:val="single" w:color="auto" w:sz="4" w:space="0"/>
              <w:left w:val="single" w:color="auto" w:sz="4" w:space="0"/>
              <w:bottom w:val="single" w:color="auto" w:sz="4" w:space="0"/>
            </w:tcBorders>
            <w:noWrap w:val="0"/>
            <w:vAlign w:val="center"/>
          </w:tcPr>
          <w:p w14:paraId="7BCB6EBF">
            <w:pPr>
              <w:shd w:val="clear" w:color="auto" w:fill="auto"/>
              <w:spacing w:line="420" w:lineRule="exact"/>
              <w:jc w:val="center"/>
              <w:rPr>
                <w:rFonts w:hint="eastAsia" w:ascii="宋体" w:hAnsi="宋体" w:cs="宋体"/>
                <w:bCs/>
                <w:color w:val="auto"/>
                <w:sz w:val="24"/>
                <w:highlight w:val="none"/>
              </w:rPr>
            </w:pPr>
          </w:p>
        </w:tc>
      </w:tr>
      <w:tr w14:paraId="242B9F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jc w:val="center"/>
        </w:trPr>
        <w:tc>
          <w:tcPr>
            <w:tcW w:w="9267" w:type="dxa"/>
            <w:gridSpan w:val="4"/>
            <w:tcBorders>
              <w:top w:val="single" w:color="auto" w:sz="4" w:space="0"/>
              <w:left w:val="single" w:color="auto" w:sz="4" w:space="0"/>
              <w:bottom w:val="single" w:color="auto" w:sz="4" w:space="0"/>
            </w:tcBorders>
            <w:noWrap w:val="0"/>
            <w:vAlign w:val="center"/>
          </w:tcPr>
          <w:p w14:paraId="63845634">
            <w:pPr>
              <w:shd w:val="clear" w:color="auto" w:fill="auto"/>
              <w:spacing w:line="420" w:lineRule="exact"/>
              <w:rPr>
                <w:rFonts w:hint="eastAsia" w:ascii="宋体" w:hAnsi="宋体" w:eastAsia="宋体" w:cs="宋体"/>
                <w:bCs/>
                <w:color w:val="auto"/>
                <w:sz w:val="24"/>
                <w:highlight w:val="none"/>
                <w:lang w:eastAsia="zh-CN"/>
              </w:rPr>
            </w:pPr>
            <w:r>
              <w:rPr>
                <w:rFonts w:hint="eastAsia" w:ascii="宋体" w:hAnsi="宋体" w:cs="宋体"/>
                <w:color w:val="auto"/>
                <w:spacing w:val="-6"/>
                <w:sz w:val="24"/>
                <w:highlight w:val="none"/>
                <w:lang w:eastAsia="zh-CN"/>
              </w:rPr>
              <w:t>投标折扣率</w:t>
            </w:r>
            <w:r>
              <w:rPr>
                <w:rFonts w:hint="eastAsia" w:ascii="宋体" w:hAnsi="宋体" w:cs="宋体"/>
                <w:color w:val="auto"/>
                <w:spacing w:val="-6"/>
                <w:sz w:val="24"/>
                <w:highlight w:val="none"/>
              </w:rPr>
              <w:t>：</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lang w:val="en-US" w:eastAsia="zh-CN"/>
              </w:rPr>
              <w:t>%</w:t>
            </w:r>
          </w:p>
        </w:tc>
      </w:tr>
      <w:tr w14:paraId="2E3949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88" w:hRule="atLeast"/>
          <w:jc w:val="center"/>
        </w:trPr>
        <w:tc>
          <w:tcPr>
            <w:tcW w:w="9267" w:type="dxa"/>
            <w:gridSpan w:val="4"/>
            <w:tcBorders>
              <w:top w:val="single" w:color="auto" w:sz="4" w:space="0"/>
              <w:left w:val="single" w:color="auto" w:sz="4" w:space="0"/>
              <w:bottom w:val="single" w:color="auto" w:sz="4" w:space="0"/>
            </w:tcBorders>
            <w:noWrap w:val="0"/>
            <w:vAlign w:val="center"/>
          </w:tcPr>
          <w:p w14:paraId="3A866D1B">
            <w:pPr>
              <w:shd w:val="clear" w:color="auto" w:fill="auto"/>
              <w:spacing w:line="240" w:lineRule="auto"/>
              <w:rPr>
                <w:rFonts w:hint="eastAsia" w:ascii="Times New Roman" w:hAnsi="Times New Roman"/>
                <w:color w:val="auto"/>
                <w:highlight w:val="none"/>
              </w:rPr>
            </w:pPr>
            <w:r>
              <w:rPr>
                <w:rFonts w:hint="eastAsia" w:ascii="宋体" w:hAnsi="宋体" w:cs="宋体"/>
                <w:color w:val="auto"/>
                <w:spacing w:val="-6"/>
                <w:sz w:val="24"/>
                <w:highlight w:val="none"/>
                <w:lang w:eastAsia="zh-CN"/>
              </w:rPr>
              <w:t>合同履行期限：</w:t>
            </w:r>
          </w:p>
        </w:tc>
      </w:tr>
      <w:tr w14:paraId="21792B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jc w:val="center"/>
        </w:trPr>
        <w:tc>
          <w:tcPr>
            <w:tcW w:w="9267" w:type="dxa"/>
            <w:gridSpan w:val="4"/>
            <w:tcBorders>
              <w:top w:val="single" w:color="auto" w:sz="4" w:space="0"/>
              <w:left w:val="single" w:color="auto" w:sz="4" w:space="0"/>
              <w:bottom w:val="single" w:color="auto" w:sz="4" w:space="0"/>
            </w:tcBorders>
            <w:noWrap w:val="0"/>
            <w:vAlign w:val="center"/>
          </w:tcPr>
          <w:p w14:paraId="6A3431FB">
            <w:pPr>
              <w:pStyle w:val="37"/>
              <w:numPr>
                <w:ilvl w:val="0"/>
                <w:numId w:val="0"/>
              </w:numPr>
              <w:tabs>
                <w:tab w:val="left" w:pos="1053"/>
              </w:tabs>
              <w:spacing w:before="110" w:line="240" w:lineRule="auto"/>
              <w:ind w:firstLine="418" w:firstLineChars="200"/>
              <w:jc w:val="left"/>
              <w:rPr>
                <w:rFonts w:hint="eastAsia" w:ascii="宋体" w:hAnsi="宋体" w:cs="宋体"/>
                <w:b/>
                <w:bCs/>
                <w:color w:val="auto"/>
                <w:spacing w:val="-6"/>
                <w:sz w:val="22"/>
                <w:szCs w:val="22"/>
                <w:highlight w:val="none"/>
              </w:rPr>
            </w:pPr>
            <w:r>
              <w:rPr>
                <w:rFonts w:hint="eastAsia" w:ascii="宋体" w:hAnsi="宋体" w:cs="宋体"/>
                <w:b/>
                <w:bCs/>
                <w:color w:val="auto"/>
                <w:spacing w:val="-6"/>
                <w:sz w:val="22"/>
                <w:szCs w:val="22"/>
                <w:highlight w:val="none"/>
              </w:rPr>
              <w:t>投标人须就第二章《招标项目服务需求》中所响应内容作完整唯一报价。</w:t>
            </w:r>
          </w:p>
          <w:p w14:paraId="7620C743">
            <w:pPr>
              <w:spacing w:line="360" w:lineRule="auto"/>
              <w:ind w:firstLine="420" w:firstLineChars="200"/>
              <w:jc w:val="both"/>
              <w:rPr>
                <w:rFonts w:hint="eastAsia" w:ascii="宋体" w:hAnsi="宋体" w:eastAsia="宋体" w:cs="宋体"/>
                <w:color w:val="auto"/>
                <w:sz w:val="21"/>
                <w:szCs w:val="21"/>
                <w:highlight w:val="none"/>
              </w:rPr>
            </w:pPr>
            <w:r>
              <w:rPr>
                <w:rFonts w:hint="eastAsia"/>
                <w:color w:val="auto"/>
                <w:highlight w:val="none"/>
                <w:lang w:val="en-US" w:eastAsia="zh-CN"/>
              </w:rPr>
              <w:t>1、</w:t>
            </w:r>
            <w:r>
              <w:rPr>
                <w:rFonts w:hint="eastAsia"/>
                <w:color w:val="auto"/>
                <w:highlight w:val="none"/>
              </w:rPr>
              <w:t>投标报价是履行合同的最终价格，必须包含满足本次投标全部采购需求所应提供的服务，以及伴随的货物的价格；包含投标服务、货物成本、运输（含保险）</w:t>
            </w:r>
            <w:r>
              <w:rPr>
                <w:rFonts w:hint="eastAsia" w:ascii="宋体" w:hAnsi="宋体" w:eastAsia="宋体" w:cs="宋体"/>
                <w:color w:val="auto"/>
                <w:sz w:val="21"/>
                <w:szCs w:val="21"/>
                <w:highlight w:val="none"/>
              </w:rPr>
              <w:t>装卸、搬运、</w:t>
            </w:r>
            <w:r>
              <w:rPr>
                <w:rFonts w:hint="eastAsia"/>
                <w:color w:val="auto"/>
                <w:highlight w:val="none"/>
              </w:rPr>
              <w:t>检验、</w:t>
            </w:r>
            <w:r>
              <w:rPr>
                <w:rFonts w:hint="eastAsia" w:ascii="宋体" w:hAnsi="宋体" w:eastAsia="宋体" w:cs="宋体"/>
                <w:color w:val="auto"/>
                <w:sz w:val="21"/>
                <w:szCs w:val="21"/>
                <w:highlight w:val="none"/>
              </w:rPr>
              <w:t>保险、利润、税</w:t>
            </w:r>
            <w:r>
              <w:rPr>
                <w:rFonts w:hint="eastAsia" w:ascii="宋体" w:hAnsi="宋体" w:cs="宋体"/>
                <w:color w:val="auto"/>
                <w:sz w:val="21"/>
                <w:szCs w:val="21"/>
                <w:highlight w:val="none"/>
                <w:lang w:val="en-US" w:eastAsia="zh-CN"/>
              </w:rPr>
              <w:t>费</w:t>
            </w:r>
            <w:r>
              <w:rPr>
                <w:rFonts w:hint="eastAsia" w:ascii="宋体" w:hAnsi="宋体" w:eastAsia="宋体" w:cs="宋体"/>
                <w:color w:val="auto"/>
                <w:sz w:val="21"/>
                <w:szCs w:val="21"/>
                <w:highlight w:val="none"/>
              </w:rPr>
              <w:t>、质保期售后服务、雇员费、合同实施过程中的应预见和或不可预见等费用总和。所产生的费用由中标人负责。</w:t>
            </w:r>
          </w:p>
          <w:p w14:paraId="7343A21A">
            <w:pPr>
              <w:pStyle w:val="37"/>
              <w:numPr>
                <w:ilvl w:val="0"/>
                <w:numId w:val="0"/>
              </w:numPr>
              <w:tabs>
                <w:tab w:val="left" w:pos="1053"/>
              </w:tabs>
              <w:spacing w:before="110" w:after="0" w:line="360" w:lineRule="auto"/>
              <w:ind w:right="0" w:rightChars="0" w:firstLine="420" w:firstLineChars="200"/>
              <w:jc w:val="left"/>
              <w:rPr>
                <w:rFonts w:hint="eastAsia" w:ascii="宋体" w:hAnsi="宋体" w:eastAsia="宋体" w:cs="宋体"/>
                <w:bCs/>
                <w:color w:val="auto"/>
                <w:sz w:val="21"/>
                <w:szCs w:val="21"/>
                <w:highlight w:val="none"/>
                <w:lang w:val="en-US" w:eastAsia="zh-CN" w:bidi="ar-SA"/>
              </w:rPr>
            </w:pPr>
            <w:r>
              <w:rPr>
                <w:rFonts w:hint="eastAsia" w:ascii="宋体" w:hAnsi="宋体" w:cs="宋体"/>
                <w:bCs/>
                <w:color w:val="auto"/>
                <w:sz w:val="21"/>
                <w:szCs w:val="21"/>
                <w:highlight w:val="none"/>
                <w:lang w:val="en-US" w:eastAsia="zh-CN" w:bidi="ar-SA"/>
              </w:rPr>
              <w:t>2</w:t>
            </w:r>
            <w:r>
              <w:rPr>
                <w:rFonts w:hint="eastAsia" w:ascii="宋体" w:hAnsi="宋体" w:eastAsia="宋体" w:cs="宋体"/>
                <w:bCs/>
                <w:color w:val="auto"/>
                <w:sz w:val="21"/>
                <w:szCs w:val="21"/>
                <w:highlight w:val="none"/>
                <w:lang w:val="en-US" w:eastAsia="zh-CN" w:bidi="ar-SA"/>
              </w:rPr>
              <w:t>、供应商投标报价采用折扣率报价（以%表示，</w:t>
            </w:r>
            <w:r>
              <w:rPr>
                <w:rFonts w:hint="eastAsia" w:ascii="宋体" w:hAnsi="宋体" w:eastAsia="宋体" w:cs="宋体"/>
                <w:b/>
                <w:bCs w:val="0"/>
                <w:color w:val="auto"/>
                <w:sz w:val="21"/>
                <w:szCs w:val="21"/>
                <w:highlight w:val="none"/>
                <w:lang w:val="en-US" w:eastAsia="zh-CN" w:bidi="ar-SA"/>
              </w:rPr>
              <w:t>折扣率报价精确到个位数</w:t>
            </w:r>
            <w:r>
              <w:rPr>
                <w:rFonts w:hint="eastAsia" w:ascii="宋体" w:hAnsi="宋体" w:eastAsia="宋体" w:cs="宋体"/>
                <w:bCs/>
                <w:color w:val="auto"/>
                <w:sz w:val="21"/>
                <w:szCs w:val="21"/>
                <w:highlight w:val="none"/>
                <w:lang w:val="en-US" w:eastAsia="zh-CN" w:bidi="ar-SA"/>
              </w:rPr>
              <w:t>）。</w:t>
            </w:r>
            <w:r>
              <w:rPr>
                <w:rFonts w:hint="eastAsia" w:ascii="宋体" w:hAnsi="宋体" w:eastAsia="宋体" w:cs="宋体"/>
                <w:b/>
                <w:bCs w:val="0"/>
                <w:color w:val="auto"/>
                <w:sz w:val="21"/>
                <w:szCs w:val="21"/>
                <w:highlight w:val="none"/>
                <w:lang w:val="en-US" w:eastAsia="zh-CN" w:bidi="ar-SA"/>
              </w:rPr>
              <w:t>投标报价范围：≤100%（</w:t>
            </w:r>
            <w:r>
              <w:rPr>
                <w:rFonts w:hint="eastAsia" w:ascii="宋体" w:hAnsi="宋体" w:eastAsia="宋体" w:cs="宋体"/>
                <w:bCs/>
                <w:color w:val="auto"/>
                <w:sz w:val="21"/>
                <w:szCs w:val="21"/>
                <w:highlight w:val="none"/>
                <w:lang w:val="en-US" w:eastAsia="zh-CN" w:bidi="ar-SA"/>
              </w:rPr>
              <w:t>如：供货产品打</w:t>
            </w:r>
            <w:r>
              <w:rPr>
                <w:rFonts w:hint="eastAsia" w:ascii="宋体" w:hAnsi="宋体" w:cs="宋体"/>
                <w:bCs/>
                <w:color w:val="auto"/>
                <w:sz w:val="21"/>
                <w:szCs w:val="21"/>
                <w:highlight w:val="none"/>
                <w:lang w:val="en-US" w:eastAsia="zh-CN" w:bidi="ar-SA"/>
              </w:rPr>
              <w:t>八</w:t>
            </w:r>
            <w:r>
              <w:rPr>
                <w:rFonts w:hint="eastAsia" w:ascii="宋体" w:hAnsi="宋体" w:eastAsia="宋体" w:cs="宋体"/>
                <w:bCs/>
                <w:color w:val="auto"/>
                <w:sz w:val="21"/>
                <w:szCs w:val="21"/>
                <w:highlight w:val="none"/>
                <w:lang w:val="en-US" w:eastAsia="zh-CN" w:bidi="ar-SA"/>
              </w:rPr>
              <w:t>折即投标折扣率为80%，以此类推），否则，作无效报价处理。</w:t>
            </w:r>
          </w:p>
          <w:p w14:paraId="291DDF97">
            <w:pPr>
              <w:pStyle w:val="37"/>
              <w:numPr>
                <w:ilvl w:val="0"/>
                <w:numId w:val="0"/>
              </w:numPr>
              <w:tabs>
                <w:tab w:val="left" w:pos="1053"/>
              </w:tabs>
              <w:spacing w:before="110" w:line="240" w:lineRule="auto"/>
              <w:ind w:firstLine="420" w:firstLineChars="200"/>
              <w:jc w:val="left"/>
              <w:rPr>
                <w:rFonts w:hint="default" w:ascii="宋体" w:hAnsi="宋体" w:eastAsia="宋体" w:cs="宋体"/>
                <w:color w:val="auto"/>
                <w:spacing w:val="-6"/>
                <w:sz w:val="24"/>
                <w:highlight w:val="none"/>
                <w:lang w:val="en-US" w:eastAsia="zh-CN"/>
              </w:rPr>
            </w:pPr>
            <w:r>
              <w:rPr>
                <w:rFonts w:hint="eastAsia" w:ascii="宋体" w:hAnsi="宋体" w:eastAsia="宋体" w:cs="宋体"/>
                <w:bCs/>
                <w:color w:val="auto"/>
                <w:sz w:val="21"/>
                <w:szCs w:val="21"/>
                <w:highlight w:val="none"/>
                <w:lang w:val="en-US" w:eastAsia="zh-CN" w:bidi="ar-SA"/>
              </w:rPr>
              <w:t>3、</w:t>
            </w:r>
            <w:r>
              <w:rPr>
                <w:rFonts w:hint="eastAsia" w:ascii="宋体" w:hAnsi="宋体" w:cs="宋体"/>
                <w:bCs/>
                <w:color w:val="auto"/>
                <w:sz w:val="21"/>
                <w:szCs w:val="21"/>
                <w:highlight w:val="none"/>
                <w:lang w:val="en-US" w:eastAsia="zh-CN" w:bidi="ar-SA"/>
              </w:rPr>
              <w:t>【供货价格】根据政策要求，由上级领导部门每隔一段时间（每周或每月）召集采购人与供应商开会协商供货价格（三方议价），签订供货价格协议。中标人须按签好的价格协议供应商品。如政策变化，上级领导部门不再组织三方议价，则由采购人与中标人双方共同协商供货价格，签订供货价格协议。投标折扣率将作为食材或货物实际结算的合同折扣率，结算时以学校实际采购量进行结算。市场批发均价的数据来源于江南市场、三合市场、市易农国际农产品交易中心、兴港副食城，一般取双方在上述市场询价结果的平均值。当期某食材或货物结算价=市场批发均价×合同折扣率×该食材或货物实际采购量（例如：市场批发均价＝100元/斤，合同折扣率＝97%，该食材或货物实际采购量＝10斤，当期某食材或货物结算价=100×0.97×10=970元）。</w:t>
            </w:r>
            <w:r>
              <w:rPr>
                <w:rFonts w:hint="eastAsia" w:ascii="宋体" w:hAnsi="宋体" w:eastAsia="宋体" w:cs="宋体"/>
                <w:b/>
                <w:color w:val="auto"/>
                <w:sz w:val="21"/>
                <w:szCs w:val="21"/>
                <w:highlight w:val="none"/>
                <w:lang w:eastAsia="zh-CN"/>
              </w:rPr>
              <w:t>。</w:t>
            </w:r>
          </w:p>
        </w:tc>
      </w:tr>
    </w:tbl>
    <w:p w14:paraId="05E962AE">
      <w:pPr>
        <w:snapToGrid w:val="0"/>
        <w:spacing w:before="50" w:after="50" w:line="24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注： </w:t>
      </w:r>
    </w:p>
    <w:p w14:paraId="11C760BA">
      <w:pPr>
        <w:snapToGrid w:val="0"/>
        <w:spacing w:before="50" w:after="50" w:line="24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 投标人需按本表格式填写，不得自行更改，也不得留空（</w:t>
      </w:r>
      <w:r>
        <w:rPr>
          <w:rFonts w:hint="eastAsia" w:ascii="宋体" w:hAnsi="宋体" w:eastAsia="宋体" w:cs="宋体"/>
          <w:color w:val="auto"/>
          <w:sz w:val="21"/>
          <w:szCs w:val="21"/>
          <w:highlight w:val="none"/>
        </w:rPr>
        <w:t>备注</w:t>
      </w:r>
      <w:r>
        <w:rPr>
          <w:rFonts w:hint="eastAsia" w:ascii="宋体" w:hAnsi="宋体" w:eastAsia="宋体" w:cs="宋体"/>
          <w:color w:val="auto"/>
          <w:sz w:val="21"/>
          <w:szCs w:val="21"/>
          <w:highlight w:val="none"/>
          <w:lang w:eastAsia="zh-CN"/>
        </w:rPr>
        <w:t>除外</w:t>
      </w:r>
      <w:r>
        <w:rPr>
          <w:rFonts w:hint="eastAsia" w:ascii="宋体" w:hAnsi="宋体" w:eastAsia="宋体" w:cs="宋体"/>
          <w:color w:val="auto"/>
          <w:kern w:val="0"/>
          <w:sz w:val="21"/>
          <w:szCs w:val="21"/>
          <w:highlight w:val="none"/>
          <w:lang w:val="zh-CN"/>
        </w:rPr>
        <w:t>）, 如有多分标，按分标分别提供开标一览表，必须加盖投标人有效公章，</w:t>
      </w:r>
      <w:r>
        <w:rPr>
          <w:rFonts w:hint="eastAsia" w:ascii="宋体" w:hAnsi="宋体" w:eastAsia="宋体" w:cs="宋体"/>
          <w:b/>
          <w:color w:val="auto"/>
          <w:kern w:val="0"/>
          <w:sz w:val="21"/>
          <w:szCs w:val="21"/>
          <w:highlight w:val="none"/>
          <w:lang w:val="zh-CN"/>
        </w:rPr>
        <w:t>否则其投标作无效标处理。</w:t>
      </w:r>
    </w:p>
    <w:p w14:paraId="6546556F">
      <w:pPr>
        <w:snapToGrid w:val="0"/>
        <w:spacing w:before="50" w:after="50" w:line="24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2、本表内容均不能涂改，</w:t>
      </w:r>
      <w:r>
        <w:rPr>
          <w:rFonts w:hint="eastAsia" w:ascii="宋体" w:hAnsi="宋体" w:eastAsia="宋体" w:cs="宋体"/>
          <w:b/>
          <w:color w:val="auto"/>
          <w:kern w:val="0"/>
          <w:sz w:val="21"/>
          <w:szCs w:val="21"/>
          <w:highlight w:val="none"/>
          <w:lang w:val="zh-CN"/>
        </w:rPr>
        <w:t>否则其投标作无效标处理。</w:t>
      </w:r>
    </w:p>
    <w:p w14:paraId="3FE17274">
      <w:pPr>
        <w:snapToGrid w:val="0"/>
        <w:spacing w:line="24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w:t>
      </w:r>
      <w:r>
        <w:rPr>
          <w:rFonts w:hint="eastAsia" w:ascii="宋体" w:hAnsi="宋体" w:cs="宋体"/>
          <w:color w:val="auto"/>
          <w:kern w:val="0"/>
          <w:sz w:val="21"/>
          <w:szCs w:val="21"/>
          <w:highlight w:val="none"/>
          <w:lang w:val="en-US" w:eastAsia="zh-CN"/>
        </w:rPr>
        <w:t>请</w:t>
      </w:r>
      <w:r>
        <w:rPr>
          <w:rFonts w:hint="eastAsia" w:ascii="宋体" w:hAnsi="宋体" w:eastAsia="宋体" w:cs="宋体"/>
          <w:color w:val="auto"/>
          <w:sz w:val="21"/>
          <w:szCs w:val="21"/>
          <w:highlight w:val="none"/>
        </w:rPr>
        <w:t>根据所投</w:t>
      </w:r>
      <w:r>
        <w:rPr>
          <w:rFonts w:hint="eastAsia" w:hAnsi="宋体" w:cs="宋体"/>
          <w:color w:val="auto"/>
          <w:sz w:val="21"/>
          <w:szCs w:val="21"/>
          <w:highlight w:val="none"/>
          <w:lang w:eastAsia="zh-CN"/>
        </w:rPr>
        <w:t>服务内容</w:t>
      </w:r>
      <w:r>
        <w:rPr>
          <w:rFonts w:hint="eastAsia" w:ascii="宋体" w:hAnsi="宋体" w:eastAsia="宋体" w:cs="宋体"/>
          <w:color w:val="auto"/>
          <w:sz w:val="21"/>
          <w:szCs w:val="21"/>
          <w:highlight w:val="none"/>
        </w:rPr>
        <w:t>，</w:t>
      </w:r>
      <w:r>
        <w:rPr>
          <w:rFonts w:hint="eastAsia" w:ascii="宋体" w:hAnsi="宋体" w:eastAsia="宋体" w:cs="宋体"/>
          <w:b w:val="0"/>
          <w:color w:val="auto"/>
          <w:sz w:val="21"/>
          <w:szCs w:val="21"/>
          <w:highlight w:val="none"/>
        </w:rPr>
        <w:t>逐条对应</w:t>
      </w:r>
      <w:r>
        <w:rPr>
          <w:rFonts w:hint="eastAsia" w:ascii="宋体" w:hAnsi="宋体" w:eastAsia="宋体" w:cs="宋体"/>
          <w:color w:val="auto"/>
          <w:sz w:val="21"/>
          <w:szCs w:val="21"/>
          <w:highlight w:val="none"/>
        </w:rPr>
        <w:t>本项目招标文件“第二章</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采购需求</w:t>
      </w:r>
      <w:r>
        <w:rPr>
          <w:rFonts w:hint="eastAsia" w:ascii="宋体" w:hAnsi="宋体" w:eastAsia="宋体" w:cs="宋体"/>
          <w:color w:val="auto"/>
          <w:sz w:val="21"/>
          <w:szCs w:val="21"/>
          <w:highlight w:val="none"/>
        </w:rPr>
        <w:t>”的</w:t>
      </w:r>
      <w:r>
        <w:rPr>
          <w:rFonts w:hint="eastAsia" w:hAnsi="宋体" w:cs="宋体"/>
          <w:color w:val="auto"/>
          <w:sz w:val="21"/>
          <w:szCs w:val="21"/>
          <w:highlight w:val="none"/>
          <w:lang w:eastAsia="zh-CN"/>
        </w:rPr>
        <w:t>内容</w:t>
      </w:r>
      <w:r>
        <w:rPr>
          <w:rFonts w:hint="eastAsia" w:ascii="宋体" w:hAnsi="宋体" w:eastAsia="宋体" w:cs="宋体"/>
          <w:color w:val="auto"/>
          <w:sz w:val="21"/>
          <w:szCs w:val="21"/>
          <w:highlight w:val="none"/>
        </w:rPr>
        <w:t>详细填写相应的具体内容。</w:t>
      </w:r>
    </w:p>
    <w:p w14:paraId="200B62E1">
      <w:pPr>
        <w:pStyle w:val="12"/>
        <w:rPr>
          <w:rFonts w:hint="eastAsia" w:ascii="宋体" w:hAnsi="宋体" w:eastAsia="宋体" w:cs="宋体"/>
          <w:color w:val="auto"/>
          <w:sz w:val="18"/>
          <w:szCs w:val="21"/>
          <w:highlight w:val="none"/>
          <w:lang w:val="zh-CN"/>
        </w:rPr>
      </w:pPr>
    </w:p>
    <w:p w14:paraId="3004AECA">
      <w:pPr>
        <w:snapToGrid w:val="0"/>
        <w:spacing w:line="240" w:lineRule="auto"/>
        <w:ind w:firstLine="4410" w:firstLineChars="2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投标人名称(盖公章)：</w:t>
      </w:r>
    </w:p>
    <w:p w14:paraId="28C4BB7C">
      <w:pPr>
        <w:snapToGrid w:val="0"/>
        <w:spacing w:line="240" w:lineRule="auto"/>
        <w:ind w:firstLine="4515" w:firstLineChars="215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 xml:space="preserve">：  年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日</w:t>
      </w:r>
    </w:p>
    <w:p w14:paraId="4B5DDBC0">
      <w:pPr>
        <w:widowControl/>
        <w:jc w:val="left"/>
        <w:rPr>
          <w:rFonts w:hint="eastAsia" w:ascii="宋体" w:hAnsi="宋体" w:eastAsia="宋体" w:cs="宋体"/>
          <w:color w:val="auto"/>
          <w:sz w:val="30"/>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22F99B4E">
      <w:pPr>
        <w:snapToGrid w:val="0"/>
        <w:spacing w:before="165" w:beforeLines="50" w:after="50"/>
        <w:jc w:val="center"/>
        <w:outlineLvl w:val="1"/>
        <w:rPr>
          <w:rFonts w:ascii="宋体" w:hAnsi="宋体" w:eastAsia="宋体" w:cs="Times New Roman"/>
          <w:b/>
          <w:bCs/>
          <w:color w:val="auto"/>
          <w:sz w:val="28"/>
          <w:szCs w:val="28"/>
          <w:highlight w:val="none"/>
        </w:rPr>
      </w:pPr>
      <w:bookmarkStart w:id="376" w:name="_Toc2783"/>
      <w:r>
        <w:rPr>
          <w:rFonts w:hint="eastAsia" w:ascii="宋体" w:hAnsi="宋体" w:eastAsia="宋体" w:cs="Times New Roman"/>
          <w:b/>
          <w:bCs/>
          <w:color w:val="auto"/>
          <w:sz w:val="28"/>
          <w:szCs w:val="28"/>
          <w:highlight w:val="none"/>
        </w:rPr>
        <w:t>第</w:t>
      </w:r>
      <w:r>
        <w:rPr>
          <w:rFonts w:hint="eastAsia" w:ascii="宋体" w:hAnsi="宋体" w:cs="Times New Roman"/>
          <w:b/>
          <w:bCs/>
          <w:color w:val="auto"/>
          <w:sz w:val="28"/>
          <w:szCs w:val="28"/>
          <w:highlight w:val="none"/>
          <w:lang w:eastAsia="zh-CN"/>
        </w:rPr>
        <w:t>五</w:t>
      </w:r>
      <w:r>
        <w:rPr>
          <w:rFonts w:hint="eastAsia" w:ascii="宋体" w:hAnsi="宋体" w:eastAsia="宋体" w:cs="Times New Roman"/>
          <w:b/>
          <w:bCs/>
          <w:color w:val="auto"/>
          <w:sz w:val="28"/>
          <w:szCs w:val="28"/>
          <w:highlight w:val="none"/>
        </w:rPr>
        <w:t>节 其他文书、文件格式</w:t>
      </w:r>
      <w:bookmarkEnd w:id="376"/>
    </w:p>
    <w:p w14:paraId="3F358385">
      <w:pPr>
        <w:pStyle w:val="19"/>
        <w:numPr>
          <w:ilvl w:val="0"/>
          <w:numId w:val="0"/>
        </w:numPr>
        <w:ind w:left="142" w:leftChars="0"/>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val="en-US" w:eastAsia="zh-CN" w:bidi="ar-SA"/>
        </w:rPr>
        <w:t>1</w:t>
      </w:r>
      <w:r>
        <w:rPr>
          <w:rFonts w:hint="eastAsia" w:ascii="宋体" w:hAnsi="宋体" w:eastAsia="宋体" w:cs="宋体"/>
          <w:color w:val="auto"/>
          <w:kern w:val="0"/>
          <w:sz w:val="28"/>
          <w:szCs w:val="28"/>
          <w:highlight w:val="none"/>
          <w:lang w:val="en-US" w:eastAsia="zh-CN" w:bidi="ar-SA"/>
        </w:rPr>
        <w:t>.</w:t>
      </w:r>
      <w:r>
        <w:rPr>
          <w:rFonts w:hint="eastAsia" w:ascii="宋体" w:hAnsi="宋体" w:eastAsia="宋体" w:cs="宋体"/>
          <w:color w:val="auto"/>
          <w:kern w:val="0"/>
          <w:sz w:val="28"/>
          <w:szCs w:val="28"/>
          <w:highlight w:val="none"/>
        </w:rPr>
        <w:t>广西壮族自治区政府采购项目合同验收书</w:t>
      </w:r>
      <w:r>
        <w:rPr>
          <w:rFonts w:hint="eastAsia" w:ascii="宋体" w:hAnsi="宋体" w:eastAsia="宋体" w:cs="宋体"/>
          <w:color w:val="auto"/>
          <w:kern w:val="0"/>
          <w:sz w:val="28"/>
          <w:szCs w:val="28"/>
          <w:highlight w:val="none"/>
          <w:lang w:eastAsia="zh-CN"/>
        </w:rPr>
        <w:t>的</w:t>
      </w:r>
      <w:r>
        <w:rPr>
          <w:rFonts w:hint="eastAsia" w:ascii="宋体" w:hAnsi="宋体" w:eastAsia="宋体" w:cs="宋体"/>
          <w:color w:val="auto"/>
          <w:kern w:val="0"/>
          <w:sz w:val="28"/>
          <w:szCs w:val="28"/>
          <w:highlight w:val="none"/>
        </w:rPr>
        <w:t>格式</w:t>
      </w:r>
      <w:r>
        <w:rPr>
          <w:rFonts w:hint="eastAsia" w:ascii="宋体" w:hAnsi="宋体" w:eastAsia="宋体" w:cs="宋体"/>
          <w:color w:val="auto"/>
          <w:kern w:val="0"/>
          <w:sz w:val="28"/>
          <w:szCs w:val="28"/>
          <w:highlight w:val="none"/>
          <w:lang w:eastAsia="zh-CN"/>
        </w:rPr>
        <w:t>：</w:t>
      </w:r>
    </w:p>
    <w:p w14:paraId="670BAC52">
      <w:pPr>
        <w:pStyle w:val="19"/>
        <w:numPr>
          <w:ilvl w:val="0"/>
          <w:numId w:val="0"/>
        </w:numPr>
        <w:rPr>
          <w:rFonts w:hint="eastAsia" w:ascii="宋体" w:hAnsi="宋体" w:eastAsia="宋体" w:cs="宋体"/>
          <w:color w:val="auto"/>
          <w:kern w:val="0"/>
          <w:sz w:val="28"/>
          <w:szCs w:val="28"/>
          <w:highlight w:val="none"/>
          <w:lang w:eastAsia="zh-CN"/>
        </w:rPr>
      </w:pPr>
    </w:p>
    <w:p w14:paraId="5E6634C4">
      <w:pPr>
        <w:shd w:val="clear" w:color="auto" w:fill="FFFFFF"/>
        <w:spacing w:line="480" w:lineRule="atLeast"/>
        <w:jc w:val="center"/>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广西壮族自治区政府采购项目合同验收书</w:t>
      </w:r>
    </w:p>
    <w:p w14:paraId="7DE12F40">
      <w:pPr>
        <w:shd w:val="clear" w:color="auto" w:fill="FFFFFF"/>
        <w:spacing w:line="480" w:lineRule="atLeast"/>
        <w:jc w:val="center"/>
        <w:rPr>
          <w:rFonts w:hint="eastAsia" w:ascii="宋体" w:hAnsi="宋体" w:eastAsia="宋体" w:cs="宋体"/>
          <w:color w:val="auto"/>
          <w:kern w:val="0"/>
          <w:sz w:val="32"/>
          <w:szCs w:val="32"/>
          <w:highlight w:val="none"/>
        </w:rPr>
      </w:pPr>
    </w:p>
    <w:p w14:paraId="291DBC7E">
      <w:pPr>
        <w:shd w:val="clear" w:color="auto" w:fill="FFFFFF"/>
        <w:snapToGrid w:val="0"/>
        <w:spacing w:line="320" w:lineRule="atLeas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根据政府采购项目（</w:t>
      </w:r>
      <w:r>
        <w:rPr>
          <w:rFonts w:hint="eastAsia" w:ascii="宋体" w:hAnsi="宋体" w:eastAsia="宋体" w:cs="宋体"/>
          <w:color w:val="auto"/>
          <w:kern w:val="0"/>
          <w:szCs w:val="21"/>
          <w:highlight w:val="none"/>
          <w:u w:val="single"/>
        </w:rPr>
        <w:t>采购合同编号：</w:t>
      </w:r>
      <w:r>
        <w:rPr>
          <w:rFonts w:hint="eastAsia" w:ascii="宋体" w:hAnsi="宋体" w:eastAsia="宋体" w:cs="宋体"/>
          <w:color w:val="auto"/>
          <w:kern w:val="0"/>
          <w:szCs w:val="21"/>
          <w:highlight w:val="none"/>
          <w:u w:val="single"/>
        </w:rPr>
        <w:softHyphen/>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）的约定，我单位对（</w:t>
      </w:r>
      <w:r>
        <w:rPr>
          <w:rFonts w:hint="eastAsia" w:ascii="宋体" w:hAnsi="宋体" w:eastAsia="宋体" w:cs="宋体"/>
          <w:color w:val="auto"/>
          <w:kern w:val="0"/>
          <w:szCs w:val="21"/>
          <w:highlight w:val="none"/>
          <w:u w:val="single"/>
        </w:rPr>
        <w:t xml:space="preserve"> 项目名称 </w:t>
      </w:r>
      <w:r>
        <w:rPr>
          <w:rFonts w:hint="eastAsia" w:ascii="宋体" w:hAnsi="宋体" w:eastAsia="宋体" w:cs="宋体"/>
          <w:color w:val="auto"/>
          <w:kern w:val="0"/>
          <w:szCs w:val="21"/>
          <w:highlight w:val="none"/>
        </w:rPr>
        <w:t>） 政府采购项目中标（或者成交）投标人（</w:t>
      </w:r>
      <w:r>
        <w:rPr>
          <w:rFonts w:hint="eastAsia" w:ascii="宋体" w:hAnsi="宋体" w:eastAsia="宋体" w:cs="宋体"/>
          <w:color w:val="auto"/>
          <w:kern w:val="0"/>
          <w:szCs w:val="21"/>
          <w:highlight w:val="none"/>
          <w:u w:val="single"/>
        </w:rPr>
        <w:t xml:space="preserve"> 公司名称 </w:t>
      </w:r>
      <w:r>
        <w:rPr>
          <w:rFonts w:hint="eastAsia" w:ascii="宋体" w:hAnsi="宋体" w:eastAsia="宋体" w:cs="宋体"/>
          <w:color w:val="auto"/>
          <w:kern w:val="0"/>
          <w:szCs w:val="21"/>
          <w:highlight w:val="none"/>
        </w:rPr>
        <w:t>） 提供的货物（或者工程、服务）进行了验收，验收情况如下：</w:t>
      </w:r>
    </w:p>
    <w:tbl>
      <w:tblPr>
        <w:tblStyle w:val="25"/>
        <w:tblW w:w="9371" w:type="dxa"/>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2046FB49">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noWrap w:val="0"/>
            <w:vAlign w:val="center"/>
          </w:tcPr>
          <w:p w14:paraId="7F88B29A">
            <w:pPr>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验收方式：</w:t>
            </w:r>
          </w:p>
        </w:tc>
        <w:tc>
          <w:tcPr>
            <w:tcW w:w="6119" w:type="dxa"/>
            <w:gridSpan w:val="6"/>
            <w:tcBorders>
              <w:top w:val="single" w:color="auto" w:sz="8" w:space="0"/>
              <w:left w:val="nil"/>
              <w:bottom w:val="single" w:color="auto" w:sz="8" w:space="0"/>
              <w:right w:val="single" w:color="auto" w:sz="8" w:space="0"/>
            </w:tcBorders>
            <w:noWrap w:val="0"/>
            <w:vAlign w:val="center"/>
          </w:tcPr>
          <w:p w14:paraId="018BB22B">
            <w:pPr>
              <w:snapToGrid w:val="0"/>
              <w:spacing w:before="100" w:beforeAutospacing="1" w:after="100" w:afterAutospacing="1" w:line="320" w:lineRule="atLeast"/>
              <w:ind w:firstLine="48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□自行验收 □委托验收</w:t>
            </w:r>
          </w:p>
        </w:tc>
      </w:tr>
      <w:tr w14:paraId="0F599957">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noWrap w:val="0"/>
            <w:vAlign w:val="center"/>
          </w:tcPr>
          <w:p w14:paraId="715CF154">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921" w:type="dxa"/>
            <w:tcBorders>
              <w:top w:val="nil"/>
              <w:left w:val="nil"/>
              <w:bottom w:val="single" w:color="auto" w:sz="8" w:space="0"/>
              <w:right w:val="single" w:color="auto" w:sz="8" w:space="0"/>
            </w:tcBorders>
            <w:noWrap w:val="0"/>
            <w:vAlign w:val="center"/>
          </w:tcPr>
          <w:p w14:paraId="05F89184">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 称</w:t>
            </w:r>
          </w:p>
        </w:tc>
        <w:tc>
          <w:tcPr>
            <w:tcW w:w="2902" w:type="dxa"/>
            <w:gridSpan w:val="3"/>
            <w:tcBorders>
              <w:top w:val="nil"/>
              <w:left w:val="nil"/>
              <w:bottom w:val="single" w:color="auto" w:sz="8" w:space="0"/>
              <w:right w:val="single" w:color="auto" w:sz="8" w:space="0"/>
            </w:tcBorders>
            <w:noWrap w:val="0"/>
            <w:vAlign w:val="center"/>
          </w:tcPr>
          <w:p w14:paraId="71605649">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14:paraId="723E31D0">
            <w:pPr>
              <w:snapToGrid w:val="0"/>
              <w:spacing w:before="100" w:beforeAutospacing="1" w:after="100" w:afterAutospacing="1" w:line="32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c>
          <w:tcPr>
            <w:tcW w:w="2354" w:type="dxa"/>
            <w:tcBorders>
              <w:top w:val="nil"/>
              <w:left w:val="nil"/>
              <w:bottom w:val="single" w:color="auto" w:sz="8" w:space="0"/>
              <w:right w:val="single" w:color="auto" w:sz="8" w:space="0"/>
            </w:tcBorders>
            <w:noWrap w:val="0"/>
            <w:vAlign w:val="center"/>
          </w:tcPr>
          <w:p w14:paraId="3CED3677">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金 额</w:t>
            </w:r>
          </w:p>
        </w:tc>
      </w:tr>
      <w:tr w14:paraId="5B43A3ED">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4DA9C2EA">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921" w:type="dxa"/>
            <w:tcBorders>
              <w:top w:val="nil"/>
              <w:left w:val="nil"/>
              <w:bottom w:val="single" w:color="auto" w:sz="8" w:space="0"/>
              <w:right w:val="single" w:color="auto" w:sz="8" w:space="0"/>
            </w:tcBorders>
            <w:noWrap w:val="0"/>
            <w:vAlign w:val="center"/>
          </w:tcPr>
          <w:p w14:paraId="3205CDAF">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136399EF">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7DA72228">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4C9D76A3">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5737042E">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1D8C3FA0">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921" w:type="dxa"/>
            <w:tcBorders>
              <w:top w:val="nil"/>
              <w:left w:val="nil"/>
              <w:bottom w:val="single" w:color="auto" w:sz="8" w:space="0"/>
              <w:right w:val="single" w:color="auto" w:sz="8" w:space="0"/>
            </w:tcBorders>
            <w:noWrap w:val="0"/>
            <w:vAlign w:val="center"/>
          </w:tcPr>
          <w:p w14:paraId="1BF50FAB">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2366868C">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59FF02A8">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381CA701">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2350F29F">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5A96F2CD">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921" w:type="dxa"/>
            <w:tcBorders>
              <w:top w:val="nil"/>
              <w:left w:val="nil"/>
              <w:bottom w:val="single" w:color="auto" w:sz="8" w:space="0"/>
              <w:right w:val="single" w:color="auto" w:sz="8" w:space="0"/>
            </w:tcBorders>
            <w:noWrap w:val="0"/>
            <w:vAlign w:val="center"/>
          </w:tcPr>
          <w:p w14:paraId="0D6EFE14">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6503E40F">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555E36B0">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09B20DAF">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3676CE84">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noWrap w:val="0"/>
            <w:vAlign w:val="center"/>
          </w:tcPr>
          <w:p w14:paraId="3DC2B364">
            <w:pPr>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noWrap w:val="0"/>
            <w:vAlign w:val="center"/>
          </w:tcPr>
          <w:p w14:paraId="64B6C8B2">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5A58BB9D">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2BF2577C">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noWrap w:val="0"/>
            <w:vAlign w:val="center"/>
          </w:tcPr>
          <w:p w14:paraId="7ECE5640">
            <w:pPr>
              <w:snapToGrid w:val="0"/>
              <w:spacing w:before="100" w:beforeAutospacing="1" w:after="100" w:afterAutospacing="1" w:line="320" w:lineRule="atLeast"/>
              <w:ind w:firstLine="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合计大写金额： 亿 仟 佰 拾 万 仟 佰 拾 元</w:t>
            </w:r>
          </w:p>
        </w:tc>
      </w:tr>
      <w:tr w14:paraId="6B440F5A">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noWrap w:val="0"/>
            <w:vAlign w:val="center"/>
          </w:tcPr>
          <w:p w14:paraId="61D08517">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实际供货日期</w:t>
            </w:r>
          </w:p>
        </w:tc>
        <w:tc>
          <w:tcPr>
            <w:tcW w:w="2719" w:type="dxa"/>
            <w:gridSpan w:val="2"/>
            <w:tcBorders>
              <w:top w:val="nil"/>
              <w:left w:val="nil"/>
              <w:bottom w:val="single" w:color="auto" w:sz="8" w:space="0"/>
              <w:right w:val="single" w:color="auto" w:sz="8" w:space="0"/>
            </w:tcBorders>
            <w:noWrap w:val="0"/>
            <w:vAlign w:val="center"/>
          </w:tcPr>
          <w:p w14:paraId="14603315">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71ED68C6">
            <w:pPr>
              <w:snapToGrid w:val="0"/>
              <w:spacing w:before="100" w:beforeAutospacing="1" w:after="100" w:afterAutospacing="1" w:line="320" w:lineRule="atLeast"/>
              <w:ind w:firstLine="46"/>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合同交货验收日期</w:t>
            </w:r>
          </w:p>
        </w:tc>
        <w:tc>
          <w:tcPr>
            <w:tcW w:w="3039" w:type="dxa"/>
            <w:gridSpan w:val="2"/>
            <w:tcBorders>
              <w:top w:val="nil"/>
              <w:left w:val="nil"/>
              <w:bottom w:val="single" w:color="auto" w:sz="8" w:space="0"/>
              <w:right w:val="single" w:color="auto" w:sz="8" w:space="0"/>
            </w:tcBorders>
            <w:noWrap w:val="0"/>
            <w:vAlign w:val="center"/>
          </w:tcPr>
          <w:p w14:paraId="1D163829">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405B1713">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noWrap w:val="0"/>
            <w:vAlign w:val="center"/>
          </w:tcPr>
          <w:p w14:paraId="5AD64FB1">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719" w:type="dxa"/>
            <w:gridSpan w:val="2"/>
            <w:tcBorders>
              <w:top w:val="nil"/>
              <w:left w:val="nil"/>
              <w:bottom w:val="single" w:color="auto" w:sz="8" w:space="0"/>
              <w:right w:val="single" w:color="auto" w:sz="8" w:space="0"/>
            </w:tcBorders>
            <w:noWrap w:val="0"/>
            <w:vAlign w:val="center"/>
          </w:tcPr>
          <w:p w14:paraId="05BD0662">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68A4A8F8">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3039" w:type="dxa"/>
            <w:gridSpan w:val="2"/>
            <w:tcBorders>
              <w:top w:val="nil"/>
              <w:left w:val="nil"/>
              <w:bottom w:val="single" w:color="auto" w:sz="8" w:space="0"/>
              <w:right w:val="single" w:color="auto" w:sz="8" w:space="0"/>
            </w:tcBorders>
            <w:noWrap w:val="0"/>
            <w:vAlign w:val="center"/>
          </w:tcPr>
          <w:p w14:paraId="3FFC9886">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238A2409">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D2480C2">
            <w:pPr>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验收具体内容</w:t>
            </w:r>
          </w:p>
        </w:tc>
        <w:tc>
          <w:tcPr>
            <w:tcW w:w="8040"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A2F3A09">
            <w:pPr>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14:paraId="3DBE42D5">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02B4684">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验收小组意见</w:t>
            </w:r>
          </w:p>
        </w:tc>
        <w:tc>
          <w:tcPr>
            <w:tcW w:w="8040" w:type="dxa"/>
            <w:gridSpan w:val="7"/>
            <w:tcBorders>
              <w:top w:val="nil"/>
              <w:left w:val="nil"/>
              <w:bottom w:val="single" w:color="auto" w:sz="8" w:space="0"/>
              <w:right w:val="single" w:color="auto" w:sz="8" w:space="0"/>
            </w:tcBorders>
            <w:noWrap w:val="0"/>
            <w:vAlign w:val="center"/>
          </w:tcPr>
          <w:p w14:paraId="0AAC1C7F">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验收结论性意见：</w:t>
            </w:r>
          </w:p>
        </w:tc>
      </w:tr>
      <w:tr w14:paraId="6010A622">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noWrap w:val="0"/>
            <w:vAlign w:val="center"/>
          </w:tcPr>
          <w:p w14:paraId="6E3097BD">
            <w:pPr>
              <w:jc w:val="left"/>
              <w:rPr>
                <w:rFonts w:hint="eastAsia" w:ascii="宋体" w:hAnsi="宋体" w:eastAsia="宋体" w:cs="宋体"/>
                <w:color w:val="auto"/>
                <w:kern w:val="0"/>
                <w:szCs w:val="21"/>
                <w:highlight w:val="none"/>
              </w:rPr>
            </w:pPr>
          </w:p>
        </w:tc>
        <w:tc>
          <w:tcPr>
            <w:tcW w:w="8040" w:type="dxa"/>
            <w:gridSpan w:val="7"/>
            <w:tcBorders>
              <w:top w:val="nil"/>
              <w:left w:val="nil"/>
              <w:bottom w:val="single" w:color="auto" w:sz="8" w:space="0"/>
              <w:right w:val="single" w:color="auto" w:sz="8" w:space="0"/>
            </w:tcBorders>
            <w:noWrap w:val="0"/>
            <w:vAlign w:val="center"/>
          </w:tcPr>
          <w:p w14:paraId="3F8349DA">
            <w:pPr>
              <w:spacing w:before="100" w:beforeAutospacing="1" w:after="100" w:afterAutospacing="1" w:line="320" w:lineRule="atLeast"/>
              <w:ind w:firstLine="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有异议的意见和说明理由：</w:t>
            </w:r>
          </w:p>
          <w:p w14:paraId="1A55A676">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w:t>
            </w:r>
          </w:p>
        </w:tc>
      </w:tr>
      <w:tr w14:paraId="12484E9F">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9A5CBEB">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验收小组成员签字：</w:t>
            </w:r>
          </w:p>
        </w:tc>
      </w:tr>
      <w:tr w14:paraId="3E01683F">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7C0A509">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监督人员或者</w:t>
            </w: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rPr>
              <w:t>相关人员签字：</w:t>
            </w:r>
          </w:p>
          <w:p w14:paraId="7EBB98AC">
            <w:pPr>
              <w:spacing w:before="100" w:beforeAutospacing="1" w:after="100" w:afterAutospacing="1" w:line="320" w:lineRule="atLeast"/>
              <w:ind w:firstLine="74"/>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或者受邀机构的意见（盖章）：</w:t>
            </w:r>
          </w:p>
        </w:tc>
      </w:tr>
      <w:tr w14:paraId="031EA2B3">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single" w:color="auto" w:sz="4" w:space="0"/>
            </w:tcBorders>
            <w:noWrap w:val="0"/>
            <w:tcMar>
              <w:top w:w="0" w:type="dxa"/>
              <w:left w:w="108" w:type="dxa"/>
              <w:bottom w:w="0" w:type="dxa"/>
              <w:right w:w="108" w:type="dxa"/>
            </w:tcMar>
            <w:vAlign w:val="center"/>
          </w:tcPr>
          <w:p w14:paraId="53B46CF2">
            <w:pPr>
              <w:spacing w:before="100" w:beforeAutospacing="1" w:after="100" w:afterAutospacing="1" w:line="320" w:lineRule="atLeast"/>
              <w:ind w:firstLine="74"/>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中标或者成交人负责人签字或者盖章：</w:t>
            </w:r>
          </w:p>
          <w:p w14:paraId="4A607630">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联系电话： </w:t>
            </w:r>
          </w:p>
          <w:p w14:paraId="0A491985">
            <w:pPr>
              <w:spacing w:before="100" w:beforeAutospacing="1" w:after="100" w:afterAutospacing="1" w:line="320" w:lineRule="atLeast"/>
              <w:ind w:firstLine="2730" w:firstLineChars="13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月 日</w:t>
            </w:r>
          </w:p>
        </w:tc>
        <w:tc>
          <w:tcPr>
            <w:tcW w:w="5219" w:type="dxa"/>
            <w:gridSpan w:val="4"/>
            <w:tcBorders>
              <w:top w:val="nil"/>
              <w:left w:val="single" w:color="auto" w:sz="4" w:space="0"/>
              <w:bottom w:val="single" w:color="auto" w:sz="8" w:space="0"/>
              <w:right w:val="single" w:color="auto" w:sz="8" w:space="0"/>
            </w:tcBorders>
            <w:noWrap w:val="0"/>
            <w:vAlign w:val="center"/>
          </w:tcPr>
          <w:p w14:paraId="799EF655">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采购人或者受托机构的意见（盖章）：</w:t>
            </w:r>
          </w:p>
          <w:p w14:paraId="50EFE06D">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联系电话： </w:t>
            </w:r>
          </w:p>
          <w:p w14:paraId="5A0EBC89">
            <w:pPr>
              <w:spacing w:before="100" w:beforeAutospacing="1" w:after="100" w:afterAutospacing="1" w:line="320" w:lineRule="atLeast"/>
              <w:ind w:firstLine="2520" w:firstLineChars="1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月 日</w:t>
            </w:r>
          </w:p>
        </w:tc>
      </w:tr>
    </w:tbl>
    <w:p w14:paraId="2FB2A4C9">
      <w:pPr>
        <w:pStyle w:val="19"/>
        <w:numPr>
          <w:ilvl w:val="0"/>
          <w:numId w:val="0"/>
        </w:numPr>
        <w:rPr>
          <w:rFonts w:ascii="Times New Roman" w:hAnsi="Times New Roman" w:eastAsia="宋体" w:cs="Times New Roman"/>
          <w:b/>
          <w:color w:val="auto"/>
          <w:sz w:val="36"/>
          <w:highlight w:val="none"/>
        </w:rPr>
      </w:pPr>
      <w:r>
        <w:rPr>
          <w:rFonts w:hint="eastAsia" w:ascii="宋体" w:hAnsi="宋体" w:eastAsia="宋体" w:cs="宋体"/>
          <w:color w:val="auto"/>
          <w:highlight w:val="none"/>
        </w:rPr>
        <w:br w:type="page"/>
      </w:r>
    </w:p>
    <w:p w14:paraId="1FC835F2">
      <w:pPr>
        <w:pStyle w:val="17"/>
        <w:tabs>
          <w:tab w:val="left" w:pos="2472"/>
        </w:tabs>
        <w:spacing w:line="460" w:lineRule="exact"/>
        <w:jc w:val="center"/>
        <w:rPr>
          <w:rFonts w:ascii="Times New Roman" w:hAnsi="Times New Roman" w:eastAsia="宋体" w:cs="Times New Roman"/>
          <w:b/>
          <w:color w:val="auto"/>
          <w:sz w:val="36"/>
          <w:highlight w:val="none"/>
        </w:rPr>
      </w:pPr>
    </w:p>
    <w:p w14:paraId="0A14BDB7">
      <w:pPr>
        <w:pStyle w:val="17"/>
        <w:tabs>
          <w:tab w:val="left" w:pos="2472"/>
        </w:tabs>
        <w:spacing w:line="460" w:lineRule="exact"/>
        <w:jc w:val="center"/>
        <w:rPr>
          <w:rFonts w:ascii="Times New Roman" w:hAnsi="Times New Roman" w:eastAsia="宋体" w:cs="Times New Roman"/>
          <w:b/>
          <w:color w:val="auto"/>
          <w:sz w:val="36"/>
          <w:highlight w:val="none"/>
        </w:rPr>
      </w:pPr>
    </w:p>
    <w:p w14:paraId="67DE01D6">
      <w:pPr>
        <w:pStyle w:val="17"/>
        <w:tabs>
          <w:tab w:val="left" w:pos="2472"/>
        </w:tabs>
        <w:spacing w:line="460" w:lineRule="exact"/>
        <w:jc w:val="center"/>
        <w:rPr>
          <w:rFonts w:ascii="Times New Roman" w:hAnsi="Times New Roman" w:eastAsia="宋体" w:cs="Times New Roman"/>
          <w:b/>
          <w:color w:val="auto"/>
          <w:sz w:val="36"/>
          <w:highlight w:val="none"/>
        </w:rPr>
      </w:pPr>
    </w:p>
    <w:p w14:paraId="2B5065C7">
      <w:pPr>
        <w:pStyle w:val="17"/>
        <w:tabs>
          <w:tab w:val="left" w:pos="2472"/>
        </w:tabs>
        <w:spacing w:line="460" w:lineRule="exact"/>
        <w:jc w:val="center"/>
        <w:rPr>
          <w:rFonts w:ascii="Times New Roman" w:hAnsi="Times New Roman" w:eastAsia="宋体" w:cs="Times New Roman"/>
          <w:b/>
          <w:color w:val="auto"/>
          <w:sz w:val="36"/>
          <w:highlight w:val="none"/>
        </w:rPr>
      </w:pPr>
    </w:p>
    <w:p w14:paraId="2DF238A5">
      <w:pPr>
        <w:pStyle w:val="17"/>
        <w:tabs>
          <w:tab w:val="left" w:pos="2472"/>
        </w:tabs>
        <w:spacing w:line="460" w:lineRule="exact"/>
        <w:jc w:val="center"/>
        <w:rPr>
          <w:rFonts w:ascii="Times New Roman" w:hAnsi="Times New Roman" w:eastAsia="宋体" w:cs="Times New Roman"/>
          <w:b/>
          <w:color w:val="auto"/>
          <w:sz w:val="36"/>
          <w:highlight w:val="none"/>
        </w:rPr>
      </w:pPr>
    </w:p>
    <w:p w14:paraId="1B4C4FDD">
      <w:pPr>
        <w:pStyle w:val="17"/>
        <w:tabs>
          <w:tab w:val="left" w:pos="2472"/>
        </w:tabs>
        <w:spacing w:line="460" w:lineRule="exact"/>
        <w:jc w:val="center"/>
        <w:rPr>
          <w:rFonts w:ascii="Times New Roman" w:hAnsi="Times New Roman" w:eastAsia="宋体" w:cs="Times New Roman"/>
          <w:b/>
          <w:color w:val="auto"/>
          <w:sz w:val="36"/>
          <w:highlight w:val="none"/>
        </w:rPr>
      </w:pPr>
    </w:p>
    <w:p w14:paraId="25580642">
      <w:pPr>
        <w:pStyle w:val="17"/>
        <w:tabs>
          <w:tab w:val="left" w:pos="2472"/>
        </w:tabs>
        <w:spacing w:line="460" w:lineRule="exact"/>
        <w:jc w:val="center"/>
        <w:rPr>
          <w:rFonts w:ascii="Times New Roman" w:hAnsi="Times New Roman" w:eastAsia="宋体" w:cs="Times New Roman"/>
          <w:b/>
          <w:color w:val="auto"/>
          <w:sz w:val="36"/>
          <w:highlight w:val="none"/>
        </w:rPr>
      </w:pPr>
    </w:p>
    <w:p w14:paraId="28335DF7">
      <w:pPr>
        <w:pStyle w:val="17"/>
        <w:tabs>
          <w:tab w:val="left" w:pos="2472"/>
        </w:tabs>
        <w:spacing w:line="460" w:lineRule="exact"/>
        <w:jc w:val="center"/>
        <w:rPr>
          <w:rFonts w:ascii="Times New Roman" w:hAnsi="Times New Roman" w:eastAsia="宋体" w:cs="Times New Roman"/>
          <w:b/>
          <w:color w:val="auto"/>
          <w:sz w:val="36"/>
          <w:highlight w:val="none"/>
        </w:rPr>
      </w:pPr>
    </w:p>
    <w:p w14:paraId="01595AF6">
      <w:pPr>
        <w:pStyle w:val="17"/>
        <w:tabs>
          <w:tab w:val="left" w:pos="2472"/>
        </w:tabs>
        <w:spacing w:line="460" w:lineRule="exact"/>
        <w:jc w:val="center"/>
        <w:outlineLvl w:val="0"/>
        <w:rPr>
          <w:rFonts w:ascii="Times New Roman" w:hAnsi="Times New Roman" w:eastAsia="宋体" w:cs="Times New Roman"/>
          <w:b/>
          <w:color w:val="auto"/>
          <w:sz w:val="36"/>
          <w:highlight w:val="none"/>
        </w:rPr>
      </w:pPr>
      <w:bookmarkStart w:id="377" w:name="_Toc7244"/>
      <w:bookmarkStart w:id="378" w:name="_Toc7254"/>
      <w:bookmarkStart w:id="379" w:name="_Toc31310"/>
      <w:bookmarkStart w:id="380" w:name="_Toc21753"/>
      <w:bookmarkStart w:id="381" w:name="_Toc32028"/>
      <w:bookmarkStart w:id="382" w:name="_Toc6635"/>
      <w:bookmarkStart w:id="383" w:name="_Toc11260"/>
      <w:bookmarkStart w:id="384" w:name="_Toc2211"/>
      <w:bookmarkStart w:id="385" w:name="_Toc17736"/>
      <w:bookmarkStart w:id="386" w:name="_Toc491"/>
      <w:bookmarkStart w:id="387" w:name="_Toc31429"/>
      <w:bookmarkStart w:id="388" w:name="_Toc18173"/>
      <w:bookmarkStart w:id="389" w:name="_Toc25113"/>
      <w:r>
        <w:rPr>
          <w:rFonts w:hint="eastAsia" w:ascii="Times New Roman" w:hAnsi="Times New Roman" w:eastAsia="宋体" w:cs="Times New Roman"/>
          <w:b/>
          <w:color w:val="auto"/>
          <w:sz w:val="36"/>
          <w:highlight w:val="none"/>
        </w:rPr>
        <w:t>第七章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质疑、投诉材料格式</w:t>
      </w:r>
      <w:bookmarkEnd w:id="377"/>
      <w:bookmarkEnd w:id="378"/>
      <w:bookmarkEnd w:id="379"/>
      <w:bookmarkEnd w:id="380"/>
      <w:bookmarkEnd w:id="381"/>
      <w:bookmarkEnd w:id="382"/>
      <w:bookmarkEnd w:id="383"/>
      <w:bookmarkEnd w:id="384"/>
      <w:bookmarkEnd w:id="385"/>
      <w:bookmarkEnd w:id="386"/>
      <w:bookmarkEnd w:id="387"/>
      <w:bookmarkEnd w:id="388"/>
      <w:bookmarkEnd w:id="389"/>
    </w:p>
    <w:p w14:paraId="4F165AA4">
      <w:pPr>
        <w:widowControl/>
        <w:spacing w:line="360" w:lineRule="auto"/>
        <w:jc w:val="left"/>
        <w:rPr>
          <w:color w:val="auto"/>
          <w:sz w:val="20"/>
          <w:highlight w:val="none"/>
        </w:rPr>
        <w:sectPr>
          <w:pgSz w:w="11905" w:h="16838"/>
          <w:pgMar w:top="1134" w:right="1134" w:bottom="1134" w:left="1134" w:header="850" w:footer="850" w:gutter="0"/>
          <w:pgNumType w:fmt="decimal"/>
          <w:cols w:space="0" w:num="1"/>
          <w:titlePg/>
          <w:rtlGutter w:val="0"/>
          <w:docGrid w:linePitch="331" w:charSpace="0"/>
        </w:sectPr>
      </w:pPr>
    </w:p>
    <w:p w14:paraId="186940F4">
      <w:pPr>
        <w:pStyle w:val="3"/>
        <w:jc w:val="center"/>
        <w:rPr>
          <w:rFonts w:hint="eastAsia" w:ascii="宋体" w:hAnsi="宋体" w:cs="Times New Roman"/>
          <w:b w:val="0"/>
          <w:bCs w:val="0"/>
          <w:color w:val="auto"/>
          <w:highlight w:val="none"/>
        </w:rPr>
      </w:pPr>
      <w:bookmarkStart w:id="390" w:name="_Toc10944"/>
      <w:bookmarkStart w:id="391" w:name="_Toc22540"/>
      <w:bookmarkStart w:id="392" w:name="_Toc31800"/>
      <w:bookmarkStart w:id="393" w:name="_Toc990"/>
      <w:bookmarkStart w:id="394" w:name="_Toc12016"/>
      <w:bookmarkStart w:id="395" w:name="_Toc25538"/>
      <w:bookmarkStart w:id="396" w:name="_Toc3458"/>
      <w:bookmarkStart w:id="397" w:name="_Toc17610"/>
      <w:bookmarkStart w:id="398" w:name="_Toc15096"/>
      <w:bookmarkStart w:id="399" w:name="_Toc22595"/>
      <w:r>
        <w:rPr>
          <w:rFonts w:hint="eastAsia" w:ascii="宋体" w:hAnsi="宋体" w:cs="Times New Roman"/>
          <w:b w:val="0"/>
          <w:bCs w:val="0"/>
          <w:color w:val="auto"/>
          <w:highlight w:val="none"/>
        </w:rPr>
        <w:t>第一节 质疑函（格式）</w:t>
      </w:r>
      <w:bookmarkEnd w:id="390"/>
      <w:bookmarkEnd w:id="391"/>
      <w:bookmarkEnd w:id="392"/>
      <w:bookmarkEnd w:id="393"/>
      <w:bookmarkEnd w:id="394"/>
      <w:bookmarkEnd w:id="395"/>
      <w:bookmarkEnd w:id="396"/>
      <w:bookmarkEnd w:id="397"/>
      <w:bookmarkEnd w:id="398"/>
      <w:bookmarkEnd w:id="399"/>
    </w:p>
    <w:p w14:paraId="58A940C2">
      <w:pPr>
        <w:adjustRightInd/>
        <w:snapToGrid/>
        <w:spacing w:before="0" w:beforeLines="-2147483648" w:line="240" w:lineRule="auto"/>
        <w:jc w:val="center"/>
        <w:rPr>
          <w:rFonts w:hint="eastAsia" w:ascii="黑体" w:hAnsi="黑体" w:eastAsia="黑体" w:cs="仿宋"/>
          <w:bCs/>
          <w:color w:val="auto"/>
          <w:sz w:val="32"/>
          <w:szCs w:val="32"/>
          <w:highlight w:val="none"/>
        </w:rPr>
      </w:pPr>
      <w:r>
        <w:rPr>
          <w:rFonts w:hint="eastAsia" w:ascii="仿宋" w:hAnsi="仿宋" w:eastAsia="仿宋" w:cs="仿宋"/>
          <w:b/>
          <w:bCs/>
          <w:color w:val="auto"/>
          <w:sz w:val="32"/>
          <w:szCs w:val="32"/>
          <w:highlight w:val="none"/>
        </w:rPr>
        <w:t>质疑函</w:t>
      </w:r>
    </w:p>
    <w:p w14:paraId="383EA6ED">
      <w:pPr>
        <w:adjustRightInd w:val="0"/>
        <w:snapToGrid w:val="0"/>
        <w:spacing w:before="331" w:beforeLines="100"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14:paraId="1CD410D3">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14:paraId="36092EF3">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2379DB94">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4AA37EB0">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14:paraId="79DE429E">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083959FF">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2AA44C3B">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14:paraId="751997B3">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63009C36">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50300CB1">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bookmarkStart w:id="400" w:name="PO_3000001867_PM026_5"/>
      <w:r>
        <w:rPr>
          <w:rFonts w:hint="eastAsia" w:ascii="宋体" w:hAnsi="宋体" w:eastAsia="宋体" w:cs="宋体"/>
          <w:color w:val="auto"/>
          <w:sz w:val="24"/>
          <w:szCs w:val="24"/>
          <w:highlight w:val="none"/>
          <w:u w:val="dotted"/>
        </w:rPr>
        <w:t xml:space="preserve">                        </w:t>
      </w:r>
      <w:bookmarkEnd w:id="400"/>
      <w:r>
        <w:rPr>
          <w:rFonts w:hint="eastAsia" w:ascii="宋体" w:hAnsi="宋体" w:eastAsia="宋体" w:cs="宋体"/>
          <w:color w:val="auto"/>
          <w:sz w:val="24"/>
          <w:szCs w:val="24"/>
          <w:highlight w:val="none"/>
          <w:u w:val="dotted"/>
        </w:rPr>
        <w:t xml:space="preserve">  </w:t>
      </w:r>
    </w:p>
    <w:p w14:paraId="54F5C334">
      <w:pPr>
        <w:adjustRightInd w:val="0"/>
        <w:snapToGrid w:val="0"/>
        <w:spacing w:line="360" w:lineRule="auto"/>
        <w:ind w:left="0" w:leftChars="0" w:firstLine="0" w:firstLineChars="0"/>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质疑事项：</w:t>
      </w:r>
    </w:p>
    <w:p w14:paraId="64BD3B6A">
      <w:pPr>
        <w:adjustRightInd w:val="0"/>
        <w:snapToGrid w:val="0"/>
        <w:spacing w:line="360" w:lineRule="auto"/>
        <w:ind w:left="0" w:leftChars="0" w:firstLine="0" w:firstLineChars="0"/>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□采购文件   采购文件获取日期：</w:t>
      </w:r>
      <w:r>
        <w:rPr>
          <w:rFonts w:hint="eastAsia" w:ascii="宋体" w:hAnsi="宋体" w:eastAsia="宋体" w:cs="宋体"/>
          <w:color w:val="auto"/>
          <w:sz w:val="24"/>
          <w:szCs w:val="24"/>
          <w:highlight w:val="none"/>
          <w:u w:val="dotted"/>
        </w:rPr>
        <w:t xml:space="preserve">                         </w:t>
      </w:r>
      <w:r>
        <w:rPr>
          <w:rFonts w:hint="eastAsia" w:ascii="宋体" w:hAnsi="宋体" w:eastAsia="宋体" w:cs="宋体"/>
          <w:bCs w:val="0"/>
          <w:color w:val="auto"/>
          <w:kern w:val="2"/>
          <w:sz w:val="24"/>
          <w:szCs w:val="24"/>
          <w:highlight w:val="none"/>
          <w:u w:val="none"/>
          <w:lang w:val="zh-CN" w:eastAsia="zh-CN"/>
        </w:rPr>
        <w:t xml:space="preserve">  </w:t>
      </w:r>
    </w:p>
    <w:p w14:paraId="48C05BE6">
      <w:pPr>
        <w:adjustRightInd w:val="0"/>
        <w:snapToGrid w:val="0"/>
        <w:spacing w:line="360" w:lineRule="auto"/>
        <w:ind w:left="0" w:leftChars="0" w:firstLine="0" w:firstLineChars="0"/>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 xml:space="preserve">□采购过程   </w:t>
      </w:r>
    </w:p>
    <w:p w14:paraId="616DDB53">
      <w:pPr>
        <w:adjustRightInd w:val="0"/>
        <w:snapToGrid w:val="0"/>
        <w:spacing w:line="360" w:lineRule="auto"/>
        <w:ind w:left="0" w:leftChars="0" w:firstLine="0" w:firstLineChars="0"/>
        <w:rPr>
          <w:rFonts w:hint="eastAsia" w:ascii="宋体" w:hAnsi="宋体" w:eastAsia="宋体" w:cs="宋体"/>
          <w:bCs w:val="0"/>
          <w:color w:val="auto"/>
          <w:kern w:val="2"/>
          <w:sz w:val="24"/>
          <w:szCs w:val="24"/>
          <w:highlight w:val="none"/>
          <w:u w:val="none"/>
          <w:lang w:val="zh-CN" w:eastAsia="zh-CN"/>
        </w:rPr>
      </w:pPr>
      <w:r>
        <w:rPr>
          <w:rFonts w:hint="eastAsia" w:ascii="宋体" w:hAnsi="宋体" w:eastAsia="宋体" w:cs="宋体"/>
          <w:color w:val="auto"/>
          <w:kern w:val="2"/>
          <w:sz w:val="24"/>
          <w:szCs w:val="24"/>
          <w:highlight w:val="none"/>
          <w:lang w:val="zh-CN" w:eastAsia="zh-CN"/>
        </w:rPr>
        <w:t xml:space="preserve">□中标结果   </w:t>
      </w:r>
    </w:p>
    <w:p w14:paraId="5B988881">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14:paraId="3A60B383">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108A73C7">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3757DBF1">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5C38CC06">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51784A27">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590F6976">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0749AD4C">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1C5C81BE">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14:paraId="6D4FA6F6">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5DC95FD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67183D9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1A337538">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质疑函制作说明：</w:t>
      </w:r>
    </w:p>
    <w:p w14:paraId="5EDEBAE7">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14:paraId="2867E4A4">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szCs w:val="24"/>
          <w:highlight w:val="none"/>
        </w:rPr>
        <w:t>供应商签署的授权委托书。授权委托书应载明代理人的姓名或者名称、代理事项、具体权限、期限和相关事项。</w:t>
      </w:r>
    </w:p>
    <w:p w14:paraId="392FDC33">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3.质疑供应商若对项目的某一分包进行质疑，质疑函中应列明具体分包号。</w:t>
      </w:r>
    </w:p>
    <w:p w14:paraId="0E4766E6">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14:paraId="3F0194B8">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14:paraId="4A3E008E">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45F0BE3B">
      <w:pPr>
        <w:widowControl/>
        <w:spacing w:line="360" w:lineRule="auto"/>
        <w:ind w:firstLine="480" w:firstLineChars="200"/>
        <w:jc w:val="left"/>
        <w:rPr>
          <w:rFonts w:hint="eastAsia" w:ascii="宋体" w:hAnsi="宋体" w:eastAsia="宋体" w:cs="宋体"/>
          <w:color w:val="auto"/>
          <w:sz w:val="24"/>
          <w:szCs w:val="24"/>
          <w:highlight w:val="none"/>
        </w:rPr>
      </w:pPr>
    </w:p>
    <w:p w14:paraId="028A3419">
      <w:pPr>
        <w:widowControl/>
        <w:spacing w:line="360" w:lineRule="auto"/>
        <w:jc w:val="left"/>
        <w:rPr>
          <w:rFonts w:hint="eastAsia" w:ascii="宋体" w:hAnsi="宋体" w:eastAsia="宋体" w:cs="宋体"/>
          <w:color w:val="auto"/>
          <w:kern w:val="0"/>
          <w:sz w:val="24"/>
          <w:highlight w:val="none"/>
        </w:rPr>
        <w:sectPr>
          <w:pgSz w:w="11905" w:h="16838"/>
          <w:pgMar w:top="1134" w:right="1134" w:bottom="1134" w:left="1134" w:header="850" w:footer="850" w:gutter="0"/>
          <w:pgNumType w:fmt="decimal"/>
          <w:cols w:space="0" w:num="1"/>
          <w:titlePg/>
          <w:rtlGutter w:val="0"/>
          <w:docGrid w:linePitch="331" w:charSpace="0"/>
        </w:sectPr>
      </w:pPr>
    </w:p>
    <w:p w14:paraId="70BD7CB7">
      <w:pPr>
        <w:pStyle w:val="3"/>
        <w:jc w:val="center"/>
        <w:rPr>
          <w:rFonts w:hint="eastAsia" w:ascii="宋体" w:hAnsi="宋体" w:cs="Times New Roman"/>
          <w:b w:val="0"/>
          <w:bCs w:val="0"/>
          <w:color w:val="auto"/>
          <w:highlight w:val="none"/>
        </w:rPr>
      </w:pPr>
      <w:bookmarkStart w:id="401" w:name="_Toc1896"/>
      <w:bookmarkStart w:id="402" w:name="_Toc11428"/>
      <w:bookmarkStart w:id="403" w:name="_Toc11984"/>
      <w:bookmarkStart w:id="404" w:name="_Toc24894"/>
      <w:bookmarkStart w:id="405" w:name="_Toc32540"/>
      <w:bookmarkStart w:id="406" w:name="_Toc24568"/>
      <w:bookmarkStart w:id="407" w:name="_Toc8862"/>
      <w:bookmarkStart w:id="408" w:name="_Toc7549"/>
      <w:bookmarkStart w:id="409" w:name="_Toc31203"/>
      <w:bookmarkStart w:id="410" w:name="_Toc6551"/>
      <w:r>
        <w:rPr>
          <w:rFonts w:hint="eastAsia" w:ascii="宋体" w:hAnsi="宋体" w:cs="Times New Roman"/>
          <w:b w:val="0"/>
          <w:bCs w:val="0"/>
          <w:color w:val="auto"/>
          <w:highlight w:val="none"/>
        </w:rPr>
        <w:t>第二节 投诉书（格式）</w:t>
      </w:r>
      <w:bookmarkEnd w:id="401"/>
      <w:bookmarkEnd w:id="402"/>
      <w:bookmarkEnd w:id="403"/>
      <w:bookmarkEnd w:id="404"/>
      <w:bookmarkEnd w:id="405"/>
      <w:bookmarkEnd w:id="406"/>
      <w:bookmarkEnd w:id="407"/>
      <w:bookmarkEnd w:id="408"/>
      <w:bookmarkEnd w:id="409"/>
      <w:bookmarkEnd w:id="410"/>
    </w:p>
    <w:p w14:paraId="1F1457EB">
      <w:pPr>
        <w:jc w:val="center"/>
        <w:rPr>
          <w:rFonts w:hint="eastAsia" w:ascii="宋体" w:hAnsi="宋体" w:eastAsia="宋体" w:cs="Times New Roman"/>
          <w:b/>
          <w:color w:val="auto"/>
          <w:sz w:val="44"/>
          <w:szCs w:val="44"/>
          <w:highlight w:val="none"/>
        </w:rPr>
      </w:pPr>
      <w:r>
        <w:rPr>
          <w:rFonts w:hint="eastAsia" w:ascii="宋体" w:hAnsi="宋体" w:eastAsia="宋体" w:cs="Times New Roman"/>
          <w:b/>
          <w:color w:val="auto"/>
          <w:sz w:val="32"/>
          <w:szCs w:val="32"/>
          <w:highlight w:val="none"/>
        </w:rPr>
        <w:t>投诉书</w:t>
      </w:r>
    </w:p>
    <w:p w14:paraId="351FE26F">
      <w:pPr>
        <w:rPr>
          <w:rFonts w:hint="eastAsia" w:ascii="黑体" w:hAnsi="黑体" w:eastAsia="黑体" w:cs="Times New Roman"/>
          <w:color w:val="auto"/>
          <w:sz w:val="32"/>
          <w:szCs w:val="32"/>
          <w:highlight w:val="none"/>
        </w:rPr>
      </w:pPr>
    </w:p>
    <w:p w14:paraId="170FB67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一、投诉相关主体基本情况</w:t>
      </w:r>
    </w:p>
    <w:p w14:paraId="3D554EBF">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投诉人：</w:t>
      </w:r>
      <w:r>
        <w:rPr>
          <w:rFonts w:hint="eastAsia" w:ascii="宋体" w:hAnsi="宋体" w:eastAsia="宋体" w:cs="宋体"/>
          <w:color w:val="auto"/>
          <w:sz w:val="24"/>
          <w:szCs w:val="24"/>
          <w:highlight w:val="none"/>
          <w:u w:val="dotted"/>
        </w:rPr>
        <w:t xml:space="preserve">                                               </w:t>
      </w:r>
    </w:p>
    <w:p w14:paraId="3A75C156">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066AEE5A">
      <w:pPr>
        <w:tabs>
          <w:tab w:val="left" w:pos="6510"/>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法定代表人/主要负责人：</w:t>
      </w:r>
      <w:r>
        <w:rPr>
          <w:rFonts w:hint="eastAsia" w:ascii="宋体" w:hAnsi="宋体" w:eastAsia="宋体" w:cs="宋体"/>
          <w:color w:val="auto"/>
          <w:sz w:val="24"/>
          <w:szCs w:val="24"/>
          <w:highlight w:val="none"/>
          <w:u w:val="dotted"/>
        </w:rPr>
        <w:t xml:space="preserve">                                </w:t>
      </w:r>
    </w:p>
    <w:p w14:paraId="0A75A250">
      <w:pPr>
        <w:tabs>
          <w:tab w:val="left" w:pos="6510"/>
        </w:tabs>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25531A5D">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37C2D4C0">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3709E9F2">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被投诉人1：</w:t>
      </w:r>
      <w:r>
        <w:rPr>
          <w:rFonts w:hint="eastAsia" w:ascii="宋体" w:hAnsi="宋体" w:eastAsia="宋体" w:cs="宋体"/>
          <w:color w:val="auto"/>
          <w:sz w:val="24"/>
          <w:szCs w:val="24"/>
          <w:highlight w:val="none"/>
          <w:u w:val="dotted"/>
        </w:rPr>
        <w:t xml:space="preserve">                                          </w:t>
      </w:r>
    </w:p>
    <w:p w14:paraId="5C492480">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0F1A4E76">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230F551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被投诉人2</w:t>
      </w:r>
    </w:p>
    <w:p w14:paraId="09FEBF5F">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w:t>
      </w:r>
    </w:p>
    <w:p w14:paraId="14F7F895">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相关供应商：</w:t>
      </w:r>
      <w:r>
        <w:rPr>
          <w:rFonts w:hint="eastAsia" w:ascii="宋体" w:hAnsi="宋体" w:eastAsia="宋体" w:cs="宋体"/>
          <w:color w:val="auto"/>
          <w:sz w:val="24"/>
          <w:szCs w:val="24"/>
          <w:highlight w:val="none"/>
          <w:u w:val="dotted"/>
        </w:rPr>
        <w:t xml:space="preserve">                                           </w:t>
      </w:r>
    </w:p>
    <w:p w14:paraId="5D4AA74D">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289574C8">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71AADD3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二、投诉项目基本情况</w:t>
      </w:r>
    </w:p>
    <w:p w14:paraId="20A3CD66">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dotted"/>
        </w:rPr>
        <w:t xml:space="preserve">  </w:t>
      </w:r>
      <w:bookmarkStart w:id="411" w:name="PO_3000001867_PM002_12"/>
      <w:r>
        <w:rPr>
          <w:rFonts w:hint="eastAsia" w:ascii="宋体" w:hAnsi="宋体" w:eastAsia="宋体" w:cs="宋体"/>
          <w:color w:val="auto"/>
          <w:sz w:val="24"/>
          <w:szCs w:val="24"/>
          <w:highlight w:val="none"/>
          <w:u w:val="dotted"/>
        </w:rPr>
        <w:t xml:space="preserve">                    </w:t>
      </w:r>
      <w:bookmarkEnd w:id="411"/>
      <w:r>
        <w:rPr>
          <w:rFonts w:hint="eastAsia" w:ascii="宋体" w:hAnsi="宋体" w:eastAsia="宋体" w:cs="宋体"/>
          <w:color w:val="auto"/>
          <w:sz w:val="24"/>
          <w:szCs w:val="24"/>
          <w:highlight w:val="none"/>
          <w:u w:val="dotted"/>
        </w:rPr>
        <w:t xml:space="preserve">  </w:t>
      </w:r>
    </w:p>
    <w:p w14:paraId="4C93C60B">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u w:val="dotted"/>
        </w:rPr>
        <w:t xml:space="preserve">  </w:t>
      </w:r>
      <w:bookmarkStart w:id="412" w:name="PO_3000001867_PM001_9"/>
      <w:r>
        <w:rPr>
          <w:rFonts w:hint="eastAsia" w:ascii="宋体" w:hAnsi="宋体" w:eastAsia="宋体" w:cs="宋体"/>
          <w:color w:val="auto"/>
          <w:sz w:val="24"/>
          <w:szCs w:val="24"/>
          <w:highlight w:val="none"/>
          <w:u w:val="dotted"/>
        </w:rPr>
        <w:t xml:space="preserve">                    </w:t>
      </w:r>
      <w:bookmarkEnd w:id="412"/>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57F2209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bookmarkStart w:id="413" w:name="PO_3000001867_PM026_6"/>
      <w:r>
        <w:rPr>
          <w:rFonts w:hint="eastAsia" w:ascii="宋体" w:hAnsi="宋体" w:eastAsia="宋体" w:cs="宋体"/>
          <w:color w:val="auto"/>
          <w:sz w:val="24"/>
          <w:szCs w:val="24"/>
          <w:highlight w:val="none"/>
          <w:u w:val="dotted"/>
        </w:rPr>
        <w:t xml:space="preserve">                    </w:t>
      </w:r>
      <w:bookmarkEnd w:id="413"/>
      <w:r>
        <w:rPr>
          <w:rFonts w:hint="eastAsia" w:ascii="宋体" w:hAnsi="宋体" w:eastAsia="宋体" w:cs="宋体"/>
          <w:color w:val="auto"/>
          <w:sz w:val="24"/>
          <w:szCs w:val="24"/>
          <w:highlight w:val="none"/>
          <w:u w:val="dotted"/>
          <w:lang w:val="en-US" w:eastAsia="zh-CN"/>
        </w:rPr>
        <w:t xml:space="preserve">  </w:t>
      </w:r>
    </w:p>
    <w:p w14:paraId="2185DB60">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color w:val="auto"/>
          <w:sz w:val="24"/>
          <w:szCs w:val="24"/>
          <w:highlight w:val="none"/>
          <w:u w:val="dotted"/>
        </w:rPr>
        <w:t xml:space="preserve">                                        </w:t>
      </w:r>
    </w:p>
    <w:p w14:paraId="7CF567E9">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采购文件公告:</w:t>
      </w:r>
      <w:r>
        <w:rPr>
          <w:rFonts w:hint="eastAsia" w:ascii="宋体" w:hAnsi="宋体" w:eastAsia="宋体" w:cs="宋体"/>
          <w:color w:val="auto"/>
          <w:sz w:val="24"/>
          <w:szCs w:val="24"/>
          <w:highlight w:val="none"/>
          <w:u w:val="dotted"/>
        </w:rPr>
        <w:t xml:space="preserve">是/否 </w:t>
      </w:r>
      <w:r>
        <w:rPr>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highlight w:val="none"/>
          <w:u w:val="dotted"/>
        </w:rPr>
        <w:t xml:space="preserve">                        </w:t>
      </w:r>
    </w:p>
    <w:p w14:paraId="53A9B7C2">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采购结果公告:</w:t>
      </w:r>
      <w:r>
        <w:rPr>
          <w:rFonts w:hint="eastAsia" w:ascii="宋体" w:hAnsi="宋体" w:eastAsia="宋体" w:cs="宋体"/>
          <w:color w:val="auto"/>
          <w:sz w:val="24"/>
          <w:szCs w:val="24"/>
          <w:highlight w:val="none"/>
          <w:u w:val="dotted"/>
        </w:rPr>
        <w:t xml:space="preserve">是/否 </w:t>
      </w:r>
      <w:r>
        <w:rPr>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highlight w:val="none"/>
          <w:u w:val="dotted"/>
        </w:rPr>
        <w:t xml:space="preserve">                        </w:t>
      </w:r>
    </w:p>
    <w:p w14:paraId="35FE78A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三、质疑基本情况</w:t>
      </w:r>
    </w:p>
    <w:p w14:paraId="7C31EE7D">
      <w:pPr>
        <w:spacing w:line="360" w:lineRule="auto"/>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提出质疑，质疑事项为：</w:t>
      </w:r>
      <w:r>
        <w:rPr>
          <w:rFonts w:hint="eastAsia" w:ascii="宋体" w:hAnsi="宋体" w:eastAsia="宋体" w:cs="宋体"/>
          <w:color w:val="auto"/>
          <w:sz w:val="24"/>
          <w:szCs w:val="24"/>
          <w:highlight w:val="none"/>
          <w:u w:val="dotted"/>
        </w:rPr>
        <w:t xml:space="preserve">                                </w:t>
      </w:r>
    </w:p>
    <w:p w14:paraId="0FA1714F">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6817147F">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采购人/</w:t>
      </w:r>
      <w:r>
        <w:rPr>
          <w:rFonts w:hint="eastAsia" w:ascii="宋体" w:hAnsi="宋体" w:cs="宋体"/>
          <w:color w:val="auto"/>
          <w:sz w:val="24"/>
          <w:szCs w:val="24"/>
          <w:highlight w:val="none"/>
          <w:u w:val="dotted"/>
          <w:lang w:eastAsia="zh-CN"/>
        </w:rPr>
        <w:t>采购</w:t>
      </w:r>
      <w:r>
        <w:rPr>
          <w:rFonts w:hint="eastAsia" w:ascii="宋体" w:hAnsi="宋体" w:eastAsia="宋体" w:cs="宋体"/>
          <w:color w:val="auto"/>
          <w:sz w:val="24"/>
          <w:szCs w:val="24"/>
          <w:highlight w:val="none"/>
          <w:u w:val="dotted"/>
        </w:rPr>
        <w:t>代理机构</w:t>
      </w:r>
      <w:r>
        <w:rPr>
          <w:rFonts w:hint="eastAsia" w:ascii="宋体" w:hAnsi="宋体" w:eastAsia="宋体" w:cs="宋体"/>
          <w:color w:val="auto"/>
          <w:sz w:val="24"/>
          <w:szCs w:val="24"/>
          <w:highlight w:val="none"/>
        </w:rPr>
        <w:t>于</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日,就质疑事项作出了答复/没有在法定期限内作出答复。</w:t>
      </w:r>
    </w:p>
    <w:p w14:paraId="43ECFF2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四、投诉事项具体内容</w:t>
      </w:r>
    </w:p>
    <w:p w14:paraId="1601909B">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投诉事项 1：</w:t>
      </w:r>
      <w:r>
        <w:rPr>
          <w:rFonts w:hint="eastAsia" w:ascii="宋体" w:hAnsi="宋体" w:eastAsia="宋体" w:cs="宋体"/>
          <w:color w:val="auto"/>
          <w:sz w:val="24"/>
          <w:szCs w:val="24"/>
          <w:highlight w:val="none"/>
          <w:u w:val="dotted"/>
        </w:rPr>
        <w:t xml:space="preserve">                                       </w:t>
      </w:r>
    </w:p>
    <w:p w14:paraId="3F1D803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22891BEC">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492F3509">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2642ACF9">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74F3E56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投诉事项2</w:t>
      </w:r>
    </w:p>
    <w:p w14:paraId="3D4C77C6">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w:t>
      </w:r>
    </w:p>
    <w:p w14:paraId="12DA452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五、与投诉事项相关的投诉请求</w:t>
      </w:r>
    </w:p>
    <w:p w14:paraId="3B54ED2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6266149B">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p>
    <w:p w14:paraId="6FA66CE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581EB1C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56601B7B">
      <w:pPr>
        <w:spacing w:line="360" w:lineRule="auto"/>
        <w:rPr>
          <w:rFonts w:hint="eastAsia" w:ascii="宋体" w:hAnsi="宋体" w:eastAsia="宋体" w:cs="宋体"/>
          <w:b/>
          <w:color w:val="auto"/>
          <w:sz w:val="24"/>
          <w:szCs w:val="24"/>
          <w:highlight w:val="none"/>
        </w:rPr>
      </w:pPr>
    </w:p>
    <w:p w14:paraId="6F370D0A">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投诉书制作说明：</w:t>
      </w:r>
    </w:p>
    <w:p w14:paraId="0628379E">
      <w:pPr>
        <w:widowControl/>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1.投诉人提起投诉时，应当提交投诉书和必要的证明材料，并按照被投诉人和与投诉事项有关的供应商数量提供投诉书副本。</w:t>
      </w:r>
    </w:p>
    <w:p w14:paraId="55D354CD">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2.投诉人若委托代理人进行投诉的，投诉书应按照要求列明“授权代表”的有关内容，并在附件中提交由</w:t>
      </w:r>
      <w:r>
        <w:rPr>
          <w:rFonts w:hint="eastAsia" w:ascii="宋体" w:hAnsi="宋体" w:eastAsia="宋体" w:cs="宋体"/>
          <w:color w:val="auto"/>
          <w:kern w:val="0"/>
          <w:sz w:val="24"/>
          <w:szCs w:val="24"/>
          <w:highlight w:val="none"/>
        </w:rPr>
        <w:t>投诉人签署的授权委托书。授权委托书应当载明代理人的姓名或者名称、代理事项、具体权限、期限和相关事项。</w:t>
      </w:r>
    </w:p>
    <w:p w14:paraId="660CC078">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3.投诉人若对项目的某一分包进行投诉，投诉书应列明具体分包号。</w:t>
      </w:r>
    </w:p>
    <w:p w14:paraId="453D9C16">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4.投诉书应简要列明质疑事项，质疑函、质疑答复等作为附件材料提供。</w:t>
      </w:r>
    </w:p>
    <w:p w14:paraId="30B5447C">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5.投诉书的投诉事项应具体、明确，并有必要的事实依据和法律依据。</w:t>
      </w:r>
    </w:p>
    <w:p w14:paraId="2FB2E100">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6.投诉书的投诉请求应与投诉事项相关。</w:t>
      </w:r>
    </w:p>
    <w:p w14:paraId="2E10387A">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7.投诉人为自然人的，投诉书应当由本人签字；投诉人为法人或者其他组织的，投诉书应当由法定代表人、主要负责人，或者其授权代表签字或者盖章，并加盖公章。</w:t>
      </w:r>
    </w:p>
    <w:p w14:paraId="5806722C">
      <w:pPr>
        <w:rPr>
          <w:color w:val="auto"/>
          <w:highlight w:val="none"/>
        </w:rPr>
      </w:pPr>
    </w:p>
    <w:sectPr>
      <w:footerReference r:id="rId10" w:type="first"/>
      <w:headerReference r:id="rId7" w:type="default"/>
      <w:footerReference r:id="rId8" w:type="default"/>
      <w:footerReference r:id="rId9" w:type="even"/>
      <w:pgSz w:w="11905" w:h="16838"/>
      <w:pgMar w:top="1134" w:right="1134" w:bottom="1134" w:left="1134" w:header="850" w:footer="850" w:gutter="0"/>
      <w:pgNumType w:fmt="decimal"/>
      <w:cols w:space="0" w:num="1"/>
      <w:titlePg/>
      <w:rtlGutter w:val="0"/>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EE14D">
    <w:pPr>
      <w:pStyle w:val="1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6A4C8C">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66A4C8C">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3307A">
    <w:pPr>
      <w:pStyle w:val="1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734629">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A734629">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E481A">
    <w:pPr>
      <w:widowControl w:val="0"/>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6356558B">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9</w:t>
                          </w:r>
                          <w:r>
                            <w:rPr>
                              <w:rFonts w:ascii="Times New Roman" w:hAnsi="Times New Roman"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BOPetkzgEAAJcDAAAOAAAAAAAAAAEAIAAAAB8BAABkcnMv&#10;ZTJvRG9jLnhtbFBLBQYAAAAABgAGAFkBAABfBQAAAAA=&#10;">
              <v:fill on="f" focussize="0,0"/>
              <v:stroke on="f"/>
              <v:imagedata o:title=""/>
              <o:lock v:ext="edit" aspectratio="f"/>
              <v:textbox inset="0mm,0mm,0mm,0mm" style="mso-fit-shape-to-text:t;">
                <w:txbxContent>
                  <w:p w14:paraId="6356558B">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9</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p w14:paraId="2C38DEFC">
    <w:pPr>
      <w:widowControl w:val="0"/>
      <w:snapToGrid w:val="0"/>
      <w:jc w:val="left"/>
      <w:rPr>
        <w:rFonts w:ascii="Times New Roman" w:hAnsi="Times New Roman"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53FD">
    <w:pPr>
      <w:pStyle w:val="19"/>
      <w:jc w:val="center"/>
      <w:rPr>
        <w:rFonts w:ascii="Times New Roman" w:hAnsi="Times New Roman" w:eastAsia="宋体" w:cs="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25792D">
                          <w:pPr>
                            <w:pStyle w:val="19"/>
                            <w:jc w:val="cente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lang w:val="zh-CN"/>
                            </w:rPr>
                            <w:t>104</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25792D">
                    <w:pPr>
                      <w:pStyle w:val="19"/>
                      <w:jc w:val="cente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lang w:val="zh-CN"/>
                      </w:rPr>
                      <w:t>104</w:t>
                    </w:r>
                    <w:r>
                      <w:rPr>
                        <w:rFonts w:ascii="Times New Roman" w:hAnsi="Times New Roman" w:eastAsia="宋体" w:cs="Times New Roman"/>
                      </w:rPr>
                      <w:fldChar w:fldCharType="end"/>
                    </w:r>
                  </w:p>
                </w:txbxContent>
              </v:textbox>
            </v:shape>
          </w:pict>
        </mc:Fallback>
      </mc:AlternateContent>
    </w:r>
  </w:p>
  <w:p w14:paraId="79668C6F">
    <w:pPr>
      <w:pStyle w:val="19"/>
      <w:rPr>
        <w:rFonts w:ascii="Times New Roman" w:hAnsi="Times New Roman" w:eastAsia="宋体"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CCB02">
    <w:pPr>
      <w:pStyle w:val="19"/>
      <w:framePr w:wrap="around" w:vAnchor="text" w:hAnchor="margin" w:xAlign="center" w:y="1"/>
      <w:rPr>
        <w:rStyle w:val="29"/>
        <w:rFonts w:ascii="Times New Roman" w:hAnsi="Times New Roman" w:eastAsia="宋体" w:cs="Times New Roman"/>
      </w:rPr>
    </w:pPr>
    <w:r>
      <w:rPr>
        <w:rFonts w:ascii="Times New Roman" w:hAnsi="Times New Roman" w:eastAsia="宋体" w:cs="Times New Roman"/>
      </w:rPr>
      <w:fldChar w:fldCharType="begin"/>
    </w:r>
    <w:r>
      <w:rPr>
        <w:rStyle w:val="29"/>
        <w:rFonts w:ascii="Times New Roman" w:hAnsi="Times New Roman" w:eastAsia="宋体" w:cs="Times New Roman"/>
      </w:rPr>
      <w:instrText xml:space="preserve">PAGE  </w:instrText>
    </w:r>
    <w:r>
      <w:rPr>
        <w:rFonts w:ascii="Times New Roman" w:hAnsi="Times New Roman" w:eastAsia="宋体" w:cs="Times New Roman"/>
      </w:rPr>
      <w:fldChar w:fldCharType="end"/>
    </w:r>
  </w:p>
  <w:p w14:paraId="5A0CAFD6">
    <w:pPr>
      <w:pStyle w:val="19"/>
      <w:rPr>
        <w:rFonts w:ascii="Times New Roman" w:hAnsi="Times New Roman" w:eastAsia="宋体"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92DCB">
    <w:pPr>
      <w:pStyle w:val="19"/>
      <w:ind w:right="360"/>
      <w:jc w:val="both"/>
      <w:rPr>
        <w:rFonts w:hint="eastAsia" w:ascii="Times New Roman" w:hAnsi="Times New Roman" w:eastAsia="宋体"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40AC4A">
                          <w:pPr>
                            <w:pStyle w:val="19"/>
                            <w:rPr>
                              <w:rStyle w:val="29"/>
                              <w:rFonts w:ascii="Times New Roman" w:hAnsi="Times New Roman" w:eastAsia="宋体" w:cs="Times New Roman"/>
                            </w:rPr>
                          </w:pPr>
                          <w:r>
                            <w:rPr>
                              <w:rFonts w:ascii="Times New Roman" w:hAnsi="Times New Roman" w:eastAsia="宋体" w:cs="Times New Roman"/>
                            </w:rPr>
                            <w:fldChar w:fldCharType="begin"/>
                          </w:r>
                          <w:r>
                            <w:rPr>
                              <w:rStyle w:val="29"/>
                              <w:rFonts w:ascii="Times New Roman" w:hAnsi="Times New Roman" w:eastAsia="宋体" w:cs="Times New Roman"/>
                            </w:rPr>
                            <w:instrText xml:space="preserve">PAGE  </w:instrText>
                          </w:r>
                          <w:r>
                            <w:rPr>
                              <w:rFonts w:ascii="Times New Roman" w:hAnsi="Times New Roman" w:eastAsia="宋体" w:cs="Times New Roman"/>
                            </w:rPr>
                            <w:fldChar w:fldCharType="separate"/>
                          </w:r>
                          <w:r>
                            <w:rPr>
                              <w:rStyle w:val="29"/>
                              <w:rFonts w:ascii="Times New Roman" w:hAnsi="Times New Roman" w:eastAsia="宋体" w:cs="Times New Roman"/>
                            </w:rPr>
                            <w:t>122</w:t>
                          </w:r>
                          <w:r>
                            <w:rPr>
                              <w:rFonts w:ascii="Times New Roman" w:hAnsi="Times New Roman" w:eastAsia="宋体" w:cs="Times New Roman"/>
                            </w:rPr>
                            <w:fldChar w:fldCharType="end"/>
                          </w:r>
                        </w:p>
                        <w:p w14:paraId="34139182"/>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540AC4A">
                    <w:pPr>
                      <w:pStyle w:val="19"/>
                      <w:rPr>
                        <w:rStyle w:val="29"/>
                        <w:rFonts w:ascii="Times New Roman" w:hAnsi="Times New Roman" w:eastAsia="宋体" w:cs="Times New Roman"/>
                      </w:rPr>
                    </w:pPr>
                    <w:r>
                      <w:rPr>
                        <w:rFonts w:ascii="Times New Roman" w:hAnsi="Times New Roman" w:eastAsia="宋体" w:cs="Times New Roman"/>
                      </w:rPr>
                      <w:fldChar w:fldCharType="begin"/>
                    </w:r>
                    <w:r>
                      <w:rPr>
                        <w:rStyle w:val="29"/>
                        <w:rFonts w:ascii="Times New Roman" w:hAnsi="Times New Roman" w:eastAsia="宋体" w:cs="Times New Roman"/>
                      </w:rPr>
                      <w:instrText xml:space="preserve">PAGE  </w:instrText>
                    </w:r>
                    <w:r>
                      <w:rPr>
                        <w:rFonts w:ascii="Times New Roman" w:hAnsi="Times New Roman" w:eastAsia="宋体" w:cs="Times New Roman"/>
                      </w:rPr>
                      <w:fldChar w:fldCharType="separate"/>
                    </w:r>
                    <w:r>
                      <w:rPr>
                        <w:rStyle w:val="29"/>
                        <w:rFonts w:ascii="Times New Roman" w:hAnsi="Times New Roman" w:eastAsia="宋体" w:cs="Times New Roman"/>
                      </w:rPr>
                      <w:t>122</w:t>
                    </w:r>
                    <w:r>
                      <w:rPr>
                        <w:rFonts w:ascii="Times New Roman" w:hAnsi="Times New Roman" w:eastAsia="宋体" w:cs="Times New Roman"/>
                      </w:rPr>
                      <w:fldChar w:fldCharType="end"/>
                    </w:r>
                  </w:p>
                  <w:p w14:paraId="34139182"/>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9EF0E">
    <w:pPr>
      <w:pStyle w:val="20"/>
      <w:rPr>
        <w:rFonts w:ascii="Times New Roman" w:hAnsi="Times New Roman" w:eastAsia="宋体"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A5438">
    <w:pPr>
      <w:pStyle w:val="20"/>
      <w:tabs>
        <w:tab w:val="center" w:pos="0"/>
        <w:tab w:val="clear" w:pos="4153"/>
      </w:tabs>
      <w:rPr>
        <w:rFonts w:ascii="Times New Roman" w:hAnsi="Times New Roman" w:eastAsia="宋体"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3C4FD3"/>
    <w:multiLevelType w:val="singleLevel"/>
    <w:tmpl w:val="DC3C4FD3"/>
    <w:lvl w:ilvl="0" w:tentative="0">
      <w:start w:val="1"/>
      <w:numFmt w:val="decimal"/>
      <w:suff w:val="nothing"/>
      <w:lvlText w:val="（%1）"/>
      <w:lvlJc w:val="left"/>
    </w:lvl>
  </w:abstractNum>
  <w:abstractNum w:abstractNumId="1">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3">
    <w:nsid w:val="348E8DD0"/>
    <w:multiLevelType w:val="singleLevel"/>
    <w:tmpl w:val="348E8DD0"/>
    <w:lvl w:ilvl="0" w:tentative="0">
      <w:start w:val="2"/>
      <w:numFmt w:val="decimal"/>
      <w:suff w:val="space"/>
      <w:lvlText w:val="%1."/>
      <w:lvlJc w:val="left"/>
    </w:lvl>
  </w:abstractNum>
  <w:abstractNum w:abstractNumId="4">
    <w:nsid w:val="481FB952"/>
    <w:multiLevelType w:val="singleLevel"/>
    <w:tmpl w:val="481FB952"/>
    <w:lvl w:ilvl="0" w:tentative="0">
      <w:start w:val="4"/>
      <w:numFmt w:val="chineseCounting"/>
      <w:suff w:val="nothing"/>
      <w:lvlText w:val="（%1）"/>
      <w:lvlJc w:val="left"/>
      <w:rPr>
        <w:rFonts w:hint="eastAsia"/>
      </w:rPr>
    </w:lvl>
  </w:abstractNum>
  <w:num w:numId="1">
    <w:abstractNumId w:val="4"/>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iMzUyNTlmYzY2ZjMyMzAzNWM1ODhiMGYxMmRiZjYifQ=="/>
  </w:docVars>
  <w:rsids>
    <w:rsidRoot w:val="00000000"/>
    <w:rsid w:val="001F1B22"/>
    <w:rsid w:val="00C35CC2"/>
    <w:rsid w:val="00C621D0"/>
    <w:rsid w:val="00D26508"/>
    <w:rsid w:val="00D47C35"/>
    <w:rsid w:val="00D95B39"/>
    <w:rsid w:val="00DB6B5A"/>
    <w:rsid w:val="01095920"/>
    <w:rsid w:val="011B02F9"/>
    <w:rsid w:val="01274D28"/>
    <w:rsid w:val="012A54D2"/>
    <w:rsid w:val="014275A5"/>
    <w:rsid w:val="014A1B88"/>
    <w:rsid w:val="014E69AF"/>
    <w:rsid w:val="01A72EEF"/>
    <w:rsid w:val="01BE6222"/>
    <w:rsid w:val="01C73E98"/>
    <w:rsid w:val="01C92250"/>
    <w:rsid w:val="01D37CEE"/>
    <w:rsid w:val="01D5534C"/>
    <w:rsid w:val="02055082"/>
    <w:rsid w:val="02974B2C"/>
    <w:rsid w:val="02CC6E30"/>
    <w:rsid w:val="02D92142"/>
    <w:rsid w:val="02DC48CB"/>
    <w:rsid w:val="0312526D"/>
    <w:rsid w:val="03323B4D"/>
    <w:rsid w:val="035C3D6F"/>
    <w:rsid w:val="036A4118"/>
    <w:rsid w:val="037B5A38"/>
    <w:rsid w:val="038207AB"/>
    <w:rsid w:val="0385660D"/>
    <w:rsid w:val="038F07B3"/>
    <w:rsid w:val="03942A31"/>
    <w:rsid w:val="04054EA8"/>
    <w:rsid w:val="041C7FB9"/>
    <w:rsid w:val="042C4A18"/>
    <w:rsid w:val="047475DC"/>
    <w:rsid w:val="048E5308"/>
    <w:rsid w:val="04975296"/>
    <w:rsid w:val="049A7C20"/>
    <w:rsid w:val="04A44EF6"/>
    <w:rsid w:val="04A57753"/>
    <w:rsid w:val="04A82424"/>
    <w:rsid w:val="04C31FAE"/>
    <w:rsid w:val="04E34912"/>
    <w:rsid w:val="054579FD"/>
    <w:rsid w:val="054D6CFB"/>
    <w:rsid w:val="054F5D32"/>
    <w:rsid w:val="056D44BF"/>
    <w:rsid w:val="05A71B3F"/>
    <w:rsid w:val="05B2719F"/>
    <w:rsid w:val="05BE24D8"/>
    <w:rsid w:val="05EC04F9"/>
    <w:rsid w:val="05F34893"/>
    <w:rsid w:val="060A5367"/>
    <w:rsid w:val="061760BE"/>
    <w:rsid w:val="066F5DC3"/>
    <w:rsid w:val="0676474C"/>
    <w:rsid w:val="068C4871"/>
    <w:rsid w:val="069602FF"/>
    <w:rsid w:val="06F62551"/>
    <w:rsid w:val="072D0157"/>
    <w:rsid w:val="075D020D"/>
    <w:rsid w:val="07621280"/>
    <w:rsid w:val="0790327A"/>
    <w:rsid w:val="07A428E3"/>
    <w:rsid w:val="07CB185D"/>
    <w:rsid w:val="07DA4E9C"/>
    <w:rsid w:val="08093A71"/>
    <w:rsid w:val="0837398B"/>
    <w:rsid w:val="08A05E08"/>
    <w:rsid w:val="08A76D34"/>
    <w:rsid w:val="08F00221"/>
    <w:rsid w:val="08FB6F31"/>
    <w:rsid w:val="090612C8"/>
    <w:rsid w:val="092A00E1"/>
    <w:rsid w:val="092C00B2"/>
    <w:rsid w:val="09572877"/>
    <w:rsid w:val="097C1490"/>
    <w:rsid w:val="09AB0983"/>
    <w:rsid w:val="09CE1116"/>
    <w:rsid w:val="09E076C7"/>
    <w:rsid w:val="0A1E7575"/>
    <w:rsid w:val="0A2013A9"/>
    <w:rsid w:val="0A435CEB"/>
    <w:rsid w:val="0A564057"/>
    <w:rsid w:val="0A765A8A"/>
    <w:rsid w:val="0A813285"/>
    <w:rsid w:val="0AA809C6"/>
    <w:rsid w:val="0ACE705D"/>
    <w:rsid w:val="0AD3705F"/>
    <w:rsid w:val="0AF837E4"/>
    <w:rsid w:val="0B05035F"/>
    <w:rsid w:val="0B194B3F"/>
    <w:rsid w:val="0B2B22F5"/>
    <w:rsid w:val="0B5140BC"/>
    <w:rsid w:val="0B615CFF"/>
    <w:rsid w:val="0B635AD3"/>
    <w:rsid w:val="0B831A63"/>
    <w:rsid w:val="0B8C6DD9"/>
    <w:rsid w:val="0B8F7AB0"/>
    <w:rsid w:val="0B996E37"/>
    <w:rsid w:val="0BA95626"/>
    <w:rsid w:val="0BC23C9A"/>
    <w:rsid w:val="0C01007F"/>
    <w:rsid w:val="0C463AE2"/>
    <w:rsid w:val="0C8B2878"/>
    <w:rsid w:val="0CBF1DC1"/>
    <w:rsid w:val="0CDC043F"/>
    <w:rsid w:val="0D543F47"/>
    <w:rsid w:val="0D59103F"/>
    <w:rsid w:val="0D6B4369"/>
    <w:rsid w:val="0D834F58"/>
    <w:rsid w:val="0D9269B0"/>
    <w:rsid w:val="0D992AED"/>
    <w:rsid w:val="0E0F21BC"/>
    <w:rsid w:val="0E1770D6"/>
    <w:rsid w:val="0E2B18D5"/>
    <w:rsid w:val="0E3218E4"/>
    <w:rsid w:val="0E372DD1"/>
    <w:rsid w:val="0E670952"/>
    <w:rsid w:val="0E73260E"/>
    <w:rsid w:val="0EA91BC1"/>
    <w:rsid w:val="0EEE19BA"/>
    <w:rsid w:val="0EEF6AAD"/>
    <w:rsid w:val="0EFB7D6B"/>
    <w:rsid w:val="0F035F56"/>
    <w:rsid w:val="0F17197D"/>
    <w:rsid w:val="0F3410B2"/>
    <w:rsid w:val="0F524821"/>
    <w:rsid w:val="0F6B1F01"/>
    <w:rsid w:val="0FB74DC9"/>
    <w:rsid w:val="101A621B"/>
    <w:rsid w:val="102F0E28"/>
    <w:rsid w:val="10390118"/>
    <w:rsid w:val="107F13C4"/>
    <w:rsid w:val="10A25EDA"/>
    <w:rsid w:val="10D4339F"/>
    <w:rsid w:val="11652FD6"/>
    <w:rsid w:val="11D843F8"/>
    <w:rsid w:val="11F56084"/>
    <w:rsid w:val="120D6C92"/>
    <w:rsid w:val="123139A9"/>
    <w:rsid w:val="12443DC6"/>
    <w:rsid w:val="12947978"/>
    <w:rsid w:val="12DE2AB6"/>
    <w:rsid w:val="12E271C4"/>
    <w:rsid w:val="12E63C04"/>
    <w:rsid w:val="13004370"/>
    <w:rsid w:val="137B5074"/>
    <w:rsid w:val="13D773DA"/>
    <w:rsid w:val="141667C6"/>
    <w:rsid w:val="144E3925"/>
    <w:rsid w:val="14523C8E"/>
    <w:rsid w:val="14814229"/>
    <w:rsid w:val="1485642A"/>
    <w:rsid w:val="148C55F5"/>
    <w:rsid w:val="1493579A"/>
    <w:rsid w:val="14A02656"/>
    <w:rsid w:val="14EF2214"/>
    <w:rsid w:val="15112FB3"/>
    <w:rsid w:val="1517629B"/>
    <w:rsid w:val="15715C29"/>
    <w:rsid w:val="15A71FCF"/>
    <w:rsid w:val="15CE73E7"/>
    <w:rsid w:val="15DA6861"/>
    <w:rsid w:val="15F7039E"/>
    <w:rsid w:val="16521360"/>
    <w:rsid w:val="169D6B05"/>
    <w:rsid w:val="169D6CED"/>
    <w:rsid w:val="16CC463A"/>
    <w:rsid w:val="172A6452"/>
    <w:rsid w:val="17526FA4"/>
    <w:rsid w:val="178145CC"/>
    <w:rsid w:val="178A5D34"/>
    <w:rsid w:val="1795379C"/>
    <w:rsid w:val="18063809"/>
    <w:rsid w:val="18817186"/>
    <w:rsid w:val="18A53C2D"/>
    <w:rsid w:val="18BB05AE"/>
    <w:rsid w:val="18E66AB2"/>
    <w:rsid w:val="18ED0F42"/>
    <w:rsid w:val="19097C61"/>
    <w:rsid w:val="19155678"/>
    <w:rsid w:val="194F7902"/>
    <w:rsid w:val="19B81747"/>
    <w:rsid w:val="19DC1C4E"/>
    <w:rsid w:val="19FF33EE"/>
    <w:rsid w:val="1A224809"/>
    <w:rsid w:val="1A70567B"/>
    <w:rsid w:val="1A774458"/>
    <w:rsid w:val="1A7C6C9B"/>
    <w:rsid w:val="1A846A93"/>
    <w:rsid w:val="1AA22304"/>
    <w:rsid w:val="1ABD34B5"/>
    <w:rsid w:val="1B1A3D35"/>
    <w:rsid w:val="1B7900EB"/>
    <w:rsid w:val="1B8B4540"/>
    <w:rsid w:val="1B980981"/>
    <w:rsid w:val="1B9B20B0"/>
    <w:rsid w:val="1BC83144"/>
    <w:rsid w:val="1C6A4C3A"/>
    <w:rsid w:val="1C915908"/>
    <w:rsid w:val="1C9E7D2D"/>
    <w:rsid w:val="1CA05783"/>
    <w:rsid w:val="1CA43733"/>
    <w:rsid w:val="1CCA5C25"/>
    <w:rsid w:val="1CE33425"/>
    <w:rsid w:val="1D556DBC"/>
    <w:rsid w:val="1D8E1824"/>
    <w:rsid w:val="1DA14320"/>
    <w:rsid w:val="1DC5245A"/>
    <w:rsid w:val="1DD91315"/>
    <w:rsid w:val="1DF1639C"/>
    <w:rsid w:val="1E037DAC"/>
    <w:rsid w:val="1E55723C"/>
    <w:rsid w:val="1EA4279A"/>
    <w:rsid w:val="1EA700B7"/>
    <w:rsid w:val="1F152A17"/>
    <w:rsid w:val="1F4E3E9E"/>
    <w:rsid w:val="1F5C1853"/>
    <w:rsid w:val="1F6210D9"/>
    <w:rsid w:val="1F640C4B"/>
    <w:rsid w:val="1F7C3BBA"/>
    <w:rsid w:val="1FC2394D"/>
    <w:rsid w:val="1FCF2A25"/>
    <w:rsid w:val="202A5D19"/>
    <w:rsid w:val="208D2FA3"/>
    <w:rsid w:val="20910DC7"/>
    <w:rsid w:val="209640CD"/>
    <w:rsid w:val="20967EE2"/>
    <w:rsid w:val="20D3473E"/>
    <w:rsid w:val="20DD79A8"/>
    <w:rsid w:val="20E233A0"/>
    <w:rsid w:val="21170006"/>
    <w:rsid w:val="213D7796"/>
    <w:rsid w:val="215E6B36"/>
    <w:rsid w:val="21660D84"/>
    <w:rsid w:val="217D1569"/>
    <w:rsid w:val="21834205"/>
    <w:rsid w:val="21AB6CB3"/>
    <w:rsid w:val="21DA28C2"/>
    <w:rsid w:val="21E92535"/>
    <w:rsid w:val="21EA67DF"/>
    <w:rsid w:val="22494C50"/>
    <w:rsid w:val="22551944"/>
    <w:rsid w:val="225718E5"/>
    <w:rsid w:val="2279283A"/>
    <w:rsid w:val="227A5108"/>
    <w:rsid w:val="22AB5DF9"/>
    <w:rsid w:val="22C87A6E"/>
    <w:rsid w:val="22CE4F93"/>
    <w:rsid w:val="22DA3051"/>
    <w:rsid w:val="22DC4C58"/>
    <w:rsid w:val="23236BC0"/>
    <w:rsid w:val="23566F63"/>
    <w:rsid w:val="236E1A6B"/>
    <w:rsid w:val="237F36A3"/>
    <w:rsid w:val="23AD68F9"/>
    <w:rsid w:val="23C31EAF"/>
    <w:rsid w:val="23C46C9C"/>
    <w:rsid w:val="23CD5BEA"/>
    <w:rsid w:val="23D46646"/>
    <w:rsid w:val="23E16DB3"/>
    <w:rsid w:val="23EF07BD"/>
    <w:rsid w:val="240B21ED"/>
    <w:rsid w:val="240D1D18"/>
    <w:rsid w:val="242D3833"/>
    <w:rsid w:val="24816B05"/>
    <w:rsid w:val="2484358A"/>
    <w:rsid w:val="24941690"/>
    <w:rsid w:val="24CF590E"/>
    <w:rsid w:val="24FD473D"/>
    <w:rsid w:val="252B2680"/>
    <w:rsid w:val="25581FF1"/>
    <w:rsid w:val="25665875"/>
    <w:rsid w:val="256C491B"/>
    <w:rsid w:val="258F5A73"/>
    <w:rsid w:val="25E2566C"/>
    <w:rsid w:val="26024071"/>
    <w:rsid w:val="26797B53"/>
    <w:rsid w:val="26A742E8"/>
    <w:rsid w:val="26AD2A00"/>
    <w:rsid w:val="26CF1553"/>
    <w:rsid w:val="26DA0542"/>
    <w:rsid w:val="273259A9"/>
    <w:rsid w:val="27380A7A"/>
    <w:rsid w:val="273B4DDA"/>
    <w:rsid w:val="27422C88"/>
    <w:rsid w:val="27503865"/>
    <w:rsid w:val="275A5F00"/>
    <w:rsid w:val="276258F6"/>
    <w:rsid w:val="279A2560"/>
    <w:rsid w:val="27BA3F65"/>
    <w:rsid w:val="27D10647"/>
    <w:rsid w:val="27DA7DAA"/>
    <w:rsid w:val="27F23143"/>
    <w:rsid w:val="28031DF6"/>
    <w:rsid w:val="28063E8E"/>
    <w:rsid w:val="28375750"/>
    <w:rsid w:val="28790670"/>
    <w:rsid w:val="28FB43CF"/>
    <w:rsid w:val="29095C9F"/>
    <w:rsid w:val="291B1976"/>
    <w:rsid w:val="292145DB"/>
    <w:rsid w:val="292D12B6"/>
    <w:rsid w:val="29AB0C3B"/>
    <w:rsid w:val="29BB4910"/>
    <w:rsid w:val="29DB234D"/>
    <w:rsid w:val="29DD3939"/>
    <w:rsid w:val="2A1F36F3"/>
    <w:rsid w:val="2A636FF6"/>
    <w:rsid w:val="2A914B0A"/>
    <w:rsid w:val="2AFF564B"/>
    <w:rsid w:val="2B3B1E66"/>
    <w:rsid w:val="2B770163"/>
    <w:rsid w:val="2B960D99"/>
    <w:rsid w:val="2B9E3F4D"/>
    <w:rsid w:val="2B9E7E17"/>
    <w:rsid w:val="2BCB247B"/>
    <w:rsid w:val="2C7D12B4"/>
    <w:rsid w:val="2CCA7EB6"/>
    <w:rsid w:val="2CED73A5"/>
    <w:rsid w:val="2CF72413"/>
    <w:rsid w:val="2D2E5073"/>
    <w:rsid w:val="2D3347E7"/>
    <w:rsid w:val="2D4F38E3"/>
    <w:rsid w:val="2D6045A9"/>
    <w:rsid w:val="2D9617F6"/>
    <w:rsid w:val="2DBE7E6A"/>
    <w:rsid w:val="2DCB0FE4"/>
    <w:rsid w:val="2DE51610"/>
    <w:rsid w:val="2DEC5B1F"/>
    <w:rsid w:val="2E21726B"/>
    <w:rsid w:val="2EA52D3B"/>
    <w:rsid w:val="2F423753"/>
    <w:rsid w:val="2F575FD4"/>
    <w:rsid w:val="2FB87BD1"/>
    <w:rsid w:val="2FF80F0E"/>
    <w:rsid w:val="304108B1"/>
    <w:rsid w:val="305807BF"/>
    <w:rsid w:val="306B5FE8"/>
    <w:rsid w:val="307849BD"/>
    <w:rsid w:val="307E46AF"/>
    <w:rsid w:val="30D81EF7"/>
    <w:rsid w:val="30D93356"/>
    <w:rsid w:val="30DA1DD9"/>
    <w:rsid w:val="30E12562"/>
    <w:rsid w:val="316174CA"/>
    <w:rsid w:val="318D2CFD"/>
    <w:rsid w:val="31EF7B28"/>
    <w:rsid w:val="31FE5396"/>
    <w:rsid w:val="32015993"/>
    <w:rsid w:val="322118FB"/>
    <w:rsid w:val="322476CF"/>
    <w:rsid w:val="322B55AE"/>
    <w:rsid w:val="32390A38"/>
    <w:rsid w:val="32502EDB"/>
    <w:rsid w:val="32521B1D"/>
    <w:rsid w:val="326C65A7"/>
    <w:rsid w:val="326D5167"/>
    <w:rsid w:val="326E6C1E"/>
    <w:rsid w:val="329F5F4A"/>
    <w:rsid w:val="32AD00E0"/>
    <w:rsid w:val="32BB403E"/>
    <w:rsid w:val="32DD681E"/>
    <w:rsid w:val="32E3590E"/>
    <w:rsid w:val="32FC3D25"/>
    <w:rsid w:val="33136037"/>
    <w:rsid w:val="3316675F"/>
    <w:rsid w:val="33177A44"/>
    <w:rsid w:val="332130EA"/>
    <w:rsid w:val="3325122F"/>
    <w:rsid w:val="33492641"/>
    <w:rsid w:val="33800A0F"/>
    <w:rsid w:val="338E424C"/>
    <w:rsid w:val="339B377C"/>
    <w:rsid w:val="33D1368F"/>
    <w:rsid w:val="345631E3"/>
    <w:rsid w:val="34572A71"/>
    <w:rsid w:val="349D7A9E"/>
    <w:rsid w:val="34BB41E0"/>
    <w:rsid w:val="34BC4B4B"/>
    <w:rsid w:val="34E571C2"/>
    <w:rsid w:val="3507717E"/>
    <w:rsid w:val="350B35FD"/>
    <w:rsid w:val="350C2D09"/>
    <w:rsid w:val="35353F43"/>
    <w:rsid w:val="358838F4"/>
    <w:rsid w:val="3592350F"/>
    <w:rsid w:val="35A67A5F"/>
    <w:rsid w:val="35C46C07"/>
    <w:rsid w:val="3615435C"/>
    <w:rsid w:val="361C37F0"/>
    <w:rsid w:val="361E362C"/>
    <w:rsid w:val="3635774B"/>
    <w:rsid w:val="3642105E"/>
    <w:rsid w:val="364610BA"/>
    <w:rsid w:val="366E1C81"/>
    <w:rsid w:val="366E4460"/>
    <w:rsid w:val="36773E5D"/>
    <w:rsid w:val="36801F8F"/>
    <w:rsid w:val="36AF573D"/>
    <w:rsid w:val="36BB169B"/>
    <w:rsid w:val="36CF23CE"/>
    <w:rsid w:val="36D3565B"/>
    <w:rsid w:val="36E0622F"/>
    <w:rsid w:val="36ED3DEE"/>
    <w:rsid w:val="3720584E"/>
    <w:rsid w:val="375D21A8"/>
    <w:rsid w:val="3779039B"/>
    <w:rsid w:val="37CD1A92"/>
    <w:rsid w:val="37FB3273"/>
    <w:rsid w:val="383967AA"/>
    <w:rsid w:val="387F5AF8"/>
    <w:rsid w:val="38E50D89"/>
    <w:rsid w:val="39455184"/>
    <w:rsid w:val="39726B7C"/>
    <w:rsid w:val="399B6E57"/>
    <w:rsid w:val="39A7115D"/>
    <w:rsid w:val="39EA3076"/>
    <w:rsid w:val="3A06128C"/>
    <w:rsid w:val="3A2B6F44"/>
    <w:rsid w:val="3A2C1123"/>
    <w:rsid w:val="3A395E36"/>
    <w:rsid w:val="3A443C96"/>
    <w:rsid w:val="3A465B2C"/>
    <w:rsid w:val="3A5E70A9"/>
    <w:rsid w:val="3A605AF2"/>
    <w:rsid w:val="3AA36ADA"/>
    <w:rsid w:val="3AAA1C17"/>
    <w:rsid w:val="3ADE1AAE"/>
    <w:rsid w:val="3B297CC7"/>
    <w:rsid w:val="3B41368A"/>
    <w:rsid w:val="3B457F98"/>
    <w:rsid w:val="3B6C49BC"/>
    <w:rsid w:val="3B776CDF"/>
    <w:rsid w:val="3B8F2A37"/>
    <w:rsid w:val="3BA30382"/>
    <w:rsid w:val="3BAA39EE"/>
    <w:rsid w:val="3C0359A7"/>
    <w:rsid w:val="3C457F4A"/>
    <w:rsid w:val="3D237900"/>
    <w:rsid w:val="3DBD339D"/>
    <w:rsid w:val="3E3A55DD"/>
    <w:rsid w:val="3E4F3CEB"/>
    <w:rsid w:val="3E8B7A4C"/>
    <w:rsid w:val="3EF54968"/>
    <w:rsid w:val="3F1B0FC1"/>
    <w:rsid w:val="3F246DEE"/>
    <w:rsid w:val="3F320B28"/>
    <w:rsid w:val="3F4A0470"/>
    <w:rsid w:val="3F52287D"/>
    <w:rsid w:val="3F5512BA"/>
    <w:rsid w:val="3FC27A03"/>
    <w:rsid w:val="3FD602BE"/>
    <w:rsid w:val="400468BA"/>
    <w:rsid w:val="40903AFC"/>
    <w:rsid w:val="40D60483"/>
    <w:rsid w:val="40EF446D"/>
    <w:rsid w:val="40FD0A5D"/>
    <w:rsid w:val="41366D43"/>
    <w:rsid w:val="4152018A"/>
    <w:rsid w:val="416C7DBD"/>
    <w:rsid w:val="41904D2D"/>
    <w:rsid w:val="41F122DB"/>
    <w:rsid w:val="4234381E"/>
    <w:rsid w:val="42954201"/>
    <w:rsid w:val="429823CB"/>
    <w:rsid w:val="42A178EE"/>
    <w:rsid w:val="42AC04F6"/>
    <w:rsid w:val="42D307D5"/>
    <w:rsid w:val="43050FCE"/>
    <w:rsid w:val="433831AE"/>
    <w:rsid w:val="433B256A"/>
    <w:rsid w:val="43460D6B"/>
    <w:rsid w:val="438F614D"/>
    <w:rsid w:val="43B044EE"/>
    <w:rsid w:val="43EB38BE"/>
    <w:rsid w:val="43F31EC1"/>
    <w:rsid w:val="43FB1131"/>
    <w:rsid w:val="43FC35BF"/>
    <w:rsid w:val="441A2345"/>
    <w:rsid w:val="44385910"/>
    <w:rsid w:val="443F0DB6"/>
    <w:rsid w:val="44410C9D"/>
    <w:rsid w:val="445E4478"/>
    <w:rsid w:val="447E4A26"/>
    <w:rsid w:val="449F1233"/>
    <w:rsid w:val="44C00887"/>
    <w:rsid w:val="44E471D7"/>
    <w:rsid w:val="45132AAF"/>
    <w:rsid w:val="45435142"/>
    <w:rsid w:val="455F6E02"/>
    <w:rsid w:val="458F40E0"/>
    <w:rsid w:val="45A62F4A"/>
    <w:rsid w:val="45D4622A"/>
    <w:rsid w:val="45F21028"/>
    <w:rsid w:val="462E0726"/>
    <w:rsid w:val="46671F5A"/>
    <w:rsid w:val="4683709C"/>
    <w:rsid w:val="46AC58E1"/>
    <w:rsid w:val="46AF2877"/>
    <w:rsid w:val="46BE3EDF"/>
    <w:rsid w:val="46E74C51"/>
    <w:rsid w:val="471760F8"/>
    <w:rsid w:val="47435B56"/>
    <w:rsid w:val="476123B9"/>
    <w:rsid w:val="47720309"/>
    <w:rsid w:val="478009AC"/>
    <w:rsid w:val="479223B1"/>
    <w:rsid w:val="47A42B87"/>
    <w:rsid w:val="47B03B4D"/>
    <w:rsid w:val="47E546AB"/>
    <w:rsid w:val="484A0F00"/>
    <w:rsid w:val="484E4048"/>
    <w:rsid w:val="48787FAC"/>
    <w:rsid w:val="4899583D"/>
    <w:rsid w:val="489B2F4B"/>
    <w:rsid w:val="48C0305C"/>
    <w:rsid w:val="48CF07C1"/>
    <w:rsid w:val="48D1046F"/>
    <w:rsid w:val="49360D0C"/>
    <w:rsid w:val="493865B5"/>
    <w:rsid w:val="496C7C8D"/>
    <w:rsid w:val="498469FF"/>
    <w:rsid w:val="49DF5A21"/>
    <w:rsid w:val="4A187D2D"/>
    <w:rsid w:val="4AC863B5"/>
    <w:rsid w:val="4ADD6C7C"/>
    <w:rsid w:val="4B410C16"/>
    <w:rsid w:val="4B44380D"/>
    <w:rsid w:val="4B7F5BCC"/>
    <w:rsid w:val="4B897627"/>
    <w:rsid w:val="4B9C2CD6"/>
    <w:rsid w:val="4BA94BA1"/>
    <w:rsid w:val="4BB30F42"/>
    <w:rsid w:val="4BC17ABD"/>
    <w:rsid w:val="4BEE18C0"/>
    <w:rsid w:val="4BF33563"/>
    <w:rsid w:val="4BF50CB2"/>
    <w:rsid w:val="4C601666"/>
    <w:rsid w:val="4C6E15BF"/>
    <w:rsid w:val="4C737E6D"/>
    <w:rsid w:val="4CAF6EB5"/>
    <w:rsid w:val="4CB2054A"/>
    <w:rsid w:val="4CC65386"/>
    <w:rsid w:val="4CDF679D"/>
    <w:rsid w:val="4CFB6302"/>
    <w:rsid w:val="4CFE0910"/>
    <w:rsid w:val="4D165162"/>
    <w:rsid w:val="4D170BB5"/>
    <w:rsid w:val="4D227D33"/>
    <w:rsid w:val="4D574D34"/>
    <w:rsid w:val="4D640565"/>
    <w:rsid w:val="4D7213D6"/>
    <w:rsid w:val="4DA1334D"/>
    <w:rsid w:val="4DB67C3F"/>
    <w:rsid w:val="4DB93C1C"/>
    <w:rsid w:val="4DDC3463"/>
    <w:rsid w:val="4E050942"/>
    <w:rsid w:val="4E247E95"/>
    <w:rsid w:val="4E274294"/>
    <w:rsid w:val="4E4207B2"/>
    <w:rsid w:val="4E5649B8"/>
    <w:rsid w:val="4EC84766"/>
    <w:rsid w:val="4ED133E0"/>
    <w:rsid w:val="4EE1639C"/>
    <w:rsid w:val="4EF94B51"/>
    <w:rsid w:val="4F4F2ACB"/>
    <w:rsid w:val="4F7A5C1F"/>
    <w:rsid w:val="4F8F33DB"/>
    <w:rsid w:val="4F940DFD"/>
    <w:rsid w:val="4F9D2D1D"/>
    <w:rsid w:val="4FF8744B"/>
    <w:rsid w:val="4FFB507E"/>
    <w:rsid w:val="501C5568"/>
    <w:rsid w:val="503F1F7D"/>
    <w:rsid w:val="50815D87"/>
    <w:rsid w:val="50875DDA"/>
    <w:rsid w:val="50A03A61"/>
    <w:rsid w:val="50A67405"/>
    <w:rsid w:val="50B52C6C"/>
    <w:rsid w:val="50BF7A86"/>
    <w:rsid w:val="50F7462E"/>
    <w:rsid w:val="50FC2C3C"/>
    <w:rsid w:val="5165451C"/>
    <w:rsid w:val="518F7337"/>
    <w:rsid w:val="51CA2B07"/>
    <w:rsid w:val="51D574B6"/>
    <w:rsid w:val="51D97625"/>
    <w:rsid w:val="520D40AC"/>
    <w:rsid w:val="52237D21"/>
    <w:rsid w:val="524B5983"/>
    <w:rsid w:val="525F10E1"/>
    <w:rsid w:val="527777E7"/>
    <w:rsid w:val="528E2E9A"/>
    <w:rsid w:val="52A248C9"/>
    <w:rsid w:val="52BD572D"/>
    <w:rsid w:val="52E33AC0"/>
    <w:rsid w:val="53000B16"/>
    <w:rsid w:val="533E54DE"/>
    <w:rsid w:val="53532AF5"/>
    <w:rsid w:val="5363174A"/>
    <w:rsid w:val="53695BA2"/>
    <w:rsid w:val="53781CD0"/>
    <w:rsid w:val="53BE66B0"/>
    <w:rsid w:val="53D272B4"/>
    <w:rsid w:val="53E429F3"/>
    <w:rsid w:val="53FC7D3D"/>
    <w:rsid w:val="542F40F3"/>
    <w:rsid w:val="544F4B17"/>
    <w:rsid w:val="54690E06"/>
    <w:rsid w:val="547D1B69"/>
    <w:rsid w:val="547D3CA1"/>
    <w:rsid w:val="549A78FD"/>
    <w:rsid w:val="54A71544"/>
    <w:rsid w:val="54E03240"/>
    <w:rsid w:val="54E161E6"/>
    <w:rsid w:val="55717EF0"/>
    <w:rsid w:val="55AF7C55"/>
    <w:rsid w:val="55B57333"/>
    <w:rsid w:val="55B83796"/>
    <w:rsid w:val="55BD62FC"/>
    <w:rsid w:val="55CF4789"/>
    <w:rsid w:val="55E24205"/>
    <w:rsid w:val="55FF3119"/>
    <w:rsid w:val="56290606"/>
    <w:rsid w:val="56923905"/>
    <w:rsid w:val="56960007"/>
    <w:rsid w:val="569C33FD"/>
    <w:rsid w:val="56A67268"/>
    <w:rsid w:val="56AD53E1"/>
    <w:rsid w:val="56E17E4B"/>
    <w:rsid w:val="571177FA"/>
    <w:rsid w:val="571A4D54"/>
    <w:rsid w:val="57285324"/>
    <w:rsid w:val="572C50A1"/>
    <w:rsid w:val="574A79DE"/>
    <w:rsid w:val="574E744D"/>
    <w:rsid w:val="5779092F"/>
    <w:rsid w:val="57862A77"/>
    <w:rsid w:val="579503DD"/>
    <w:rsid w:val="57D26EB7"/>
    <w:rsid w:val="58006EC2"/>
    <w:rsid w:val="580653FD"/>
    <w:rsid w:val="580F63AE"/>
    <w:rsid w:val="581F1A3E"/>
    <w:rsid w:val="586B7753"/>
    <w:rsid w:val="58AA581E"/>
    <w:rsid w:val="58D5070A"/>
    <w:rsid w:val="59043E01"/>
    <w:rsid w:val="594D25DB"/>
    <w:rsid w:val="59594ADC"/>
    <w:rsid w:val="59A20BAC"/>
    <w:rsid w:val="59BB60CF"/>
    <w:rsid w:val="59D34D02"/>
    <w:rsid w:val="5A4E4EC1"/>
    <w:rsid w:val="5A4E7262"/>
    <w:rsid w:val="5A791DEA"/>
    <w:rsid w:val="5A7C75A7"/>
    <w:rsid w:val="5A831B3A"/>
    <w:rsid w:val="5AEE72F1"/>
    <w:rsid w:val="5BC24B08"/>
    <w:rsid w:val="5BE34185"/>
    <w:rsid w:val="5BF6728A"/>
    <w:rsid w:val="5C083ADA"/>
    <w:rsid w:val="5C717D6E"/>
    <w:rsid w:val="5C766F57"/>
    <w:rsid w:val="5C7865A7"/>
    <w:rsid w:val="5C9F3A65"/>
    <w:rsid w:val="5CB11B30"/>
    <w:rsid w:val="5CB63FF4"/>
    <w:rsid w:val="5D10309F"/>
    <w:rsid w:val="5D2B4B79"/>
    <w:rsid w:val="5D3D543E"/>
    <w:rsid w:val="5D425978"/>
    <w:rsid w:val="5D693B91"/>
    <w:rsid w:val="5D6F03B3"/>
    <w:rsid w:val="5D7F6ADB"/>
    <w:rsid w:val="5D82741C"/>
    <w:rsid w:val="5D8F57D0"/>
    <w:rsid w:val="5D9A7E77"/>
    <w:rsid w:val="5DB43D5B"/>
    <w:rsid w:val="5DC90AF1"/>
    <w:rsid w:val="5E1F3CF6"/>
    <w:rsid w:val="5E565CA2"/>
    <w:rsid w:val="5E7B08D1"/>
    <w:rsid w:val="5E826CA8"/>
    <w:rsid w:val="5E847D30"/>
    <w:rsid w:val="5EAB0D2C"/>
    <w:rsid w:val="5EB84061"/>
    <w:rsid w:val="5F2B1805"/>
    <w:rsid w:val="5F476193"/>
    <w:rsid w:val="5F4D6DA2"/>
    <w:rsid w:val="5FA17662"/>
    <w:rsid w:val="5FAE1170"/>
    <w:rsid w:val="5FB76261"/>
    <w:rsid w:val="604231D2"/>
    <w:rsid w:val="6043407E"/>
    <w:rsid w:val="60573113"/>
    <w:rsid w:val="606326E4"/>
    <w:rsid w:val="60C757D1"/>
    <w:rsid w:val="60D56C76"/>
    <w:rsid w:val="60E342E4"/>
    <w:rsid w:val="61151723"/>
    <w:rsid w:val="613432FE"/>
    <w:rsid w:val="614528AC"/>
    <w:rsid w:val="617B565A"/>
    <w:rsid w:val="619D6B85"/>
    <w:rsid w:val="61B363CD"/>
    <w:rsid w:val="61D97DD5"/>
    <w:rsid w:val="61FB170E"/>
    <w:rsid w:val="625978FB"/>
    <w:rsid w:val="62A00E16"/>
    <w:rsid w:val="62D14C9E"/>
    <w:rsid w:val="63302D52"/>
    <w:rsid w:val="633F463B"/>
    <w:rsid w:val="63402869"/>
    <w:rsid w:val="639F7DC1"/>
    <w:rsid w:val="63EE313D"/>
    <w:rsid w:val="63F30435"/>
    <w:rsid w:val="64050ABF"/>
    <w:rsid w:val="642D1CFD"/>
    <w:rsid w:val="64363468"/>
    <w:rsid w:val="645239A3"/>
    <w:rsid w:val="64773F4E"/>
    <w:rsid w:val="6481181D"/>
    <w:rsid w:val="64B32E2F"/>
    <w:rsid w:val="64C157D9"/>
    <w:rsid w:val="64CA7FBA"/>
    <w:rsid w:val="64E250F2"/>
    <w:rsid w:val="6500469F"/>
    <w:rsid w:val="659F6081"/>
    <w:rsid w:val="65A70C8A"/>
    <w:rsid w:val="65A76324"/>
    <w:rsid w:val="65A823F2"/>
    <w:rsid w:val="65B460C5"/>
    <w:rsid w:val="65ED414E"/>
    <w:rsid w:val="65EF4D81"/>
    <w:rsid w:val="65FD598B"/>
    <w:rsid w:val="66620E80"/>
    <w:rsid w:val="667C62AE"/>
    <w:rsid w:val="66996205"/>
    <w:rsid w:val="66B5420B"/>
    <w:rsid w:val="670F7889"/>
    <w:rsid w:val="67126567"/>
    <w:rsid w:val="67211260"/>
    <w:rsid w:val="67460997"/>
    <w:rsid w:val="676557D9"/>
    <w:rsid w:val="676D705E"/>
    <w:rsid w:val="67A05B2A"/>
    <w:rsid w:val="67DE2C50"/>
    <w:rsid w:val="67DE7084"/>
    <w:rsid w:val="67F7300E"/>
    <w:rsid w:val="68342E8F"/>
    <w:rsid w:val="68483D18"/>
    <w:rsid w:val="687D4BDD"/>
    <w:rsid w:val="68906041"/>
    <w:rsid w:val="68952F54"/>
    <w:rsid w:val="68DC3EFE"/>
    <w:rsid w:val="68F8398F"/>
    <w:rsid w:val="69125ADB"/>
    <w:rsid w:val="69391D99"/>
    <w:rsid w:val="69507B39"/>
    <w:rsid w:val="696F208D"/>
    <w:rsid w:val="698E0FEB"/>
    <w:rsid w:val="6998799E"/>
    <w:rsid w:val="6A3E6267"/>
    <w:rsid w:val="6A5979DE"/>
    <w:rsid w:val="6A8923D3"/>
    <w:rsid w:val="6AAF3E06"/>
    <w:rsid w:val="6ADB3525"/>
    <w:rsid w:val="6B0A20DA"/>
    <w:rsid w:val="6B3C600C"/>
    <w:rsid w:val="6B8723B0"/>
    <w:rsid w:val="6B8B2B72"/>
    <w:rsid w:val="6BA958EF"/>
    <w:rsid w:val="6C3170F0"/>
    <w:rsid w:val="6C3A254B"/>
    <w:rsid w:val="6CA8352E"/>
    <w:rsid w:val="6CB97733"/>
    <w:rsid w:val="6CD725ED"/>
    <w:rsid w:val="6CEA4165"/>
    <w:rsid w:val="6D376AFE"/>
    <w:rsid w:val="6D3B35C4"/>
    <w:rsid w:val="6D546223"/>
    <w:rsid w:val="6DE02D2B"/>
    <w:rsid w:val="6E141A2A"/>
    <w:rsid w:val="6E5509CC"/>
    <w:rsid w:val="6EA05AE1"/>
    <w:rsid w:val="6EAB20CD"/>
    <w:rsid w:val="6EE06FEB"/>
    <w:rsid w:val="6EF74287"/>
    <w:rsid w:val="6F0230C8"/>
    <w:rsid w:val="6F036674"/>
    <w:rsid w:val="6F153218"/>
    <w:rsid w:val="6F1F0ECB"/>
    <w:rsid w:val="6F76486B"/>
    <w:rsid w:val="6F924A6F"/>
    <w:rsid w:val="6FE55BBD"/>
    <w:rsid w:val="707B47C4"/>
    <w:rsid w:val="709B4B83"/>
    <w:rsid w:val="70B64C12"/>
    <w:rsid w:val="70C11755"/>
    <w:rsid w:val="70DD2618"/>
    <w:rsid w:val="70E6544B"/>
    <w:rsid w:val="70ED0986"/>
    <w:rsid w:val="71881060"/>
    <w:rsid w:val="71CF0D35"/>
    <w:rsid w:val="71D728C9"/>
    <w:rsid w:val="71E003DD"/>
    <w:rsid w:val="71F41383"/>
    <w:rsid w:val="72021250"/>
    <w:rsid w:val="720F6D7D"/>
    <w:rsid w:val="72472963"/>
    <w:rsid w:val="726532FB"/>
    <w:rsid w:val="72670F93"/>
    <w:rsid w:val="72950198"/>
    <w:rsid w:val="72A94A9A"/>
    <w:rsid w:val="72EA4658"/>
    <w:rsid w:val="7320375D"/>
    <w:rsid w:val="73661E78"/>
    <w:rsid w:val="736C23ED"/>
    <w:rsid w:val="73F53DA6"/>
    <w:rsid w:val="742B4973"/>
    <w:rsid w:val="74444F9D"/>
    <w:rsid w:val="745D11FC"/>
    <w:rsid w:val="74790B66"/>
    <w:rsid w:val="748725BD"/>
    <w:rsid w:val="74A01DFE"/>
    <w:rsid w:val="74AA2238"/>
    <w:rsid w:val="74B00652"/>
    <w:rsid w:val="74C6075E"/>
    <w:rsid w:val="74F109DD"/>
    <w:rsid w:val="7509716F"/>
    <w:rsid w:val="753442AC"/>
    <w:rsid w:val="755A26D4"/>
    <w:rsid w:val="75667239"/>
    <w:rsid w:val="756D0B1E"/>
    <w:rsid w:val="75E57090"/>
    <w:rsid w:val="761B4B26"/>
    <w:rsid w:val="762F10DD"/>
    <w:rsid w:val="76945580"/>
    <w:rsid w:val="769B575F"/>
    <w:rsid w:val="76B64EC4"/>
    <w:rsid w:val="76BE180F"/>
    <w:rsid w:val="76E17EFC"/>
    <w:rsid w:val="770E2F52"/>
    <w:rsid w:val="771C6DDB"/>
    <w:rsid w:val="77246628"/>
    <w:rsid w:val="774C11E5"/>
    <w:rsid w:val="774E70C6"/>
    <w:rsid w:val="77563BDF"/>
    <w:rsid w:val="77970501"/>
    <w:rsid w:val="77CE4E49"/>
    <w:rsid w:val="77DD1955"/>
    <w:rsid w:val="78492BFF"/>
    <w:rsid w:val="784A2834"/>
    <w:rsid w:val="78986C8F"/>
    <w:rsid w:val="78B43685"/>
    <w:rsid w:val="78F53EF1"/>
    <w:rsid w:val="78FA29A6"/>
    <w:rsid w:val="79064ACA"/>
    <w:rsid w:val="79200D68"/>
    <w:rsid w:val="79404045"/>
    <w:rsid w:val="794B1CCF"/>
    <w:rsid w:val="794C17A8"/>
    <w:rsid w:val="794E1F75"/>
    <w:rsid w:val="799737F5"/>
    <w:rsid w:val="799E4EDF"/>
    <w:rsid w:val="79C40791"/>
    <w:rsid w:val="79FD67C2"/>
    <w:rsid w:val="7A4D6843"/>
    <w:rsid w:val="7A721263"/>
    <w:rsid w:val="7A98300E"/>
    <w:rsid w:val="7AA812CD"/>
    <w:rsid w:val="7ABF7639"/>
    <w:rsid w:val="7ACE5AF8"/>
    <w:rsid w:val="7B2241A0"/>
    <w:rsid w:val="7B4E5F74"/>
    <w:rsid w:val="7B5B590C"/>
    <w:rsid w:val="7BC21276"/>
    <w:rsid w:val="7BF232D8"/>
    <w:rsid w:val="7C0A10B0"/>
    <w:rsid w:val="7C1705D5"/>
    <w:rsid w:val="7C2521C4"/>
    <w:rsid w:val="7C266A5E"/>
    <w:rsid w:val="7C292C15"/>
    <w:rsid w:val="7C4D471D"/>
    <w:rsid w:val="7C620CEE"/>
    <w:rsid w:val="7C712482"/>
    <w:rsid w:val="7CC43F8D"/>
    <w:rsid w:val="7CC81220"/>
    <w:rsid w:val="7CD3033B"/>
    <w:rsid w:val="7CD4773D"/>
    <w:rsid w:val="7CDD2498"/>
    <w:rsid w:val="7D1428F3"/>
    <w:rsid w:val="7D1C52E3"/>
    <w:rsid w:val="7D2E060E"/>
    <w:rsid w:val="7D3313ED"/>
    <w:rsid w:val="7D3714E0"/>
    <w:rsid w:val="7D3A2618"/>
    <w:rsid w:val="7D405FDE"/>
    <w:rsid w:val="7D53229B"/>
    <w:rsid w:val="7D9F232A"/>
    <w:rsid w:val="7DA51208"/>
    <w:rsid w:val="7DB84B7D"/>
    <w:rsid w:val="7DC03F63"/>
    <w:rsid w:val="7E221091"/>
    <w:rsid w:val="7E2719D2"/>
    <w:rsid w:val="7E301C88"/>
    <w:rsid w:val="7E5706C0"/>
    <w:rsid w:val="7E730C2B"/>
    <w:rsid w:val="7E797FB0"/>
    <w:rsid w:val="7EA1239A"/>
    <w:rsid w:val="7EC81A6C"/>
    <w:rsid w:val="7ED9582D"/>
    <w:rsid w:val="7F21731A"/>
    <w:rsid w:val="7F431EC6"/>
    <w:rsid w:val="7F66149A"/>
    <w:rsid w:val="7FE07536"/>
    <w:rsid w:val="7FF15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4"/>
    <w:autoRedefine/>
    <w:semiHidden/>
    <w:unhideWhenUsed/>
    <w:qFormat/>
    <w:uiPriority w:val="0"/>
    <w:pPr>
      <w:keepNext/>
      <w:keepLines/>
      <w:widowControl w:val="0"/>
      <w:spacing w:before="260" w:beforeLines="0" w:after="260" w:afterLines="0" w:line="413" w:lineRule="auto"/>
      <w:jc w:val="both"/>
      <w:outlineLvl w:val="1"/>
    </w:pPr>
    <w:rPr>
      <w:rFonts w:ascii="Arial" w:hAnsi="Arial" w:eastAsia="黑体" w:cs="Times New Roman"/>
      <w:b/>
      <w:bCs/>
      <w:kern w:val="2"/>
      <w:sz w:val="32"/>
      <w:szCs w:val="32"/>
      <w:lang w:val="en-US" w:eastAsia="zh-CN" w:bidi="ar-SA"/>
    </w:rPr>
  </w:style>
  <w:style w:type="paragraph" w:styleId="5">
    <w:name w:val="heading 3"/>
    <w:basedOn w:val="1"/>
    <w:next w:val="1"/>
    <w:semiHidden/>
    <w:unhideWhenUsed/>
    <w:qFormat/>
    <w:uiPriority w:val="0"/>
    <w:pPr>
      <w:keepNext/>
      <w:keepLines/>
      <w:widowControl w:val="0"/>
      <w:spacing w:line="600" w:lineRule="exact"/>
      <w:ind w:firstLine="643" w:firstLineChars="200"/>
      <w:jc w:val="both"/>
      <w:outlineLvl w:val="2"/>
    </w:pPr>
    <w:rPr>
      <w:rFonts w:ascii="Times New Roman" w:hAnsi="Times New Roman" w:eastAsia="宋体" w:cs="Times New Roman"/>
      <w:b/>
      <w:bCs/>
      <w:kern w:val="2"/>
      <w:sz w:val="32"/>
      <w:szCs w:val="32"/>
      <w:lang w:val="en-US" w:eastAsia="zh-CN" w:bidi="ar-SA"/>
    </w:rPr>
  </w:style>
  <w:style w:type="paragraph" w:styleId="6">
    <w:name w:val="heading 4"/>
    <w:basedOn w:val="1"/>
    <w:next w:val="1"/>
    <w:autoRedefine/>
    <w:qFormat/>
    <w:uiPriority w:val="0"/>
    <w:pPr>
      <w:tabs>
        <w:tab w:val="left" w:pos="2155"/>
      </w:tabs>
      <w:adjustRightInd w:val="0"/>
      <w:spacing w:before="120" w:line="360" w:lineRule="auto"/>
      <w:ind w:left="2155" w:hanging="1078"/>
      <w:outlineLvl w:val="3"/>
    </w:pPr>
    <w:rPr>
      <w:rFonts w:ascii="Arial" w:hAnsi="Times New Roman" w:eastAsia="黑体"/>
      <w:kern w:val="0"/>
      <w:sz w:val="28"/>
      <w:szCs w:val="20"/>
    </w:rPr>
  </w:style>
  <w:style w:type="paragraph" w:styleId="7">
    <w:name w:val="heading 5"/>
    <w:basedOn w:val="1"/>
    <w:next w:val="8"/>
    <w:autoRedefine/>
    <w:semiHidden/>
    <w:unhideWhenUsed/>
    <w:qFormat/>
    <w:uiPriority w:val="0"/>
    <w:pPr>
      <w:keepNext/>
      <w:keepLines/>
      <w:widowControl w:val="0"/>
      <w:spacing w:before="280" w:after="290" w:line="376" w:lineRule="auto"/>
      <w:jc w:val="both"/>
      <w:outlineLvl w:val="4"/>
    </w:pPr>
    <w:rPr>
      <w:rFonts w:ascii="Times New Roman" w:hAnsi="Times New Roman" w:eastAsia="宋体" w:cs="Times New Roman"/>
      <w:b/>
      <w:bCs/>
      <w:kern w:val="2"/>
      <w:sz w:val="28"/>
      <w:szCs w:val="28"/>
      <w:lang w:val="en-US" w:eastAsia="zh-CN" w:bidi="ar-SA"/>
    </w:rPr>
  </w:style>
  <w:style w:type="character" w:default="1" w:styleId="27">
    <w:name w:val="Default Paragraph Font"/>
    <w:autoRedefine/>
    <w:semiHidden/>
    <w:qFormat/>
    <w:uiPriority w:val="0"/>
  </w:style>
  <w:style w:type="table" w:default="1" w:styleId="25">
    <w:name w:val="Normal Table"/>
    <w:autoRedefine/>
    <w:semiHidden/>
    <w:qFormat/>
    <w:uiPriority w:val="0"/>
    <w:tblPr>
      <w:tblCellMar>
        <w:top w:w="0" w:type="dxa"/>
        <w:left w:w="108" w:type="dxa"/>
        <w:bottom w:w="0" w:type="dxa"/>
        <w:right w:w="108" w:type="dxa"/>
      </w:tblCellMar>
    </w:tblPr>
  </w:style>
  <w:style w:type="paragraph" w:customStyle="1" w:styleId="4">
    <w:name w:val="正文-2字符首行缩进"/>
    <w:basedOn w:val="1"/>
    <w:autoRedefine/>
    <w:qFormat/>
    <w:uiPriority w:val="99"/>
    <w:pPr>
      <w:ind w:firstLine="200"/>
    </w:pPr>
  </w:style>
  <w:style w:type="paragraph" w:styleId="8">
    <w:name w:val="Normal Indent"/>
    <w:basedOn w:val="1"/>
    <w:autoRedefine/>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9">
    <w:name w:val="index 8"/>
    <w:basedOn w:val="1"/>
    <w:next w:val="1"/>
    <w:autoRedefine/>
    <w:qFormat/>
    <w:uiPriority w:val="0"/>
    <w:pPr>
      <w:widowControl w:val="0"/>
      <w:ind w:left="2940"/>
      <w:jc w:val="both"/>
    </w:pPr>
    <w:rPr>
      <w:rFonts w:ascii="Times New Roman" w:hAnsi="Times New Roman" w:eastAsia="宋体" w:cs="Times New Roman"/>
      <w:kern w:val="2"/>
      <w:sz w:val="21"/>
      <w:szCs w:val="24"/>
      <w:lang w:val="en-US" w:eastAsia="zh-CN" w:bidi="ar-SA"/>
    </w:rPr>
  </w:style>
  <w:style w:type="paragraph" w:styleId="10">
    <w:name w:val="toa heading"/>
    <w:basedOn w:val="1"/>
    <w:next w:val="1"/>
    <w:autoRedefine/>
    <w:semiHidden/>
    <w:qFormat/>
    <w:uiPriority w:val="0"/>
    <w:pPr>
      <w:spacing w:before="120"/>
    </w:pPr>
    <w:rPr>
      <w:rFonts w:ascii="Arial" w:hAnsi="Arial" w:cs="Arial"/>
      <w:sz w:val="24"/>
    </w:rPr>
  </w:style>
  <w:style w:type="paragraph" w:styleId="11">
    <w:name w:val="annotation text"/>
    <w:basedOn w:val="1"/>
    <w:autoRedefine/>
    <w:qFormat/>
    <w:uiPriority w:val="0"/>
    <w:pPr>
      <w:widowControl w:val="0"/>
      <w:jc w:val="left"/>
    </w:pPr>
    <w:rPr>
      <w:rFonts w:ascii="Times New Roman" w:hAnsi="Times New Roman" w:eastAsia="宋体" w:cs="Times New Roman"/>
      <w:kern w:val="2"/>
      <w:sz w:val="21"/>
      <w:szCs w:val="24"/>
      <w:lang w:val="en-US" w:eastAsia="zh-CN" w:bidi="ar-SA"/>
    </w:rPr>
  </w:style>
  <w:style w:type="paragraph" w:styleId="12">
    <w:name w:val="Body Text"/>
    <w:basedOn w:val="1"/>
    <w:next w:val="1"/>
    <w:autoRedefine/>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13">
    <w:name w:val="Body Text Indent"/>
    <w:basedOn w:val="1"/>
    <w:next w:val="14"/>
    <w:autoRedefine/>
    <w:qFormat/>
    <w:uiPriority w:val="0"/>
    <w:pPr>
      <w:widowControl w:val="0"/>
      <w:spacing w:line="200" w:lineRule="exact"/>
      <w:ind w:firstLine="301"/>
      <w:jc w:val="both"/>
    </w:pPr>
    <w:rPr>
      <w:rFonts w:ascii="宋体" w:hAnsi="Courier New" w:eastAsia="宋体" w:cs="Times New Roman"/>
      <w:spacing w:val="-4"/>
      <w:kern w:val="2"/>
      <w:sz w:val="18"/>
      <w:szCs w:val="20"/>
      <w:lang w:val="en-US" w:eastAsia="zh-CN" w:bidi="ar-SA"/>
    </w:rPr>
  </w:style>
  <w:style w:type="paragraph" w:styleId="14">
    <w:name w:val="envelope return"/>
    <w:basedOn w:val="1"/>
    <w:autoRedefine/>
    <w:qFormat/>
    <w:uiPriority w:val="0"/>
    <w:pPr>
      <w:snapToGrid w:val="0"/>
    </w:pPr>
    <w:rPr>
      <w:rFonts w:ascii="Arial" w:hAnsi="Arial"/>
    </w:rPr>
  </w:style>
  <w:style w:type="paragraph" w:styleId="15">
    <w:name w:val="toc 5"/>
    <w:basedOn w:val="1"/>
    <w:next w:val="1"/>
    <w:autoRedefine/>
    <w:unhideWhenUsed/>
    <w:qFormat/>
    <w:uiPriority w:val="39"/>
    <w:pPr>
      <w:widowControl w:val="0"/>
      <w:adjustRightInd/>
      <w:snapToGrid/>
      <w:spacing w:after="0"/>
      <w:ind w:left="1680" w:leftChars="800"/>
      <w:jc w:val="both"/>
    </w:pPr>
    <w:rPr>
      <w:rFonts w:ascii="Calibri" w:hAnsi="Calibri" w:eastAsia="宋体" w:cs="Times New Roman"/>
      <w:kern w:val="2"/>
      <w:sz w:val="21"/>
    </w:rPr>
  </w:style>
  <w:style w:type="paragraph" w:styleId="16">
    <w:name w:val="toc 3"/>
    <w:next w:val="1"/>
    <w:autoRedefine/>
    <w:qFormat/>
    <w:uiPriority w:val="0"/>
    <w:pPr>
      <w:widowControl w:val="0"/>
      <w:jc w:val="left"/>
    </w:pPr>
    <w:rPr>
      <w:rFonts w:ascii="Calibri" w:hAnsi="Calibri" w:eastAsia="宋体" w:cs="Times New Roman"/>
      <w:smallCaps/>
      <w:kern w:val="2"/>
      <w:sz w:val="22"/>
      <w:szCs w:val="22"/>
      <w:lang w:val="en-US" w:eastAsia="zh-CN" w:bidi="ar-SA"/>
    </w:rPr>
  </w:style>
  <w:style w:type="paragraph" w:styleId="17">
    <w:name w:val="Plain Text"/>
    <w:basedOn w:val="1"/>
    <w:next w:val="9"/>
    <w:autoRedefine/>
    <w:qFormat/>
    <w:uiPriority w:val="0"/>
    <w:pPr>
      <w:widowControl w:val="0"/>
      <w:jc w:val="both"/>
    </w:pPr>
    <w:rPr>
      <w:rFonts w:ascii="宋体" w:hAnsi="Courier New" w:eastAsia="宋体" w:cs="Times New Roman"/>
      <w:kern w:val="2"/>
      <w:sz w:val="21"/>
      <w:szCs w:val="20"/>
      <w:lang w:val="en-US" w:eastAsia="zh-CN" w:bidi="ar-SA"/>
    </w:rPr>
  </w:style>
  <w:style w:type="paragraph" w:styleId="18">
    <w:name w:val="Body Text Indent 2"/>
    <w:basedOn w:val="1"/>
    <w:autoRedefine/>
    <w:qFormat/>
    <w:uiPriority w:val="0"/>
    <w:pPr>
      <w:ind w:firstLine="630"/>
    </w:pPr>
    <w:rPr>
      <w:kern w:val="0"/>
      <w:sz w:val="32"/>
      <w:szCs w:val="20"/>
    </w:rPr>
  </w:style>
  <w:style w:type="paragraph" w:styleId="19">
    <w:name w:val="footer"/>
    <w:basedOn w:val="1"/>
    <w:next w:val="1"/>
    <w:autoRedefine/>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20">
    <w:name w:val="header"/>
    <w:autoRedefine/>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21">
    <w:name w:val="toc 1"/>
    <w:next w:val="1"/>
    <w:autoRedefine/>
    <w:qFormat/>
    <w:uiPriority w:val="0"/>
    <w:pPr>
      <w:widowControl w:val="0"/>
      <w:spacing w:before="360" w:after="360"/>
      <w:jc w:val="left"/>
    </w:pPr>
    <w:rPr>
      <w:rFonts w:ascii="Calibri" w:hAnsi="Calibri" w:eastAsia="宋体" w:cs="Times New Roman"/>
      <w:b/>
      <w:bCs/>
      <w:caps/>
      <w:kern w:val="2"/>
      <w:sz w:val="22"/>
      <w:szCs w:val="22"/>
      <w:u w:val="single"/>
      <w:lang w:val="en-US" w:eastAsia="zh-CN" w:bidi="ar-SA"/>
    </w:rPr>
  </w:style>
  <w:style w:type="paragraph" w:styleId="22">
    <w:name w:val="List"/>
    <w:basedOn w:val="1"/>
    <w:autoRedefine/>
    <w:qFormat/>
    <w:uiPriority w:val="0"/>
    <w:pPr>
      <w:widowControl w:val="0"/>
      <w:ind w:left="200" w:hanging="200" w:hangingChars="200"/>
      <w:jc w:val="both"/>
    </w:pPr>
    <w:rPr>
      <w:rFonts w:ascii="Times New Roman" w:hAnsi="Times New Roman" w:eastAsia="宋体" w:cs="Times New Roman"/>
      <w:kern w:val="2"/>
      <w:sz w:val="28"/>
      <w:szCs w:val="24"/>
      <w:lang w:val="en-US" w:eastAsia="zh-CN" w:bidi="ar-SA"/>
    </w:rPr>
  </w:style>
  <w:style w:type="paragraph" w:styleId="23">
    <w:name w:val="toc 2"/>
    <w:next w:val="1"/>
    <w:autoRedefine/>
    <w:qFormat/>
    <w:uiPriority w:val="0"/>
    <w:pPr>
      <w:widowControl w:val="0"/>
      <w:jc w:val="left"/>
    </w:pPr>
    <w:rPr>
      <w:rFonts w:ascii="Calibri" w:hAnsi="Calibri" w:eastAsia="宋体" w:cs="Times New Roman"/>
      <w:b/>
      <w:bCs/>
      <w:smallCaps/>
      <w:kern w:val="2"/>
      <w:sz w:val="22"/>
      <w:szCs w:val="22"/>
      <w:lang w:val="en-US" w:eastAsia="zh-CN" w:bidi="ar-SA"/>
    </w:rPr>
  </w:style>
  <w:style w:type="paragraph" w:styleId="24">
    <w:name w:val="index 1"/>
    <w:next w:val="1"/>
    <w:autoRedefine/>
    <w:qFormat/>
    <w:uiPriority w:val="0"/>
    <w:pPr>
      <w:widowControl w:val="0"/>
      <w:spacing w:line="400" w:lineRule="exact"/>
      <w:ind w:firstLine="420" w:firstLineChars="200"/>
      <w:jc w:val="both"/>
    </w:pPr>
    <w:rPr>
      <w:rFonts w:ascii="宋体" w:hAnsi="Courier New" w:eastAsia="宋体" w:cs="Times New Roman"/>
      <w:b/>
      <w:kern w:val="2"/>
      <w:sz w:val="21"/>
      <w:szCs w:val="20"/>
      <w:lang w:val="en-US" w:eastAsia="zh-CN" w:bidi="ar-SA"/>
    </w:rPr>
  </w:style>
  <w:style w:type="table" w:styleId="26">
    <w:name w:val="Table Grid"/>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autoRedefine/>
    <w:qFormat/>
    <w:uiPriority w:val="0"/>
    <w:rPr>
      <w:b/>
    </w:rPr>
  </w:style>
  <w:style w:type="character" w:styleId="29">
    <w:name w:val="page number"/>
    <w:autoRedefine/>
    <w:qFormat/>
    <w:uiPriority w:val="0"/>
  </w:style>
  <w:style w:type="character" w:styleId="30">
    <w:name w:val="FollowedHyperlink"/>
    <w:basedOn w:val="27"/>
    <w:autoRedefine/>
    <w:qFormat/>
    <w:uiPriority w:val="0"/>
    <w:rPr>
      <w:rFonts w:hint="eastAsia" w:ascii="微软雅黑" w:hAnsi="微软雅黑" w:eastAsia="微软雅黑" w:cs="微软雅黑"/>
      <w:color w:val="02396F"/>
      <w:u w:val="single"/>
    </w:rPr>
  </w:style>
  <w:style w:type="character" w:styleId="31">
    <w:name w:val="Hyperlink"/>
    <w:autoRedefine/>
    <w:qFormat/>
    <w:uiPriority w:val="0"/>
    <w:rPr>
      <w:color w:val="0000FF"/>
      <w:u w:val="single"/>
    </w:rPr>
  </w:style>
  <w:style w:type="character" w:styleId="32">
    <w:name w:val="annotation reference"/>
    <w:autoRedefine/>
    <w:qFormat/>
    <w:uiPriority w:val="0"/>
    <w:rPr>
      <w:sz w:val="21"/>
      <w:szCs w:val="21"/>
    </w:rPr>
  </w:style>
  <w:style w:type="character" w:customStyle="1" w:styleId="33">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34">
    <w:name w:val="正文2"/>
    <w:autoRedefine/>
    <w:qFormat/>
    <w:uiPriority w:val="0"/>
    <w:pPr>
      <w:widowControl w:val="0"/>
      <w:adjustRightInd w:val="0"/>
      <w:spacing w:before="156" w:line="360" w:lineRule="auto"/>
      <w:ind w:firstLine="510" w:firstLineChars="200"/>
      <w:jc w:val="both"/>
    </w:pPr>
    <w:rPr>
      <w:rFonts w:ascii="Times New Roman" w:hAnsi="Times New Roman" w:eastAsia="宋体" w:cs="Times New Roman"/>
      <w:kern w:val="2"/>
      <w:sz w:val="24"/>
      <w:szCs w:val="20"/>
      <w:lang w:val="en-US" w:eastAsia="zh-CN" w:bidi="ar-SA"/>
    </w:rPr>
  </w:style>
  <w:style w:type="paragraph" w:customStyle="1" w:styleId="35">
    <w:name w:val="正文缩进1"/>
    <w:next w:val="13"/>
    <w:autoRedefine/>
    <w:qFormat/>
    <w:uiPriority w:val="0"/>
    <w:pPr>
      <w:widowControl w:val="0"/>
      <w:autoSpaceDE w:val="0"/>
      <w:autoSpaceDN w:val="0"/>
      <w:adjustRightInd w:val="0"/>
      <w:snapToGrid w:val="0"/>
      <w:spacing w:after="120" w:line="360" w:lineRule="auto"/>
      <w:ind w:left="420" w:leftChars="200" w:firstLine="480" w:firstLineChars="200"/>
      <w:jc w:val="both"/>
    </w:pPr>
    <w:rPr>
      <w:rFonts w:ascii="Times New Roman" w:hAnsi="Times New Roman" w:eastAsia="宋体" w:cs="Times New Roman"/>
      <w:kern w:val="2"/>
      <w:sz w:val="24"/>
      <w:szCs w:val="21"/>
      <w:lang w:val="en-US" w:eastAsia="zh-CN" w:bidi="ar-SA"/>
    </w:rPr>
  </w:style>
  <w:style w:type="paragraph" w:customStyle="1" w:styleId="36">
    <w:name w:val="样式5"/>
    <w:autoRedefine/>
    <w:qFormat/>
    <w:uiPriority w:val="0"/>
    <w:pPr>
      <w:widowControl w:val="0"/>
      <w:adjustRightInd w:val="0"/>
      <w:spacing w:line="440" w:lineRule="exact"/>
      <w:ind w:left="2" w:firstLine="480" w:firstLineChars="200"/>
      <w:jc w:val="both"/>
    </w:pPr>
    <w:rPr>
      <w:rFonts w:ascii="仿宋_GB2312" w:hAnsi="仿宋" w:eastAsia="仿宋_GB2312" w:cs="Times New Roman"/>
      <w:kern w:val="2"/>
      <w:sz w:val="24"/>
      <w:szCs w:val="24"/>
      <w:lang w:val="en-US" w:eastAsia="zh-CN" w:bidi="ar-SA"/>
    </w:rPr>
  </w:style>
  <w:style w:type="paragraph" w:styleId="37">
    <w:name w:val="List Paragraph"/>
    <w:basedOn w:val="1"/>
    <w:autoRedefine/>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38">
    <w:name w:val="表格文字"/>
    <w:autoRedefine/>
    <w:qFormat/>
    <w:uiPriority w:val="0"/>
    <w:pPr>
      <w:widowControl w:val="0"/>
      <w:adjustRightInd w:val="0"/>
      <w:spacing w:line="420" w:lineRule="atLeast"/>
      <w:jc w:val="left"/>
      <w:textAlignment w:val="baseline"/>
    </w:pPr>
    <w:rPr>
      <w:rFonts w:ascii="Times New Roman" w:hAnsi="Times New Roman" w:eastAsia="宋体" w:cs="Times New Roman"/>
      <w:kern w:val="0"/>
      <w:sz w:val="21"/>
      <w:szCs w:val="24"/>
      <w:lang w:val="en-US" w:eastAsia="zh-CN" w:bidi="ar-SA"/>
    </w:rPr>
  </w:style>
  <w:style w:type="table" w:customStyle="1" w:styleId="39">
    <w:name w:val="Table Normal"/>
    <w:autoRedefine/>
    <w:unhideWhenUsed/>
    <w:qFormat/>
    <w:uiPriority w:val="2"/>
    <w:pPr>
      <w:widowControl w:val="0"/>
      <w:autoSpaceDE w:val="0"/>
      <w:autoSpaceDN w:val="0"/>
    </w:pPr>
    <w:rPr>
      <w:rFonts w:ascii="等线" w:hAnsi="等线" w:eastAsia="等线"/>
      <w:sz w:val="22"/>
      <w:szCs w:val="22"/>
      <w:lang w:val="en-US" w:eastAsia="en-US" w:bidi="ar-SA"/>
    </w:rPr>
    <w:tblPr>
      <w:tblCellMar>
        <w:top w:w="0" w:type="dxa"/>
        <w:left w:w="0" w:type="dxa"/>
        <w:bottom w:w="0" w:type="dxa"/>
        <w:right w:w="0" w:type="dxa"/>
      </w:tblCellMar>
    </w:tblPr>
  </w:style>
  <w:style w:type="paragraph" w:customStyle="1" w:styleId="40">
    <w:name w:val="Table Paragraph"/>
    <w:basedOn w:val="1"/>
    <w:autoRedefine/>
    <w:qFormat/>
    <w:uiPriority w:val="1"/>
    <w:pPr>
      <w:autoSpaceDE w:val="0"/>
      <w:autoSpaceDN w:val="0"/>
      <w:adjustRightInd w:val="0"/>
      <w:jc w:val="left"/>
    </w:pPr>
    <w:rPr>
      <w:rFonts w:ascii="Times New Roman" w:hAnsi="Times New Roman"/>
      <w:kern w:val="0"/>
      <w:sz w:val="24"/>
    </w:rPr>
  </w:style>
  <w:style w:type="paragraph" w:customStyle="1" w:styleId="4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2">
    <w:name w:val="表格正文"/>
    <w:basedOn w:val="1"/>
    <w:qFormat/>
    <w:uiPriority w:val="0"/>
    <w:pPr>
      <w:spacing w:line="240" w:lineRule="atLeast"/>
      <w:jc w:val="left"/>
    </w:pPr>
    <w:rPr>
      <w:rFonts w:ascii="宋体" w:hAnsi="宋体"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87</Pages>
  <Words>7198</Words>
  <Characters>7839</Characters>
  <Lines>0</Lines>
  <Paragraphs>0</Paragraphs>
  <TotalTime>29</TotalTime>
  <ScaleCrop>false</ScaleCrop>
  <LinksUpToDate>false</LinksUpToDate>
  <CharactersWithSpaces>7926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2022-09-15T01:14:00Z</dcterms:created>
  <dc:creator>Administrator</dc:creator>
  <cp:lastModifiedBy>Administrator</cp:lastModifiedBy>
  <cp:lastPrinted>2026-05-13T09:51:00Z</cp:lastPrinted>
  <dcterms:modified xsi:type="dcterms:W3CDTF">2026-05-14T07:21:28Z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82498A42218C4617BED691D1D26654A8_13</vt:lpwstr>
  </property>
  <property fmtid="{D5CDD505-2E9C-101B-9397-08002B2CF9AE}" pid="4" name="KSOTemplateDocerSaveRecord">
    <vt:lpwstr>eyJoZGlkIjoiODE1YzdiMDM4YmZmZjY5ZTdkMzEwODQ1NGM1Mzg1NGEiLCJ1c2VySWQiOiIyNzM3MjE1MTAifQ==</vt:lpwstr>
  </property>
</Properties>
</file>