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1620"/>
        </w:tabs>
        <w:spacing w:line="420" w:lineRule="exact"/>
        <w:ind w:firstLine="643" w:firstLineChars="200"/>
        <w:jc w:val="center"/>
        <w:rPr>
          <w:rFonts w:hint="eastAsia" w:ascii="仿宋" w:hAnsi="仿宋" w:eastAsia="仿宋" w:cs="仿宋"/>
          <w:b/>
          <w:bCs/>
          <w:sz w:val="32"/>
          <w:szCs w:val="32"/>
          <w:lang w:eastAsia="zh-CN"/>
        </w:rPr>
      </w:pPr>
      <w:bookmarkStart w:id="1" w:name="_GoBack"/>
      <w:bookmarkStart w:id="0" w:name="_Toc22760"/>
      <w:r>
        <w:rPr>
          <w:rFonts w:hint="eastAsia" w:ascii="仿宋" w:hAnsi="仿宋" w:eastAsia="仿宋" w:cs="仿宋"/>
          <w:b/>
          <w:bCs/>
          <w:sz w:val="32"/>
          <w:szCs w:val="32"/>
        </w:rPr>
        <w:t>覃塘区县域医共体</w:t>
      </w:r>
      <w:r>
        <w:rPr>
          <w:rFonts w:hint="eastAsia" w:ascii="仿宋" w:hAnsi="仿宋" w:eastAsia="仿宋" w:cs="仿宋"/>
          <w:b/>
          <w:bCs/>
          <w:sz w:val="32"/>
          <w:szCs w:val="32"/>
          <w:lang w:eastAsia="zh-CN"/>
        </w:rPr>
        <w:t>综合信息系统建设</w:t>
      </w:r>
      <w:r>
        <w:rPr>
          <w:rFonts w:hint="eastAsia" w:ascii="仿宋" w:hAnsi="仿宋" w:eastAsia="仿宋" w:cs="仿宋"/>
          <w:b/>
          <w:bCs/>
          <w:sz w:val="32"/>
          <w:szCs w:val="32"/>
        </w:rPr>
        <w:t>项目采购需求</w:t>
      </w:r>
      <w:r>
        <w:rPr>
          <w:rFonts w:hint="eastAsia" w:ascii="仿宋" w:hAnsi="仿宋" w:eastAsia="仿宋" w:cs="仿宋"/>
          <w:b/>
          <w:bCs/>
          <w:sz w:val="32"/>
          <w:szCs w:val="32"/>
          <w:lang w:eastAsia="zh-CN"/>
        </w:rPr>
        <w:t>及控制价</w:t>
      </w:r>
    </w:p>
    <w:bookmarkEnd w:id="1"/>
    <w:p>
      <w:pPr>
        <w:tabs>
          <w:tab w:val="left" w:pos="180"/>
          <w:tab w:val="left" w:pos="1620"/>
        </w:tabs>
        <w:spacing w:line="420" w:lineRule="exact"/>
        <w:ind w:firstLine="560" w:firstLineChars="200"/>
        <w:jc w:val="both"/>
        <w:rPr>
          <w:rFonts w:hint="eastAsia" w:ascii="仿宋" w:hAnsi="仿宋" w:eastAsia="仿宋" w:cs="仿宋"/>
          <w:b w:val="0"/>
          <w:bCs w:val="0"/>
          <w:sz w:val="28"/>
          <w:szCs w:val="28"/>
          <w:lang w:eastAsia="zh-CN"/>
        </w:rPr>
      </w:pPr>
    </w:p>
    <w:p>
      <w:pPr>
        <w:tabs>
          <w:tab w:val="left" w:pos="180"/>
          <w:tab w:val="left" w:pos="1620"/>
        </w:tabs>
        <w:spacing w:line="420" w:lineRule="exact"/>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控制价：4982000</w:t>
      </w:r>
      <w:r>
        <w:rPr>
          <w:rFonts w:hint="eastAsia" w:ascii="仿宋" w:hAnsi="仿宋" w:eastAsia="仿宋" w:cs="仿宋"/>
          <w:b/>
          <w:bCs/>
          <w:sz w:val="28"/>
          <w:szCs w:val="28"/>
          <w:lang w:val="en-US" w:eastAsia="zh-CN"/>
        </w:rPr>
        <w:t>.00元。</w:t>
      </w:r>
    </w:p>
    <w:p>
      <w:pPr>
        <w:tabs>
          <w:tab w:val="left" w:pos="180"/>
          <w:tab w:val="left" w:pos="1620"/>
        </w:tabs>
        <w:spacing w:line="420" w:lineRule="exact"/>
        <w:ind w:firstLine="482" w:firstLineChars="200"/>
        <w:rPr>
          <w:rFonts w:hint="eastAsia" w:ascii="宋体" w:hAnsi="宋体" w:cs="宋体"/>
          <w:b/>
          <w:bCs/>
          <w:sz w:val="24"/>
        </w:rPr>
      </w:pPr>
      <w:r>
        <w:rPr>
          <w:rFonts w:hint="eastAsia" w:ascii="仿宋" w:hAnsi="仿宋" w:eastAsia="仿宋" w:cs="仿宋"/>
          <w:b/>
          <w:bCs/>
          <w:sz w:val="24"/>
        </w:rPr>
        <w:t>▲</w:t>
      </w:r>
      <w:r>
        <w:rPr>
          <w:rFonts w:hint="eastAsia" w:ascii="宋体" w:hAnsi="宋体" w:cs="宋体"/>
          <w:b/>
          <w:bCs/>
          <w:sz w:val="24"/>
        </w:rPr>
        <w:t>一、技术参数要求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925"/>
        <w:gridCol w:w="3364"/>
        <w:gridCol w:w="887"/>
        <w:gridCol w:w="90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6" w:type="dxa"/>
            <w:noWrap w:val="0"/>
            <w:vAlign w:val="center"/>
          </w:tcPr>
          <w:p>
            <w:pPr>
              <w:pStyle w:val="13"/>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序号</w:t>
            </w:r>
          </w:p>
        </w:tc>
        <w:tc>
          <w:tcPr>
            <w:tcW w:w="1925" w:type="dxa"/>
            <w:noWrap w:val="0"/>
            <w:vAlign w:val="center"/>
          </w:tcPr>
          <w:p>
            <w:pPr>
              <w:pStyle w:val="13"/>
              <w:jc w:val="center"/>
              <w:rPr>
                <w:rFonts w:hint="eastAsia" w:ascii="宋体" w:hAnsi="宋体" w:cs="宋体"/>
                <w:sz w:val="18"/>
                <w:szCs w:val="18"/>
              </w:rPr>
            </w:pPr>
            <w:r>
              <w:rPr>
                <w:rFonts w:hint="eastAsia" w:ascii="宋体" w:hAnsi="宋体" w:cs="宋体"/>
                <w:sz w:val="18"/>
                <w:szCs w:val="18"/>
              </w:rPr>
              <w:t>名称</w:t>
            </w:r>
          </w:p>
        </w:tc>
        <w:tc>
          <w:tcPr>
            <w:tcW w:w="3364" w:type="dxa"/>
            <w:noWrap w:val="0"/>
            <w:vAlign w:val="center"/>
          </w:tcPr>
          <w:p>
            <w:pPr>
              <w:pStyle w:val="13"/>
              <w:jc w:val="center"/>
              <w:rPr>
                <w:rFonts w:hint="eastAsia" w:ascii="宋体" w:hAnsi="宋体" w:cs="宋体"/>
                <w:sz w:val="18"/>
                <w:szCs w:val="18"/>
              </w:rPr>
            </w:pPr>
            <w:r>
              <w:rPr>
                <w:rFonts w:hint="eastAsia" w:ascii="宋体" w:hAnsi="宋体" w:cs="宋体"/>
                <w:sz w:val="18"/>
                <w:szCs w:val="18"/>
              </w:rPr>
              <w:t>详细功能描述</w:t>
            </w:r>
          </w:p>
        </w:tc>
        <w:tc>
          <w:tcPr>
            <w:tcW w:w="887" w:type="dxa"/>
            <w:noWrap w:val="0"/>
            <w:vAlign w:val="center"/>
          </w:tcPr>
          <w:p>
            <w:pPr>
              <w:pStyle w:val="13"/>
              <w:jc w:val="center"/>
              <w:rPr>
                <w:rFonts w:hint="eastAsia" w:ascii="宋体" w:hAnsi="宋体" w:cs="宋体"/>
                <w:sz w:val="18"/>
                <w:szCs w:val="18"/>
              </w:rPr>
            </w:pPr>
            <w:r>
              <w:rPr>
                <w:rFonts w:hint="eastAsia" w:ascii="宋体" w:hAnsi="宋体" w:cs="宋体"/>
                <w:sz w:val="18"/>
                <w:szCs w:val="18"/>
              </w:rPr>
              <w:t>单位</w:t>
            </w:r>
          </w:p>
        </w:tc>
        <w:tc>
          <w:tcPr>
            <w:tcW w:w="900" w:type="dxa"/>
            <w:noWrap w:val="0"/>
            <w:vAlign w:val="center"/>
          </w:tcPr>
          <w:p>
            <w:pPr>
              <w:pStyle w:val="13"/>
              <w:jc w:val="center"/>
              <w:rPr>
                <w:rFonts w:hint="eastAsia" w:ascii="宋体" w:hAnsi="宋体" w:cs="宋体"/>
                <w:sz w:val="18"/>
                <w:szCs w:val="18"/>
              </w:rPr>
            </w:pPr>
            <w:r>
              <w:rPr>
                <w:rFonts w:hint="eastAsia" w:ascii="宋体" w:hAnsi="宋体" w:cs="宋体"/>
                <w:sz w:val="18"/>
                <w:szCs w:val="18"/>
              </w:rPr>
              <w:t>数量</w:t>
            </w:r>
          </w:p>
        </w:tc>
        <w:tc>
          <w:tcPr>
            <w:tcW w:w="814" w:type="dxa"/>
            <w:noWrap w:val="0"/>
            <w:vAlign w:val="center"/>
          </w:tcPr>
          <w:p>
            <w:pPr>
              <w:pStyle w:val="13"/>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1056" w:type="dxa"/>
            <w:noWrap w:val="0"/>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925"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基础管理系统</w:t>
            </w:r>
          </w:p>
        </w:tc>
        <w:tc>
          <w:tcPr>
            <w:tcW w:w="3364" w:type="dxa"/>
            <w:noWrap w:val="0"/>
            <w:vAlign w:val="top"/>
          </w:tcPr>
          <w:p>
            <w:pPr>
              <w:pStyle w:val="4"/>
              <w:spacing w:line="240" w:lineRule="auto"/>
              <w:jc w:val="both"/>
              <w:rPr>
                <w:sz w:val="18"/>
                <w:szCs w:val="18"/>
              </w:rPr>
            </w:pPr>
            <w:r>
              <w:rPr>
                <w:rFonts w:hint="eastAsia"/>
                <w:sz w:val="18"/>
                <w:szCs w:val="18"/>
                <w:lang w:val="en-US" w:eastAsia="zh-CN"/>
              </w:rPr>
              <w:t>1.</w:t>
            </w:r>
            <w:r>
              <w:rPr>
                <w:sz w:val="18"/>
                <w:szCs w:val="18"/>
              </w:rPr>
              <w:t>组织机构管理</w:t>
            </w:r>
          </w:p>
          <w:p>
            <w:pPr>
              <w:pStyle w:val="4"/>
              <w:spacing w:line="240" w:lineRule="auto"/>
              <w:jc w:val="both"/>
              <w:rPr>
                <w:sz w:val="18"/>
                <w:szCs w:val="18"/>
              </w:rPr>
            </w:pPr>
            <w:r>
              <w:rPr>
                <w:rFonts w:hint="eastAsia"/>
                <w:sz w:val="18"/>
                <w:szCs w:val="18"/>
                <w:lang w:val="en-US" w:eastAsia="zh-CN"/>
              </w:rPr>
              <w:t>2.</w:t>
            </w:r>
            <w:r>
              <w:rPr>
                <w:sz w:val="18"/>
                <w:szCs w:val="18"/>
              </w:rPr>
              <w:t>人员及权限管理</w:t>
            </w:r>
          </w:p>
          <w:p>
            <w:pPr>
              <w:pStyle w:val="4"/>
              <w:spacing w:line="240" w:lineRule="auto"/>
              <w:jc w:val="both"/>
              <w:rPr>
                <w:sz w:val="18"/>
                <w:szCs w:val="18"/>
              </w:rPr>
            </w:pPr>
            <w:r>
              <w:rPr>
                <w:rFonts w:hint="eastAsia"/>
                <w:sz w:val="18"/>
                <w:szCs w:val="18"/>
                <w:lang w:val="en-US" w:eastAsia="zh-CN"/>
              </w:rPr>
              <w:t>2.</w:t>
            </w:r>
            <w:r>
              <w:rPr>
                <w:sz w:val="18"/>
                <w:szCs w:val="18"/>
              </w:rPr>
              <w:t>基础字典管理</w:t>
            </w:r>
          </w:p>
          <w:p>
            <w:pPr>
              <w:pStyle w:val="4"/>
              <w:spacing w:line="240" w:lineRule="auto"/>
              <w:jc w:val="both"/>
              <w:rPr>
                <w:sz w:val="18"/>
                <w:szCs w:val="18"/>
              </w:rPr>
            </w:pPr>
            <w:r>
              <w:rPr>
                <w:rFonts w:hint="eastAsia"/>
                <w:sz w:val="18"/>
                <w:szCs w:val="18"/>
                <w:lang w:val="en-US" w:eastAsia="zh-CN"/>
              </w:rPr>
              <w:t>3.</w:t>
            </w:r>
            <w:r>
              <w:rPr>
                <w:sz w:val="18"/>
                <w:szCs w:val="18"/>
              </w:rPr>
              <w:t>财务与供应链设置</w:t>
            </w:r>
          </w:p>
          <w:p>
            <w:pPr>
              <w:pStyle w:val="4"/>
              <w:spacing w:line="240" w:lineRule="auto"/>
              <w:jc w:val="both"/>
              <w:rPr>
                <w:sz w:val="18"/>
                <w:szCs w:val="18"/>
              </w:rPr>
            </w:pPr>
            <w:r>
              <w:rPr>
                <w:rFonts w:hint="eastAsia"/>
                <w:sz w:val="18"/>
                <w:szCs w:val="18"/>
                <w:lang w:val="en-US" w:eastAsia="zh-CN"/>
              </w:rPr>
              <w:t>4.</w:t>
            </w:r>
            <w:r>
              <w:rPr>
                <w:sz w:val="18"/>
                <w:szCs w:val="18"/>
              </w:rPr>
              <w:t>药耗与诊疗项目管理</w:t>
            </w:r>
          </w:p>
          <w:p>
            <w:pPr>
              <w:pStyle w:val="4"/>
              <w:spacing w:line="240" w:lineRule="auto"/>
              <w:jc w:val="both"/>
              <w:rPr>
                <w:rFonts w:hint="eastAsia" w:ascii="宋体" w:hAnsi="宋体" w:cs="宋体"/>
                <w:sz w:val="18"/>
                <w:szCs w:val="18"/>
              </w:rPr>
            </w:pPr>
            <w:r>
              <w:rPr>
                <w:rFonts w:hint="eastAsia"/>
                <w:sz w:val="18"/>
                <w:szCs w:val="18"/>
                <w:lang w:val="en-US" w:eastAsia="zh-CN"/>
              </w:rPr>
              <w:t>5.</w:t>
            </w:r>
            <w:r>
              <w:rPr>
                <w:sz w:val="18"/>
                <w:szCs w:val="18"/>
              </w:rPr>
              <w:t>系统环境与安全性管理</w:t>
            </w:r>
          </w:p>
        </w:tc>
        <w:tc>
          <w:tcPr>
            <w:tcW w:w="887" w:type="dxa"/>
            <w:noWrap w:val="0"/>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925"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报表管理系统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报表基础维护</w:t>
            </w:r>
          </w:p>
          <w:p>
            <w:pPr>
              <w:pStyle w:val="4"/>
              <w:rPr>
                <w:sz w:val="18"/>
                <w:szCs w:val="18"/>
              </w:rPr>
            </w:pPr>
            <w:r>
              <w:rPr>
                <w:rFonts w:hint="eastAsia"/>
                <w:sz w:val="18"/>
                <w:szCs w:val="18"/>
                <w:lang w:val="en-US" w:eastAsia="zh-CN"/>
              </w:rPr>
              <w:t>2.</w:t>
            </w:r>
            <w:r>
              <w:rPr>
                <w:sz w:val="18"/>
                <w:szCs w:val="18"/>
              </w:rPr>
              <w:t>报表自定义设计</w:t>
            </w:r>
          </w:p>
          <w:p>
            <w:pPr>
              <w:pStyle w:val="4"/>
              <w:rPr>
                <w:sz w:val="18"/>
                <w:szCs w:val="18"/>
              </w:rPr>
            </w:pPr>
            <w:r>
              <w:rPr>
                <w:rFonts w:hint="eastAsia"/>
                <w:sz w:val="18"/>
                <w:szCs w:val="18"/>
                <w:lang w:val="en-US" w:eastAsia="zh-CN"/>
              </w:rPr>
              <w:t>3.</w:t>
            </w:r>
            <w:r>
              <w:rPr>
                <w:sz w:val="18"/>
                <w:szCs w:val="18"/>
              </w:rPr>
              <w:t>报表应用与打印</w:t>
            </w:r>
          </w:p>
          <w:p>
            <w:pPr>
              <w:pStyle w:val="4"/>
              <w:rPr>
                <w:sz w:val="18"/>
                <w:szCs w:val="18"/>
              </w:rPr>
            </w:pPr>
            <w:r>
              <w:rPr>
                <w:rFonts w:hint="eastAsia"/>
                <w:sz w:val="18"/>
                <w:szCs w:val="18"/>
                <w:lang w:val="en-US" w:eastAsia="zh-CN"/>
              </w:rPr>
              <w:t>4.</w:t>
            </w:r>
            <w:r>
              <w:rPr>
                <w:sz w:val="18"/>
                <w:szCs w:val="18"/>
              </w:rPr>
              <w:t>数据开放与文档管理</w:t>
            </w:r>
          </w:p>
          <w:p>
            <w:pPr>
              <w:widowControl/>
              <w:jc w:val="center"/>
              <w:textAlignment w:val="center"/>
              <w:rPr>
                <w:rFonts w:hint="eastAsia" w:ascii="宋体" w:hAnsi="宋体" w:cs="宋体"/>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1"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925"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一卡通管理系统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就诊卡参数管理</w:t>
            </w:r>
          </w:p>
          <w:p>
            <w:pPr>
              <w:pStyle w:val="4"/>
              <w:rPr>
                <w:sz w:val="18"/>
                <w:szCs w:val="18"/>
              </w:rPr>
            </w:pPr>
            <w:r>
              <w:rPr>
                <w:rFonts w:hint="eastAsia"/>
                <w:sz w:val="18"/>
                <w:szCs w:val="18"/>
                <w:lang w:val="en-US" w:eastAsia="zh-CN"/>
              </w:rPr>
              <w:t>2.</w:t>
            </w:r>
            <w:r>
              <w:rPr>
                <w:sz w:val="18"/>
                <w:szCs w:val="18"/>
              </w:rPr>
              <w:t>就诊卡库存与制卡管理</w:t>
            </w:r>
          </w:p>
          <w:p>
            <w:pPr>
              <w:pStyle w:val="4"/>
              <w:rPr>
                <w:sz w:val="18"/>
                <w:szCs w:val="18"/>
              </w:rPr>
            </w:pPr>
            <w:r>
              <w:rPr>
                <w:rFonts w:hint="eastAsia"/>
                <w:sz w:val="18"/>
                <w:szCs w:val="18"/>
                <w:lang w:val="en-US" w:eastAsia="zh-CN"/>
              </w:rPr>
              <w:t>3.</w:t>
            </w:r>
            <w:r>
              <w:rPr>
                <w:sz w:val="18"/>
                <w:szCs w:val="18"/>
              </w:rPr>
              <w:t>发卡与基本信息管理</w:t>
            </w:r>
          </w:p>
          <w:p>
            <w:pPr>
              <w:pStyle w:val="4"/>
              <w:rPr>
                <w:sz w:val="18"/>
                <w:szCs w:val="18"/>
              </w:rPr>
            </w:pPr>
            <w:r>
              <w:rPr>
                <w:rFonts w:hint="eastAsia"/>
                <w:sz w:val="18"/>
                <w:szCs w:val="18"/>
                <w:lang w:val="en-US" w:eastAsia="zh-CN"/>
              </w:rPr>
              <w:t>4.</w:t>
            </w:r>
            <w:r>
              <w:rPr>
                <w:sz w:val="18"/>
                <w:szCs w:val="18"/>
              </w:rPr>
              <w:t>就诊卡日常业务管理</w:t>
            </w:r>
          </w:p>
          <w:p>
            <w:pPr>
              <w:pStyle w:val="4"/>
              <w:rPr>
                <w:sz w:val="18"/>
                <w:szCs w:val="18"/>
              </w:rPr>
            </w:pPr>
            <w:r>
              <w:rPr>
                <w:rFonts w:hint="eastAsia"/>
                <w:sz w:val="18"/>
                <w:szCs w:val="18"/>
                <w:lang w:val="en-US" w:eastAsia="zh-CN"/>
              </w:rPr>
              <w:t>5.</w:t>
            </w:r>
            <w:r>
              <w:rPr>
                <w:sz w:val="18"/>
                <w:szCs w:val="18"/>
              </w:rPr>
              <w:t>财务与支付管理</w:t>
            </w:r>
          </w:p>
          <w:p>
            <w:pPr>
              <w:pStyle w:val="4"/>
              <w:rPr>
                <w:sz w:val="18"/>
                <w:szCs w:val="18"/>
              </w:rPr>
            </w:pPr>
            <w:r>
              <w:rPr>
                <w:rFonts w:hint="eastAsia"/>
                <w:sz w:val="18"/>
                <w:szCs w:val="18"/>
                <w:lang w:val="en-US" w:eastAsia="zh-CN"/>
              </w:rPr>
              <w:t>6.</w:t>
            </w:r>
            <w:r>
              <w:rPr>
                <w:sz w:val="18"/>
                <w:szCs w:val="18"/>
              </w:rPr>
              <w:t>硬件与外部集成管理</w:t>
            </w:r>
          </w:p>
          <w:p>
            <w:pPr>
              <w:widowControl/>
              <w:jc w:val="center"/>
              <w:textAlignment w:val="center"/>
              <w:rPr>
                <w:rFonts w:hint="eastAsia" w:ascii="宋体" w:hAnsi="宋体" w:cs="宋体"/>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925" w:type="dxa"/>
            <w:noWrap w:val="0"/>
            <w:vAlign w:val="center"/>
          </w:tcPr>
          <w:p>
            <w:pPr>
              <w:widowControl/>
              <w:jc w:val="center"/>
              <w:textAlignment w:val="center"/>
              <w:rPr>
                <w:rFonts w:hint="eastAsia" w:ascii="宋体" w:hAnsi="宋体" w:cs="宋体"/>
                <w:sz w:val="18"/>
                <w:szCs w:val="18"/>
              </w:rPr>
            </w:pPr>
            <w:r>
              <w:rPr>
                <w:sz w:val="18"/>
                <w:szCs w:val="18"/>
              </w:rPr>
              <w:t>诊间支付系统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支付基础配置管理</w:t>
            </w:r>
          </w:p>
          <w:p>
            <w:pPr>
              <w:pStyle w:val="4"/>
              <w:rPr>
                <w:sz w:val="18"/>
                <w:szCs w:val="18"/>
              </w:rPr>
            </w:pPr>
            <w:r>
              <w:rPr>
                <w:rFonts w:hint="eastAsia"/>
                <w:sz w:val="18"/>
                <w:szCs w:val="18"/>
                <w:lang w:val="en-US" w:eastAsia="zh-CN"/>
              </w:rPr>
              <w:t>2.</w:t>
            </w:r>
            <w:r>
              <w:rPr>
                <w:sz w:val="18"/>
                <w:szCs w:val="18"/>
              </w:rPr>
              <w:t>网络支付接口管理</w:t>
            </w:r>
          </w:p>
          <w:p>
            <w:pPr>
              <w:pStyle w:val="4"/>
              <w:rPr>
                <w:sz w:val="18"/>
                <w:szCs w:val="18"/>
              </w:rPr>
            </w:pPr>
            <w:r>
              <w:rPr>
                <w:rFonts w:hint="eastAsia"/>
                <w:sz w:val="18"/>
                <w:szCs w:val="18"/>
                <w:lang w:val="en-US" w:eastAsia="zh-CN"/>
              </w:rPr>
              <w:t>3.</w:t>
            </w:r>
            <w:r>
              <w:rPr>
                <w:sz w:val="18"/>
                <w:szCs w:val="18"/>
              </w:rPr>
              <w:t>支付功能实现</w:t>
            </w:r>
          </w:p>
          <w:p>
            <w:pPr>
              <w:pStyle w:val="4"/>
              <w:rPr>
                <w:sz w:val="18"/>
                <w:szCs w:val="18"/>
              </w:rPr>
            </w:pPr>
            <w:r>
              <w:rPr>
                <w:rFonts w:hint="eastAsia"/>
                <w:sz w:val="18"/>
                <w:szCs w:val="18"/>
                <w:lang w:val="en-US" w:eastAsia="zh-CN"/>
              </w:rPr>
              <w:t>4.</w:t>
            </w:r>
            <w:r>
              <w:rPr>
                <w:sz w:val="18"/>
                <w:szCs w:val="18"/>
              </w:rPr>
              <w:t>支付场景业务应用</w:t>
            </w:r>
          </w:p>
          <w:p>
            <w:pPr>
              <w:pStyle w:val="4"/>
              <w:rPr>
                <w:sz w:val="18"/>
                <w:szCs w:val="18"/>
              </w:rPr>
            </w:pPr>
            <w:r>
              <w:rPr>
                <w:rFonts w:hint="eastAsia"/>
                <w:sz w:val="18"/>
                <w:szCs w:val="18"/>
                <w:lang w:val="en-US" w:eastAsia="zh-CN"/>
              </w:rPr>
              <w:t>5.</w:t>
            </w:r>
            <w:r>
              <w:rPr>
                <w:sz w:val="18"/>
                <w:szCs w:val="18"/>
              </w:rPr>
              <w:t>财务统计与对账</w:t>
            </w:r>
          </w:p>
          <w:p>
            <w:pPr>
              <w:widowControl/>
              <w:jc w:val="center"/>
              <w:textAlignment w:val="center"/>
              <w:rPr>
                <w:rFonts w:hint="eastAsia" w:ascii="宋体" w:hAnsi="宋体" w:cs="宋体"/>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925" w:type="dxa"/>
            <w:noWrap w:val="0"/>
            <w:vAlign w:val="center"/>
          </w:tcPr>
          <w:p>
            <w:pPr>
              <w:widowControl/>
              <w:jc w:val="center"/>
              <w:textAlignment w:val="center"/>
              <w:rPr>
                <w:sz w:val="18"/>
                <w:szCs w:val="18"/>
              </w:rPr>
            </w:pPr>
            <w:r>
              <w:rPr>
                <w:rFonts w:hint="eastAsia"/>
                <w:sz w:val="18"/>
                <w:szCs w:val="18"/>
              </w:rPr>
              <w:t>财务收费管理</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票据管理</w:t>
            </w:r>
          </w:p>
          <w:p>
            <w:pPr>
              <w:pStyle w:val="4"/>
              <w:rPr>
                <w:sz w:val="18"/>
                <w:szCs w:val="18"/>
              </w:rPr>
            </w:pPr>
            <w:r>
              <w:rPr>
                <w:rFonts w:hint="eastAsia"/>
                <w:sz w:val="18"/>
                <w:szCs w:val="18"/>
                <w:lang w:val="en-US" w:eastAsia="zh-CN"/>
              </w:rPr>
              <w:t>2.</w:t>
            </w:r>
            <w:r>
              <w:rPr>
                <w:sz w:val="18"/>
                <w:szCs w:val="18"/>
              </w:rPr>
              <w:t>财务结算管理</w:t>
            </w:r>
          </w:p>
          <w:p>
            <w:pPr>
              <w:pStyle w:val="4"/>
              <w:rPr>
                <w:sz w:val="18"/>
                <w:szCs w:val="18"/>
              </w:rPr>
            </w:pPr>
            <w:r>
              <w:rPr>
                <w:rFonts w:hint="eastAsia"/>
                <w:sz w:val="18"/>
                <w:szCs w:val="18"/>
                <w:lang w:val="en-US" w:eastAsia="zh-CN"/>
              </w:rPr>
              <w:t>3.</w:t>
            </w:r>
            <w:r>
              <w:rPr>
                <w:sz w:val="18"/>
                <w:szCs w:val="18"/>
              </w:rPr>
              <w:t>财务监控管理</w:t>
            </w:r>
          </w:p>
          <w:p>
            <w:pPr>
              <w:pStyle w:val="4"/>
              <w:rPr>
                <w:rFonts w:hint="eastAsia" w:ascii="宋体" w:hAnsi="宋体" w:cs="宋体"/>
                <w:sz w:val="18"/>
                <w:szCs w:val="18"/>
              </w:rPr>
            </w:pPr>
            <w:r>
              <w:rPr>
                <w:rFonts w:hint="eastAsia"/>
                <w:sz w:val="18"/>
                <w:szCs w:val="18"/>
                <w:lang w:val="en-US" w:eastAsia="zh-CN"/>
              </w:rPr>
              <w:t>4.</w:t>
            </w:r>
            <w:r>
              <w:rPr>
                <w:sz w:val="18"/>
                <w:szCs w:val="18"/>
              </w:rPr>
              <w:t>应收款管理</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925" w:type="dxa"/>
            <w:noWrap w:val="0"/>
            <w:vAlign w:val="center"/>
          </w:tcPr>
          <w:p>
            <w:pPr>
              <w:widowControl/>
              <w:jc w:val="center"/>
              <w:textAlignment w:val="center"/>
              <w:rPr>
                <w:rFonts w:hint="eastAsia"/>
                <w:sz w:val="18"/>
                <w:szCs w:val="18"/>
              </w:rPr>
            </w:pPr>
            <w:r>
              <w:rPr>
                <w:rFonts w:hint="eastAsia"/>
                <w:sz w:val="18"/>
                <w:szCs w:val="18"/>
              </w:rPr>
              <w:t>门诊挂号管理系统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挂号配置管理</w:t>
            </w:r>
          </w:p>
          <w:p>
            <w:pPr>
              <w:pStyle w:val="4"/>
              <w:rPr>
                <w:sz w:val="18"/>
                <w:szCs w:val="18"/>
              </w:rPr>
            </w:pPr>
            <w:r>
              <w:rPr>
                <w:rFonts w:hint="eastAsia"/>
                <w:sz w:val="18"/>
                <w:szCs w:val="18"/>
                <w:lang w:val="en-US" w:eastAsia="zh-CN"/>
              </w:rPr>
              <w:t>2.</w:t>
            </w:r>
            <w:r>
              <w:rPr>
                <w:sz w:val="18"/>
                <w:szCs w:val="18"/>
              </w:rPr>
              <w:t>挂号业务处理</w:t>
            </w:r>
          </w:p>
          <w:p>
            <w:pPr>
              <w:pStyle w:val="4"/>
              <w:rPr>
                <w:sz w:val="18"/>
                <w:szCs w:val="18"/>
              </w:rPr>
            </w:pPr>
            <w:r>
              <w:rPr>
                <w:rFonts w:hint="eastAsia"/>
                <w:sz w:val="18"/>
                <w:szCs w:val="18"/>
                <w:lang w:val="en-US" w:eastAsia="zh-CN"/>
              </w:rPr>
              <w:t>3.</w:t>
            </w:r>
            <w:r>
              <w:rPr>
                <w:sz w:val="18"/>
                <w:szCs w:val="18"/>
              </w:rPr>
              <w:t>患者与基础信息管理</w:t>
            </w:r>
          </w:p>
          <w:p>
            <w:pPr>
              <w:pStyle w:val="4"/>
              <w:rPr>
                <w:sz w:val="18"/>
                <w:szCs w:val="18"/>
              </w:rPr>
            </w:pPr>
            <w:r>
              <w:rPr>
                <w:rFonts w:hint="eastAsia"/>
                <w:sz w:val="18"/>
                <w:szCs w:val="18"/>
                <w:lang w:val="en-US" w:eastAsia="zh-CN"/>
              </w:rPr>
              <w:t>4.</w:t>
            </w:r>
            <w:r>
              <w:rPr>
                <w:sz w:val="18"/>
                <w:szCs w:val="18"/>
              </w:rPr>
              <w:t>财务与结算管理</w:t>
            </w:r>
          </w:p>
          <w:p>
            <w:pPr>
              <w:pStyle w:val="4"/>
              <w:rPr>
                <w:sz w:val="18"/>
                <w:szCs w:val="18"/>
              </w:rPr>
            </w:pPr>
            <w:r>
              <w:rPr>
                <w:rFonts w:hint="eastAsia"/>
                <w:sz w:val="18"/>
                <w:szCs w:val="18"/>
                <w:lang w:val="en-US" w:eastAsia="zh-CN"/>
              </w:rPr>
              <w:t>5.</w:t>
            </w:r>
            <w:r>
              <w:rPr>
                <w:sz w:val="18"/>
                <w:szCs w:val="18"/>
              </w:rPr>
              <w:t>预约与多模块联动</w:t>
            </w:r>
          </w:p>
          <w:p>
            <w:pPr>
              <w:pStyle w:val="4"/>
              <w:rPr>
                <w:sz w:val="18"/>
                <w:szCs w:val="18"/>
              </w:rPr>
            </w:pPr>
            <w:r>
              <w:rPr>
                <w:rFonts w:hint="eastAsia"/>
                <w:sz w:val="18"/>
                <w:szCs w:val="18"/>
                <w:lang w:val="en-US" w:eastAsia="zh-CN"/>
              </w:rPr>
              <w:t>6.</w:t>
            </w:r>
            <w:r>
              <w:rPr>
                <w:sz w:val="18"/>
                <w:szCs w:val="18"/>
              </w:rPr>
              <w:t>安全与密级管理</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925" w:type="dxa"/>
            <w:noWrap w:val="0"/>
            <w:vAlign w:val="center"/>
          </w:tcPr>
          <w:p>
            <w:pPr>
              <w:widowControl/>
              <w:jc w:val="center"/>
              <w:textAlignment w:val="center"/>
              <w:rPr>
                <w:rFonts w:hint="eastAsia"/>
                <w:sz w:val="18"/>
                <w:szCs w:val="18"/>
              </w:rPr>
            </w:pPr>
            <w:r>
              <w:rPr>
                <w:rFonts w:hint="eastAsia"/>
                <w:sz w:val="18"/>
                <w:szCs w:val="18"/>
              </w:rPr>
              <w:t>门诊收费管理系统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门诊收费管理</w:t>
            </w:r>
          </w:p>
          <w:p>
            <w:pPr>
              <w:pStyle w:val="4"/>
              <w:rPr>
                <w:sz w:val="18"/>
                <w:szCs w:val="18"/>
              </w:rPr>
            </w:pPr>
            <w:r>
              <w:rPr>
                <w:rFonts w:hint="eastAsia"/>
                <w:sz w:val="18"/>
                <w:szCs w:val="18"/>
                <w:lang w:val="en-US" w:eastAsia="zh-CN"/>
              </w:rPr>
              <w:t>2.</w:t>
            </w:r>
            <w:r>
              <w:rPr>
                <w:sz w:val="18"/>
                <w:szCs w:val="18"/>
              </w:rPr>
              <w:t>医保结算管理</w:t>
            </w:r>
          </w:p>
          <w:p>
            <w:pPr>
              <w:pStyle w:val="4"/>
              <w:rPr>
                <w:sz w:val="18"/>
                <w:szCs w:val="18"/>
              </w:rPr>
            </w:pPr>
            <w:r>
              <w:rPr>
                <w:rFonts w:hint="eastAsia"/>
                <w:sz w:val="18"/>
                <w:szCs w:val="18"/>
                <w:lang w:val="en-US" w:eastAsia="zh-CN"/>
              </w:rPr>
              <w:t>3.</w:t>
            </w:r>
            <w:r>
              <w:rPr>
                <w:sz w:val="18"/>
                <w:szCs w:val="18"/>
              </w:rPr>
              <w:t>门诊挂号管理</w:t>
            </w:r>
          </w:p>
          <w:p>
            <w:pPr>
              <w:pStyle w:val="4"/>
              <w:rPr>
                <w:sz w:val="18"/>
                <w:szCs w:val="18"/>
              </w:rPr>
            </w:pPr>
            <w:r>
              <w:rPr>
                <w:rFonts w:hint="eastAsia"/>
                <w:sz w:val="18"/>
                <w:szCs w:val="18"/>
                <w:lang w:val="en-US" w:eastAsia="zh-CN"/>
              </w:rPr>
              <w:t>4.</w:t>
            </w:r>
            <w:r>
              <w:rPr>
                <w:sz w:val="18"/>
                <w:szCs w:val="18"/>
              </w:rPr>
              <w:t>库存管理</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925" w:type="dxa"/>
            <w:noWrap w:val="0"/>
            <w:vAlign w:val="center"/>
          </w:tcPr>
          <w:p>
            <w:pPr>
              <w:widowControl/>
              <w:jc w:val="center"/>
              <w:textAlignment w:val="center"/>
              <w:rPr>
                <w:rFonts w:hint="eastAsia"/>
                <w:sz w:val="18"/>
                <w:szCs w:val="18"/>
              </w:rPr>
            </w:pPr>
            <w:r>
              <w:rPr>
                <w:rFonts w:hint="eastAsia"/>
                <w:sz w:val="18"/>
                <w:szCs w:val="18"/>
              </w:rPr>
              <w:t>住院管理系统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病人信息管理</w:t>
            </w:r>
          </w:p>
          <w:p>
            <w:pPr>
              <w:pStyle w:val="4"/>
              <w:rPr>
                <w:sz w:val="18"/>
                <w:szCs w:val="18"/>
              </w:rPr>
            </w:pPr>
            <w:r>
              <w:rPr>
                <w:rFonts w:hint="eastAsia"/>
                <w:sz w:val="18"/>
                <w:szCs w:val="18"/>
                <w:lang w:val="en-US" w:eastAsia="zh-CN"/>
              </w:rPr>
              <w:t>2.</w:t>
            </w:r>
            <w:r>
              <w:rPr>
                <w:sz w:val="18"/>
                <w:szCs w:val="18"/>
              </w:rPr>
              <w:t>病人入院管理</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925" w:type="dxa"/>
            <w:noWrap w:val="0"/>
            <w:vAlign w:val="center"/>
          </w:tcPr>
          <w:p>
            <w:pPr>
              <w:widowControl/>
              <w:jc w:val="center"/>
              <w:textAlignment w:val="center"/>
              <w:rPr>
                <w:rFonts w:hint="eastAsia"/>
                <w:sz w:val="18"/>
                <w:szCs w:val="18"/>
              </w:rPr>
            </w:pPr>
            <w:r>
              <w:rPr>
                <w:rFonts w:hint="eastAsia"/>
                <w:sz w:val="18"/>
                <w:szCs w:val="18"/>
              </w:rPr>
              <w:t>住院收费管理系统</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住院结账管理</w:t>
            </w:r>
          </w:p>
          <w:p>
            <w:pPr>
              <w:pStyle w:val="4"/>
              <w:rPr>
                <w:sz w:val="18"/>
                <w:szCs w:val="18"/>
              </w:rPr>
            </w:pPr>
            <w:r>
              <w:rPr>
                <w:rFonts w:hint="eastAsia"/>
                <w:sz w:val="18"/>
                <w:szCs w:val="18"/>
                <w:lang w:val="en-US" w:eastAsia="zh-CN"/>
              </w:rPr>
              <w:t>2.</w:t>
            </w:r>
            <w:r>
              <w:rPr>
                <w:sz w:val="18"/>
                <w:szCs w:val="18"/>
              </w:rPr>
              <w:t>票据管理</w:t>
            </w:r>
          </w:p>
          <w:p>
            <w:pPr>
              <w:pStyle w:val="4"/>
              <w:rPr>
                <w:sz w:val="18"/>
                <w:szCs w:val="18"/>
              </w:rPr>
            </w:pPr>
            <w:r>
              <w:rPr>
                <w:rFonts w:hint="eastAsia"/>
                <w:sz w:val="18"/>
                <w:szCs w:val="18"/>
                <w:lang w:val="en-US" w:eastAsia="zh-CN"/>
              </w:rPr>
              <w:t>3.</w:t>
            </w:r>
            <w:r>
              <w:rPr>
                <w:sz w:val="18"/>
                <w:szCs w:val="18"/>
              </w:rPr>
              <w:t>结算审核与监控</w:t>
            </w:r>
          </w:p>
          <w:p>
            <w:pPr>
              <w:pStyle w:val="4"/>
              <w:rPr>
                <w:sz w:val="18"/>
                <w:szCs w:val="18"/>
              </w:rPr>
            </w:pPr>
            <w:r>
              <w:rPr>
                <w:rFonts w:hint="eastAsia"/>
                <w:sz w:val="18"/>
                <w:szCs w:val="18"/>
                <w:lang w:val="en-US" w:eastAsia="zh-CN"/>
              </w:rPr>
              <w:t>4.</w:t>
            </w:r>
            <w:r>
              <w:rPr>
                <w:sz w:val="18"/>
                <w:szCs w:val="18"/>
              </w:rPr>
              <w:t>费用记账管理</w:t>
            </w:r>
          </w:p>
          <w:p>
            <w:pPr>
              <w:pStyle w:val="4"/>
              <w:rPr>
                <w:sz w:val="18"/>
                <w:szCs w:val="18"/>
              </w:rPr>
            </w:pPr>
            <w:r>
              <w:rPr>
                <w:rFonts w:hint="eastAsia"/>
                <w:sz w:val="18"/>
                <w:szCs w:val="18"/>
                <w:lang w:val="en-US" w:eastAsia="zh-CN"/>
              </w:rPr>
              <w:t>5.</w:t>
            </w:r>
            <w:r>
              <w:rPr>
                <w:sz w:val="18"/>
                <w:szCs w:val="18"/>
              </w:rPr>
              <w:t>医保与外部接口</w:t>
            </w:r>
          </w:p>
          <w:p>
            <w:pPr>
              <w:pStyle w:val="4"/>
              <w:rPr>
                <w:sz w:val="18"/>
                <w:szCs w:val="18"/>
              </w:rPr>
            </w:pPr>
            <w:r>
              <w:rPr>
                <w:rFonts w:hint="eastAsia"/>
                <w:sz w:val="18"/>
                <w:szCs w:val="18"/>
                <w:lang w:val="en-US" w:eastAsia="zh-CN"/>
              </w:rPr>
              <w:t>6.</w:t>
            </w:r>
            <w:r>
              <w:rPr>
                <w:sz w:val="18"/>
                <w:szCs w:val="18"/>
              </w:rPr>
              <w:t>系统基础配置</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925" w:type="dxa"/>
            <w:noWrap w:val="0"/>
            <w:vAlign w:val="center"/>
          </w:tcPr>
          <w:p>
            <w:pPr>
              <w:widowControl/>
              <w:jc w:val="center"/>
              <w:textAlignment w:val="center"/>
              <w:rPr>
                <w:rFonts w:hint="eastAsia"/>
                <w:sz w:val="18"/>
                <w:szCs w:val="18"/>
              </w:rPr>
            </w:pPr>
            <w:r>
              <w:rPr>
                <w:sz w:val="18"/>
                <w:szCs w:val="18"/>
              </w:rPr>
              <w:t>门诊医生工作站</w:t>
            </w:r>
          </w:p>
        </w:tc>
        <w:tc>
          <w:tcPr>
            <w:tcW w:w="3364" w:type="dxa"/>
            <w:noWrap w:val="0"/>
            <w:vAlign w:val="center"/>
          </w:tcPr>
          <w:p>
            <w:pPr>
              <w:pStyle w:val="4"/>
              <w:rPr>
                <w:sz w:val="18"/>
                <w:szCs w:val="18"/>
              </w:rPr>
            </w:pPr>
            <w:r>
              <w:rPr>
                <w:rFonts w:hint="eastAsia"/>
                <w:sz w:val="18"/>
                <w:szCs w:val="18"/>
                <w:lang w:val="en-US" w:eastAsia="zh-CN"/>
              </w:rPr>
              <w:t>1.</w:t>
            </w:r>
            <w:r>
              <w:rPr>
                <w:sz w:val="18"/>
                <w:szCs w:val="18"/>
              </w:rPr>
              <w:t>挂号与身份管理</w:t>
            </w:r>
          </w:p>
          <w:p>
            <w:pPr>
              <w:pStyle w:val="4"/>
              <w:rPr>
                <w:sz w:val="18"/>
                <w:szCs w:val="18"/>
              </w:rPr>
            </w:pPr>
            <w:r>
              <w:rPr>
                <w:rFonts w:hint="eastAsia"/>
                <w:sz w:val="18"/>
                <w:szCs w:val="18"/>
                <w:lang w:val="en-US" w:eastAsia="zh-CN"/>
              </w:rPr>
              <w:t>2.</w:t>
            </w:r>
            <w:r>
              <w:rPr>
                <w:sz w:val="18"/>
                <w:szCs w:val="18"/>
              </w:rPr>
              <w:t>诊间接诊管理</w:t>
            </w:r>
          </w:p>
          <w:p>
            <w:pPr>
              <w:pStyle w:val="4"/>
              <w:rPr>
                <w:sz w:val="18"/>
                <w:szCs w:val="18"/>
              </w:rPr>
            </w:pPr>
            <w:r>
              <w:rPr>
                <w:rFonts w:hint="eastAsia"/>
                <w:sz w:val="18"/>
                <w:szCs w:val="18"/>
                <w:lang w:val="en-US" w:eastAsia="zh-CN"/>
              </w:rPr>
              <w:t>3.</w:t>
            </w:r>
            <w:r>
              <w:rPr>
                <w:sz w:val="18"/>
                <w:szCs w:val="18"/>
              </w:rPr>
              <w:t>医嘱与处方业务</w:t>
            </w:r>
          </w:p>
          <w:p>
            <w:pPr>
              <w:pStyle w:val="4"/>
              <w:rPr>
                <w:sz w:val="18"/>
                <w:szCs w:val="18"/>
              </w:rPr>
            </w:pPr>
            <w:r>
              <w:rPr>
                <w:rFonts w:hint="eastAsia"/>
                <w:sz w:val="18"/>
                <w:szCs w:val="18"/>
                <w:lang w:val="en-US" w:eastAsia="zh-CN"/>
              </w:rPr>
              <w:t>4.</w:t>
            </w:r>
            <w:r>
              <w:rPr>
                <w:sz w:val="18"/>
                <w:szCs w:val="18"/>
              </w:rPr>
              <w:t>库存与药品辅助</w:t>
            </w:r>
          </w:p>
          <w:p>
            <w:pPr>
              <w:pStyle w:val="4"/>
              <w:rPr>
                <w:sz w:val="18"/>
                <w:szCs w:val="18"/>
              </w:rPr>
            </w:pPr>
            <w:r>
              <w:rPr>
                <w:rFonts w:hint="eastAsia"/>
                <w:sz w:val="18"/>
                <w:szCs w:val="18"/>
                <w:lang w:val="en-US" w:eastAsia="zh-CN"/>
              </w:rPr>
              <w:t>5.</w:t>
            </w:r>
            <w:r>
              <w:rPr>
                <w:sz w:val="18"/>
                <w:szCs w:val="18"/>
              </w:rPr>
              <w:t>医保与收费管控</w:t>
            </w:r>
          </w:p>
          <w:p>
            <w:pPr>
              <w:pStyle w:val="4"/>
              <w:rPr>
                <w:sz w:val="18"/>
                <w:szCs w:val="18"/>
              </w:rPr>
            </w:pPr>
            <w:r>
              <w:rPr>
                <w:rFonts w:hint="eastAsia"/>
                <w:sz w:val="18"/>
                <w:szCs w:val="18"/>
                <w:lang w:val="en-US" w:eastAsia="zh-CN"/>
              </w:rPr>
              <w:t>6.</w:t>
            </w:r>
            <w:r>
              <w:rPr>
                <w:sz w:val="18"/>
                <w:szCs w:val="18"/>
              </w:rPr>
              <w:t>诊疗追溯与退费</w:t>
            </w:r>
          </w:p>
          <w:p>
            <w:pPr>
              <w:pStyle w:val="4"/>
              <w:rPr>
                <w:sz w:val="18"/>
                <w:szCs w:val="18"/>
              </w:rPr>
            </w:pPr>
            <w:r>
              <w:rPr>
                <w:rFonts w:hint="eastAsia"/>
                <w:sz w:val="18"/>
                <w:szCs w:val="18"/>
                <w:lang w:val="en-US" w:eastAsia="zh-CN"/>
              </w:rPr>
              <w:t>7.</w:t>
            </w:r>
            <w:r>
              <w:rPr>
                <w:sz w:val="18"/>
                <w:szCs w:val="18"/>
              </w:rPr>
              <w:t>临床辅助与综合集成</w:t>
            </w:r>
          </w:p>
          <w:p>
            <w:pPr>
              <w:pStyle w:val="4"/>
              <w:rPr>
                <w:sz w:val="18"/>
                <w:szCs w:val="18"/>
              </w:rPr>
            </w:pPr>
            <w:r>
              <w:rPr>
                <w:rFonts w:hint="eastAsia"/>
                <w:sz w:val="18"/>
                <w:szCs w:val="18"/>
                <w:lang w:val="en-US" w:eastAsia="zh-CN"/>
              </w:rPr>
              <w:t>8.</w:t>
            </w:r>
            <w:r>
              <w:rPr>
                <w:sz w:val="18"/>
                <w:szCs w:val="18"/>
              </w:rPr>
              <w:t>报表与行政管理</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925" w:type="dxa"/>
            <w:noWrap w:val="0"/>
            <w:vAlign w:val="center"/>
          </w:tcPr>
          <w:p>
            <w:pPr>
              <w:widowControl/>
              <w:jc w:val="center"/>
              <w:textAlignment w:val="center"/>
              <w:rPr>
                <w:sz w:val="18"/>
                <w:szCs w:val="18"/>
              </w:rPr>
            </w:pPr>
            <w:r>
              <w:rPr>
                <w:rFonts w:hint="eastAsia"/>
                <w:sz w:val="18"/>
                <w:szCs w:val="18"/>
              </w:rPr>
              <w:t>住院医生工作站</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患者管理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医嘱管理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费用管理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检验检查管理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病历与处方管理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医疗小组与手术管理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统计分析</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925" w:type="dxa"/>
            <w:noWrap w:val="0"/>
            <w:vAlign w:val="center"/>
          </w:tcPr>
          <w:p>
            <w:pPr>
              <w:widowControl/>
              <w:jc w:val="center"/>
              <w:textAlignment w:val="center"/>
              <w:rPr>
                <w:rFonts w:hint="eastAsia"/>
                <w:sz w:val="18"/>
                <w:szCs w:val="18"/>
              </w:rPr>
            </w:pPr>
            <w:r>
              <w:rPr>
                <w:rFonts w:hint="eastAsia"/>
                <w:sz w:val="18"/>
                <w:szCs w:val="18"/>
              </w:rPr>
              <w:t>门诊护士工作站</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患者管理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输液及治疗管理</w:t>
            </w:r>
          </w:p>
          <w:p>
            <w:pPr>
              <w:pStyle w:val="4"/>
              <w:numPr>
                <w:ilvl w:val="0"/>
                <w:numId w:val="0"/>
              </w:numPr>
              <w:ind w:right="0" w:rightChars="0"/>
              <w:jc w:val="both"/>
              <w:rPr>
                <w:sz w:val="18"/>
                <w:szCs w:val="18"/>
              </w:rPr>
            </w:pPr>
            <w:r>
              <w:rPr>
                <w:rFonts w:hint="eastAsia" w:ascii="Calibri" w:hAnsi="Calibri" w:eastAsia="仿宋" w:cs="Times New Roman"/>
                <w:kern w:val="2"/>
                <w:sz w:val="18"/>
                <w:szCs w:val="18"/>
                <w:lang w:val="en-US" w:eastAsia="zh-CN" w:bidi="ar-SA"/>
              </w:rPr>
              <w:t>3．</w:t>
            </w:r>
            <w:r>
              <w:rPr>
                <w:sz w:val="18"/>
                <w:szCs w:val="18"/>
              </w:rPr>
              <w:t>皮试管理</w:t>
            </w:r>
          </w:p>
          <w:p>
            <w:pPr>
              <w:pStyle w:val="4"/>
              <w:numPr>
                <w:ilvl w:val="0"/>
                <w:numId w:val="0"/>
              </w:numPr>
              <w:ind w:right="0" w:rightChars="0"/>
              <w:jc w:val="both"/>
              <w:rPr>
                <w:sz w:val="18"/>
                <w:szCs w:val="18"/>
              </w:rPr>
            </w:pPr>
            <w:r>
              <w:rPr>
                <w:rFonts w:hint="eastAsia" w:ascii="Calibri" w:hAnsi="Calibri" w:eastAsia="仿宋" w:cs="Times New Roman"/>
                <w:kern w:val="2"/>
                <w:sz w:val="18"/>
                <w:szCs w:val="18"/>
                <w:lang w:val="en-US" w:eastAsia="zh-CN" w:bidi="ar-SA"/>
              </w:rPr>
              <w:t>4．</w:t>
            </w:r>
            <w:r>
              <w:rPr>
                <w:sz w:val="18"/>
                <w:szCs w:val="18"/>
              </w:rPr>
              <w:t>费用管理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医嘱与集成应用</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单据打印管理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统计与评价</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925" w:type="dxa"/>
            <w:noWrap w:val="0"/>
            <w:vAlign w:val="center"/>
          </w:tcPr>
          <w:p>
            <w:pPr>
              <w:widowControl/>
              <w:jc w:val="center"/>
              <w:textAlignment w:val="center"/>
              <w:rPr>
                <w:rFonts w:hint="eastAsia"/>
                <w:sz w:val="18"/>
                <w:szCs w:val="18"/>
              </w:rPr>
            </w:pPr>
            <w:r>
              <w:rPr>
                <w:sz w:val="18"/>
                <w:szCs w:val="18"/>
              </w:rPr>
              <w:t>住院护士工作站</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患者管理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入出转管理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医嘱管理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费用管理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检查检验管理</w:t>
            </w:r>
          </w:p>
          <w:p>
            <w:pPr>
              <w:rPr>
                <w:sz w:val="18"/>
                <w:szCs w:val="18"/>
              </w:rPr>
            </w:pPr>
            <w:r>
              <w:rPr>
                <w:rFonts w:hint="eastAsia" w:ascii="Calibri" w:hAnsi="Calibri" w:eastAsia="仿宋" w:cs="Times New Roman"/>
                <w:kern w:val="2"/>
                <w:sz w:val="18"/>
                <w:szCs w:val="18"/>
                <w:lang w:val="en-US" w:eastAsia="zh-CN" w:bidi="ar-SA"/>
              </w:rPr>
              <w:t>6</w:t>
            </w:r>
            <w:r>
              <w:rPr>
                <w:rFonts w:hint="eastAsia" w:ascii="Times New Roman" w:hAnsi="Times New Roman" w:eastAsia="宋体" w:cs="Times New Roman"/>
                <w:b/>
                <w:bCs/>
                <w:kern w:val="2"/>
                <w:sz w:val="18"/>
                <w:szCs w:val="18"/>
                <w:lang w:val="en-US" w:eastAsia="zh-CN" w:bidi="ar-SA"/>
              </w:rPr>
              <w:t>．</w:t>
            </w:r>
            <w:r>
              <w:rPr>
                <w:rFonts w:ascii="Times New Roman" w:hAnsi="Times New Roman" w:eastAsia="宋体" w:cs="Times New Roman"/>
                <w:b/>
                <w:bCs/>
                <w:kern w:val="2"/>
                <w:sz w:val="18"/>
                <w:szCs w:val="18"/>
                <w:lang w:val="en-US" w:eastAsia="zh-CN" w:bidi="ar-SA"/>
              </w:rPr>
              <w:t>药事管理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电子病历集成</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925" w:type="dxa"/>
            <w:noWrap w:val="0"/>
            <w:vAlign w:val="center"/>
          </w:tcPr>
          <w:p>
            <w:pPr>
              <w:pStyle w:val="3"/>
              <w:numPr>
                <w:ilvl w:val="0"/>
                <w:numId w:val="0"/>
              </w:numPr>
              <w:ind w:right="0" w:rightChars="0"/>
              <w:rPr>
                <w:b w:val="0"/>
                <w:bCs w:val="0"/>
                <w:sz w:val="18"/>
                <w:szCs w:val="18"/>
              </w:rPr>
            </w:pPr>
            <w:r>
              <w:rPr>
                <w:b w:val="0"/>
                <w:bCs w:val="0"/>
                <w:sz w:val="18"/>
                <w:szCs w:val="18"/>
              </w:rPr>
              <w:t>医护交接班管理系统</w:t>
            </w:r>
          </w:p>
          <w:p>
            <w:pPr>
              <w:widowControl/>
              <w:jc w:val="center"/>
              <w:textAlignment w:val="center"/>
              <w:rPr>
                <w:rFonts w:hint="eastAsia"/>
                <w:sz w:val="18"/>
                <w:szCs w:val="18"/>
              </w:rPr>
            </w:pP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医生交接班业务管理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护士交接班业务管理</w:t>
            </w:r>
          </w:p>
          <w:p>
            <w:pPr>
              <w:widowControl/>
              <w:jc w:val="both"/>
              <w:textAlignment w:val="center"/>
              <w:rPr>
                <w:sz w:val="18"/>
                <w:szCs w:val="18"/>
              </w:rPr>
            </w:pPr>
            <w:r>
              <w:rPr>
                <w:rFonts w:hint="eastAsia" w:ascii="Calibri" w:hAnsi="Calibri" w:eastAsia="仿宋" w:cs="Times New Roman"/>
                <w:b/>
                <w:bCs/>
                <w:kern w:val="2"/>
                <w:sz w:val="18"/>
                <w:szCs w:val="18"/>
                <w:lang w:val="en-US" w:eastAsia="zh-CN" w:bidi="ar-SA"/>
              </w:rPr>
              <w:t>3．</w:t>
            </w:r>
            <w:r>
              <w:rPr>
                <w:b/>
                <w:bCs/>
                <w:sz w:val="18"/>
                <w:szCs w:val="18"/>
              </w:rPr>
              <w:t>文件与配置管理</w:t>
            </w:r>
          </w:p>
        </w:tc>
        <w:tc>
          <w:tcPr>
            <w:tcW w:w="887" w:type="dxa"/>
            <w:noWrap w:val="0"/>
            <w:vAlign w:val="center"/>
          </w:tcPr>
          <w:p>
            <w:pPr>
              <w:widowControl/>
              <w:jc w:val="center"/>
              <w:textAlignment w:val="center"/>
              <w:rPr>
                <w:rFonts w:hint="eastAsia" w:ascii="宋体" w:hAnsi="宋体" w:cs="宋体"/>
                <w:sz w:val="18"/>
                <w:szCs w:val="18"/>
                <w:lang w:val="en-US" w:eastAsia="zh-CN"/>
              </w:rPr>
            </w:pPr>
          </w:p>
        </w:tc>
        <w:tc>
          <w:tcPr>
            <w:tcW w:w="900" w:type="dxa"/>
            <w:noWrap w:val="0"/>
            <w:vAlign w:val="center"/>
          </w:tcPr>
          <w:p>
            <w:pPr>
              <w:widowControl/>
              <w:jc w:val="center"/>
              <w:textAlignment w:val="center"/>
              <w:rPr>
                <w:rFonts w:hint="eastAsia" w:ascii="宋体" w:hAnsi="宋体" w:cs="宋体"/>
                <w:sz w:val="18"/>
                <w:szCs w:val="18"/>
                <w:lang w:val="en-US" w:eastAsia="zh-CN"/>
              </w:rPr>
            </w:pP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925" w:type="dxa"/>
            <w:noWrap w:val="0"/>
            <w:vAlign w:val="center"/>
          </w:tcPr>
          <w:p>
            <w:pPr>
              <w:widowControl/>
              <w:jc w:val="center"/>
              <w:textAlignment w:val="center"/>
              <w:rPr>
                <w:sz w:val="18"/>
                <w:szCs w:val="18"/>
              </w:rPr>
            </w:pPr>
            <w:r>
              <w:rPr>
                <w:rFonts w:hint="eastAsia"/>
                <w:sz w:val="18"/>
                <w:szCs w:val="18"/>
              </w:rPr>
              <w:t>门诊电子病历系统</w:t>
            </w:r>
          </w:p>
        </w:tc>
        <w:tc>
          <w:tcPr>
            <w:tcW w:w="3364" w:type="dxa"/>
            <w:noWrap w:val="0"/>
            <w:vAlign w:val="center"/>
          </w:tcPr>
          <w:p>
            <w:pPr>
              <w:rPr>
                <w:rFonts w:ascii="Times New Roman" w:hAnsi="Times New Roman" w:eastAsia="宋体" w:cs="Times New Roman"/>
                <w:b/>
                <w:bCs/>
                <w:kern w:val="2"/>
                <w:sz w:val="18"/>
                <w:szCs w:val="18"/>
                <w:lang w:val="en-US" w:eastAsia="zh-CN" w:bidi="ar-SA"/>
              </w:rPr>
            </w:pPr>
            <w:r>
              <w:rPr>
                <w:rFonts w:hint="eastAsia" w:ascii="Calibri" w:hAnsi="Calibri" w:eastAsia="仿宋" w:cs="Times New Roman"/>
                <w:kern w:val="2"/>
                <w:sz w:val="18"/>
                <w:szCs w:val="18"/>
                <w:lang w:val="en-US" w:eastAsia="zh-CN" w:bidi="ar-SA"/>
              </w:rPr>
              <w:t>1．</w:t>
            </w:r>
            <w:r>
              <w:rPr>
                <w:rFonts w:ascii="Times New Roman" w:hAnsi="Times New Roman" w:eastAsia="宋体" w:cs="Times New Roman"/>
                <w:b/>
                <w:bCs/>
                <w:kern w:val="2"/>
                <w:sz w:val="18"/>
                <w:szCs w:val="18"/>
                <w:lang w:val="en-US" w:eastAsia="zh-CN" w:bidi="ar-SA"/>
              </w:rPr>
              <w:t>病历元素管理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病历段落与组织管理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病历模板管理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病历书写与智能辅助</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编辑器核心与格式控制</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医疗质量与合规管理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数据集成与打印管理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8．</w:t>
            </w:r>
            <w:r>
              <w:rPr>
                <w:sz w:val="18"/>
                <w:szCs w:val="18"/>
              </w:rPr>
              <w:t>门诊专用与系统配置</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925" w:type="dxa"/>
            <w:noWrap w:val="0"/>
            <w:vAlign w:val="center"/>
          </w:tcPr>
          <w:p>
            <w:pPr>
              <w:widowControl/>
              <w:jc w:val="center"/>
              <w:textAlignment w:val="center"/>
              <w:rPr>
                <w:rFonts w:hint="eastAsia"/>
                <w:sz w:val="18"/>
                <w:szCs w:val="18"/>
              </w:rPr>
            </w:pPr>
            <w:r>
              <w:rPr>
                <w:rFonts w:hint="eastAsia"/>
                <w:sz w:val="18"/>
                <w:szCs w:val="18"/>
              </w:rPr>
              <w:t>住院电子病历系统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病历元素管理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病历模板与范文管理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病历编辑与书写</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病历管理与质控</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打印与综合查询</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系统配置管理</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925" w:type="dxa"/>
            <w:noWrap w:val="0"/>
            <w:vAlign w:val="center"/>
          </w:tcPr>
          <w:p>
            <w:pPr>
              <w:widowControl/>
              <w:jc w:val="center"/>
              <w:textAlignment w:val="center"/>
              <w:rPr>
                <w:rFonts w:hint="eastAsia"/>
                <w:sz w:val="18"/>
                <w:szCs w:val="18"/>
              </w:rPr>
            </w:pPr>
            <w:r>
              <w:rPr>
                <w:sz w:val="18"/>
                <w:szCs w:val="18"/>
              </w:rPr>
              <w:t>病案管理系统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病案首页管理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病案档案管理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病案统计分析</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病案质控评分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病案复印与外部档案</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病案借阅管理</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925" w:type="dxa"/>
            <w:noWrap w:val="0"/>
            <w:vAlign w:val="center"/>
          </w:tcPr>
          <w:p>
            <w:pPr>
              <w:widowControl/>
              <w:jc w:val="center"/>
              <w:textAlignment w:val="center"/>
              <w:rPr>
                <w:sz w:val="18"/>
                <w:szCs w:val="18"/>
              </w:rPr>
            </w:pPr>
            <w:r>
              <w:rPr>
                <w:sz w:val="18"/>
                <w:szCs w:val="18"/>
              </w:rPr>
              <w:t>物资材料管理</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物资库房管理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科室业务管理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财务与综合管理</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925" w:type="dxa"/>
            <w:noWrap w:val="0"/>
            <w:vAlign w:val="center"/>
          </w:tcPr>
          <w:p>
            <w:pPr>
              <w:widowControl/>
              <w:jc w:val="center"/>
              <w:textAlignment w:val="center"/>
              <w:rPr>
                <w:sz w:val="18"/>
                <w:szCs w:val="18"/>
              </w:rPr>
            </w:pPr>
            <w:r>
              <w:rPr>
                <w:rFonts w:hint="eastAsia"/>
                <w:sz w:val="18"/>
                <w:szCs w:val="18"/>
              </w:rPr>
              <w:t>药库管理系统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采购与订货管理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入库与验收管理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出库与退库管理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库存调拨与警戒管理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盘点、养护与质量管理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价格与财务管理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综合查询与单据管理</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925" w:type="dxa"/>
            <w:noWrap w:val="0"/>
            <w:vAlign w:val="center"/>
          </w:tcPr>
          <w:p>
            <w:pPr>
              <w:widowControl/>
              <w:jc w:val="center"/>
              <w:textAlignment w:val="center"/>
              <w:rPr>
                <w:rFonts w:hint="eastAsia"/>
                <w:sz w:val="18"/>
                <w:szCs w:val="18"/>
              </w:rPr>
            </w:pPr>
            <w:r>
              <w:rPr>
                <w:rFonts w:hint="eastAsia"/>
                <w:sz w:val="18"/>
                <w:szCs w:val="18"/>
              </w:rPr>
              <w:t>门诊药房管理系统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药房管理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门诊药房发药</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925" w:type="dxa"/>
            <w:noWrap w:val="0"/>
            <w:vAlign w:val="center"/>
          </w:tcPr>
          <w:p>
            <w:pPr>
              <w:widowControl/>
              <w:jc w:val="center"/>
              <w:textAlignment w:val="center"/>
              <w:rPr>
                <w:rFonts w:hint="eastAsia"/>
                <w:sz w:val="18"/>
                <w:szCs w:val="18"/>
              </w:rPr>
            </w:pPr>
            <w:r>
              <w:rPr>
                <w:sz w:val="18"/>
                <w:szCs w:val="18"/>
              </w:rPr>
              <w:t>住院药房管理系统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药房请领管理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药房入出库管理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药房损益管理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药房盘点管理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药房调拨管理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药房财务与月结管理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库存与养护管理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8．</w:t>
            </w:r>
            <w:r>
              <w:rPr>
                <w:sz w:val="18"/>
                <w:szCs w:val="18"/>
              </w:rPr>
              <w:t>住院发药管理</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925" w:type="dxa"/>
            <w:noWrap w:val="0"/>
            <w:vAlign w:val="center"/>
          </w:tcPr>
          <w:p>
            <w:pPr>
              <w:widowControl/>
              <w:jc w:val="center"/>
              <w:textAlignment w:val="center"/>
              <w:rPr>
                <w:sz w:val="18"/>
                <w:szCs w:val="18"/>
              </w:rPr>
            </w:pPr>
            <w:r>
              <w:rPr>
                <w:sz w:val="18"/>
                <w:szCs w:val="18"/>
              </w:rPr>
              <w:t>静脉用药配置管理系统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基础配置</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配液管理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查询与追踪</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统计报表</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23</w:t>
            </w:r>
          </w:p>
        </w:tc>
        <w:tc>
          <w:tcPr>
            <w:tcW w:w="1925" w:type="dxa"/>
            <w:noWrap w:val="0"/>
            <w:vAlign w:val="center"/>
          </w:tcPr>
          <w:p>
            <w:pPr>
              <w:widowControl/>
              <w:jc w:val="center"/>
              <w:textAlignment w:val="center"/>
              <w:rPr>
                <w:sz w:val="18"/>
                <w:szCs w:val="18"/>
              </w:rPr>
            </w:pPr>
            <w:r>
              <w:rPr>
                <w:rFonts w:hint="eastAsia"/>
                <w:sz w:val="18"/>
                <w:szCs w:val="18"/>
              </w:rPr>
              <w:t>检验信息系统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基础数据维护</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标本采集与管理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检验流程与审核</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特殊业务处理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微生物与抗生素管理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质量控制管理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监控与追溯</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8．</w:t>
            </w:r>
            <w:r>
              <w:rPr>
                <w:sz w:val="18"/>
                <w:szCs w:val="18"/>
              </w:rPr>
              <w:t>统计分析报表</w:t>
            </w:r>
          </w:p>
          <w:p>
            <w:pPr>
              <w:rPr>
                <w:sz w:val="18"/>
                <w:szCs w:val="18"/>
              </w:rPr>
            </w:pP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24</w:t>
            </w:r>
          </w:p>
        </w:tc>
        <w:tc>
          <w:tcPr>
            <w:tcW w:w="1925" w:type="dxa"/>
            <w:noWrap w:val="0"/>
            <w:vAlign w:val="center"/>
          </w:tcPr>
          <w:p>
            <w:pPr>
              <w:widowControl/>
              <w:jc w:val="center"/>
              <w:textAlignment w:val="center"/>
              <w:rPr>
                <w:rFonts w:hint="eastAsia"/>
                <w:sz w:val="18"/>
                <w:szCs w:val="18"/>
              </w:rPr>
            </w:pPr>
            <w:r>
              <w:rPr>
                <w:sz w:val="18"/>
                <w:szCs w:val="18"/>
              </w:rPr>
              <w:t>医学影像存储与传输系统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DICOM基础服务</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图像处理与存储管理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图像传输与交互服务</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系统架构与部署模式</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25</w:t>
            </w:r>
          </w:p>
        </w:tc>
        <w:tc>
          <w:tcPr>
            <w:tcW w:w="1925" w:type="dxa"/>
            <w:noWrap w:val="0"/>
            <w:vAlign w:val="center"/>
          </w:tcPr>
          <w:p>
            <w:pPr>
              <w:widowControl/>
              <w:jc w:val="center"/>
              <w:textAlignment w:val="center"/>
              <w:rPr>
                <w:sz w:val="18"/>
                <w:szCs w:val="18"/>
              </w:rPr>
            </w:pPr>
            <w:r>
              <w:rPr>
                <w:rFonts w:hint="eastAsia"/>
                <w:sz w:val="18"/>
                <w:szCs w:val="18"/>
              </w:rPr>
              <w:t>放射信息系统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基础设置</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检查登记</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检查预约</w:t>
            </w:r>
          </w:p>
          <w:p>
            <w:pPr>
              <w:rPr>
                <w:sz w:val="18"/>
                <w:szCs w:val="18"/>
              </w:rPr>
            </w:pPr>
            <w:r>
              <w:rPr>
                <w:rFonts w:hint="eastAsia" w:ascii="Calibri" w:hAnsi="Calibri" w:eastAsia="仿宋" w:cs="Times New Roman"/>
                <w:kern w:val="2"/>
                <w:sz w:val="18"/>
                <w:szCs w:val="18"/>
                <w:lang w:val="en-US" w:eastAsia="zh-CN" w:bidi="ar-SA"/>
              </w:rPr>
              <w:t>4．</w:t>
            </w:r>
            <w:r>
              <w:rPr>
                <w:sz w:val="18"/>
                <w:szCs w:val="18"/>
              </w:rPr>
              <w:t>检查报告</w:t>
            </w:r>
          </w:p>
          <w:p>
            <w:pPr>
              <w:rPr>
                <w:sz w:val="18"/>
                <w:szCs w:val="18"/>
              </w:rPr>
            </w:pP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图文浏览</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质控管理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统计报表</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26</w:t>
            </w:r>
          </w:p>
        </w:tc>
        <w:tc>
          <w:tcPr>
            <w:tcW w:w="1925" w:type="dxa"/>
            <w:noWrap w:val="0"/>
            <w:vAlign w:val="center"/>
          </w:tcPr>
          <w:p>
            <w:pPr>
              <w:widowControl/>
              <w:jc w:val="center"/>
              <w:textAlignment w:val="center"/>
              <w:rPr>
                <w:rFonts w:hint="eastAsia"/>
                <w:sz w:val="18"/>
                <w:szCs w:val="18"/>
              </w:rPr>
            </w:pPr>
            <w:r>
              <w:rPr>
                <w:rFonts w:hint="eastAsia"/>
                <w:sz w:val="18"/>
                <w:szCs w:val="18"/>
              </w:rPr>
              <w:t>超声信息系统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检查登记</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检查预约</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检查报告</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报告浏览</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设备排班管理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质控管理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影像模板管理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8．</w:t>
            </w:r>
            <w:r>
              <w:rPr>
                <w:sz w:val="18"/>
                <w:szCs w:val="18"/>
              </w:rPr>
              <w:t>检查设备管理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9．</w:t>
            </w:r>
            <w:r>
              <w:rPr>
                <w:sz w:val="18"/>
                <w:szCs w:val="18"/>
              </w:rPr>
              <w:t>统计报表</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27</w:t>
            </w:r>
          </w:p>
        </w:tc>
        <w:tc>
          <w:tcPr>
            <w:tcW w:w="1925" w:type="dxa"/>
            <w:noWrap w:val="0"/>
            <w:vAlign w:val="center"/>
          </w:tcPr>
          <w:p>
            <w:pPr>
              <w:widowControl/>
              <w:jc w:val="center"/>
              <w:textAlignment w:val="center"/>
              <w:rPr>
                <w:rFonts w:hint="eastAsia"/>
                <w:sz w:val="18"/>
                <w:szCs w:val="18"/>
              </w:rPr>
            </w:pPr>
            <w:r>
              <w:rPr>
                <w:sz w:val="18"/>
                <w:szCs w:val="18"/>
              </w:rPr>
              <w:t>掌上医院系统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门户与交互中心</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预约挂号与导诊服务</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门诊费用与结算管理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住院流程服务</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医疗报告与档案管理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用户与就诊人中心</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院后与增值服务</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8．</w:t>
            </w:r>
            <w:r>
              <w:rPr>
                <w:sz w:val="18"/>
                <w:szCs w:val="18"/>
              </w:rPr>
              <w:t>排队叫号与通知推送</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28</w:t>
            </w:r>
          </w:p>
        </w:tc>
        <w:tc>
          <w:tcPr>
            <w:tcW w:w="1925" w:type="dxa"/>
            <w:noWrap w:val="0"/>
            <w:vAlign w:val="center"/>
          </w:tcPr>
          <w:p>
            <w:pPr>
              <w:widowControl/>
              <w:jc w:val="center"/>
              <w:textAlignment w:val="center"/>
              <w:rPr>
                <w:sz w:val="18"/>
                <w:szCs w:val="18"/>
              </w:rPr>
            </w:pPr>
            <w:r>
              <w:rPr>
                <w:rFonts w:hint="eastAsia"/>
                <w:sz w:val="18"/>
                <w:szCs w:val="18"/>
              </w:rPr>
              <w:t>会员管理系统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rFonts w:hint="eastAsia" w:ascii="宋体" w:hAnsi="宋体" w:eastAsia="宋体" w:cs="宋体"/>
                <w:bCs/>
                <w:color w:val="000000"/>
                <w:kern w:val="0"/>
                <w:sz w:val="18"/>
                <w:szCs w:val="18"/>
                <w:lang w:val="en-US" w:eastAsia="zh-CN" w:bidi="ar"/>
              </w:rPr>
              <w:t>会员基础</w:t>
            </w:r>
            <w:r>
              <w:rPr>
                <w:sz w:val="18"/>
                <w:szCs w:val="18"/>
              </w:rPr>
              <w:t>设置</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rFonts w:hint="eastAsia"/>
                <w:sz w:val="18"/>
                <w:szCs w:val="18"/>
                <w:lang w:val="en-US" w:eastAsia="zh-CN"/>
              </w:rPr>
              <w:t>会员规则应用设置</w:t>
            </w:r>
          </w:p>
          <w:p>
            <w:pPr>
              <w:widowControl/>
              <w:jc w:val="both"/>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29</w:t>
            </w:r>
          </w:p>
        </w:tc>
        <w:tc>
          <w:tcPr>
            <w:tcW w:w="1925" w:type="dxa"/>
            <w:noWrap w:val="0"/>
            <w:vAlign w:val="center"/>
          </w:tcPr>
          <w:p>
            <w:pPr>
              <w:widowControl/>
              <w:jc w:val="center"/>
              <w:textAlignment w:val="center"/>
              <w:rPr>
                <w:rFonts w:hint="eastAsia"/>
                <w:sz w:val="18"/>
                <w:szCs w:val="18"/>
              </w:rPr>
            </w:pPr>
            <w:r>
              <w:rPr>
                <w:rFonts w:hint="eastAsia"/>
                <w:sz w:val="18"/>
                <w:szCs w:val="18"/>
              </w:rPr>
              <w:t>危急值管理系统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基础数据设置</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检验科室端业务处理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临床医生端业务处理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消息推送管理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综合查询与统计分析</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30</w:t>
            </w:r>
          </w:p>
        </w:tc>
        <w:tc>
          <w:tcPr>
            <w:tcW w:w="1925" w:type="dxa"/>
            <w:noWrap w:val="0"/>
            <w:vAlign w:val="center"/>
          </w:tcPr>
          <w:p>
            <w:pPr>
              <w:widowControl/>
              <w:jc w:val="center"/>
              <w:textAlignment w:val="center"/>
              <w:rPr>
                <w:rFonts w:hint="eastAsia"/>
                <w:sz w:val="18"/>
                <w:szCs w:val="18"/>
              </w:rPr>
            </w:pPr>
            <w:r>
              <w:rPr>
                <w:sz w:val="18"/>
                <w:szCs w:val="18"/>
              </w:rPr>
              <w:t>报告卡管理系统</w:t>
            </w:r>
          </w:p>
        </w:tc>
        <w:tc>
          <w:tcPr>
            <w:tcW w:w="3364" w:type="dxa"/>
            <w:noWrap w:val="0"/>
            <w:vAlign w:val="center"/>
          </w:tcPr>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1．</w:t>
            </w:r>
            <w:r>
              <w:rPr>
                <w:sz w:val="18"/>
                <w:szCs w:val="18"/>
              </w:rPr>
              <w:t>医疗事故报告管理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2．</w:t>
            </w:r>
            <w:r>
              <w:rPr>
                <w:sz w:val="18"/>
                <w:szCs w:val="18"/>
              </w:rPr>
              <w:t>食源性疾病监测</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3．</w:t>
            </w:r>
            <w:r>
              <w:rPr>
                <w:sz w:val="18"/>
                <w:szCs w:val="18"/>
              </w:rPr>
              <w:t>死亡证明管理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4．</w:t>
            </w:r>
            <w:r>
              <w:rPr>
                <w:sz w:val="18"/>
                <w:szCs w:val="18"/>
              </w:rPr>
              <w:t>精神卫生管理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5．</w:t>
            </w:r>
            <w:r>
              <w:rPr>
                <w:sz w:val="18"/>
                <w:szCs w:val="18"/>
              </w:rPr>
              <w:t>肿瘤病例管理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6．</w:t>
            </w:r>
            <w:r>
              <w:rPr>
                <w:sz w:val="18"/>
                <w:szCs w:val="18"/>
              </w:rPr>
              <w:t>伤害监测管理</w:t>
            </w:r>
          </w:p>
          <w:p>
            <w:pPr>
              <w:pStyle w:val="4"/>
              <w:numPr>
                <w:ilvl w:val="0"/>
                <w:numId w:val="0"/>
              </w:numPr>
              <w:ind w:right="0" w:rightChars="0"/>
              <w:rPr>
                <w:sz w:val="18"/>
                <w:szCs w:val="18"/>
              </w:rPr>
            </w:pPr>
            <w:r>
              <w:rPr>
                <w:rFonts w:hint="eastAsia" w:ascii="Calibri" w:hAnsi="Calibri" w:eastAsia="仿宋" w:cs="Times New Roman"/>
                <w:kern w:val="2"/>
                <w:sz w:val="18"/>
                <w:szCs w:val="18"/>
                <w:lang w:val="en-US" w:eastAsia="zh-CN" w:bidi="ar-SA"/>
              </w:rPr>
              <w:t>7．</w:t>
            </w:r>
            <w:r>
              <w:rPr>
                <w:sz w:val="18"/>
                <w:szCs w:val="18"/>
              </w:rPr>
              <w:t>未成年人保护管理</w:t>
            </w:r>
          </w:p>
          <w:p>
            <w:pPr>
              <w:widowControl/>
              <w:jc w:val="center"/>
              <w:textAlignment w:val="center"/>
              <w:rPr>
                <w:sz w:val="18"/>
                <w:szCs w:val="18"/>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925" w:type="dxa"/>
            <w:noWrap w:val="0"/>
            <w:vAlign w:val="center"/>
          </w:tcPr>
          <w:p>
            <w:pPr>
              <w:widowControl/>
              <w:jc w:val="center"/>
              <w:textAlignment w:val="center"/>
              <w:rPr>
                <w:sz w:val="18"/>
                <w:szCs w:val="18"/>
              </w:rPr>
            </w:pPr>
            <w:r>
              <w:rPr>
                <w:rFonts w:hint="eastAsia"/>
                <w:sz w:val="18"/>
                <w:szCs w:val="18"/>
              </w:rPr>
              <w:t>DRG医保管家</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r>
              <w:rPr>
                <w:rFonts w:hint="eastAsia" w:ascii="宋体" w:hAnsi="宋体" w:eastAsia="宋体" w:cs="宋体"/>
                <w:sz w:val="18"/>
                <w:szCs w:val="18"/>
                <w:lang w:val="en-US" w:eastAsia="zh-CN"/>
              </w:rPr>
              <w:t>医生助手DRG主页</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2．医生助手院内通讯平台</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3．医保管家后台首页</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925" w:type="dxa"/>
            <w:noWrap w:val="0"/>
            <w:vAlign w:val="center"/>
          </w:tcPr>
          <w:p>
            <w:pPr>
              <w:widowControl/>
              <w:jc w:val="center"/>
              <w:textAlignment w:val="center"/>
              <w:rPr>
                <w:rFonts w:hint="eastAsia"/>
                <w:sz w:val="18"/>
                <w:szCs w:val="18"/>
              </w:rPr>
            </w:pPr>
            <w:r>
              <w:rPr>
                <w:rFonts w:hint="eastAsia"/>
                <w:sz w:val="18"/>
                <w:szCs w:val="18"/>
                <w:lang w:val="en-US" w:eastAsia="zh-CN"/>
              </w:rPr>
              <w:t>固定资产管理系统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1．固定资产基础信息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2．医院固定资产录入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3．固定资产领用单</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4．固定资产转移单</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5．固定资产报废单</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925" w:type="dxa"/>
            <w:noWrap w:val="0"/>
            <w:vAlign w:val="center"/>
          </w:tcPr>
          <w:p>
            <w:pPr>
              <w:widowControl/>
              <w:jc w:val="center"/>
              <w:textAlignment w:val="center"/>
              <w:rPr>
                <w:rFonts w:hint="eastAsia"/>
                <w:sz w:val="18"/>
                <w:szCs w:val="18"/>
                <w:lang w:val="en-US" w:eastAsia="zh-CN"/>
              </w:rPr>
            </w:pPr>
            <w:r>
              <w:rPr>
                <w:rFonts w:hint="default"/>
                <w:sz w:val="18"/>
                <w:szCs w:val="18"/>
                <w:lang w:val="en-US" w:eastAsia="zh-CN"/>
              </w:rPr>
              <w:t>门急诊病案首页管理</w:t>
            </w:r>
            <w:r>
              <w:rPr>
                <w:rFonts w:hint="eastAsia"/>
                <w:sz w:val="18"/>
                <w:szCs w:val="18"/>
                <w:lang w:val="en-US" w:eastAsia="zh-CN"/>
              </w:rPr>
              <w:t>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1．病案首页查询</w:t>
            </w:r>
          </w:p>
          <w:p>
            <w:pPr>
              <w:pStyle w:val="4"/>
              <w:numPr>
                <w:ilvl w:val="0"/>
                <w:numId w:val="0"/>
              </w:numPr>
              <w:ind w:right="0" w:rightChars="0"/>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2．病案</w:t>
            </w:r>
            <w:r>
              <w:rPr>
                <w:rFonts w:hint="eastAsia" w:ascii="宋体" w:hAnsi="宋体" w:eastAsia="宋体" w:cs="宋体"/>
                <w:sz w:val="18"/>
                <w:szCs w:val="18"/>
                <w:lang w:val="en-US" w:eastAsia="zh-CN"/>
              </w:rPr>
              <w:t>首页审核/取消审核</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3．病案首页归档/取消归</w:t>
            </w:r>
            <w:r>
              <w:rPr>
                <w:rFonts w:hint="eastAsia" w:ascii="宋体" w:hAnsi="宋体" w:eastAsia="宋体" w:cs="宋体"/>
                <w:kern w:val="2"/>
                <w:sz w:val="18"/>
                <w:szCs w:val="18"/>
                <w:lang w:val="en-US" w:eastAsia="zh-CN" w:bidi="ar-SA"/>
              </w:rPr>
              <w:t>档</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4．病案首页编辑</w:t>
            </w:r>
          </w:p>
        </w:tc>
        <w:tc>
          <w:tcPr>
            <w:tcW w:w="887" w:type="dxa"/>
            <w:noWrap w:val="0"/>
            <w:vAlign w:val="center"/>
          </w:tcPr>
          <w:p>
            <w:pPr>
              <w:widowControl/>
              <w:jc w:val="center"/>
              <w:textAlignment w:val="center"/>
              <w:rPr>
                <w:rFonts w:hint="eastAsia" w:ascii="宋体" w:hAnsi="宋体" w:cs="宋体"/>
                <w:sz w:val="18"/>
                <w:szCs w:val="18"/>
              </w:rPr>
            </w:pPr>
          </w:p>
        </w:tc>
        <w:tc>
          <w:tcPr>
            <w:tcW w:w="900" w:type="dxa"/>
            <w:noWrap w:val="0"/>
            <w:vAlign w:val="center"/>
          </w:tcPr>
          <w:p>
            <w:pPr>
              <w:widowControl/>
              <w:jc w:val="center"/>
              <w:textAlignment w:val="center"/>
              <w:rPr>
                <w:rFonts w:hint="eastAsia" w:ascii="宋体" w:hAnsi="宋体" w:cs="宋体"/>
                <w:sz w:val="18"/>
                <w:szCs w:val="18"/>
              </w:rPr>
            </w:pP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合理用药</w:t>
            </w:r>
            <w:r>
              <w:rPr>
                <w:rFonts w:hint="eastAsia"/>
                <w:sz w:val="18"/>
                <w:szCs w:val="18"/>
                <w:lang w:val="en-US" w:eastAsia="zh-CN"/>
              </w:rPr>
              <w:t>管理系统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1．基础知识库说明书查询</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2．基础审查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3．中药审查</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药师审方管理系统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1．待审门诊处方</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2．已完结门诊处方任务列表</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3．待审住院医嘱</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4．已完结住院医嘱任务列表</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5．新审方任务提示</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36</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医院质量监测（HQMS）</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1．首页</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查看待办事项。病案首页编辑</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2．对码映射</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将病案首页疾病编码和手术编码与国家ICD10、ICD9进行对码。</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3．数据采集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定时任务采集病案首页数据。</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4．门急诊</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查看待上报患者信息及其门急诊首页相关信息，包括就诊过程信息、患者基本信息、诊疗信息、费用信息等</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5．患者上报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查看待上报患者信息，及其病案首页相关信息，包括基本信息、诊断信息、手术信息、麻醉信息、分娩信息、NICU、重症信息、院内感染、合理用药等信息。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6．上报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查看待上报患者信息及其医嘱信息、费用信息。</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37</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处方点评管理系统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1．常规处方点评</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2．常规点评报告</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3．抗菌药专项点评</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4．抗菌药点评报告</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5．抗菌药围术期使用点评</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38</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手术麻醉系统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1．手术排班</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2．仪器对接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3．监测数据</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4．麻醉数据</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5．手麻病历</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39</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医院感染管理系统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1．病例监测</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2．患者全景图</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3．感染上报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4．风险预警</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40</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体检系统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1．检前预约</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2．报告查询</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3．检前问卷</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4．检前问卷</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41</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医保移动支付</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对接微信移动医保支付接口</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42</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急诊系统</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1．预检分诊</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2．分诊问诊</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3．生命体征</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4．生命体征</w:t>
            </w:r>
          </w:p>
          <w:p>
            <w:pPr>
              <w:pStyle w:val="4"/>
              <w:numPr>
                <w:ilvl w:val="0"/>
                <w:numId w:val="0"/>
              </w:numPr>
              <w:ind w:right="0" w:rightChars="0"/>
              <w:rPr>
                <w:rFonts w:hint="eastAsia" w:ascii="宋体" w:hAnsi="宋体" w:eastAsia="宋体" w:cs="宋体"/>
                <w:kern w:val="2"/>
                <w:sz w:val="18"/>
                <w:szCs w:val="18"/>
                <w:lang w:val="en-US" w:eastAsia="zh-CN" w:bidi="ar-SA"/>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43</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微信&amp;支付宝支付（含扫码刷卡条形码）</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1．支付方式设定</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2．微信扫码支付</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3．支付宝扫码</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44</w:t>
            </w:r>
          </w:p>
        </w:tc>
        <w:tc>
          <w:tcPr>
            <w:tcW w:w="1925" w:type="dxa"/>
            <w:noWrap w:val="0"/>
            <w:vAlign w:val="center"/>
          </w:tcPr>
          <w:p>
            <w:pPr>
              <w:widowControl/>
              <w:jc w:val="center"/>
              <w:textAlignment w:val="center"/>
              <w:rPr>
                <w:rFonts w:hint="default"/>
                <w:sz w:val="18"/>
                <w:szCs w:val="18"/>
                <w:lang w:val="en-US" w:eastAsia="zh-CN"/>
              </w:rPr>
            </w:pPr>
            <w:r>
              <w:rPr>
                <w:rFonts w:hint="default"/>
                <w:sz w:val="18"/>
                <w:szCs w:val="18"/>
                <w:lang w:val="en-US" w:eastAsia="zh-CN"/>
              </w:rPr>
              <w:t>覃塘区紧密型医共体信息化建设</w:t>
            </w:r>
          </w:p>
        </w:tc>
        <w:tc>
          <w:tcPr>
            <w:tcW w:w="3364" w:type="dxa"/>
            <w:noWrap w:val="0"/>
            <w:vAlign w:val="center"/>
          </w:tcPr>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1.1.医共体基础管理系统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（1）统一注册服务</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（2）平台标准与主数据管理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（3）平台安全与审计</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（4）平台运维监控</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2．医共体统一门户与单点登录系统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（1）统一身份认证</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2）统一门户与工作台</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（3）统一应用入口</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（4）统一访问与会话管理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（5）后台管理与审计</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3．临床数据库</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4．医共体临床数据中心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（1）监控大屏</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（2）CDR数据模型-门急诊信息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（3）CDR数据模型-患者过程信息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（4）CDR数据模型-电子病历与病案</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5．医共体运营数据中心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（1）核心运营数据域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（2）医疗服务数据域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（3）资源与财务数据域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（4）质量与公卫数据域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（5）医共体协同业务数据域</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6．区域远程影像诊断中心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（1）影像采集与接入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（2）影像调阅与处理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（3）远程诊断工作流</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（4）平台支撑与管理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7．区域远程临床检验中心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（1）区域检验申请与标本管理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（2）中心实验室接收与处理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（3）报告审核与结果分发</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8．区域双向转诊协同平台</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（1）转诊申请与发起</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（2）转诊接收与处理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（3）转诊业务统计分析</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9．区域消毒供应中心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（1）消毒供应中心工作台</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①待办统计</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②消毒供应管理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（2）包追溯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①包追溯</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（3）消毒包管理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①消毒包管理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（4）设备管理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①设备与网篮管理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（5）库存管理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①库存管理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（6）值班与效期管理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①值班角色</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②有效期管理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（7）科室/机构业务往来</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①领用申请</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②使用登记</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（8）回收记录</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10．区域审方中心</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（1）门诊审方管理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（2）住院审方管理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（3）审方任务工作流管理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（4）审方统计分析</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（5）西药及化学药审查规则</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（6）中药审查规则</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（7）规则配置与管理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11．区域中心药房</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（1）采购与单据管理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（2）库存监控与价格管理</w:t>
            </w:r>
          </w:p>
          <w:p>
            <w:pPr>
              <w:pStyle w:val="4"/>
              <w:numPr>
                <w:ilvl w:val="0"/>
                <w:numId w:val="0"/>
              </w:numPr>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（3）追溯与平台对接管理</w:t>
            </w: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val="0"/>
            <w:vAlign w:val="center"/>
          </w:tcPr>
          <w:p>
            <w:pPr>
              <w:pStyle w:val="13"/>
              <w:rPr>
                <w:rFonts w:hint="default"/>
                <w:sz w:val="18"/>
                <w:szCs w:val="18"/>
                <w:lang w:val="en-US" w:eastAsia="zh-CN"/>
              </w:rPr>
            </w:pPr>
            <w:r>
              <w:rPr>
                <w:rFonts w:hint="eastAsia"/>
                <w:sz w:val="18"/>
                <w:szCs w:val="18"/>
                <w:lang w:val="en-US" w:eastAsia="zh-CN"/>
              </w:rPr>
              <w:t>45</w:t>
            </w:r>
          </w:p>
        </w:tc>
        <w:tc>
          <w:tcPr>
            <w:tcW w:w="1925" w:type="dxa"/>
            <w:noWrap w:val="0"/>
            <w:vAlign w:val="center"/>
          </w:tcPr>
          <w:p>
            <w:pPr>
              <w:widowControl/>
              <w:jc w:val="center"/>
              <w:textAlignment w:val="center"/>
              <w:rPr>
                <w:rFonts w:hint="default"/>
                <w:sz w:val="18"/>
                <w:szCs w:val="18"/>
                <w:lang w:val="en-US" w:eastAsia="zh-CN"/>
              </w:rPr>
            </w:pPr>
            <w:r>
              <w:rPr>
                <w:rFonts w:hint="eastAsia"/>
                <w:sz w:val="18"/>
                <w:szCs w:val="18"/>
                <w:lang w:val="en-US" w:eastAsia="zh-CN"/>
              </w:rPr>
              <w:t>接口对接</w:t>
            </w:r>
          </w:p>
        </w:tc>
        <w:tc>
          <w:tcPr>
            <w:tcW w:w="3364" w:type="dxa"/>
            <w:noWrap w:val="0"/>
            <w:vAlign w:val="center"/>
          </w:tcPr>
          <w:p>
            <w:pPr>
              <w:rPr>
                <w:rFonts w:hint="default"/>
                <w:sz w:val="18"/>
                <w:szCs w:val="18"/>
                <w:lang w:val="en-US" w:eastAsia="zh-CN"/>
              </w:rPr>
            </w:pPr>
            <w:r>
              <w:rPr>
                <w:rFonts w:hint="default"/>
                <w:sz w:val="18"/>
                <w:szCs w:val="18"/>
                <w:lang w:val="en-US" w:eastAsia="zh-CN"/>
              </w:rPr>
              <w:t>要求实现各系统间的深度融合与数据互通：</w:t>
            </w:r>
          </w:p>
          <w:p>
            <w:pPr>
              <w:rPr>
                <w:rFonts w:hint="default"/>
                <w:sz w:val="18"/>
                <w:szCs w:val="18"/>
                <w:lang w:val="en-US" w:eastAsia="zh-CN"/>
              </w:rPr>
            </w:pPr>
            <w:r>
              <w:rPr>
                <w:rFonts w:hint="default"/>
                <w:sz w:val="18"/>
                <w:szCs w:val="18"/>
                <w:lang w:val="en-US" w:eastAsia="zh-CN"/>
              </w:rPr>
              <w:t>内部集成：负责实现院内HIS、EMR、LIS、PACS等核心业务系统间的标准化接口对接，确保业务流程闭环及临床数据实时共享。</w:t>
            </w:r>
          </w:p>
          <w:p>
            <w:pPr>
              <w:rPr>
                <w:rFonts w:hint="default"/>
                <w:sz w:val="18"/>
                <w:szCs w:val="18"/>
                <w:lang w:val="en-US" w:eastAsia="zh-CN"/>
              </w:rPr>
            </w:pPr>
            <w:r>
              <w:rPr>
                <w:rFonts w:hint="default"/>
                <w:sz w:val="18"/>
                <w:szCs w:val="18"/>
                <w:lang w:val="en-US" w:eastAsia="zh-CN"/>
              </w:rPr>
              <w:t>外部互联：按照卫生行政部门要求，完成与医保结算平台、区域医疗信息平台及卫生监管系统的联通，满足数据上报需求。</w:t>
            </w:r>
          </w:p>
          <w:p>
            <w:pPr>
              <w:rPr>
                <w:rFonts w:hint="eastAsia"/>
                <w:sz w:val="18"/>
                <w:szCs w:val="18"/>
                <w:lang w:val="en-US" w:eastAsia="zh-CN"/>
              </w:rPr>
            </w:pPr>
          </w:p>
        </w:tc>
        <w:tc>
          <w:tcPr>
            <w:tcW w:w="887"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1</w:t>
            </w:r>
          </w:p>
        </w:tc>
        <w:tc>
          <w:tcPr>
            <w:tcW w:w="900" w:type="dxa"/>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lang w:val="en-US" w:eastAsia="zh-CN"/>
              </w:rPr>
              <w:t>项</w:t>
            </w:r>
          </w:p>
        </w:tc>
        <w:tc>
          <w:tcPr>
            <w:tcW w:w="814" w:type="dxa"/>
            <w:noWrap w:val="0"/>
            <w:vAlign w:val="center"/>
          </w:tcPr>
          <w:p>
            <w:pPr>
              <w:widowControl/>
              <w:jc w:val="center"/>
              <w:textAlignment w:val="center"/>
              <w:rPr>
                <w:rFonts w:hint="eastAsia" w:ascii="宋体" w:hAnsi="宋体" w:cs="宋体"/>
                <w:sz w:val="18"/>
                <w:szCs w:val="18"/>
              </w:rPr>
            </w:pPr>
          </w:p>
        </w:tc>
      </w:tr>
    </w:tbl>
    <w:p>
      <w:pPr>
        <w:pStyle w:val="13"/>
        <w:rPr>
          <w:rFonts w:hint="eastAsia"/>
        </w:rPr>
      </w:pPr>
    </w:p>
    <w:p>
      <w:pPr>
        <w:tabs>
          <w:tab w:val="left" w:pos="180"/>
          <w:tab w:val="left" w:pos="1620"/>
        </w:tabs>
        <w:spacing w:line="420" w:lineRule="exact"/>
        <w:ind w:firstLine="482" w:firstLineChars="200"/>
        <w:rPr>
          <w:rFonts w:hint="eastAsia" w:ascii="宋体" w:hAnsi="宋体" w:cs="宋体"/>
          <w:b/>
          <w:bCs/>
          <w:sz w:val="24"/>
        </w:rPr>
      </w:pPr>
      <w:r>
        <w:rPr>
          <w:rFonts w:hint="eastAsia" w:ascii="仿宋" w:hAnsi="仿宋" w:eastAsia="仿宋" w:cs="仿宋"/>
          <w:b/>
          <w:bCs/>
          <w:sz w:val="24"/>
        </w:rPr>
        <w:t>▲</w:t>
      </w:r>
      <w:r>
        <w:rPr>
          <w:rFonts w:hint="eastAsia" w:ascii="宋体" w:hAnsi="宋体" w:cs="宋体"/>
          <w:b/>
          <w:bCs/>
          <w:sz w:val="24"/>
        </w:rPr>
        <w:t>二、商务条款</w:t>
      </w:r>
    </w:p>
    <w:tbl>
      <w:tblPr>
        <w:tblStyle w:val="2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548"/>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一</w:t>
            </w:r>
          </w:p>
        </w:tc>
        <w:tc>
          <w:tcPr>
            <w:tcW w:w="866" w:type="pct"/>
            <w:noWrap w:val="0"/>
            <w:vAlign w:val="center"/>
          </w:tcPr>
          <w:p>
            <w:pPr>
              <w:widowControl/>
              <w:spacing w:line="36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合同签订期</w:t>
            </w:r>
          </w:p>
        </w:tc>
        <w:tc>
          <w:tcPr>
            <w:tcW w:w="3781" w:type="pct"/>
            <w:noWrap w:val="0"/>
            <w:vAlign w:val="center"/>
          </w:tcPr>
          <w:p>
            <w:pPr>
              <w:widowControl/>
              <w:spacing w:line="360" w:lineRule="auto"/>
              <w:jc w:val="left"/>
              <w:textAlignment w:val="center"/>
              <w:rPr>
                <w:rFonts w:hint="eastAsia" w:ascii="宋体" w:hAnsi="宋体" w:eastAsia="宋体" w:cs="宋体"/>
                <w:color w:val="auto"/>
                <w:kern w:val="0"/>
                <w:sz w:val="18"/>
                <w:szCs w:val="18"/>
                <w:lang w:bidi="ar"/>
              </w:rPr>
            </w:pPr>
            <w:r>
              <w:rPr>
                <w:rFonts w:hint="eastAsia" w:ascii="宋体" w:hAnsi="宋体" w:eastAsia="宋体" w:cs="宋体"/>
                <w:bCs/>
                <w:color w:val="auto"/>
                <w:sz w:val="18"/>
                <w:szCs w:val="18"/>
              </w:rPr>
              <w:t>自发出成交通知书之日起2</w:t>
            </w: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二</w:t>
            </w:r>
          </w:p>
        </w:tc>
        <w:tc>
          <w:tcPr>
            <w:tcW w:w="866" w:type="pct"/>
            <w:noWrap w:val="0"/>
            <w:vAlign w:val="center"/>
          </w:tcPr>
          <w:p>
            <w:pPr>
              <w:tabs>
                <w:tab w:val="left" w:pos="180"/>
                <w:tab w:val="left" w:pos="1620"/>
              </w:tabs>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合同履行期限</w:t>
            </w:r>
          </w:p>
        </w:tc>
        <w:tc>
          <w:tcPr>
            <w:tcW w:w="3781" w:type="pct"/>
            <w:noWrap w:val="0"/>
            <w:vAlign w:val="center"/>
          </w:tcPr>
          <w:p>
            <w:pPr>
              <w:widowControl/>
              <w:spacing w:line="360" w:lineRule="auto"/>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服务期限：自项目完成验收合格之日起 12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三</w:t>
            </w:r>
          </w:p>
        </w:tc>
        <w:tc>
          <w:tcPr>
            <w:tcW w:w="866" w:type="pct"/>
            <w:noWrap w:val="0"/>
            <w:vAlign w:val="center"/>
          </w:tcPr>
          <w:p>
            <w:pPr>
              <w:widowControl/>
              <w:spacing w:line="36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交付使用时间</w:t>
            </w:r>
            <w:r>
              <w:rPr>
                <w:rFonts w:hint="eastAsia" w:ascii="宋体" w:hAnsi="宋体" w:cs="宋体"/>
                <w:color w:val="auto"/>
                <w:kern w:val="0"/>
                <w:sz w:val="18"/>
                <w:szCs w:val="18"/>
                <w:lang w:val="en-US" w:eastAsia="zh-CN" w:bidi="ar"/>
              </w:rPr>
              <w:t>、</w:t>
            </w:r>
            <w:r>
              <w:rPr>
                <w:rFonts w:hint="eastAsia" w:ascii="宋体" w:hAnsi="宋体" w:eastAsia="宋体" w:cs="宋体"/>
                <w:color w:val="auto"/>
                <w:sz w:val="18"/>
                <w:szCs w:val="18"/>
              </w:rPr>
              <w:t>服务地点</w:t>
            </w:r>
          </w:p>
        </w:tc>
        <w:tc>
          <w:tcPr>
            <w:tcW w:w="3781" w:type="pct"/>
            <w:noWrap w:val="0"/>
            <w:vAlign w:val="center"/>
          </w:tcPr>
          <w:p>
            <w:pPr>
              <w:widowControl/>
              <w:spacing w:line="360" w:lineRule="auto"/>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交付使用时间：在合同签订后，120 天内完成涉及到的系统服务交付正常使用。</w:t>
            </w:r>
          </w:p>
          <w:p>
            <w:pPr>
              <w:widowControl/>
              <w:spacing w:line="360" w:lineRule="auto"/>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sz w:val="18"/>
                <w:szCs w:val="18"/>
              </w:rPr>
              <w:t>服务地点</w:t>
            </w:r>
            <w:r>
              <w:rPr>
                <w:rFonts w:hint="eastAsia" w:ascii="宋体" w:hAnsi="宋体" w:cs="宋体"/>
                <w:color w:val="auto"/>
                <w:sz w:val="18"/>
                <w:szCs w:val="18"/>
                <w:lang w:eastAsia="zh-CN"/>
              </w:rPr>
              <w:t>：</w:t>
            </w:r>
            <w:r>
              <w:rPr>
                <w:rFonts w:hint="eastAsia" w:ascii="宋体" w:hAnsi="宋体" w:cs="宋体"/>
                <w:color w:val="FF0000"/>
                <w:kern w:val="0"/>
                <w:sz w:val="18"/>
                <w:szCs w:val="18"/>
                <w:lang w:val="en-US" w:eastAsia="zh-CN" w:bidi="ar"/>
              </w:rPr>
              <w:t>采购人</w:t>
            </w:r>
            <w:r>
              <w:rPr>
                <w:rFonts w:hint="eastAsia" w:ascii="宋体" w:hAnsi="宋体" w:eastAsia="宋体" w:cs="宋体"/>
                <w:color w:val="auto"/>
                <w:kern w:val="0"/>
                <w:sz w:val="18"/>
                <w:szCs w:val="18"/>
                <w:lang w:val="en-US" w:eastAsia="zh-CN" w:bidi="ar"/>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四</w:t>
            </w:r>
          </w:p>
        </w:tc>
        <w:tc>
          <w:tcPr>
            <w:tcW w:w="866" w:type="pct"/>
            <w:noWrap w:val="0"/>
            <w:vAlign w:val="center"/>
          </w:tcPr>
          <w:p>
            <w:pPr>
              <w:tabs>
                <w:tab w:val="left" w:pos="180"/>
                <w:tab w:val="left" w:pos="1620"/>
              </w:tabs>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服务要求</w:t>
            </w:r>
          </w:p>
        </w:tc>
        <w:tc>
          <w:tcPr>
            <w:tcW w:w="3781" w:type="pct"/>
            <w:noWrap w:val="0"/>
            <w:vAlign w:val="center"/>
          </w:tcPr>
          <w:p>
            <w:pPr>
              <w:spacing w:line="360" w:lineRule="auto"/>
              <w:rPr>
                <w:rFonts w:hint="eastAsia" w:ascii="宋体" w:hAnsi="宋体" w:eastAsia="宋体" w:cs="宋体"/>
                <w:bCs/>
                <w:color w:val="auto"/>
                <w:sz w:val="18"/>
                <w:szCs w:val="18"/>
              </w:rPr>
            </w:pPr>
            <w:r>
              <w:rPr>
                <w:rFonts w:hint="eastAsia" w:ascii="宋体" w:hAnsi="宋体" w:eastAsia="宋体" w:cs="宋体"/>
                <w:bCs/>
                <w:color w:val="auto"/>
                <w:sz w:val="18"/>
                <w:szCs w:val="18"/>
              </w:rPr>
              <w:t>1.采购范围内的配套服务包含免费上门服务、安装调试合格。</w:t>
            </w:r>
          </w:p>
          <w:p>
            <w:pPr>
              <w:spacing w:line="360" w:lineRule="auto"/>
              <w:rPr>
                <w:rFonts w:hint="eastAsia" w:ascii="宋体" w:hAnsi="宋体" w:eastAsia="宋体" w:cs="宋体"/>
                <w:bCs/>
                <w:color w:val="auto"/>
                <w:sz w:val="18"/>
                <w:szCs w:val="18"/>
              </w:rPr>
            </w:pPr>
            <w:r>
              <w:rPr>
                <w:rFonts w:hint="eastAsia" w:ascii="宋体" w:hAnsi="宋体" w:eastAsia="宋体" w:cs="宋体"/>
                <w:bCs/>
                <w:color w:val="auto"/>
                <w:sz w:val="18"/>
                <w:szCs w:val="18"/>
              </w:rPr>
              <w:t>2.接到故障通知后1小时内响应，2小时内派技术人员到达现场，24 小时内解决问题，提供故障响应及处理。</w:t>
            </w:r>
          </w:p>
          <w:p>
            <w:pPr>
              <w:spacing w:line="360" w:lineRule="auto"/>
              <w:rPr>
                <w:rFonts w:hint="eastAsia" w:ascii="宋体" w:hAnsi="宋体" w:eastAsia="宋体" w:cs="宋体"/>
                <w:bCs/>
                <w:color w:val="auto"/>
                <w:sz w:val="18"/>
                <w:szCs w:val="18"/>
              </w:rPr>
            </w:pPr>
            <w:r>
              <w:rPr>
                <w:rFonts w:hint="eastAsia" w:ascii="宋体" w:hAnsi="宋体" w:eastAsia="宋体" w:cs="宋体"/>
                <w:bCs/>
                <w:color w:val="auto"/>
                <w:sz w:val="18"/>
                <w:szCs w:val="18"/>
              </w:rPr>
              <w:t>3.定期回访以及维护：提供定期回访及维护，包括技术支持、软件升级等；说明维护过程中发现问题的处理机制。</w:t>
            </w:r>
          </w:p>
          <w:p>
            <w:pPr>
              <w:spacing w:line="360" w:lineRule="auto"/>
              <w:rPr>
                <w:rFonts w:hint="eastAsia" w:ascii="宋体" w:hAnsi="宋体" w:eastAsia="宋体" w:cs="宋体"/>
                <w:bCs/>
                <w:color w:val="auto"/>
                <w:sz w:val="18"/>
                <w:szCs w:val="18"/>
              </w:rPr>
            </w:pPr>
            <w:r>
              <w:rPr>
                <w:rFonts w:hint="eastAsia" w:ascii="宋体" w:hAnsi="宋体" w:eastAsia="宋体" w:cs="宋体"/>
                <w:bCs/>
                <w:color w:val="auto"/>
                <w:sz w:val="18"/>
                <w:szCs w:val="18"/>
              </w:rPr>
              <w:t>4.提供培训服务，并向受训人员提供技术资料、参考材料、配置手册等；培训应包括以下内容：集中培训，提供至少1次集中培训，保证使用人员能正常操作系统的各种功能及日常保养和维护。</w:t>
            </w:r>
          </w:p>
          <w:p>
            <w:pPr>
              <w:widowControl/>
              <w:spacing w:line="360" w:lineRule="auto"/>
              <w:rPr>
                <w:rFonts w:hint="eastAsia" w:ascii="宋体" w:hAnsi="宋体" w:eastAsia="宋体" w:cs="宋体"/>
                <w:bCs/>
                <w:color w:val="auto"/>
                <w:sz w:val="18"/>
                <w:szCs w:val="18"/>
              </w:rPr>
            </w:pPr>
            <w:r>
              <w:rPr>
                <w:rFonts w:hint="eastAsia" w:ascii="宋体" w:hAnsi="宋体" w:eastAsia="宋体" w:cs="宋体"/>
                <w:bCs/>
                <w:color w:val="auto"/>
                <w:sz w:val="18"/>
                <w:szCs w:val="18"/>
              </w:rPr>
              <w:t>5.当系统需要扩展、迁移或升级时，负责免费提供相应解决方案等技术支持；因</w:t>
            </w:r>
            <w:r>
              <w:rPr>
                <w:rFonts w:hint="eastAsia" w:ascii="宋体" w:hAnsi="宋体" w:eastAsia="宋体" w:cs="宋体"/>
                <w:bCs/>
                <w:color w:val="auto"/>
                <w:sz w:val="18"/>
                <w:szCs w:val="18"/>
                <w:lang w:val="en-US" w:eastAsia="zh-CN"/>
              </w:rPr>
              <w:t>中标</w:t>
            </w:r>
            <w:r>
              <w:rPr>
                <w:rFonts w:hint="eastAsia" w:ascii="宋体" w:hAnsi="宋体" w:eastAsia="宋体" w:cs="宋体"/>
                <w:bCs/>
                <w:color w:val="auto"/>
                <w:sz w:val="18"/>
                <w:szCs w:val="18"/>
              </w:rPr>
              <w:t>供应商施工、割接等原因影响系统运行的，应当提前一天通知用户，并且尽快消除故障、恢复系统正常运行。</w:t>
            </w:r>
          </w:p>
          <w:p>
            <w:pPr>
              <w:numPr>
                <w:ilvl w:val="0"/>
                <w:numId w:val="0"/>
              </w:numPr>
              <w:spacing w:line="360" w:lineRule="auto"/>
              <w:rPr>
                <w:rFonts w:hint="eastAsia" w:ascii="宋体" w:hAnsi="宋体" w:eastAsia="宋体" w:cs="宋体"/>
                <w:color w:val="auto"/>
                <w:sz w:val="18"/>
                <w:szCs w:val="18"/>
              </w:rPr>
            </w:pPr>
            <w:r>
              <w:rPr>
                <w:rFonts w:hint="eastAsia" w:ascii="宋体" w:hAnsi="宋体" w:eastAsia="宋体" w:cs="宋体"/>
                <w:bCs/>
                <w:color w:val="auto"/>
                <w:sz w:val="18"/>
                <w:szCs w:val="18"/>
                <w:lang w:val="en-US" w:eastAsia="zh-CN"/>
              </w:rPr>
              <w:t>6.驻点服务：为了保障系统高稳定性和快速响应，避免因系统故障影响医疗业务甚至患者安全，项目验收后成交供应商需安排1名技术人员到现场驻点，为期1年，技术人员应持有中级及以上网络工程师证，一切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五</w:t>
            </w:r>
          </w:p>
        </w:tc>
        <w:tc>
          <w:tcPr>
            <w:tcW w:w="866" w:type="pct"/>
            <w:noWrap w:val="0"/>
            <w:vAlign w:val="center"/>
          </w:tcPr>
          <w:p>
            <w:pPr>
              <w:tabs>
                <w:tab w:val="left" w:pos="180"/>
                <w:tab w:val="left" w:pos="1620"/>
              </w:tabs>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质保期</w:t>
            </w:r>
          </w:p>
        </w:tc>
        <w:tc>
          <w:tcPr>
            <w:tcW w:w="3781" w:type="pct"/>
            <w:noWrap w:val="0"/>
            <w:vAlign w:val="center"/>
          </w:tcPr>
          <w:p>
            <w:pPr>
              <w:tabs>
                <w:tab w:val="left" w:pos="180"/>
                <w:tab w:val="left" w:pos="1620"/>
              </w:tabs>
              <w:spacing w:line="360" w:lineRule="auto"/>
              <w:jc w:val="left"/>
              <w:rPr>
                <w:rFonts w:hint="eastAsia" w:ascii="宋体" w:hAnsi="宋体" w:eastAsia="宋体" w:cs="宋体"/>
                <w:sz w:val="18"/>
                <w:szCs w:val="18"/>
              </w:rPr>
            </w:pPr>
            <w:r>
              <w:rPr>
                <w:rFonts w:hint="eastAsia" w:ascii="宋体" w:hAnsi="宋体" w:eastAsia="宋体" w:cs="宋体"/>
                <w:sz w:val="18"/>
                <w:szCs w:val="18"/>
              </w:rPr>
              <w:t>1、自验收合格之日起所有软件、设备提供一年的免费质保及软件免费升级服务。</w:t>
            </w:r>
            <w:r>
              <w:rPr>
                <w:rFonts w:hint="eastAsia" w:ascii="宋体" w:hAnsi="宋体" w:eastAsia="宋体" w:cs="宋体"/>
                <w:sz w:val="18"/>
                <w:szCs w:val="18"/>
              </w:rPr>
              <w:br w:type="textWrapping"/>
            </w:r>
            <w:r>
              <w:rPr>
                <w:rFonts w:hint="eastAsia" w:ascii="宋体" w:hAnsi="宋体" w:eastAsia="宋体" w:cs="宋体"/>
                <w:sz w:val="18"/>
                <w:szCs w:val="18"/>
              </w:rPr>
              <w:t>2、提供7*24小时免费技术支持服务，承诺整套系统质保统一。服务期内免费上门服务。</w:t>
            </w:r>
          </w:p>
          <w:p>
            <w:pPr>
              <w:tabs>
                <w:tab w:val="left" w:pos="1620"/>
              </w:tabs>
              <w:spacing w:line="360" w:lineRule="auto"/>
              <w:jc w:val="left"/>
              <w:rPr>
                <w:rFonts w:hint="eastAsia" w:ascii="宋体" w:hAnsi="宋体" w:eastAsia="宋体" w:cs="宋体"/>
                <w:color w:val="auto"/>
                <w:sz w:val="18"/>
                <w:szCs w:val="18"/>
              </w:rPr>
            </w:pPr>
            <w:r>
              <w:rPr>
                <w:rFonts w:hint="eastAsia" w:ascii="宋体" w:hAnsi="宋体" w:eastAsia="宋体" w:cs="宋体"/>
                <w:sz w:val="18"/>
                <w:szCs w:val="18"/>
              </w:rPr>
              <w:t>3、从通过验收即日起质保期内所有由于质量问题导致的软件产品故障以免费保修、免费人工标准上门服务。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六</w:t>
            </w:r>
          </w:p>
        </w:tc>
        <w:tc>
          <w:tcPr>
            <w:tcW w:w="866" w:type="pct"/>
            <w:noWrap w:val="0"/>
            <w:vAlign w:val="center"/>
          </w:tcPr>
          <w:p>
            <w:pPr>
              <w:tabs>
                <w:tab w:val="left" w:pos="180"/>
                <w:tab w:val="left" w:pos="1620"/>
              </w:tabs>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投标报价要求</w:t>
            </w:r>
          </w:p>
        </w:tc>
        <w:tc>
          <w:tcPr>
            <w:tcW w:w="3781" w:type="pct"/>
            <w:noWrap w:val="0"/>
            <w:vAlign w:val="center"/>
          </w:tcPr>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1.报价为</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年的服务费总价，报价必须含以下部分，包括：</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（1）服务的单价和总价；</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（2）报价包含服务费用、安装费用、调试费用；</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（3）必要的保险费用和各项税金；</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（4）供应商在实施项目过程中的交通费、差旅费、住宿费、伙食费、通讯费等；</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（5）其他（如运输、劳务、管理、装卸、培训、技术支持、售后服务、更新升级等费用）。</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2.在后期履约过程中，</w:t>
            </w:r>
            <w:r>
              <w:rPr>
                <w:rFonts w:hint="eastAsia" w:ascii="宋体" w:hAnsi="宋体" w:eastAsia="宋体" w:cs="宋体"/>
                <w:color w:val="auto"/>
                <w:sz w:val="18"/>
                <w:szCs w:val="18"/>
                <w:lang w:val="en-US" w:eastAsia="zh-CN"/>
              </w:rPr>
              <w:t>中标</w:t>
            </w:r>
            <w:r>
              <w:rPr>
                <w:rFonts w:hint="eastAsia" w:ascii="宋体" w:hAnsi="宋体" w:eastAsia="宋体" w:cs="宋体"/>
                <w:color w:val="auto"/>
                <w:sz w:val="18"/>
                <w:szCs w:val="18"/>
                <w:lang w:eastAsia="zh-CN"/>
              </w:rPr>
              <w:t>供应商须按响应文件的承诺投入相关的配套服务和专业的技术力量，如需调整须提前经过采购人同意方可调整。</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r>
              <w:rPr>
                <w:rFonts w:hint="eastAsia" w:ascii="宋体" w:hAnsi="宋体" w:eastAsia="宋体" w:cs="宋体"/>
                <w:color w:val="auto"/>
                <w:sz w:val="18"/>
                <w:szCs w:val="18"/>
                <w:lang w:val="en-US" w:eastAsia="zh-CN"/>
              </w:rPr>
              <w:t>中标</w:t>
            </w:r>
            <w:r>
              <w:rPr>
                <w:rFonts w:hint="eastAsia" w:ascii="宋体" w:hAnsi="宋体" w:eastAsia="宋体" w:cs="宋体"/>
                <w:color w:val="auto"/>
                <w:sz w:val="18"/>
                <w:szCs w:val="18"/>
                <w:lang w:eastAsia="zh-CN"/>
              </w:rPr>
              <w:t>供应商提供的服务不涉及任何法律纠纷，</w:t>
            </w:r>
            <w:r>
              <w:rPr>
                <w:rFonts w:hint="eastAsia" w:ascii="宋体" w:hAnsi="宋体" w:eastAsia="宋体" w:cs="宋体"/>
                <w:color w:val="auto"/>
                <w:sz w:val="18"/>
                <w:szCs w:val="18"/>
                <w:lang w:val="en-US" w:eastAsia="zh-CN"/>
              </w:rPr>
              <w:t>招标</w:t>
            </w:r>
            <w:r>
              <w:rPr>
                <w:rFonts w:hint="eastAsia" w:ascii="宋体" w:hAnsi="宋体" w:eastAsia="宋体" w:cs="宋体"/>
                <w:color w:val="auto"/>
                <w:sz w:val="18"/>
                <w:szCs w:val="18"/>
                <w:lang w:eastAsia="zh-CN"/>
              </w:rPr>
              <w:t>人在使用供应商提供的服务时免受第三方提出的侵犯其专利权或知识产权或其他相关的起诉。如果第三方提出侵权指控，</w:t>
            </w:r>
            <w:r>
              <w:rPr>
                <w:rFonts w:hint="eastAsia" w:ascii="宋体" w:hAnsi="宋体" w:eastAsia="宋体" w:cs="宋体"/>
                <w:color w:val="auto"/>
                <w:sz w:val="18"/>
                <w:szCs w:val="18"/>
                <w:lang w:val="en-US" w:eastAsia="zh-CN"/>
              </w:rPr>
              <w:t>中标</w:t>
            </w:r>
            <w:r>
              <w:rPr>
                <w:rFonts w:hint="eastAsia" w:ascii="宋体" w:hAnsi="宋体" w:eastAsia="宋体" w:cs="宋体"/>
                <w:color w:val="auto"/>
                <w:sz w:val="18"/>
                <w:szCs w:val="18"/>
                <w:lang w:eastAsia="zh-CN"/>
              </w:rPr>
              <w:t>供应商必须承担由此产生的一切法律责任和费用。</w:t>
            </w:r>
          </w:p>
          <w:p>
            <w:pPr>
              <w:tabs>
                <w:tab w:val="left" w:pos="180"/>
                <w:tab w:val="left" w:pos="1620"/>
              </w:tabs>
              <w:spacing w:line="360" w:lineRule="auto"/>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4.保密要求：</w:t>
            </w:r>
            <w:r>
              <w:rPr>
                <w:rFonts w:hint="eastAsia" w:ascii="宋体" w:hAnsi="宋体" w:eastAsia="宋体" w:cs="宋体"/>
                <w:color w:val="auto"/>
                <w:sz w:val="18"/>
                <w:szCs w:val="18"/>
                <w:lang w:val="en-US" w:eastAsia="zh-CN"/>
              </w:rPr>
              <w:t>中标</w:t>
            </w:r>
            <w:r>
              <w:rPr>
                <w:rFonts w:hint="eastAsia" w:ascii="宋体" w:hAnsi="宋体" w:eastAsia="宋体" w:cs="宋体"/>
                <w:color w:val="auto"/>
                <w:sz w:val="18"/>
                <w:szCs w:val="18"/>
                <w:lang w:eastAsia="zh-CN"/>
              </w:rPr>
              <w:t>供应商须严格遵守</w:t>
            </w:r>
            <w:r>
              <w:rPr>
                <w:rFonts w:hint="eastAsia" w:ascii="宋体" w:hAnsi="宋体" w:eastAsia="宋体" w:cs="宋体"/>
                <w:color w:val="auto"/>
                <w:sz w:val="18"/>
                <w:szCs w:val="18"/>
                <w:lang w:val="en-US" w:eastAsia="zh-CN"/>
              </w:rPr>
              <w:t>招标</w:t>
            </w:r>
            <w:r>
              <w:rPr>
                <w:rFonts w:hint="eastAsia" w:ascii="宋体" w:hAnsi="宋体" w:eastAsia="宋体" w:cs="宋体"/>
                <w:color w:val="auto"/>
                <w:sz w:val="18"/>
                <w:szCs w:val="18"/>
                <w:lang w:eastAsia="zh-CN"/>
              </w:rPr>
              <w:t>人有关系统保密的所有要求，相关人员必须签订保密协议和安全责任书后才能上岗，未经采购人同意，不得将系统资料、文档、数据等向外泄露，因信息泄露造成影响的由</w:t>
            </w:r>
            <w:r>
              <w:rPr>
                <w:rFonts w:hint="eastAsia" w:ascii="宋体" w:hAnsi="宋体" w:eastAsia="宋体" w:cs="宋体"/>
                <w:color w:val="auto"/>
                <w:sz w:val="18"/>
                <w:szCs w:val="18"/>
                <w:lang w:val="en-US" w:eastAsia="zh-CN"/>
              </w:rPr>
              <w:t>中标</w:t>
            </w:r>
            <w:r>
              <w:rPr>
                <w:rFonts w:hint="eastAsia" w:ascii="宋体" w:hAnsi="宋体" w:eastAsia="宋体" w:cs="宋体"/>
                <w:color w:val="auto"/>
                <w:sz w:val="18"/>
                <w:szCs w:val="18"/>
                <w:lang w:eastAsia="zh-CN"/>
              </w:rPr>
              <w:t>供应商承担全部法律责任和经济损失。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52" w:type="pct"/>
            <w:noWrap/>
            <w:vAlign w:val="center"/>
          </w:tcPr>
          <w:p>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七</w:t>
            </w:r>
          </w:p>
        </w:tc>
        <w:tc>
          <w:tcPr>
            <w:tcW w:w="866" w:type="pct"/>
            <w:noWrap w:val="0"/>
            <w:vAlign w:val="center"/>
          </w:tcPr>
          <w:p>
            <w:pPr>
              <w:tabs>
                <w:tab w:val="left" w:pos="180"/>
                <w:tab w:val="left" w:pos="1620"/>
              </w:tabs>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tc>
        <w:tc>
          <w:tcPr>
            <w:tcW w:w="3781" w:type="pct"/>
            <w:noWrap w:val="0"/>
            <w:vAlign w:val="center"/>
          </w:tcPr>
          <w:p>
            <w:pPr>
              <w:tabs>
                <w:tab w:val="left" w:pos="180"/>
                <w:tab w:val="left" w:pos="1620"/>
              </w:tabs>
              <w:spacing w:line="360" w:lineRule="auto"/>
              <w:jc w:val="left"/>
              <w:rPr>
                <w:rFonts w:hint="default" w:ascii="宋体" w:hAnsi="宋体"/>
                <w:b w:val="0"/>
                <w:bCs/>
                <w:color w:val="000000"/>
                <w:sz w:val="18"/>
                <w:szCs w:val="18"/>
                <w:lang w:val="en-US"/>
              </w:rPr>
            </w:pPr>
            <w:r>
              <w:rPr>
                <w:rFonts w:hint="default" w:ascii="宋体" w:hAnsi="宋体"/>
                <w:b w:val="0"/>
                <w:bCs/>
                <w:color w:val="000000"/>
                <w:sz w:val="18"/>
                <w:szCs w:val="18"/>
                <w:lang w:val="en-US"/>
              </w:rPr>
              <w:t>合同签订生效后，甲方向乙方支付合同总金额的30%作为项目预付款；项目实施人员进场开展工作前，支付至合同总金额累计50%；项目全部系统及服务部署交付完成并通过初步验收后，支付至合同总金额累计60%；项目全部安装调试完毕、正式投入正常使用且通过最终验收合格后，支付至合同总金额累计97%；剩余合同总金额3% 作为</w:t>
            </w:r>
            <w:r>
              <w:rPr>
                <w:rFonts w:hint="eastAsia" w:ascii="宋体" w:hAnsi="宋体"/>
                <w:b w:val="0"/>
                <w:bCs/>
                <w:color w:val="000000"/>
                <w:sz w:val="18"/>
                <w:szCs w:val="18"/>
                <w:lang w:val="en-US" w:eastAsia="zh-CN"/>
              </w:rPr>
              <w:t>履约</w:t>
            </w:r>
            <w:r>
              <w:rPr>
                <w:rFonts w:hint="default" w:ascii="宋体" w:hAnsi="宋体"/>
                <w:b w:val="0"/>
                <w:bCs/>
                <w:color w:val="000000"/>
                <w:sz w:val="18"/>
                <w:szCs w:val="18"/>
                <w:lang w:val="en-US"/>
              </w:rPr>
              <w:t>保证金，待质保期满、无任何质量遗留问题及售后异议后，无息一次性付清。</w:t>
            </w:r>
          </w:p>
        </w:tc>
      </w:tr>
    </w:tbl>
    <w:p>
      <w:pPr>
        <w:tabs>
          <w:tab w:val="left" w:pos="180"/>
          <w:tab w:val="left" w:pos="1620"/>
        </w:tabs>
        <w:spacing w:line="420" w:lineRule="exact"/>
        <w:ind w:firstLine="480" w:firstLineChars="200"/>
        <w:rPr>
          <w:rFonts w:hint="eastAsia" w:ascii="宋体" w:hAnsi="宋体" w:cs="宋体"/>
          <w:sz w:val="24"/>
          <w:u w:val="single"/>
        </w:rPr>
      </w:pPr>
    </w:p>
    <w:bookmarkEnd w:id="0"/>
    <w:p>
      <w:pPr>
        <w:spacing w:line="360" w:lineRule="auto"/>
        <w:rPr>
          <w:rFonts w:hint="eastAsia" w:ascii="宋体" w:hAnsi="宋体" w:cs="宋体"/>
        </w:rPr>
      </w:pPr>
    </w:p>
    <w:p>
      <w:pPr>
        <w:rPr>
          <w:rFonts w:hint="eastAsia"/>
        </w:rPr>
      </w:pPr>
    </w:p>
    <w:sectPr>
      <w:headerReference r:id="rId3" w:type="default"/>
      <w:footerReference r:id="rId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70</w:t>
                    </w:r>
                    <w: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618"/>
    <w:rsid w:val="00204320"/>
    <w:rsid w:val="00271C48"/>
    <w:rsid w:val="002733C1"/>
    <w:rsid w:val="002A2828"/>
    <w:rsid w:val="00321232"/>
    <w:rsid w:val="00386F40"/>
    <w:rsid w:val="00395F4D"/>
    <w:rsid w:val="004677A6"/>
    <w:rsid w:val="006D21D9"/>
    <w:rsid w:val="00812153"/>
    <w:rsid w:val="00863CE6"/>
    <w:rsid w:val="009617A5"/>
    <w:rsid w:val="00A11855"/>
    <w:rsid w:val="00A92842"/>
    <w:rsid w:val="00AB366E"/>
    <w:rsid w:val="00AD74B8"/>
    <w:rsid w:val="00B3134D"/>
    <w:rsid w:val="00BC7768"/>
    <w:rsid w:val="00C879F2"/>
    <w:rsid w:val="00D07D07"/>
    <w:rsid w:val="00D44F2E"/>
    <w:rsid w:val="00D57443"/>
    <w:rsid w:val="00D61227"/>
    <w:rsid w:val="00D6354D"/>
    <w:rsid w:val="00E178C6"/>
    <w:rsid w:val="00E71836"/>
    <w:rsid w:val="00EF41A8"/>
    <w:rsid w:val="00F13399"/>
    <w:rsid w:val="00F26BA0"/>
    <w:rsid w:val="00FE5490"/>
    <w:rsid w:val="02841513"/>
    <w:rsid w:val="048E6AC5"/>
    <w:rsid w:val="05F141EA"/>
    <w:rsid w:val="06020126"/>
    <w:rsid w:val="07DB399F"/>
    <w:rsid w:val="088E2F82"/>
    <w:rsid w:val="0901017D"/>
    <w:rsid w:val="0AA237C2"/>
    <w:rsid w:val="0CD71B0C"/>
    <w:rsid w:val="0E38608B"/>
    <w:rsid w:val="0FA31172"/>
    <w:rsid w:val="0FDC3796"/>
    <w:rsid w:val="113C430C"/>
    <w:rsid w:val="116324C7"/>
    <w:rsid w:val="12735F4D"/>
    <w:rsid w:val="12946DC4"/>
    <w:rsid w:val="12CA3AB5"/>
    <w:rsid w:val="13153028"/>
    <w:rsid w:val="14435074"/>
    <w:rsid w:val="17740758"/>
    <w:rsid w:val="181D6A1F"/>
    <w:rsid w:val="19D5589C"/>
    <w:rsid w:val="1A2A15A2"/>
    <w:rsid w:val="1A6F634B"/>
    <w:rsid w:val="1BE160F6"/>
    <w:rsid w:val="1C4D7EF7"/>
    <w:rsid w:val="1C756EBE"/>
    <w:rsid w:val="1EDB10BC"/>
    <w:rsid w:val="1FCF4BE1"/>
    <w:rsid w:val="207356D7"/>
    <w:rsid w:val="221C33C7"/>
    <w:rsid w:val="22E26307"/>
    <w:rsid w:val="22E43424"/>
    <w:rsid w:val="288F719F"/>
    <w:rsid w:val="295126A7"/>
    <w:rsid w:val="29705E0E"/>
    <w:rsid w:val="2DE61EEF"/>
    <w:rsid w:val="2DFF4AFB"/>
    <w:rsid w:val="2FAF2418"/>
    <w:rsid w:val="31B353C4"/>
    <w:rsid w:val="32610DA8"/>
    <w:rsid w:val="32B54539"/>
    <w:rsid w:val="34A24A1F"/>
    <w:rsid w:val="36955AE7"/>
    <w:rsid w:val="395901C2"/>
    <w:rsid w:val="3A960861"/>
    <w:rsid w:val="3DF5589F"/>
    <w:rsid w:val="3EAB41B0"/>
    <w:rsid w:val="41AF3FB7"/>
    <w:rsid w:val="44693B25"/>
    <w:rsid w:val="47B81F8E"/>
    <w:rsid w:val="48B63E7D"/>
    <w:rsid w:val="49066BB2"/>
    <w:rsid w:val="4BB01057"/>
    <w:rsid w:val="4BDA23E0"/>
    <w:rsid w:val="4C2F4EB9"/>
    <w:rsid w:val="4C7A0B36"/>
    <w:rsid w:val="4D5A127B"/>
    <w:rsid w:val="4DB02F8D"/>
    <w:rsid w:val="4E8715BF"/>
    <w:rsid w:val="4E9C454D"/>
    <w:rsid w:val="4FEE07E1"/>
    <w:rsid w:val="50401311"/>
    <w:rsid w:val="50D43A3A"/>
    <w:rsid w:val="50FC34E3"/>
    <w:rsid w:val="512027DB"/>
    <w:rsid w:val="513B3D97"/>
    <w:rsid w:val="56F42C6E"/>
    <w:rsid w:val="58036BF9"/>
    <w:rsid w:val="591C6869"/>
    <w:rsid w:val="5AC927EC"/>
    <w:rsid w:val="5AE04262"/>
    <w:rsid w:val="5CBD1826"/>
    <w:rsid w:val="5D5C3A24"/>
    <w:rsid w:val="5DC86DF7"/>
    <w:rsid w:val="64254202"/>
    <w:rsid w:val="65E9368C"/>
    <w:rsid w:val="66865689"/>
    <w:rsid w:val="66D103A8"/>
    <w:rsid w:val="67534AA9"/>
    <w:rsid w:val="67EB69F4"/>
    <w:rsid w:val="6A293158"/>
    <w:rsid w:val="6B111D37"/>
    <w:rsid w:val="6B38014F"/>
    <w:rsid w:val="6B531B27"/>
    <w:rsid w:val="6B9D58D6"/>
    <w:rsid w:val="6C4A1FDE"/>
    <w:rsid w:val="6CE32FE4"/>
    <w:rsid w:val="6DD141E3"/>
    <w:rsid w:val="6F000329"/>
    <w:rsid w:val="7012146B"/>
    <w:rsid w:val="708138E8"/>
    <w:rsid w:val="710D5DDC"/>
    <w:rsid w:val="71512AAC"/>
    <w:rsid w:val="71BA2793"/>
    <w:rsid w:val="74496B74"/>
    <w:rsid w:val="767C48BF"/>
    <w:rsid w:val="7730111A"/>
    <w:rsid w:val="774B3064"/>
    <w:rsid w:val="77A6450F"/>
    <w:rsid w:val="786E1E5B"/>
    <w:rsid w:val="7D246D6E"/>
    <w:rsid w:val="7EC80EBE"/>
    <w:rsid w:val="7FB126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1" w:name="heading 6"/>
    <w:lsdException w:qFormat="1" w:uiPriority="1" w:name="heading 7"/>
    <w:lsdException w:qFormat="1" w:unhideWhenUsed="0" w:uiPriority="9" w:semiHidden="0"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qFormat="1" w:unhideWhenUsed="0" w:uiPriority="0" w:semiHidden="0" w:name="index 8"/>
    <w:lsdException w:uiPriority="1" w:name="index 9"/>
    <w:lsdException w:qFormat="1" w:uiPriority="39" w:semiHidden="0" w:name="toc 1"/>
    <w:lsdException w:qFormat="1" w:uiPriority="39" w:semiHidden="0" w:name="toc 2"/>
    <w:lsdException w:qFormat="1"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99" w:semiHidden="0" w:name="annotation reference"/>
    <w:lsdException w:uiPriority="1" w:name="line number"/>
    <w:lsdException w:qFormat="1" w:unhideWhenUsed="0" w:uiPriority="0" w:semiHidden="0" w:name="page number"/>
    <w:lsdException w:qFormat="1" w:uiPriority="99" w:semiHidden="0" w:name="endnote reference"/>
    <w:lsdException w:uiPriority="1" w:name="endnote text"/>
    <w:lsdException w:uiPriority="1" w:name="table of authorities"/>
    <w:lsdException w:uiPriority="1" w:name="macro"/>
    <w:lsdException w:uiPriority="1" w:name="toa heading"/>
    <w:lsdException w:qFormat="1" w:uiPriority="99" w:semiHidden="0" w:name="List"/>
    <w:lsdException w:uiPriority="1" w:name="List Bullet"/>
    <w:lsdException w:qFormat="1" w:unhideWhenUsed="0" w:uiPriority="0" w:semiHidden="0" w:name="List Number"/>
    <w:lsdException w:qFormat="1" w:uiPriority="99"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qFormat="1" w:uiPriority="99" w:semiHidden="0" w:name="Body Text 3"/>
    <w:lsdException w:uiPriority="1"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qFormat="1" w:uiPriority="99" w:semiHidden="0" w:name="HTML Sample"/>
    <w:lsdException w:uiPriority="1" w:name="HTML Typewriter"/>
    <w:lsdException w:uiPriority="1"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9"/>
    <w:pPr>
      <w:keepNext/>
      <w:keepLines/>
      <w:spacing w:before="280" w:after="290" w:line="376" w:lineRule="auto"/>
      <w:outlineLvl w:val="4"/>
    </w:pPr>
    <w:rPr>
      <w:b/>
      <w:bCs/>
      <w:sz w:val="28"/>
      <w:szCs w:val="28"/>
    </w:rPr>
  </w:style>
  <w:style w:type="paragraph" w:styleId="7">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2940"/>
    </w:p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Normal Indent"/>
    <w:basedOn w:val="1"/>
    <w:next w:val="1"/>
    <w:qFormat/>
    <w:uiPriority w:val="0"/>
    <w:pPr>
      <w:ind w:firstLine="420"/>
    </w:pPr>
    <w:rPr>
      <w:szCs w:val="20"/>
    </w:rPr>
  </w:style>
  <w:style w:type="paragraph" w:styleId="11">
    <w:name w:val="annotation text"/>
    <w:basedOn w:val="1"/>
    <w:link w:val="44"/>
    <w:qFormat/>
    <w:uiPriority w:val="0"/>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w:basedOn w:val="1"/>
    <w:next w:val="1"/>
    <w:link w:val="46"/>
    <w:unhideWhenUsed/>
    <w:qFormat/>
    <w:uiPriority w:val="0"/>
    <w:pPr>
      <w:spacing w:after="120"/>
    </w:pPr>
  </w:style>
  <w:style w:type="paragraph" w:styleId="14">
    <w:name w:val="Body Text Indent"/>
    <w:basedOn w:val="1"/>
    <w:next w:val="1"/>
    <w:link w:val="47"/>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2"/>
    <w:link w:val="48"/>
    <w:qFormat/>
    <w:uiPriority w:val="0"/>
    <w:rPr>
      <w:rFonts w:ascii="宋体" w:hAnsi="Courier New"/>
      <w:kern w:val="0"/>
      <w:sz w:val="20"/>
      <w:szCs w:val="21"/>
    </w:rPr>
  </w:style>
  <w:style w:type="paragraph" w:styleId="18">
    <w:name w:val="Date"/>
    <w:basedOn w:val="1"/>
    <w:next w:val="1"/>
    <w:link w:val="49"/>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link w:val="50"/>
    <w:unhideWhenUsed/>
    <w:qFormat/>
    <w:uiPriority w:val="99"/>
    <w:pPr>
      <w:tabs>
        <w:tab w:val="center" w:pos="4153"/>
        <w:tab w:val="right" w:pos="8306"/>
      </w:tabs>
      <w:snapToGrid w:val="0"/>
      <w:jc w:val="left"/>
    </w:pPr>
    <w:rPr>
      <w:kern w:val="0"/>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Title"/>
    <w:basedOn w:val="1"/>
    <w:next w:val="14"/>
    <w:qFormat/>
    <w:uiPriority w:val="0"/>
    <w:pPr>
      <w:spacing w:before="240" w:after="60"/>
      <w:jc w:val="center"/>
      <w:outlineLvl w:val="0"/>
    </w:pPr>
    <w:rPr>
      <w:rFonts w:ascii="Cambria" w:hAnsi="Cambria" w:cs="宋体"/>
      <w:b/>
      <w:bCs/>
      <w:sz w:val="32"/>
      <w:szCs w:val="32"/>
    </w:rPr>
  </w:style>
  <w:style w:type="paragraph" w:styleId="27">
    <w:name w:val="annotation subject"/>
    <w:basedOn w:val="11"/>
    <w:next w:val="11"/>
    <w:link w:val="52"/>
    <w:qFormat/>
    <w:uiPriority w:val="99"/>
    <w:rPr>
      <w:b/>
      <w:bCs/>
    </w:rPr>
  </w:style>
  <w:style w:type="paragraph" w:styleId="28">
    <w:name w:val="Body Text First Indent 2"/>
    <w:basedOn w:val="1"/>
    <w:qFormat/>
    <w:uiPriority w:val="0"/>
    <w:pPr>
      <w:autoSpaceDE w:val="0"/>
      <w:autoSpaceDN w:val="0"/>
      <w:spacing w:after="120" w:line="360" w:lineRule="auto"/>
      <w:ind w:left="420" w:leftChars="200" w:firstLine="420" w:firstLineChars="200"/>
    </w:pPr>
    <w:rPr>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0"/>
    <w:rPr>
      <w:b/>
    </w:r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99"/>
    <w:rPr>
      <w:sz w:val="21"/>
      <w:szCs w:val="21"/>
    </w:rPr>
  </w:style>
  <w:style w:type="character" w:styleId="38">
    <w:name w:val="HTML Sample"/>
    <w:unhideWhenUsed/>
    <w:qFormat/>
    <w:uiPriority w:val="99"/>
    <w:rPr>
      <w:rFonts w:ascii="Courier New" w:hAnsi="Courier New"/>
    </w:rPr>
  </w:style>
  <w:style w:type="character" w:customStyle="1" w:styleId="39">
    <w:name w:val="标题 2 字符"/>
    <w:link w:val="3"/>
    <w:qFormat/>
    <w:uiPriority w:val="9"/>
    <w:rPr>
      <w:rFonts w:ascii="Cambria" w:hAnsi="Cambria" w:eastAsia="宋体" w:cs="Times New Roman"/>
      <w:b/>
      <w:bCs/>
      <w:kern w:val="2"/>
      <w:sz w:val="32"/>
      <w:szCs w:val="32"/>
    </w:rPr>
  </w:style>
  <w:style w:type="character" w:customStyle="1" w:styleId="40">
    <w:name w:val="标题 1 字符"/>
    <w:link w:val="2"/>
    <w:qFormat/>
    <w:uiPriority w:val="9"/>
    <w:rPr>
      <w:b/>
      <w:bCs/>
      <w:kern w:val="44"/>
      <w:sz w:val="44"/>
      <w:szCs w:val="44"/>
    </w:rPr>
  </w:style>
  <w:style w:type="character" w:customStyle="1" w:styleId="41">
    <w:name w:val="标题 3 字符"/>
    <w:link w:val="4"/>
    <w:semiHidden/>
    <w:qFormat/>
    <w:uiPriority w:val="9"/>
    <w:rPr>
      <w:b/>
      <w:bCs/>
      <w:kern w:val="2"/>
      <w:sz w:val="32"/>
      <w:szCs w:val="32"/>
    </w:rPr>
  </w:style>
  <w:style w:type="character" w:customStyle="1" w:styleId="42">
    <w:name w:val="标题 5 字符"/>
    <w:link w:val="6"/>
    <w:qFormat/>
    <w:uiPriority w:val="9"/>
    <w:rPr>
      <w:rFonts w:ascii="Times New Roman" w:hAnsi="Times New Roman"/>
      <w:b/>
      <w:bCs/>
      <w:kern w:val="2"/>
      <w:sz w:val="28"/>
      <w:szCs w:val="28"/>
    </w:rPr>
  </w:style>
  <w:style w:type="character" w:customStyle="1" w:styleId="43">
    <w:name w:val="标题 8 字符"/>
    <w:link w:val="7"/>
    <w:semiHidden/>
    <w:qFormat/>
    <w:uiPriority w:val="9"/>
    <w:rPr>
      <w:rFonts w:ascii="等线 Light" w:hAnsi="等线 Light" w:eastAsia="等线 Light" w:cs="Times New Roman"/>
      <w:kern w:val="2"/>
      <w:sz w:val="24"/>
      <w:szCs w:val="24"/>
    </w:rPr>
  </w:style>
  <w:style w:type="character" w:customStyle="1" w:styleId="44">
    <w:name w:val="批注文字 字符2"/>
    <w:link w:val="11"/>
    <w:qFormat/>
    <w:uiPriority w:val="0"/>
    <w:rPr>
      <w:rFonts w:ascii="Times New Roman" w:hAnsi="Times New Roman"/>
      <w:kern w:val="2"/>
      <w:sz w:val="21"/>
      <w:szCs w:val="24"/>
    </w:rPr>
  </w:style>
  <w:style w:type="character" w:customStyle="1" w:styleId="45">
    <w:name w:val="正文文本 3 字符"/>
    <w:link w:val="12"/>
    <w:semiHidden/>
    <w:qFormat/>
    <w:uiPriority w:val="99"/>
    <w:rPr>
      <w:kern w:val="2"/>
      <w:sz w:val="16"/>
      <w:szCs w:val="16"/>
    </w:rPr>
  </w:style>
  <w:style w:type="character" w:customStyle="1" w:styleId="46">
    <w:name w:val="正文文本 字符1"/>
    <w:link w:val="13"/>
    <w:qFormat/>
    <w:uiPriority w:val="0"/>
    <w:rPr>
      <w:rFonts w:ascii="Times New Roman" w:hAnsi="Times New Roman"/>
      <w:kern w:val="2"/>
      <w:sz w:val="21"/>
      <w:szCs w:val="24"/>
    </w:rPr>
  </w:style>
  <w:style w:type="character" w:customStyle="1" w:styleId="47">
    <w:name w:val="正文文本缩进 字符"/>
    <w:link w:val="14"/>
    <w:qFormat/>
    <w:uiPriority w:val="0"/>
    <w:rPr>
      <w:rFonts w:ascii="仿宋_GB2312" w:hAnsi="Times New Roman" w:eastAsia="仿宋_GB2312" w:cs="Times New Roman"/>
      <w:sz w:val="32"/>
      <w:szCs w:val="20"/>
    </w:rPr>
  </w:style>
  <w:style w:type="character" w:customStyle="1" w:styleId="48">
    <w:name w:val="纯文本 字符3"/>
    <w:link w:val="17"/>
    <w:qFormat/>
    <w:uiPriority w:val="0"/>
    <w:rPr>
      <w:rFonts w:ascii="宋体" w:hAnsi="Courier New" w:eastAsia="宋体" w:cs="Courier New"/>
      <w:szCs w:val="21"/>
    </w:rPr>
  </w:style>
  <w:style w:type="character" w:customStyle="1" w:styleId="49">
    <w:name w:val="日期 字符"/>
    <w:link w:val="18"/>
    <w:semiHidden/>
    <w:qFormat/>
    <w:uiPriority w:val="99"/>
    <w:rPr>
      <w:rFonts w:ascii="Times New Roman" w:hAnsi="Times New Roman"/>
      <w:kern w:val="2"/>
      <w:sz w:val="21"/>
      <w:szCs w:val="24"/>
    </w:rPr>
  </w:style>
  <w:style w:type="character" w:customStyle="1" w:styleId="50">
    <w:name w:val="页脚 字符"/>
    <w:link w:val="20"/>
    <w:qFormat/>
    <w:uiPriority w:val="99"/>
    <w:rPr>
      <w:sz w:val="18"/>
      <w:szCs w:val="18"/>
    </w:rPr>
  </w:style>
  <w:style w:type="character" w:customStyle="1" w:styleId="51">
    <w:name w:val="页眉 字符"/>
    <w:link w:val="21"/>
    <w:qFormat/>
    <w:uiPriority w:val="99"/>
    <w:rPr>
      <w:sz w:val="18"/>
      <w:szCs w:val="18"/>
    </w:rPr>
  </w:style>
  <w:style w:type="character" w:customStyle="1" w:styleId="52">
    <w:name w:val="批注主题 字符"/>
    <w:link w:val="27"/>
    <w:qFormat/>
    <w:uiPriority w:val="99"/>
    <w:rPr>
      <w:rFonts w:ascii="Times New Roman" w:hAnsi="Times New Roman"/>
      <w:b/>
      <w:bCs/>
      <w:kern w:val="2"/>
      <w:sz w:val="21"/>
      <w:szCs w:val="24"/>
    </w:rPr>
  </w:style>
  <w:style w:type="character" w:customStyle="1" w:styleId="53">
    <w:name w:val="textcontents"/>
    <w:qFormat/>
    <w:uiPriority w:val="0"/>
  </w:style>
  <w:style w:type="character" w:customStyle="1" w:styleId="54">
    <w:name w:val="批注文字 Char"/>
    <w:qFormat/>
    <w:uiPriority w:val="0"/>
    <w:rPr>
      <w:rFonts w:ascii="Times New Roman" w:hAnsi="Times New Roman"/>
      <w:kern w:val="2"/>
      <w:sz w:val="21"/>
      <w:szCs w:val="24"/>
    </w:rPr>
  </w:style>
  <w:style w:type="character" w:customStyle="1" w:styleId="55">
    <w:name w:val="_Style 54"/>
    <w:unhideWhenUsed/>
    <w:qFormat/>
    <w:uiPriority w:val="99"/>
    <w:rPr>
      <w:color w:val="605E5C"/>
      <w:shd w:val="clear" w:color="auto" w:fill="E1DFDD"/>
    </w:rPr>
  </w:style>
  <w:style w:type="character" w:customStyle="1" w:styleId="56">
    <w:name w:val="纯文本 Char"/>
    <w:qFormat/>
    <w:uiPriority w:val="0"/>
    <w:rPr>
      <w:rFonts w:ascii="宋体" w:hAnsi="Courier New" w:eastAsia="宋体" w:cs="Courier New"/>
      <w:szCs w:val="21"/>
    </w:rPr>
  </w:style>
  <w:style w:type="character" w:customStyle="1" w:styleId="5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8">
    <w:name w:val="apple-style-span"/>
    <w:qFormat/>
    <w:uiPriority w:val="0"/>
  </w:style>
  <w:style w:type="character" w:customStyle="1" w:styleId="59">
    <w:name w:val="正文2 Char Char"/>
    <w:link w:val="60"/>
    <w:qFormat/>
    <w:uiPriority w:val="0"/>
    <w:rPr>
      <w:sz w:val="24"/>
    </w:rPr>
  </w:style>
  <w:style w:type="paragraph" w:customStyle="1" w:styleId="60">
    <w:name w:val="正文2"/>
    <w:basedOn w:val="1"/>
    <w:link w:val="59"/>
    <w:qFormat/>
    <w:uiPriority w:val="0"/>
    <w:pPr>
      <w:adjustRightInd w:val="0"/>
      <w:spacing w:before="156" w:line="360" w:lineRule="auto"/>
      <w:ind w:firstLine="510" w:firstLineChars="200"/>
    </w:pPr>
    <w:rPr>
      <w:kern w:val="0"/>
      <w:sz w:val="24"/>
      <w:szCs w:val="20"/>
    </w:rPr>
  </w:style>
  <w:style w:type="character" w:customStyle="1" w:styleId="61">
    <w:name w:val="批注文字 字符"/>
    <w:qFormat/>
    <w:uiPriority w:val="0"/>
    <w:rPr>
      <w:rFonts w:ascii="Times New Roman" w:hAnsi="Times New Roman"/>
      <w:kern w:val="2"/>
      <w:sz w:val="21"/>
      <w:szCs w:val="24"/>
    </w:rPr>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1 字符1"/>
    <w:qFormat/>
    <w:uiPriority w:val="0"/>
    <w:rPr>
      <w:b/>
      <w:bCs/>
      <w:kern w:val="44"/>
      <w:sz w:val="44"/>
      <w:szCs w:val="44"/>
    </w:rPr>
  </w:style>
  <w:style w:type="character" w:customStyle="1" w:styleId="64">
    <w:name w:val="正文文本 字符"/>
    <w:qFormat/>
    <w:uiPriority w:val="0"/>
    <w:rPr>
      <w:rFonts w:ascii="Times New Roman" w:hAnsi="Times New Roman"/>
      <w:kern w:val="2"/>
      <w:sz w:val="21"/>
      <w:szCs w:val="24"/>
    </w:rPr>
  </w:style>
  <w:style w:type="character" w:customStyle="1" w:styleId="65">
    <w:name w:val="NormalCharacter"/>
    <w:semiHidden/>
    <w:qFormat/>
    <w:uiPriority w:val="0"/>
    <w:rPr>
      <w:kern w:val="2"/>
      <w:sz w:val="21"/>
      <w:szCs w:val="24"/>
      <w:lang w:val="en-US" w:eastAsia="zh-CN" w:bidi="ar-SA"/>
    </w:rPr>
  </w:style>
  <w:style w:type="character" w:customStyle="1" w:styleId="66">
    <w:name w:val="纯文本 字符"/>
    <w:qFormat/>
    <w:uiPriority w:val="0"/>
    <w:rPr>
      <w:rFonts w:ascii="宋体" w:hAnsi="Courier New" w:eastAsia="宋体" w:cs="Courier New"/>
      <w:szCs w:val="21"/>
    </w:rPr>
  </w:style>
  <w:style w:type="character" w:customStyle="1" w:styleId="67">
    <w:name w:val="正文文本 Char"/>
    <w:qFormat/>
    <w:uiPriority w:val="0"/>
    <w:rPr>
      <w:rFonts w:ascii="Times New Roman" w:hAnsi="Times New Roman"/>
      <w:kern w:val="2"/>
      <w:sz w:val="21"/>
      <w:szCs w:val="24"/>
    </w:rPr>
  </w:style>
  <w:style w:type="character" w:customStyle="1" w:styleId="68">
    <w:name w:val="纯文本 字符1"/>
    <w:qFormat/>
    <w:uiPriority w:val="0"/>
    <w:rPr>
      <w:rFonts w:ascii="宋体" w:hAnsi="Courier New"/>
    </w:rPr>
  </w:style>
  <w:style w:type="character" w:customStyle="1" w:styleId="69">
    <w:name w:val="纯文本 字符2"/>
    <w:qFormat/>
    <w:uiPriority w:val="0"/>
    <w:rPr>
      <w:rFonts w:ascii="宋体" w:hAnsi="Courier New" w:eastAsia="宋体" w:cs="Courier New"/>
      <w:szCs w:val="21"/>
    </w:rPr>
  </w:style>
  <w:style w:type="character" w:customStyle="1" w:styleId="70">
    <w:name w:val="批注文字 字符1"/>
    <w:qFormat/>
    <w:uiPriority w:val="0"/>
    <w:rPr>
      <w:rFonts w:ascii="Times New Roman" w:hAnsi="Times New Roman"/>
      <w:kern w:val="2"/>
      <w:sz w:val="21"/>
      <w:szCs w:val="24"/>
    </w:rPr>
  </w:style>
  <w:style w:type="character" w:customStyle="1" w:styleId="71">
    <w:name w:val="标题 8 Char"/>
    <w:qFormat/>
    <w:uiPriority w:val="0"/>
    <w:rPr>
      <w:rFonts w:ascii="Arial" w:hAnsi="Arial" w:eastAsia="黑体"/>
      <w:kern w:val="2"/>
      <w:sz w:val="24"/>
      <w:szCs w:val="24"/>
    </w:rPr>
  </w:style>
  <w:style w:type="paragraph" w:customStyle="1" w:styleId="72">
    <w:name w:val="Table Text"/>
    <w:basedOn w:val="1"/>
    <w:semiHidden/>
    <w:qFormat/>
    <w:uiPriority w:val="0"/>
    <w:rPr>
      <w:rFonts w:ascii="宋体" w:hAnsi="宋体" w:eastAsia="宋体" w:cs="宋体"/>
      <w:sz w:val="20"/>
      <w:szCs w:val="20"/>
      <w:lang w:val="en-US" w:eastAsia="en-US" w:bidi="ar-SA"/>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5">
    <w:name w:val="_Style 74"/>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6">
    <w:name w:val="Char Char Char Char"/>
    <w:basedOn w:val="1"/>
    <w:qFormat/>
    <w:uiPriority w:val="0"/>
    <w:pPr>
      <w:widowControl/>
      <w:spacing w:after="160" w:line="240" w:lineRule="exact"/>
      <w:jc w:val="left"/>
    </w:p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styleId="79">
    <w:name w:val="List Paragraph"/>
    <w:basedOn w:val="1"/>
    <w:qFormat/>
    <w:uiPriority w:val="34"/>
    <w:pPr>
      <w:ind w:firstLine="420" w:firstLineChars="200"/>
    </w:pPr>
  </w:style>
  <w:style w:type="paragraph" w:customStyle="1" w:styleId="80">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84">
    <w:name w:val="p15"/>
    <w:basedOn w:val="1"/>
    <w:qFormat/>
    <w:uiPriority w:val="0"/>
    <w:pPr>
      <w:widowControl/>
    </w:pPr>
    <w:rPr>
      <w:rFonts w:ascii="宋体" w:hAnsi="宋体" w:cs="宋体"/>
      <w:kern w:val="0"/>
    </w:rPr>
  </w:style>
  <w:style w:type="table" w:customStyle="1" w:styleId="85">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17</Pages>
  <Words>29885</Words>
  <Characters>30166</Characters>
  <Lines>347</Lines>
  <Paragraphs>97</Paragraphs>
  <TotalTime>29</TotalTime>
  <ScaleCrop>false</ScaleCrop>
  <LinksUpToDate>false</LinksUpToDate>
  <CharactersWithSpaces>30168</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2026-04-09T07:18:00Z</dcterms:created>
  <dc:creator>唐冰</dc:creator>
  <cp:lastModifiedBy>秋英</cp:lastModifiedBy>
  <cp:lastPrinted>2026-04-30T01:25:00Z</cp:lastPrinted>
  <dcterms:modified xsi:type="dcterms:W3CDTF">2026-05-27T09:03:25Z</dcterms:modified>
  <dc:title>竞争性谈判文件规范</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1D83F8D9BEE94332AB7739F73A03232C</vt:lpwstr>
  </property>
  <property fmtid="{D5CDD505-2E9C-101B-9397-08002B2CF9AE}" pid="4" name="KSOTemplateDocerSaveRecord">
    <vt:lpwstr>eyJoZGlkIjoiNTQ5Yjg4MmJkMmUwMGIwNmZmMGE0OTFmY2RlOTllYzIiLCJ1c2VySWQiOiIxNzg2NDM0NzQ4In0=</vt:lpwstr>
  </property>
</Properties>
</file>