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Toc12787"/>
      <w:bookmarkStart w:id="1" w:name="_Toc4752"/>
      <w:bookmarkStart w:id="2" w:name="_Toc15473"/>
      <w:r>
        <w:rPr>
          <w:rFonts w:hint="eastAsia" w:ascii="Cambria" w:hAnsi="Cambria"/>
          <w:b/>
          <w:bCs/>
          <w:sz w:val="32"/>
          <w:szCs w:val="32"/>
          <w:lang w:eastAsia="zh-CN"/>
        </w:rPr>
        <w:t>贵港市</w:t>
      </w:r>
      <w:r>
        <w:rPr>
          <w:rFonts w:hint="eastAsia" w:ascii="Cambria" w:hAnsi="Cambria"/>
          <w:b/>
          <w:bCs/>
          <w:sz w:val="32"/>
          <w:szCs w:val="32"/>
        </w:rPr>
        <w:t>覃塘区人民医院固定电话、办公用卡及专线等通信服务项目采购需求及控制价</w:t>
      </w:r>
      <w:bookmarkEnd w:id="0"/>
      <w:bookmarkEnd w:id="1"/>
      <w:bookmarkEnd w:id="2"/>
      <w:bookmarkStart w:id="4" w:name="_GoBack"/>
      <w:bookmarkEnd w:id="4"/>
    </w:p>
    <w:tbl>
      <w:tblPr>
        <w:tblStyle w:val="5"/>
        <w:tblpPr w:leftFromText="180" w:rightFromText="180" w:vertAnchor="text" w:horzAnchor="page" w:tblpX="1425" w:tblpY="91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98"/>
        <w:gridCol w:w="734"/>
        <w:gridCol w:w="750"/>
        <w:gridCol w:w="1554"/>
        <w:gridCol w:w="2310"/>
        <w:gridCol w:w="110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版本标注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市场调研版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专业委员会定稿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采购领导小组定稿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预算管理委员会定稿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院长办公会定稿  □党委会定稿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版本日期：2026年6月23日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归口部门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信息科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负责人签字确认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覃塘区人民医院固定电话、办公用卡及专线等通信服务项目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控制价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923584元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技术部分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产品（服务）名称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配置（服务内容）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是否进口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固定电话通讯服务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230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配置要求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设置单位内部通讯短号，费用包月，包月期间费用包含通话费、内部通讯短号费、月租、来电显示费、拨打中国电信、移动、联通、铁通、网通的市话、本地网通话费、国内长途话费。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移动通信办公用卡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满足院内移动办公使用需求。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来电名片服务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来电时展示单位名称。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 行业大模型（SaaS 版）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部署微信公众号 AI 功能，支撑医院问诊服务使用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物联网卡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开通定向访问业务。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互联网专线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要求速率：1 条 400M，1 条 100M，固定 IP。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长途专线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速率 10M 带宽长途电路，保障与社保系统对接（A 端：贵港市覃塘区人民医院，B 端：广西壮族自治区人力资源和社会保障厅）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本地线路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firstLine="17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速率 100M 带宽本地电路（A 端：贵港市覃塘区人民医院，B 端：贵港市财政局）。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8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二、商务部分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3" w:name="OLE_LINK1" w:colFirst="0" w:colLast="1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自中标通知书发出之日起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交付使用时间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合同签订后 7 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交付(实施）地点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贵港市覃塘区人民医院+具体地点或别处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特定资格（资质）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供应商须为在中华人民共和国境内依法注册，具有独立承担民事责任能力的法人或其合法分支机构；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 符合《中华人民共和国政府采购法》第二十二条规定的全部资格条件；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 未被列入失信被执行人、重大税收违法失信主体、政府采购严重违法失信行为记录名单。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验收标准与要求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严格执行国家及通信行业现行相关技术标准与服务规范，满足本项目采购需求及合同约定的各项服务指标要求。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付款条件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无预付款，签订合同后，按月费用结算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售后服务要求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免费送货上门、免费安装：提供送货及安装的时间计划；说明安装过程中对医院正常运营的影响及规避措施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接到故障通知后 1 小时内响应，2 小时内派技术人员到达现场，24 小时内解决问题；提供故障响应及处理的应急预案；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定期回访以及维护：提供定期回访及维护的计划，包括频率、内容等；说明维护过程中发现问题的处理机制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425" w:leftChars="0" w:right="0" w:rightChars="0" w:hanging="425" w:firstLineChars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服务期内免费上门维护、免费更换设备零部件；明确质保期时长；提供免费维护及零部件更换的范围及执行标准；说明设备零部件的供应保障。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三、需求参数及控制价形成说明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市场调研情况</w:t>
            </w:r>
          </w:p>
        </w:tc>
        <w:tc>
          <w:tcPr>
            <w:tcW w:w="72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楷体_GB2312" w:hAnsi="宋体" w:eastAsia="楷体_GB2312" w:cs="楷体_GB2312"/>
                <w:b w:val="0"/>
                <w:bCs w:val="0"/>
                <w:color w:val="000000"/>
                <w:sz w:val="24"/>
                <w:szCs w:val="24"/>
              </w:rPr>
              <w:t>需求调查对象</w:t>
            </w:r>
            <w:r>
              <w:rPr>
                <w:rFonts w:hint="eastAsia" w:ascii="楷体_GB2312" w:hAnsi="宋体" w:eastAsia="楷体_GB2312" w:cs="楷体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面向市场主体开展需求调查时，选择的调查对象一般不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少于 3 个，并应当具有代表性。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  <w:t>1.相关产业发展情况 2.市场供给情况 3.同类采购项目历史成交信息 4.可能涉及的运行维护、升级更新、备品备件、耗材等后续采购情况 5.其他相关情况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46E5F"/>
    <w:multiLevelType w:val="singleLevel"/>
    <w:tmpl w:val="EDF46E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32150"/>
    <w:rsid w:val="06EB579C"/>
    <w:rsid w:val="0E100F06"/>
    <w:rsid w:val="10623370"/>
    <w:rsid w:val="13642DDD"/>
    <w:rsid w:val="1739265D"/>
    <w:rsid w:val="186D15A1"/>
    <w:rsid w:val="189D1475"/>
    <w:rsid w:val="18DC7E6B"/>
    <w:rsid w:val="19484788"/>
    <w:rsid w:val="1A214706"/>
    <w:rsid w:val="1AE25688"/>
    <w:rsid w:val="27C867A0"/>
    <w:rsid w:val="2A380D53"/>
    <w:rsid w:val="381953E9"/>
    <w:rsid w:val="39122ABB"/>
    <w:rsid w:val="397A629B"/>
    <w:rsid w:val="3BBD2A68"/>
    <w:rsid w:val="3DDE1DCF"/>
    <w:rsid w:val="3FDF104A"/>
    <w:rsid w:val="41684383"/>
    <w:rsid w:val="420C5870"/>
    <w:rsid w:val="43B04F57"/>
    <w:rsid w:val="442858E1"/>
    <w:rsid w:val="46B32150"/>
    <w:rsid w:val="47725657"/>
    <w:rsid w:val="48B337D7"/>
    <w:rsid w:val="4C2B5077"/>
    <w:rsid w:val="523E4CB2"/>
    <w:rsid w:val="55685720"/>
    <w:rsid w:val="606A4464"/>
    <w:rsid w:val="61AA276D"/>
    <w:rsid w:val="68AA228F"/>
    <w:rsid w:val="68B119B5"/>
    <w:rsid w:val="6CF33ACD"/>
    <w:rsid w:val="6E946A7C"/>
    <w:rsid w:val="716F271A"/>
    <w:rsid w:val="731628BA"/>
    <w:rsid w:val="73E874D9"/>
    <w:rsid w:val="75B82FB1"/>
    <w:rsid w:val="7AEF353D"/>
    <w:rsid w:val="7F0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740</Characters>
  <Lines>0</Lines>
  <Paragraphs>0</Paragraphs>
  <TotalTime>4</TotalTime>
  <ScaleCrop>false</ScaleCrop>
  <LinksUpToDate>false</LinksUpToDate>
  <CharactersWithSpaces>790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♬</dc:creator>
  <cp:lastModifiedBy>秋英</cp:lastModifiedBy>
  <dcterms:modified xsi:type="dcterms:W3CDTF">2026-07-01T08:12:37Z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BC1EC4C70E7E4114961C2A414D45466F_13</vt:lpwstr>
  </property>
  <property fmtid="{D5CDD505-2E9C-101B-9397-08002B2CF9AE}" pid="4" name="KSOTemplateDocerSaveRecord">
    <vt:lpwstr>eyJoZGlkIjoiNTQ5Yjg4MmJkMmUwMGIwNmZmMGE0OTFmY2RlOTllYzIiLCJ1c2VySWQiOiIxNzg2NDM0NzQ4In0=</vt:lpwstr>
  </property>
</Properties>
</file>