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89D95">
      <w:pPr>
        <w:spacing w:before="480" w:after="480" w:line="288" w:lineRule="auto"/>
        <w:ind w:left="0"/>
        <w:jc w:val="center"/>
        <w:rPr>
          <w:rFonts w:hint="eastAsia" w:ascii="微软雅黑" w:hAnsi="微软雅黑" w:eastAsia="微软雅黑" w:cs="微软雅黑"/>
          <w:sz w:val="32"/>
          <w:szCs w:val="32"/>
        </w:rPr>
      </w:pPr>
      <w:r>
        <w:rPr>
          <w:rFonts w:hint="eastAsia" w:ascii="微软雅黑" w:hAnsi="微软雅黑" w:eastAsia="微软雅黑" w:cs="微软雅黑"/>
          <w:b/>
          <w:sz w:val="32"/>
          <w:szCs w:val="32"/>
        </w:rPr>
        <w:t>玉林市玉州区</w:t>
      </w:r>
      <w:r>
        <w:rPr>
          <w:rFonts w:hint="eastAsia" w:ascii="微软雅黑" w:hAnsi="微软雅黑" w:eastAsia="微软雅黑" w:cs="微软雅黑"/>
          <w:b/>
          <w:sz w:val="32"/>
          <w:szCs w:val="32"/>
          <w:lang w:eastAsia="zh-CN"/>
        </w:rPr>
        <w:t>南江苗园</w:t>
      </w:r>
      <w:r>
        <w:rPr>
          <w:rFonts w:hint="eastAsia" w:ascii="微软雅黑" w:hAnsi="微软雅黑" w:eastAsia="微软雅黑" w:cs="微软雅黑"/>
          <w:b/>
          <w:sz w:val="32"/>
          <w:szCs w:val="32"/>
        </w:rPr>
        <w:t>中学</w:t>
      </w:r>
      <w:r>
        <w:rPr>
          <w:rFonts w:hint="eastAsia" w:ascii="微软雅黑" w:hAnsi="微软雅黑" w:eastAsia="微软雅黑" w:cs="微软雅黑"/>
          <w:b/>
          <w:bCs/>
          <w:i w:val="0"/>
          <w:iCs w:val="0"/>
          <w:color w:val="000000"/>
          <w:kern w:val="0"/>
          <w:sz w:val="32"/>
          <w:szCs w:val="32"/>
          <w:u w:val="none"/>
          <w:lang w:val="en-US" w:eastAsia="zh-CN" w:bidi="ar"/>
        </w:rPr>
        <w:t>食堂物业管理服务</w:t>
      </w:r>
      <w:r>
        <w:rPr>
          <w:rFonts w:hint="eastAsia" w:ascii="微软雅黑" w:hAnsi="微软雅黑" w:eastAsia="微软雅黑" w:cs="微软雅黑"/>
          <w:b/>
          <w:sz w:val="32"/>
          <w:szCs w:val="32"/>
        </w:rPr>
        <w:t>采购需求</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30"/>
        <w:gridCol w:w="1680"/>
        <w:gridCol w:w="630"/>
        <w:gridCol w:w="690"/>
        <w:gridCol w:w="4720"/>
      </w:tblGrid>
      <w:tr w14:paraId="5722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30" w:type="dxa"/>
            <w:tcMar>
              <w:top w:w="60" w:type="dxa"/>
              <w:left w:w="120" w:type="dxa"/>
              <w:bottom w:w="30" w:type="dxa"/>
              <w:right w:w="120" w:type="dxa"/>
            </w:tcMar>
            <w:vAlign w:val="center"/>
          </w:tcPr>
          <w:p w14:paraId="07550D68">
            <w:pPr>
              <w:spacing w:before="120" w:after="120" w:line="288" w:lineRule="auto"/>
              <w:ind w:left="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680" w:type="dxa"/>
            <w:tcMar>
              <w:top w:w="60" w:type="dxa"/>
              <w:left w:w="120" w:type="dxa"/>
              <w:bottom w:w="30" w:type="dxa"/>
              <w:right w:w="120" w:type="dxa"/>
            </w:tcMar>
            <w:vAlign w:val="center"/>
          </w:tcPr>
          <w:p w14:paraId="18F84BFA">
            <w:pPr>
              <w:spacing w:before="120" w:after="120" w:line="288" w:lineRule="auto"/>
              <w:ind w:left="0"/>
              <w:jc w:val="center"/>
              <w:rPr>
                <w:rFonts w:hint="eastAsia" w:ascii="宋体" w:hAnsi="宋体" w:eastAsia="宋体" w:cs="宋体"/>
                <w:b/>
                <w:bCs/>
                <w:sz w:val="24"/>
                <w:szCs w:val="24"/>
              </w:rPr>
            </w:pPr>
            <w:r>
              <w:rPr>
                <w:rFonts w:hint="eastAsia" w:ascii="宋体" w:hAnsi="宋体" w:eastAsia="宋体" w:cs="宋体"/>
                <w:b/>
                <w:bCs/>
                <w:sz w:val="24"/>
                <w:szCs w:val="24"/>
              </w:rPr>
              <w:t>标的名称</w:t>
            </w:r>
          </w:p>
        </w:tc>
        <w:tc>
          <w:tcPr>
            <w:tcW w:w="630" w:type="dxa"/>
            <w:tcMar>
              <w:top w:w="60" w:type="dxa"/>
              <w:left w:w="120" w:type="dxa"/>
              <w:bottom w:w="30" w:type="dxa"/>
              <w:right w:w="120" w:type="dxa"/>
            </w:tcMar>
            <w:vAlign w:val="center"/>
          </w:tcPr>
          <w:p w14:paraId="4A04A9B1">
            <w:pPr>
              <w:spacing w:before="120" w:after="120" w:line="288" w:lineRule="auto"/>
              <w:ind w:left="0"/>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690" w:type="dxa"/>
            <w:tcMar>
              <w:top w:w="60" w:type="dxa"/>
              <w:left w:w="120" w:type="dxa"/>
              <w:bottom w:w="30" w:type="dxa"/>
              <w:right w:w="120" w:type="dxa"/>
            </w:tcMar>
            <w:vAlign w:val="center"/>
          </w:tcPr>
          <w:p w14:paraId="60B70849">
            <w:pPr>
              <w:spacing w:before="120" w:after="120" w:line="288" w:lineRule="auto"/>
              <w:ind w:left="0"/>
              <w:jc w:val="center"/>
              <w:rPr>
                <w:rFonts w:hint="eastAsia" w:ascii="宋体" w:hAnsi="宋体" w:eastAsia="宋体" w:cs="宋体"/>
                <w:b/>
                <w:bCs/>
                <w:sz w:val="24"/>
                <w:szCs w:val="24"/>
              </w:rPr>
            </w:pPr>
            <w:r>
              <w:rPr>
                <w:rFonts w:hint="eastAsia" w:ascii="宋体" w:hAnsi="宋体" w:eastAsia="宋体" w:cs="宋体"/>
                <w:b/>
                <w:bCs/>
                <w:sz w:val="24"/>
                <w:szCs w:val="24"/>
              </w:rPr>
              <w:t>单位</w:t>
            </w:r>
          </w:p>
        </w:tc>
        <w:tc>
          <w:tcPr>
            <w:tcW w:w="4720" w:type="dxa"/>
            <w:tcMar>
              <w:top w:w="60" w:type="dxa"/>
              <w:left w:w="120" w:type="dxa"/>
              <w:bottom w:w="30" w:type="dxa"/>
              <w:right w:w="120" w:type="dxa"/>
            </w:tcMar>
            <w:vAlign w:val="center"/>
          </w:tcPr>
          <w:p w14:paraId="1929191F">
            <w:pPr>
              <w:spacing w:before="120" w:after="120" w:line="288" w:lineRule="auto"/>
              <w:ind w:left="0"/>
              <w:jc w:val="center"/>
              <w:rPr>
                <w:rFonts w:hint="eastAsia" w:ascii="宋体" w:hAnsi="宋体" w:eastAsia="宋体" w:cs="宋体"/>
                <w:b/>
                <w:bCs/>
                <w:sz w:val="24"/>
                <w:szCs w:val="24"/>
              </w:rPr>
            </w:pPr>
            <w:r>
              <w:rPr>
                <w:rFonts w:hint="eastAsia" w:ascii="宋体" w:hAnsi="宋体" w:eastAsia="宋体" w:cs="宋体"/>
                <w:b/>
                <w:bCs/>
                <w:sz w:val="24"/>
                <w:szCs w:val="24"/>
              </w:rPr>
              <w:t>服务内容及要求</w:t>
            </w:r>
          </w:p>
        </w:tc>
      </w:tr>
      <w:tr w14:paraId="6D25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30" w:type="dxa"/>
            <w:tcMar>
              <w:top w:w="60" w:type="dxa"/>
              <w:left w:w="120" w:type="dxa"/>
              <w:bottom w:w="30" w:type="dxa"/>
              <w:right w:w="120" w:type="dxa"/>
            </w:tcMar>
            <w:vAlign w:val="center"/>
          </w:tcPr>
          <w:p w14:paraId="6C4130FD">
            <w:pPr>
              <w:spacing w:before="120" w:after="120" w:line="288" w:lineRule="auto"/>
              <w:ind w:left="0"/>
              <w:jc w:val="center"/>
              <w:rPr>
                <w:rFonts w:hint="eastAsia" w:ascii="宋体" w:hAnsi="宋体" w:eastAsia="宋体" w:cs="宋体"/>
                <w:sz w:val="24"/>
                <w:szCs w:val="24"/>
              </w:rPr>
            </w:pPr>
            <w:r>
              <w:rPr>
                <w:rFonts w:hint="eastAsia" w:ascii="宋体" w:hAnsi="宋体" w:eastAsia="宋体" w:cs="宋体"/>
                <w:sz w:val="24"/>
                <w:szCs w:val="24"/>
              </w:rPr>
              <w:t>1</w:t>
            </w:r>
          </w:p>
        </w:tc>
        <w:tc>
          <w:tcPr>
            <w:tcW w:w="1680" w:type="dxa"/>
            <w:tcMar>
              <w:top w:w="60" w:type="dxa"/>
              <w:left w:w="120" w:type="dxa"/>
              <w:bottom w:w="30" w:type="dxa"/>
              <w:right w:w="120" w:type="dxa"/>
            </w:tcMar>
            <w:vAlign w:val="center"/>
          </w:tcPr>
          <w:p w14:paraId="3759DA34">
            <w:pPr>
              <w:spacing w:before="120" w:after="120" w:line="288" w:lineRule="auto"/>
              <w:ind w:left="0"/>
              <w:jc w:val="center"/>
              <w:rPr>
                <w:rFonts w:hint="eastAsia" w:ascii="宋体" w:hAnsi="宋体" w:eastAsia="宋体" w:cs="宋体"/>
                <w:sz w:val="24"/>
                <w:szCs w:val="24"/>
              </w:rPr>
            </w:pPr>
            <w:r>
              <w:rPr>
                <w:rFonts w:hint="eastAsia" w:ascii="宋体" w:hAnsi="宋体" w:eastAsia="宋体" w:cs="宋体"/>
                <w:sz w:val="24"/>
                <w:szCs w:val="24"/>
              </w:rPr>
              <w:t>玉林市玉州区</w:t>
            </w:r>
            <w:r>
              <w:rPr>
                <w:rFonts w:hint="eastAsia" w:ascii="宋体" w:hAnsi="宋体" w:eastAsia="宋体" w:cs="宋体"/>
                <w:sz w:val="24"/>
                <w:szCs w:val="24"/>
                <w:lang w:eastAsia="zh-CN"/>
              </w:rPr>
              <w:t>南江苗园</w:t>
            </w:r>
            <w:r>
              <w:rPr>
                <w:rFonts w:hint="eastAsia" w:ascii="宋体" w:hAnsi="宋体" w:eastAsia="宋体" w:cs="宋体"/>
                <w:sz w:val="24"/>
                <w:szCs w:val="24"/>
              </w:rPr>
              <w:t>中学食堂</w:t>
            </w:r>
            <w:r>
              <w:rPr>
                <w:rFonts w:hint="eastAsia" w:ascii="宋体" w:hAnsi="宋体" w:eastAsia="宋体" w:cs="宋体"/>
                <w:sz w:val="24"/>
                <w:szCs w:val="24"/>
                <w:lang w:val="en-US" w:eastAsia="zh-CN"/>
              </w:rPr>
              <w:t>物业管理</w:t>
            </w:r>
            <w:bookmarkStart w:id="0" w:name="_GoBack"/>
            <w:bookmarkEnd w:id="0"/>
            <w:r>
              <w:rPr>
                <w:rFonts w:hint="eastAsia" w:ascii="宋体" w:hAnsi="宋体" w:eastAsia="宋体" w:cs="宋体"/>
                <w:sz w:val="24"/>
                <w:szCs w:val="24"/>
              </w:rPr>
              <w:t>服务</w:t>
            </w:r>
          </w:p>
        </w:tc>
        <w:tc>
          <w:tcPr>
            <w:tcW w:w="630" w:type="dxa"/>
            <w:tcMar>
              <w:top w:w="60" w:type="dxa"/>
              <w:left w:w="120" w:type="dxa"/>
              <w:bottom w:w="30" w:type="dxa"/>
              <w:right w:w="120" w:type="dxa"/>
            </w:tcMar>
            <w:vAlign w:val="center"/>
          </w:tcPr>
          <w:p w14:paraId="3DB5E961">
            <w:pPr>
              <w:spacing w:before="120" w:after="120" w:line="288" w:lineRule="auto"/>
              <w:ind w:left="0"/>
              <w:jc w:val="center"/>
              <w:rPr>
                <w:rFonts w:hint="eastAsia" w:ascii="宋体" w:hAnsi="宋体" w:eastAsia="宋体" w:cs="宋体"/>
                <w:sz w:val="24"/>
                <w:szCs w:val="24"/>
              </w:rPr>
            </w:pPr>
            <w:r>
              <w:rPr>
                <w:rFonts w:hint="eastAsia" w:ascii="宋体" w:hAnsi="宋体" w:eastAsia="宋体" w:cs="宋体"/>
                <w:sz w:val="24"/>
                <w:szCs w:val="24"/>
              </w:rPr>
              <w:t>1</w:t>
            </w:r>
          </w:p>
        </w:tc>
        <w:tc>
          <w:tcPr>
            <w:tcW w:w="690" w:type="dxa"/>
            <w:tcMar>
              <w:top w:w="60" w:type="dxa"/>
              <w:left w:w="120" w:type="dxa"/>
              <w:bottom w:w="30" w:type="dxa"/>
              <w:right w:w="120" w:type="dxa"/>
            </w:tcMar>
            <w:vAlign w:val="center"/>
          </w:tcPr>
          <w:p w14:paraId="43E76731">
            <w:pPr>
              <w:spacing w:before="120" w:after="120" w:line="288" w:lineRule="auto"/>
              <w:ind w:left="0"/>
              <w:jc w:val="center"/>
              <w:rPr>
                <w:rFonts w:hint="eastAsia" w:ascii="宋体" w:hAnsi="宋体" w:eastAsia="宋体" w:cs="宋体"/>
                <w:sz w:val="24"/>
                <w:szCs w:val="24"/>
              </w:rPr>
            </w:pPr>
            <w:r>
              <w:rPr>
                <w:rFonts w:hint="eastAsia" w:ascii="宋体" w:hAnsi="宋体" w:eastAsia="宋体" w:cs="宋体"/>
                <w:sz w:val="24"/>
                <w:szCs w:val="24"/>
              </w:rPr>
              <w:t>项</w:t>
            </w:r>
          </w:p>
        </w:tc>
        <w:tc>
          <w:tcPr>
            <w:tcW w:w="4720" w:type="dxa"/>
            <w:tcMar>
              <w:top w:w="60" w:type="dxa"/>
              <w:left w:w="120" w:type="dxa"/>
              <w:bottom w:w="30" w:type="dxa"/>
              <w:right w:w="120" w:type="dxa"/>
            </w:tcMar>
          </w:tcPr>
          <w:p w14:paraId="3A8604EF">
            <w:pPr>
              <w:spacing w:before="320" w:after="120" w:line="288" w:lineRule="auto"/>
              <w:ind w:left="0"/>
              <w:jc w:val="left"/>
              <w:outlineLvl w:val="1"/>
              <w:rPr>
                <w:rFonts w:hint="eastAsia" w:ascii="宋体" w:hAnsi="宋体" w:eastAsia="宋体" w:cs="宋体"/>
                <w:sz w:val="24"/>
                <w:szCs w:val="24"/>
              </w:rPr>
            </w:pPr>
            <w:r>
              <w:rPr>
                <w:rFonts w:hint="eastAsia" w:ascii="宋体" w:hAnsi="宋体" w:eastAsia="宋体" w:cs="宋体"/>
                <w:b/>
                <w:sz w:val="24"/>
                <w:szCs w:val="24"/>
              </w:rPr>
              <w:t>一、服务整体概况</w:t>
            </w:r>
          </w:p>
          <w:p w14:paraId="1CA344F5">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1.服务范围：承担玉林市玉州区</w:t>
            </w:r>
            <w:r>
              <w:rPr>
                <w:rFonts w:hint="eastAsia" w:ascii="宋体" w:hAnsi="宋体" w:eastAsia="宋体" w:cs="宋体"/>
                <w:sz w:val="24"/>
                <w:szCs w:val="24"/>
                <w:lang w:eastAsia="zh-CN"/>
              </w:rPr>
              <w:t>南江苗园</w:t>
            </w:r>
            <w:r>
              <w:rPr>
                <w:rFonts w:hint="eastAsia" w:ascii="宋体" w:hAnsi="宋体" w:eastAsia="宋体" w:cs="宋体"/>
                <w:sz w:val="24"/>
                <w:szCs w:val="24"/>
              </w:rPr>
              <w:t>中学全体在校学生早、中、晚三餐的食材加工、餐食制作、窗口售卖及常态化供餐保障工作。同时全面承接校方安排的节假日加餐、课后延时服务加餐、校园大型活动供餐、突发应急供餐等各类临时性供餐任务，全方位满足学校日常教学及特殊场景的学生用餐保障需求。</w:t>
            </w:r>
          </w:p>
          <w:p w14:paraId="1A40FE38">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2.运营模式：本项目实行校方物资统筹、服务商专业运营的合作模式。采购人（学校）统一负责食堂运营所需全部物资采购工作，涵盖各类生鲜食材、烹饪调味辅料、清洁消杀用品、办公及作业耗材等所有物料。成交供应商专职负责食堂餐食加工制作、现场日常运营管控、在岗人员统筹调配、服务品质监督管控、全域环境卫生管理等全流程专业化运营服务。</w:t>
            </w:r>
          </w:p>
          <w:p w14:paraId="6925F417">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3.设备保障：采购人无偿向成交供应商提供食堂运营所需全套基础设施及设备，包含各类厨具、餐具、电气设备、冷藏消杀设备、操作台面、就餐设施等，保障食堂常态化合规运营。成交供应商须对校方提供的所有设备设施承担规范使用、日常养护、定期检查、妥善保管责任，严格杜绝违规操作、人为磕碰、恶意损坏设备等问题，确保设备长期完好可用。</w:t>
            </w:r>
          </w:p>
          <w:p w14:paraId="1F64E50E">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4.服务宗旨：严格恪守国家、自治区、市级食品安全法律法规及中小学校园餐饮行业规范，严守食品安全红线，聚焦学生健康成长需求，保障餐食安全卫生、营养均衡、膳食科学。持续优化菜品结构与口味品质，提升师生用餐体验，打造整洁规范、安全有序、优质高效的校园餐饮服务环境，精准适配学校办学管理及学生日常用餐需求。</w:t>
            </w:r>
          </w:p>
          <w:p w14:paraId="0DE494E9">
            <w:pPr>
              <w:spacing w:before="320" w:after="120" w:line="288" w:lineRule="auto"/>
              <w:ind w:left="0"/>
              <w:jc w:val="left"/>
              <w:outlineLvl w:val="1"/>
              <w:rPr>
                <w:rFonts w:hint="eastAsia" w:ascii="宋体" w:hAnsi="宋体" w:eastAsia="宋体" w:cs="宋体"/>
                <w:sz w:val="24"/>
                <w:szCs w:val="24"/>
              </w:rPr>
            </w:pPr>
            <w:r>
              <w:rPr>
                <w:rFonts w:hint="eastAsia" w:ascii="宋体" w:hAnsi="宋体" w:eastAsia="宋体" w:cs="宋体"/>
                <w:b/>
                <w:sz w:val="24"/>
                <w:szCs w:val="24"/>
              </w:rPr>
              <w:t>二、岗位人员配置及任职标准</w:t>
            </w:r>
          </w:p>
          <w:p w14:paraId="7D6B8B77">
            <w:pPr>
              <w:spacing w:before="300" w:after="120" w:line="288" w:lineRule="auto"/>
              <w:ind w:left="0"/>
              <w:jc w:val="left"/>
              <w:outlineLvl w:val="2"/>
              <w:rPr>
                <w:rFonts w:hint="eastAsia" w:ascii="宋体" w:hAnsi="宋体" w:eastAsia="宋体" w:cs="宋体"/>
                <w:sz w:val="24"/>
                <w:szCs w:val="24"/>
              </w:rPr>
            </w:pPr>
            <w:r>
              <w:rPr>
                <w:rFonts w:hint="eastAsia" w:ascii="宋体" w:hAnsi="宋体" w:eastAsia="宋体" w:cs="宋体"/>
                <w:b/>
                <w:sz w:val="24"/>
                <w:szCs w:val="24"/>
              </w:rPr>
              <w:t>（一）食堂厨工（</w:t>
            </w:r>
            <w:r>
              <w:rPr>
                <w:rFonts w:hint="eastAsia" w:ascii="宋体" w:hAnsi="宋体" w:eastAsia="宋体" w:cs="宋体"/>
                <w:b/>
                <w:sz w:val="24"/>
                <w:szCs w:val="24"/>
                <w:lang w:val="en-US" w:eastAsia="zh-CN"/>
              </w:rPr>
              <w:t>28</w:t>
            </w:r>
            <w:r>
              <w:rPr>
                <w:rFonts w:hint="eastAsia" w:ascii="宋体" w:hAnsi="宋体" w:eastAsia="宋体" w:cs="宋体"/>
                <w:b/>
                <w:sz w:val="24"/>
                <w:szCs w:val="24"/>
              </w:rPr>
              <w:t>名）</w:t>
            </w:r>
          </w:p>
          <w:p w14:paraId="6F5A4BF6">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b/>
                <w:sz w:val="24"/>
                <w:szCs w:val="24"/>
              </w:rPr>
              <w:t>任职条件</w:t>
            </w:r>
            <w:r>
              <w:rPr>
                <w:rFonts w:hint="eastAsia" w:ascii="宋体" w:hAnsi="宋体" w:eastAsia="宋体" w:cs="宋体"/>
                <w:sz w:val="24"/>
                <w:szCs w:val="24"/>
              </w:rPr>
              <w:t>：男女不限，年龄处于20-60周岁区间，身体健康、体能充沛，能够适配食堂常态化高强度作业节奏；持有有效期内个人健康证明，无传染性疾病、慢性病及其他不适宜从事餐饮作业的疾病；熟练掌握食堂基础勤杂技能，熟悉食材分拣、清洗、切配、蒸煮、供餐等基础作业流程；工作认真负责、服从统一岗位调度，严格遵守食品安全操作规范，具备良好的团队协作意识与沟通能力，可配合厨师及食堂管理人员完成各项日常及临时工作任务。</w:t>
            </w:r>
          </w:p>
          <w:p w14:paraId="2A6153BA">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b/>
                <w:sz w:val="24"/>
                <w:szCs w:val="24"/>
              </w:rPr>
              <w:t>岗位职责</w:t>
            </w:r>
            <w:r>
              <w:rPr>
                <w:rFonts w:hint="eastAsia" w:ascii="宋体" w:hAnsi="宋体" w:eastAsia="宋体" w:cs="宋体"/>
                <w:sz w:val="24"/>
                <w:szCs w:val="24"/>
              </w:rPr>
              <w:t>：</w:t>
            </w:r>
          </w:p>
          <w:p w14:paraId="4C17DEC6">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1.负责每日各类食材的精细化清洗、分类处理、规范切配、餐前备餐、米饭蒸煮、餐期有序供餐，同步完成责任区域的日常清洁工作。</w:t>
            </w:r>
          </w:p>
          <w:p w14:paraId="016BFC54">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2.严格执行生熟分开、荤素分离、成品与半成品隔离的作业标准，规范使用分类工具及容器，从源头杜绝食品交叉污染，全力配合厨师完成食材预处理、餐食加工等辅助工作。</w:t>
            </w:r>
          </w:p>
          <w:p w14:paraId="17815B93">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3.设置厨工组长1名，专项负责早餐菜品制作、一线厨工日常排班调度、食堂劳保用品及作业耗材的登记、保管、申领、发放管理工作，统筹协调班组日常作业。</w:t>
            </w:r>
          </w:p>
          <w:p w14:paraId="28179363">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4.严格落实“一餐一清洁、餐后必消杀”的作业制度，全面完成食堂就餐区域、后厨操作区、操作台、餐具器具的清洁、消杀、整理工作。</w:t>
            </w:r>
          </w:p>
          <w:p w14:paraId="259C6F20">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5.主动参与校方及服务商组织的食品安全知识、岗位操作技能、服务规范等各类培训及考核，保质保量完成校方及食堂交办的各项临时性工作。</w:t>
            </w:r>
          </w:p>
          <w:p w14:paraId="2381054B">
            <w:pPr>
              <w:spacing w:before="300" w:after="120" w:line="288" w:lineRule="auto"/>
              <w:ind w:left="0"/>
              <w:jc w:val="left"/>
              <w:outlineLvl w:val="2"/>
              <w:rPr>
                <w:rFonts w:hint="eastAsia" w:ascii="宋体" w:hAnsi="宋体" w:eastAsia="宋体" w:cs="宋体"/>
                <w:sz w:val="24"/>
                <w:szCs w:val="24"/>
              </w:rPr>
            </w:pPr>
            <w:r>
              <w:rPr>
                <w:rFonts w:hint="eastAsia" w:ascii="宋体" w:hAnsi="宋体" w:eastAsia="宋体" w:cs="宋体"/>
                <w:b/>
                <w:sz w:val="24"/>
                <w:szCs w:val="24"/>
              </w:rPr>
              <w:t>（二）食堂厨师（</w:t>
            </w:r>
            <w:r>
              <w:rPr>
                <w:rFonts w:hint="eastAsia" w:ascii="宋体" w:hAnsi="宋体" w:eastAsia="宋体" w:cs="宋体"/>
                <w:b/>
                <w:sz w:val="24"/>
                <w:szCs w:val="24"/>
                <w:lang w:val="en-US" w:eastAsia="zh-CN"/>
              </w:rPr>
              <w:t>6</w:t>
            </w:r>
            <w:r>
              <w:rPr>
                <w:rFonts w:hint="eastAsia" w:ascii="宋体" w:hAnsi="宋体" w:eastAsia="宋体" w:cs="宋体"/>
                <w:b/>
                <w:sz w:val="24"/>
                <w:szCs w:val="24"/>
              </w:rPr>
              <w:t>名）</w:t>
            </w:r>
          </w:p>
          <w:p w14:paraId="26C8AD94">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b/>
                <w:sz w:val="24"/>
                <w:szCs w:val="24"/>
              </w:rPr>
              <w:t>任职条件</w:t>
            </w:r>
            <w:r>
              <w:rPr>
                <w:rFonts w:hint="eastAsia" w:ascii="宋体" w:hAnsi="宋体" w:eastAsia="宋体" w:cs="宋体"/>
                <w:sz w:val="24"/>
                <w:szCs w:val="24"/>
              </w:rPr>
              <w:t>：仅限男性，年龄35-60周岁，身体健康、体力充足，可长期胜任后厨烹饪作业工作；持有有效期内健康证明，无传染性疾病、职业禁忌等不适宜从业的身体问题；具备3年及以上中小学食堂、大型集体餐饮场所专职烹饪工作经验，熟悉青少年饮食特点、口味偏好及生长发育营养需求，可研发、制作多样化、营养化、适配学生体质的菜品；熟练掌握食品安全烹饪操作规范，具备良好的成本管控意识，能够合理把控食材损耗，节约运营能耗。</w:t>
            </w:r>
          </w:p>
          <w:p w14:paraId="1454A744">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b/>
                <w:sz w:val="24"/>
                <w:szCs w:val="24"/>
              </w:rPr>
              <w:t>岗位职责</w:t>
            </w:r>
            <w:r>
              <w:rPr>
                <w:rFonts w:hint="eastAsia" w:ascii="宋体" w:hAnsi="宋体" w:eastAsia="宋体" w:cs="宋体"/>
                <w:sz w:val="24"/>
                <w:szCs w:val="24"/>
              </w:rPr>
              <w:t>：1.严格按照学校供餐时间节点，高效完成早、中、晚餐各类菜品的精细化加工、烹饪制作工作，确保每日餐食准时、保质、保量供应。</w:t>
            </w:r>
          </w:p>
          <w:p w14:paraId="053D36BD">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2.科学合理利用各类食材原材料，精准配比用料，严控食材浪费，最大限度节约水、电、燃气等各类运营能源，降本增效。</w:t>
            </w:r>
          </w:p>
          <w:p w14:paraId="2A985522">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3.负责后厨灶台、烹饪操作台、烹饪设备及周边作业区域的日常清洁整理，做到工具摆放规范、垃圾及时清运、区域干净无杂物、无油污。</w:t>
            </w:r>
          </w:p>
          <w:p w14:paraId="3C660A0C">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4.主动钻研烹饪技艺，积极参与食堂月度菜品创新研讨工作，持续丰富菜品种类、优化菜品口感、均衡膳食营养，充分适配青少年日常生长发育的饮食需求。</w:t>
            </w:r>
          </w:p>
          <w:p w14:paraId="3517AE08">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5.严格执行食品留样管理制度，规范完成每餐、每样餐食的留样、封存、登记工作，确保留样资料完整可追溯。</w:t>
            </w:r>
          </w:p>
          <w:p w14:paraId="343F3D74">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6.严格遵守各类后厨设备安全操作规范，负责烹饪设备的日常巡检、基础养护、故障排查及上报工作，保障设备安全稳定运行。</w:t>
            </w:r>
          </w:p>
          <w:p w14:paraId="4A989282">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7.服从学校后勤部门及食堂管理人员的统一调度，高效完成各类临时供餐、专项保障工作。</w:t>
            </w:r>
          </w:p>
          <w:p w14:paraId="4CFE6F97">
            <w:pPr>
              <w:spacing w:before="300" w:after="120" w:line="288" w:lineRule="auto"/>
              <w:ind w:left="0"/>
              <w:jc w:val="left"/>
              <w:outlineLvl w:val="2"/>
              <w:rPr>
                <w:rFonts w:hint="eastAsia" w:ascii="宋体" w:hAnsi="宋体" w:eastAsia="宋体" w:cs="宋体"/>
                <w:sz w:val="24"/>
                <w:szCs w:val="24"/>
              </w:rPr>
            </w:pPr>
            <w:r>
              <w:rPr>
                <w:rFonts w:hint="eastAsia" w:ascii="宋体" w:hAnsi="宋体" w:eastAsia="宋体" w:cs="宋体"/>
                <w:b/>
                <w:sz w:val="24"/>
                <w:szCs w:val="24"/>
              </w:rPr>
              <w:t>（三）食堂膳务组长（1名）</w:t>
            </w:r>
          </w:p>
          <w:p w14:paraId="1DFA552B">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b/>
                <w:sz w:val="24"/>
                <w:szCs w:val="24"/>
              </w:rPr>
              <w:t>任职条件</w:t>
            </w:r>
            <w:r>
              <w:rPr>
                <w:rFonts w:hint="eastAsia" w:ascii="宋体" w:hAnsi="宋体" w:eastAsia="宋体" w:cs="宋体"/>
                <w:sz w:val="24"/>
                <w:szCs w:val="24"/>
              </w:rPr>
              <w:t>：男女不限，年龄20-55周岁，身心健康，具备较强的抗压能力、现场统筹能力及突发事件应急处置能力；持有有效期内健康证明；具备3年及以上中小学食堂或大型正规餐饮场所全面管理工作经验，熟练掌握校园食堂全套运营流程、食品安全法律法规及学校后勤管理制度；具备优秀的人员管理、统筹调度、沟通协调、问题整改能力，工作严谨细致、责任心强、执行力高效。</w:t>
            </w:r>
          </w:p>
          <w:p w14:paraId="6F2EABB0">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b/>
                <w:sz w:val="24"/>
                <w:szCs w:val="24"/>
              </w:rPr>
              <w:t>岗位职责</w:t>
            </w:r>
            <w:r>
              <w:rPr>
                <w:rFonts w:hint="eastAsia" w:ascii="宋体" w:hAnsi="宋体" w:eastAsia="宋体" w:cs="宋体"/>
                <w:sz w:val="24"/>
                <w:szCs w:val="24"/>
              </w:rPr>
              <w:t>：</w:t>
            </w:r>
          </w:p>
          <w:p w14:paraId="70A73F7D">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1.全面统筹监管食堂全体在岗人员的日常作业，监督所有员工严格遵守学校规章制度、食品安全规范及岗位工作职责，每日开展全域工作巡检，详实做好巡检记录。</w:t>
            </w:r>
          </w:p>
          <w:p w14:paraId="4258CC0A">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2.全权负责食堂全域环境卫生管理，统筹落实设备、餐具、场地消杀工作，严格执行“每日常态化清洁、每周深度大扫除”制度，常态化开展四害消杀作业，确保食堂卫生全面达标。</w:t>
            </w:r>
          </w:p>
          <w:p w14:paraId="1A816EC6">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3.负责食堂员工的招录筛选、岗前培训、在岗督导、季度考核、奖惩管理等工作，建立完善的员工个人档案，统一归集健康证明、无犯罪记录证明、培训台账、考核结果等全套资质资料，做到一人一档、资料齐全。</w:t>
            </w:r>
          </w:p>
          <w:p w14:paraId="02268BA1">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4.常态化对接学校后勤管理部门，及时传达校方各项工作要求，每周梳理食堂工作完成情况，编制工作小结及下周工作计划，按时报送校方。</w:t>
            </w:r>
          </w:p>
          <w:p w14:paraId="6C98E6D1">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5.专人负责收集、梳理、汇总师生用餐意见及建议，针对用餐过程中出现的菜品、服务、卫生等问题，制定整改方案并落地闭环整改，持续优化供餐服务品质。</w:t>
            </w:r>
          </w:p>
          <w:p w14:paraId="0357CAF6">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6.若出现核心岗位人员更替情况，需提前7个工作日向校方提交书面报备材料，完整、规范完成岗位工作交接，保障食堂运营不间断、无断层。</w:t>
            </w:r>
          </w:p>
          <w:p w14:paraId="473A6C73">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b/>
                <w:sz w:val="24"/>
                <w:szCs w:val="24"/>
              </w:rPr>
              <w:t>备注</w:t>
            </w:r>
            <w:r>
              <w:rPr>
                <w:rFonts w:hint="eastAsia" w:ascii="宋体" w:hAnsi="宋体" w:eastAsia="宋体" w:cs="宋体"/>
                <w:sz w:val="24"/>
                <w:szCs w:val="24"/>
              </w:rPr>
              <w:t>：若校方因在校学生人数增减、供餐模式优化、教学安排调整、校园重大活动部署等客观因素，导致食堂各岗位工作量、工作范围、岗位职责发生变动的，甲乙双方可协商核定调整服务费用，通过签订补充协议的方式予以正式确认。</w:t>
            </w:r>
          </w:p>
          <w:p w14:paraId="1B415078">
            <w:pPr>
              <w:spacing w:before="320" w:after="120" w:line="288" w:lineRule="auto"/>
              <w:ind w:left="0"/>
              <w:jc w:val="left"/>
              <w:outlineLvl w:val="1"/>
              <w:rPr>
                <w:rFonts w:hint="eastAsia" w:ascii="宋体" w:hAnsi="宋体" w:eastAsia="宋体" w:cs="宋体"/>
                <w:sz w:val="24"/>
                <w:szCs w:val="24"/>
              </w:rPr>
            </w:pPr>
            <w:r>
              <w:rPr>
                <w:rFonts w:hint="eastAsia" w:ascii="宋体" w:hAnsi="宋体" w:eastAsia="宋体" w:cs="宋体"/>
                <w:b/>
                <w:sz w:val="24"/>
                <w:szCs w:val="24"/>
              </w:rPr>
              <w:t>三、核心服务标准与运营规范</w:t>
            </w:r>
          </w:p>
          <w:p w14:paraId="0E0BFEDA">
            <w:pPr>
              <w:spacing w:before="300" w:after="120" w:line="288" w:lineRule="auto"/>
              <w:ind w:left="0"/>
              <w:jc w:val="left"/>
              <w:outlineLvl w:val="2"/>
              <w:rPr>
                <w:rFonts w:hint="eastAsia" w:ascii="宋体" w:hAnsi="宋体" w:eastAsia="宋体" w:cs="宋体"/>
                <w:sz w:val="24"/>
                <w:szCs w:val="24"/>
              </w:rPr>
            </w:pPr>
            <w:r>
              <w:rPr>
                <w:rFonts w:hint="eastAsia" w:ascii="宋体" w:hAnsi="宋体" w:eastAsia="宋体" w:cs="宋体"/>
                <w:b/>
                <w:sz w:val="24"/>
                <w:szCs w:val="24"/>
              </w:rPr>
              <w:t>（一）食品安全与餐品质量标准</w:t>
            </w:r>
          </w:p>
          <w:p w14:paraId="20E2E5F6">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1.严格遵照《中华人民共和国食品安全法》《学校食品安全与营养健康管理规定》等国家法律法规及行业标准开展运营工作，主动接受市场监管部门、卫生防疫机构及校方的全过程监督、检查与考核，坚决杜绝食品安全隐患、食品安全事故及群体性用餐不适事件发生。</w:t>
            </w:r>
          </w:p>
          <w:p w14:paraId="6DEDD630">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2.食材预处理严格执行标准化作业流程：果蔬类食材充分浸泡、多次反复清洗，彻底清除表面杂质、农药残留及虫卵；肉类、水产类食材实行分区、分池独立清洗处理，严格划分生熟加工区域、专用工具及盛放容器，张贴清晰分类标识，全方位杜绝食品交叉污染风险。</w:t>
            </w:r>
          </w:p>
          <w:p w14:paraId="6578DBBF">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3.常态化落实食品留样管理制度，每餐每样餐食留样重量不低于125g，冷藏留存时间不少于48小时，精准详实记录留样菜品名称、制作日期、对应餐次、操作责任人等信息，建立完整留样台账，做到全程可追溯、可核查。</w:t>
            </w:r>
          </w:p>
          <w:p w14:paraId="1E45B4E6">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4.持续优化菜品品质与膳食结构，保障餐食口味适中、营养配比科学、菜品品类丰富，贴合学生饮食需求。每月至少完成1次菜单更新优化，更新后的菜单需提前报送学校后勤部门审核备案，审核通过后方可执行。</w:t>
            </w:r>
          </w:p>
          <w:p w14:paraId="07E382A0">
            <w:pPr>
              <w:spacing w:before="300" w:after="120" w:line="288" w:lineRule="auto"/>
              <w:ind w:left="0"/>
              <w:jc w:val="left"/>
              <w:outlineLvl w:val="2"/>
              <w:rPr>
                <w:rFonts w:hint="eastAsia" w:ascii="宋体" w:hAnsi="宋体" w:eastAsia="宋体" w:cs="宋体"/>
                <w:sz w:val="24"/>
                <w:szCs w:val="24"/>
              </w:rPr>
            </w:pPr>
            <w:r>
              <w:rPr>
                <w:rFonts w:hint="eastAsia" w:ascii="宋体" w:hAnsi="宋体" w:eastAsia="宋体" w:cs="宋体"/>
                <w:b/>
                <w:sz w:val="24"/>
                <w:szCs w:val="24"/>
              </w:rPr>
              <w:t>（二）全域环境卫生管理标准</w:t>
            </w:r>
          </w:p>
          <w:p w14:paraId="2AA01280">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1.餐具消杀管理：每批次用餐结束后，所有餐盘、碗筷、汤勺、餐盆等餐具严格按照“残渣清理—油污清洗—清水漂洗—规范消杀”四步标准流程处理。可采用134℃热力消杀15分钟或国家合规化学消杀方式开展消杀作业，消杀完成后的洁净餐具统一存放于密闭保洁柜，做到防尘、防潮、无菌，杜绝二次污染。</w:t>
            </w:r>
          </w:p>
          <w:p w14:paraId="2C63AE01">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2.场地保洁管理：每餐用餐结束后，即刻清理餐桌、餐椅、就餐通道、后厨操作区、库房及食堂所有公共区域，严格落实“一餐一清扫、一周一大扫除”保洁制度。每月开展不少于2次全域四害专项消杀工作，确保食堂全域无垃圾、无油污、无积水、无异味，全面满足卫生监管及校方考核标准。</w:t>
            </w:r>
          </w:p>
          <w:p w14:paraId="5A821E09">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3.人员卫生管理：所有在岗人员必须持证上岗，健康证明在有效期内方可开展作业。工作期间统一穿戴整洁工装、工作帽、口罩、手套，严禁穿戴食堂工装离开作业及校园就餐区域。工作人员严禁留长指甲、涂抹指甲油、佩戴饰品作业，男性员工不得留长发、蓄胡须。严禁在食品操作区域吸烟、饮酒、嚼槟榔及从事与工作无关的行为。操作食材前、如厕后、接触垃圾、处理生鲜食材后，必须严格按照七步洗手法，在流动水下完成洗手消毒。</w:t>
            </w:r>
          </w:p>
          <w:p w14:paraId="647C3CC9">
            <w:pPr>
              <w:spacing w:before="300" w:after="120" w:line="288" w:lineRule="auto"/>
              <w:ind w:left="0"/>
              <w:jc w:val="left"/>
              <w:outlineLvl w:val="2"/>
              <w:rPr>
                <w:rFonts w:hint="eastAsia" w:ascii="宋体" w:hAnsi="宋体" w:eastAsia="宋体" w:cs="宋体"/>
                <w:sz w:val="24"/>
                <w:szCs w:val="24"/>
              </w:rPr>
            </w:pPr>
            <w:r>
              <w:rPr>
                <w:rFonts w:hint="eastAsia" w:ascii="宋体" w:hAnsi="宋体" w:eastAsia="宋体" w:cs="宋体"/>
                <w:b/>
                <w:sz w:val="24"/>
                <w:szCs w:val="24"/>
              </w:rPr>
              <w:t>（三）人员管控运营规范</w:t>
            </w:r>
          </w:p>
          <w:p w14:paraId="462F2A39">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1.人员交接管理：成交供应商需全面承接学校现有食堂在岗工作人员，在合同签订之日起7个工作日内，完成全体员工资质核验、信息登记、工作对接等全员交接工作，逐一核查员工健康从业资质，签订正式交接确认文书。对不符合岗位任职标准、无法适配工作需求的人员，需在交接完成后15日内完成人员优化调整、岗位更替，并将人员调整明细、更替原因书面报备校方备案。</w:t>
            </w:r>
          </w:p>
          <w:p w14:paraId="6FC70AB8">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2.合规用工管理：成交供应商需严格遵守国家劳动用工法律法规，与所有在岗员工依法签订劳动或劳务合同，明确甲乙双方用工权责、薪酬标准、工作要求，完善全套用工手续。严格按照国家政策为在岗员工缴纳社保或合规商业保险，按时、足额发放员工工资、加班费等各类薪酬，杜绝拖欠、克扣员工薪资行为。建立完善的劳资纠纷排查、处置机制，及时响应、妥善解决员工合理诉求，杜绝劳资问题影响食堂正常运营及校园秩序。</w:t>
            </w:r>
          </w:p>
          <w:p w14:paraId="3810C53A">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3.常态化培训考核：建立“月度专项培训、季度技能考核”的常态化人才培养体系，每月组织全员开展食品安全法规、岗位操作规范、服务礼仪、应急处置等专项培训，每季度开展岗位技能实操考核。所有培训课件、签到记录、考核成绩统一归档至员工个人档案，同时鼓励员工参与行业技能提升培训、职业职称评定，持续提升食堂团队整体专业化服务水平。</w:t>
            </w:r>
          </w:p>
          <w:p w14:paraId="4C1ABB39">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4.在岗纪律管理：全体食堂员工需严格遵守学校行政管理、消防安全、食品安全、校园治安、后勤管理等各项规章制度，严禁无故缺岗、迟到早退、消极怠工、酒后上岗、违规作业。工作时间严禁串岗闲聊、擅自脱岗离岗，禁止将私人物品、无关杂物带入食品加工操作区域。严守校园保密规定，严禁泄露学生个人信息、食堂运营数据、校方内部工作安排等涉密内容。对违规违纪员工，严格按照内部奖惩制度落实处置，严肃工作纪律。</w:t>
            </w:r>
          </w:p>
          <w:p w14:paraId="15E85DFE">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5.离职交接管理：员工离职需提前30日提交书面离职申请，成交供应商需在15日内统筹完成人员工作交接、岗位衔接、工作复盘等工作。离职人员须完整办结设备、工具、作业物资、工作资料的交接手续，结清相关费用，确保岗位工作无缝衔接、平稳过渡。员工离职后7个工作日内，供应商须将员工离职情况、交接结果、后续岗位安排书面报备校方。</w:t>
            </w:r>
          </w:p>
          <w:p w14:paraId="569E2A16">
            <w:pPr>
              <w:spacing w:before="300" w:after="120" w:line="288" w:lineRule="auto"/>
              <w:ind w:left="0"/>
              <w:jc w:val="left"/>
              <w:outlineLvl w:val="2"/>
              <w:rPr>
                <w:rFonts w:hint="eastAsia" w:ascii="宋体" w:hAnsi="宋体" w:eastAsia="宋体" w:cs="宋体"/>
                <w:sz w:val="24"/>
                <w:szCs w:val="24"/>
              </w:rPr>
            </w:pPr>
            <w:r>
              <w:rPr>
                <w:rFonts w:hint="eastAsia" w:ascii="宋体" w:hAnsi="宋体" w:eastAsia="宋体" w:cs="宋体"/>
                <w:b/>
                <w:sz w:val="24"/>
                <w:szCs w:val="24"/>
              </w:rPr>
              <w:t>（四）设备与能耗管控规范</w:t>
            </w:r>
          </w:p>
          <w:p w14:paraId="633BA19B">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1.设备管护：对校方无偿提供的厨具、餐具、制冷设备、消杀设备、电气设施、基础设施等全部设备，实行定岗定人、专人管护模式，严格按照操作规范作业，定期开展巡检、清洁、基础养护。因违规操作、人为疏忽、故意损坏等人为因素造成设备故障、破损、报废的，由成交供应商承担全额维修、更换、赔偿责任。</w:t>
            </w:r>
          </w:p>
          <w:p w14:paraId="4DFEF960">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2.能耗管控：全员树立节能降耗、绿色运营理念，科学、合理、规范使用水、电、燃气等各类能源，杜绝长流水、长明灯、空耗燃气等浪费现象。严格落实防火、防漏电、防燃气泄漏、防盗等安全管理制度，严禁无关人员进入食堂后厨作业区域。每日下班前，全面完成熄火、关灯、关水、断电（制冷保鲜设备除外）、关门窗等收尾工作，筑牢食堂安全运营防线。</w:t>
            </w:r>
          </w:p>
          <w:p w14:paraId="3D6ECFCA">
            <w:pPr>
              <w:spacing w:before="300" w:after="120" w:line="288" w:lineRule="auto"/>
              <w:ind w:left="0"/>
              <w:jc w:val="left"/>
              <w:outlineLvl w:val="2"/>
              <w:rPr>
                <w:rFonts w:hint="eastAsia" w:ascii="宋体" w:hAnsi="宋体" w:eastAsia="宋体" w:cs="宋体"/>
                <w:sz w:val="24"/>
                <w:szCs w:val="24"/>
              </w:rPr>
            </w:pPr>
            <w:r>
              <w:rPr>
                <w:rFonts w:hint="eastAsia" w:ascii="宋体" w:hAnsi="宋体" w:eastAsia="宋体" w:cs="宋体"/>
                <w:b/>
                <w:sz w:val="24"/>
                <w:szCs w:val="24"/>
              </w:rPr>
              <w:t>（五）专项服务配套要求</w:t>
            </w:r>
          </w:p>
          <w:p w14:paraId="4964B61E">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1.应急供餐服务：针对节假日留校、课后延时教学、校园大型活动、突发校园工作等各类临时加餐、应急供餐需求，供应商在接到校方正式通知后，须无条件快速响应、高效统筹人员与物资，保质、保量、按时完成各类供餐保障任务，不得推诿拖延、降低服务标准。</w:t>
            </w:r>
          </w:p>
          <w:p w14:paraId="3D394933">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2.档案台账管理：规范化建立食品安全检查、食品留样、餐具全域消杀、员工培训考核、设备巡检养护、卫生整改落实等全套运营台账资料，所有档案资料留存期限不少于2年，随时接受市场监管部门、卫健部门及校方的核查抽检。每月5日前，向学校后勤部门提交上月全套工作台账汇总报告及工作总结。</w:t>
            </w:r>
          </w:p>
          <w:p w14:paraId="3789D9D6">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3.检查配合工作：主动配合校方开展的日常服务质量巡检、月度综合考核、季度评优检查、专项卫生督查等各项工作，对检查反馈的问题建立整改台账，按期完成闭环整改，按时提交书面整改报告及整改佐证资料。自觉接受行业监管部门的专项督查、飞行检查及突发事件处置工作，安排专人专职对接、全力配合。</w:t>
            </w:r>
          </w:p>
          <w:p w14:paraId="3C17A97B">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4.双向反馈机制：搭建校方监管、师生监督的双向沟通反馈渠道，在食堂醒目公示区域设置意见收集箱、公示服务监督电话、反馈流程。每周汇总梳理师生用餐意见与建议，每月与学校后勤部门召开专项沟通复盘会议，针对性优化菜品口味、菜品种类、服务流程、环境卫生等各项工作，持续迭代提升校园供餐服务质量。</w:t>
            </w:r>
          </w:p>
          <w:p w14:paraId="482C0659">
            <w:pPr>
              <w:spacing w:before="320" w:after="120" w:line="288" w:lineRule="auto"/>
              <w:ind w:left="0"/>
              <w:jc w:val="left"/>
              <w:outlineLvl w:val="1"/>
              <w:rPr>
                <w:rFonts w:hint="eastAsia" w:ascii="宋体" w:hAnsi="宋体" w:eastAsia="宋体" w:cs="宋体"/>
                <w:sz w:val="24"/>
                <w:szCs w:val="24"/>
              </w:rPr>
            </w:pPr>
            <w:r>
              <w:rPr>
                <w:rFonts w:hint="eastAsia" w:ascii="宋体" w:hAnsi="宋体" w:eastAsia="宋体" w:cs="宋体"/>
                <w:b/>
                <w:sz w:val="24"/>
                <w:szCs w:val="24"/>
              </w:rPr>
              <w:t>四、安全管理制度与突发事件应急处置预案</w:t>
            </w:r>
          </w:p>
          <w:p w14:paraId="04C33D18">
            <w:pPr>
              <w:spacing w:before="300" w:after="120" w:line="288" w:lineRule="auto"/>
              <w:ind w:left="0"/>
              <w:jc w:val="left"/>
              <w:outlineLvl w:val="2"/>
              <w:rPr>
                <w:rFonts w:hint="eastAsia" w:ascii="宋体" w:hAnsi="宋体" w:eastAsia="宋体" w:cs="宋体"/>
                <w:sz w:val="24"/>
                <w:szCs w:val="24"/>
              </w:rPr>
            </w:pPr>
            <w:r>
              <w:rPr>
                <w:rFonts w:hint="eastAsia" w:ascii="宋体" w:hAnsi="宋体" w:eastAsia="宋体" w:cs="宋体"/>
                <w:b/>
                <w:sz w:val="24"/>
                <w:szCs w:val="24"/>
              </w:rPr>
              <w:t>（一）日常安全管控要求</w:t>
            </w:r>
          </w:p>
          <w:p w14:paraId="518EC064">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1.全员树立“安全第一、预防为主、综合治理”的核心作业理念，层层压实防火、防盗、防毒、防工伤、防食品安全事故、防设备故障的岗位安全责任，实现食堂全员、全流程、全域的常态化安全管控。</w:t>
            </w:r>
          </w:p>
          <w:p w14:paraId="0C50BD9C">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2.每日上岗前，工作人员须对食堂水、电、燃气、炉具、消毒柜、冷藏冷冻设备、排烟系统等所有设施设备开展全方位安全巡检，发现异常、故障立即停机处置、隔离隐患、上报报修，严禁设备带故障运行。每日下班前，再次全面核查水、电、燃气阀门开关状态，锁闭所有门窗，落实全部安防措施。</w:t>
            </w:r>
          </w:p>
          <w:p w14:paraId="13142A7A">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3.食堂后厨作业区域实行封闭式、专属化管理，严禁无关人员会客、逗留、随意进出。消杀药剂、清洁危险品、作业危险耗材单独分区存放、专人专管、领用登记，严格落实出入库管理制度，彻底杜绝误用、误食、泄漏等安全隐患。</w:t>
            </w:r>
          </w:p>
          <w:p w14:paraId="47954ECF">
            <w:pPr>
              <w:spacing w:before="300" w:after="120" w:line="288" w:lineRule="auto"/>
              <w:ind w:left="0"/>
              <w:jc w:val="left"/>
              <w:outlineLvl w:val="2"/>
              <w:rPr>
                <w:rFonts w:hint="eastAsia" w:ascii="宋体" w:hAnsi="宋体" w:eastAsia="宋体" w:cs="宋体"/>
                <w:sz w:val="24"/>
                <w:szCs w:val="24"/>
              </w:rPr>
            </w:pPr>
            <w:r>
              <w:rPr>
                <w:rFonts w:hint="eastAsia" w:ascii="宋体" w:hAnsi="宋体" w:eastAsia="宋体" w:cs="宋体"/>
                <w:b/>
                <w:sz w:val="24"/>
                <w:szCs w:val="24"/>
              </w:rPr>
              <w:t>（二）设备安全操作规范</w:t>
            </w:r>
          </w:p>
          <w:p w14:paraId="291C31A7">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1.用电安全：严禁赤脚操作各类电气设备、带电开展设备维修作业，禁止用湿手、湿抹布擦拭电源开关、插座、电气设备外壳。严禁私拉乱接电线、擅自更改电气设备功能、私自挪移固定电气设施。电动设备停用后须立即切断电源，插头规范收纳、远离水源、防潮防尘。设备出现发热、打火、漏电、异响等异常情况，立即断电停机，联系专业人员维修，严禁员工私自拆机检修。</w:t>
            </w:r>
          </w:p>
          <w:p w14:paraId="5AE6061F">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2.燃气使用安全：燃气设备仅限持证厨师或指定专人操作，开机作业前须先开启鼓风机、抽风机，充分通风换气。点火前全面核查燃气阀门、管道状态，严格遵循“先引小火、再启大火”的标准化操作流程。作业过程中定时巡查燃气管道、接口、阀门的密封性，发现松动、破损、漏气等问题立即停机、关闭阀门、上报报修。严禁在燃气设备、阀门、仪表周边堆放杂物、易燃易爆物品，严禁燃气设备机身溅水、受潮。</w:t>
            </w:r>
          </w:p>
          <w:p w14:paraId="5F7BA96D">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3.电热、电动设备操作：所有在岗员工上岗前必须熟练掌握各类设备操作说明书及安全作业规范，熟知全套操作流程。电动设备禁止带负荷启动，严格遵循“先送电、后放料”的作业原则。电热类设备（红外线消毒柜除外）必须注水到位后，方可通电加热作业，坚决杜绝干烧、空转等违规操作引发设备故障。</w:t>
            </w:r>
          </w:p>
          <w:p w14:paraId="0A66A942">
            <w:pPr>
              <w:spacing w:before="300" w:after="120" w:line="288" w:lineRule="auto"/>
              <w:ind w:left="0"/>
              <w:jc w:val="left"/>
              <w:outlineLvl w:val="2"/>
              <w:rPr>
                <w:rFonts w:hint="eastAsia" w:ascii="宋体" w:hAnsi="宋体" w:eastAsia="宋体" w:cs="宋体"/>
                <w:sz w:val="24"/>
                <w:szCs w:val="24"/>
              </w:rPr>
            </w:pPr>
            <w:r>
              <w:rPr>
                <w:rFonts w:hint="eastAsia" w:ascii="宋体" w:hAnsi="宋体" w:eastAsia="宋体" w:cs="宋体"/>
                <w:b/>
                <w:sz w:val="24"/>
                <w:szCs w:val="24"/>
              </w:rPr>
              <w:t>（三）突发事件应急处置流程</w:t>
            </w:r>
          </w:p>
          <w:p w14:paraId="25349643">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1.火灾、触电事故处置：突发火灾险情时，第一时间切断现场电源、燃气气源，立即拨打119火警电话，同步有序组织现场人员疏散，利用现有消防设施开展初期灭火处置。发生人员触电事故时，必须立即断电隔离电源，严禁徒手接触触电人员，第一时间联动校医开展紧急急救工作，并及时上报校方领导。</w:t>
            </w:r>
          </w:p>
          <w:p w14:paraId="284C6D7A">
            <w:pPr>
              <w:spacing w:before="120" w:after="120" w:line="288" w:lineRule="auto"/>
              <w:ind w:left="0"/>
              <w:jc w:val="left"/>
              <w:rPr>
                <w:rFonts w:hint="eastAsia" w:ascii="宋体" w:hAnsi="宋体" w:eastAsia="宋体" w:cs="宋体"/>
                <w:sz w:val="24"/>
                <w:szCs w:val="24"/>
              </w:rPr>
            </w:pPr>
            <w:r>
              <w:rPr>
                <w:rFonts w:hint="eastAsia" w:ascii="宋体" w:hAnsi="宋体" w:eastAsia="宋体" w:cs="宋体"/>
                <w:sz w:val="24"/>
                <w:szCs w:val="24"/>
              </w:rPr>
              <w:t>2.疑似食物中毒事件处置：一旦出现师生用餐不适、疑似食物中毒等情况，立即全域停止食堂供餐，全面封存可疑食材、剩余餐品及涉事操作区域，第一时间上报学校及属地卫健、疾控、市场监管部门，全力配合事故调查、溯源取证、应急处置等各项工作，严控事态扩大。</w:t>
            </w:r>
          </w:p>
        </w:tc>
      </w:tr>
    </w:tbl>
    <w:p w14:paraId="409AFDAA">
      <w:pPr>
        <w:spacing w:before="120" w:after="120" w:line="288" w:lineRule="auto"/>
        <w:ind w:left="0"/>
        <w:jc w:val="left"/>
      </w:pPr>
    </w:p>
    <w:p w14:paraId="5B23AD1B">
      <w:pPr>
        <w:spacing w:before="120" w:after="120" w:line="288" w:lineRule="auto"/>
        <w:ind w:left="0"/>
        <w:jc w:val="left"/>
      </w:pPr>
    </w:p>
    <w:p w14:paraId="040FA955">
      <w:pPr>
        <w:spacing w:before="120" w:after="120" w:line="288" w:lineRule="auto"/>
        <w:ind w:left="0"/>
        <w:jc w:val="left"/>
      </w:pPr>
    </w:p>
    <w:p w14:paraId="08C5BC6D">
      <w:pPr>
        <w:spacing w:before="120" w:after="120" w:line="288" w:lineRule="auto"/>
        <w:ind w:left="0"/>
        <w:jc w:val="left"/>
      </w:pPr>
    </w:p>
    <w:p w14:paraId="0C92591A">
      <w:pPr>
        <w:spacing w:before="120" w:after="120" w:line="288" w:lineRule="auto"/>
        <w:ind w:left="0"/>
        <w:jc w:val="left"/>
      </w:pPr>
    </w:p>
    <w:p w14:paraId="1F5DB9FF">
      <w:pPr>
        <w:spacing w:before="120" w:after="120" w:line="288" w:lineRule="auto"/>
        <w:ind w:left="0"/>
        <w:jc w:val="left"/>
      </w:pPr>
    </w:p>
    <w:p w14:paraId="1D0A6F28">
      <w:pPr>
        <w:spacing w:before="120" w:after="120" w:line="288" w:lineRule="auto"/>
        <w:ind w:left="0"/>
        <w:jc w:val="left"/>
      </w:pPr>
    </w:p>
    <w:p w14:paraId="6E1B2C28">
      <w:pPr>
        <w:spacing w:before="120" w:after="120" w:line="288" w:lineRule="auto"/>
        <w:ind w:left="0"/>
        <w:jc w:val="left"/>
      </w:pPr>
    </w:p>
    <w:p w14:paraId="476FAA02">
      <w:pPr>
        <w:spacing w:before="120" w:after="120" w:line="288" w:lineRule="auto"/>
        <w:ind w:left="0"/>
        <w:jc w:val="left"/>
      </w:pPr>
    </w:p>
    <w:p w14:paraId="22DE4B6E">
      <w:pPr>
        <w:spacing w:before="120" w:after="120" w:line="288" w:lineRule="auto"/>
        <w:ind w:left="0"/>
        <w:jc w:val="left"/>
      </w:pPr>
    </w:p>
    <w:p w14:paraId="6F11A78D">
      <w:pPr>
        <w:spacing w:before="120" w:after="120" w:line="288" w:lineRule="auto"/>
        <w:ind w:left="0"/>
        <w:jc w:val="left"/>
      </w:pPr>
    </w:p>
    <w:p w14:paraId="0519B6F7">
      <w:pPr>
        <w:spacing w:before="120" w:after="120" w:line="288" w:lineRule="auto"/>
        <w:ind w:left="0"/>
        <w:jc w:val="left"/>
      </w:pPr>
    </w:p>
    <w:p w14:paraId="0287032B">
      <w:pPr>
        <w:spacing w:before="120" w:after="120" w:line="288" w:lineRule="auto"/>
        <w:ind w:left="0"/>
        <w:jc w:val="left"/>
      </w:pPr>
    </w:p>
    <w:p w14:paraId="57716D53">
      <w:pPr>
        <w:spacing w:before="120" w:after="120" w:line="288" w:lineRule="auto"/>
        <w:ind w:left="0"/>
        <w:jc w:val="left"/>
      </w:pPr>
    </w:p>
    <w:p w14:paraId="6D14EAFC">
      <w:pPr>
        <w:spacing w:before="120" w:after="120" w:line="288" w:lineRule="auto"/>
        <w:ind w:left="0"/>
        <w:jc w:val="left"/>
      </w:pPr>
    </w:p>
    <w:p w14:paraId="36A070B6">
      <w:pPr>
        <w:spacing w:before="120" w:after="120" w:line="288" w:lineRule="auto"/>
        <w:ind w:left="0"/>
        <w:jc w:val="left"/>
      </w:pPr>
    </w:p>
    <w:p w14:paraId="73258BA5">
      <w:pPr>
        <w:spacing w:before="120" w:after="120" w:line="288" w:lineRule="auto"/>
        <w:ind w:left="0"/>
        <w:jc w:val="left"/>
      </w:pPr>
    </w:p>
    <w:p w14:paraId="5CBB631A">
      <w:pPr>
        <w:spacing w:before="120" w:after="120" w:line="288" w:lineRule="auto"/>
        <w:ind w:left="0"/>
        <w:jc w:val="left"/>
      </w:pPr>
    </w:p>
    <w:tbl>
      <w:tblPr>
        <w:tblStyle w:val="2"/>
        <w:tblW w:w="10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1800"/>
        <w:gridCol w:w="795"/>
        <w:gridCol w:w="750"/>
        <w:gridCol w:w="1080"/>
        <w:gridCol w:w="1125"/>
        <w:gridCol w:w="1725"/>
        <w:gridCol w:w="2387"/>
      </w:tblGrid>
      <w:tr w14:paraId="3DD0B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20" w:type="dxa"/>
            <w:gridSpan w:val="8"/>
            <w:tcBorders>
              <w:top w:val="nil"/>
              <w:left w:val="nil"/>
              <w:bottom w:val="nil"/>
              <w:right w:val="nil"/>
            </w:tcBorders>
            <w:shd w:val="clear" w:color="auto" w:fill="auto"/>
            <w:noWrap/>
            <w:vAlign w:val="center"/>
          </w:tcPr>
          <w:p w14:paraId="6A328E6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玉林市玉州区南江苗园中学食堂物业管理服务项目采购明细表</w:t>
            </w:r>
          </w:p>
        </w:tc>
      </w:tr>
      <w:tr w14:paraId="3DC3A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8"/>
            <w:tcBorders>
              <w:top w:val="nil"/>
              <w:left w:val="nil"/>
              <w:bottom w:val="nil"/>
              <w:right w:val="nil"/>
            </w:tcBorders>
            <w:shd w:val="clear" w:color="auto" w:fill="auto"/>
            <w:noWrap/>
            <w:vAlign w:val="center"/>
          </w:tcPr>
          <w:p w14:paraId="32E18221">
            <w:pPr>
              <w:jc w:val="center"/>
              <w:rPr>
                <w:rFonts w:hint="eastAsia" w:ascii="宋体" w:hAnsi="宋体" w:eastAsia="宋体" w:cs="宋体"/>
                <w:i w:val="0"/>
                <w:iCs w:val="0"/>
                <w:color w:val="000000"/>
                <w:sz w:val="22"/>
                <w:szCs w:val="22"/>
                <w:u w:val="none"/>
              </w:rPr>
            </w:pPr>
          </w:p>
        </w:tc>
      </w:tr>
      <w:tr w14:paraId="47498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79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BD1F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采购货物或服务名称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B0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计量</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41E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采购</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FE0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人数</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772B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0B4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金额（元）</w:t>
            </w:r>
          </w:p>
        </w:tc>
        <w:tc>
          <w:tcPr>
            <w:tcW w:w="24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D68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11FA9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152CC">
            <w:pPr>
              <w:jc w:val="center"/>
              <w:rPr>
                <w:rFonts w:hint="eastAsia" w:ascii="宋体" w:hAnsi="宋体" w:eastAsia="宋体" w:cs="宋体"/>
                <w:b/>
                <w:bCs/>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FB707">
            <w:pPr>
              <w:jc w:val="center"/>
              <w:rPr>
                <w:rFonts w:hint="eastAsia" w:ascii="宋体" w:hAnsi="宋体" w:eastAsia="宋体" w:cs="宋体"/>
                <w:b/>
                <w:bCs/>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2A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552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22AD5">
            <w:pPr>
              <w:jc w:val="center"/>
              <w:rPr>
                <w:rFonts w:hint="eastAsia" w:ascii="宋体" w:hAnsi="宋体" w:eastAsia="宋体" w:cs="宋体"/>
                <w:b/>
                <w:bCs/>
                <w:i w:val="0"/>
                <w:iCs w:val="0"/>
                <w:color w:val="000000"/>
                <w:sz w:val="22"/>
                <w:szCs w:val="22"/>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0306E">
            <w:pPr>
              <w:jc w:val="center"/>
              <w:rPr>
                <w:rFonts w:hint="eastAsia" w:ascii="宋体" w:hAnsi="宋体" w:eastAsia="宋体" w:cs="宋体"/>
                <w:b/>
                <w:bCs/>
                <w:i w:val="0"/>
                <w:iCs w:val="0"/>
                <w:color w:val="000000"/>
                <w:sz w:val="22"/>
                <w:szCs w:val="22"/>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283C2">
            <w:pPr>
              <w:jc w:val="center"/>
              <w:rPr>
                <w:rFonts w:hint="eastAsia" w:ascii="宋体" w:hAnsi="宋体" w:eastAsia="宋体" w:cs="宋体"/>
                <w:b/>
                <w:bCs/>
                <w:i w:val="0"/>
                <w:iCs w:val="0"/>
                <w:color w:val="000000"/>
                <w:sz w:val="22"/>
                <w:szCs w:val="22"/>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CC852">
            <w:pPr>
              <w:jc w:val="center"/>
              <w:rPr>
                <w:rFonts w:hint="eastAsia" w:ascii="宋体" w:hAnsi="宋体" w:eastAsia="宋体" w:cs="宋体"/>
                <w:b/>
                <w:bCs/>
                <w:i w:val="0"/>
                <w:iCs w:val="0"/>
                <w:color w:val="000000"/>
                <w:sz w:val="22"/>
                <w:szCs w:val="22"/>
                <w:u w:val="none"/>
              </w:rPr>
            </w:pPr>
          </w:p>
        </w:tc>
      </w:tr>
      <w:tr w14:paraId="11DA4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84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E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食堂膳务组长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6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57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8F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A9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25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24300.00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6E3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提取9个月的工资</w:t>
            </w:r>
          </w:p>
        </w:tc>
      </w:tr>
      <w:tr w14:paraId="5C49B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E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F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厨师长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384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DF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5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0D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AB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25200.00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EA6A5">
            <w:pPr>
              <w:jc w:val="left"/>
              <w:rPr>
                <w:rFonts w:hint="eastAsia" w:ascii="宋体" w:hAnsi="宋体" w:eastAsia="宋体" w:cs="宋体"/>
                <w:i w:val="0"/>
                <w:iCs w:val="0"/>
                <w:color w:val="000000"/>
                <w:sz w:val="22"/>
                <w:szCs w:val="22"/>
                <w:u w:val="none"/>
              </w:rPr>
            </w:pPr>
          </w:p>
        </w:tc>
      </w:tr>
      <w:tr w14:paraId="20AE0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82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5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厨 </w:t>
            </w:r>
            <w:r>
              <w:rPr>
                <w:rStyle w:val="4"/>
                <w:lang w:val="en-US" w:eastAsia="zh-CN" w:bidi="ar"/>
              </w:rPr>
              <w:t xml:space="preserve"> 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1A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49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6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F8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D5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117000.00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DA4B">
            <w:pPr>
              <w:jc w:val="left"/>
              <w:rPr>
                <w:rFonts w:hint="eastAsia" w:ascii="宋体" w:hAnsi="宋体" w:eastAsia="宋体" w:cs="宋体"/>
                <w:i w:val="0"/>
                <w:iCs w:val="0"/>
                <w:color w:val="000000"/>
                <w:sz w:val="22"/>
                <w:szCs w:val="22"/>
                <w:u w:val="none"/>
              </w:rPr>
            </w:pPr>
          </w:p>
        </w:tc>
      </w:tr>
      <w:tr w14:paraId="7B7D4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36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23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厨工组长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8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A1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3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33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7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20700.00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78C2">
            <w:pPr>
              <w:jc w:val="left"/>
              <w:rPr>
                <w:rFonts w:hint="eastAsia" w:ascii="宋体" w:hAnsi="宋体" w:eastAsia="宋体" w:cs="宋体"/>
                <w:i w:val="0"/>
                <w:iCs w:val="0"/>
                <w:color w:val="000000"/>
                <w:sz w:val="22"/>
                <w:szCs w:val="22"/>
                <w:u w:val="none"/>
              </w:rPr>
            </w:pPr>
          </w:p>
        </w:tc>
      </w:tr>
      <w:tr w14:paraId="3C5C4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D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A0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厨 </w:t>
            </w:r>
            <w:r>
              <w:rPr>
                <w:rStyle w:val="4"/>
                <w:lang w:val="en-US" w:eastAsia="zh-CN" w:bidi="ar"/>
              </w:rPr>
              <w:t xml:space="preserve"> 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F7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3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5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BB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2040.00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F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495720.00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33F5">
            <w:pPr>
              <w:jc w:val="left"/>
              <w:rPr>
                <w:rFonts w:hint="eastAsia" w:ascii="宋体" w:hAnsi="宋体" w:eastAsia="宋体" w:cs="宋体"/>
                <w:i w:val="0"/>
                <w:iCs w:val="0"/>
                <w:color w:val="000000"/>
                <w:sz w:val="22"/>
                <w:szCs w:val="22"/>
                <w:u w:val="none"/>
              </w:rPr>
            </w:pPr>
          </w:p>
        </w:tc>
      </w:tr>
      <w:tr w14:paraId="521A3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C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8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工人必须购买的社保费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2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A6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EA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8D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ED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287700.93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20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968.69元/月</w:t>
            </w:r>
          </w:p>
        </w:tc>
      </w:tr>
      <w:tr w14:paraId="780C4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A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B3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寒暑假补贴</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C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8AE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F9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8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600.00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5B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63000.00 </w:t>
            </w:r>
          </w:p>
        </w:tc>
        <w:tc>
          <w:tcPr>
            <w:tcW w:w="24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2215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寒暑假补贴：600元/人/月</w:t>
            </w:r>
          </w:p>
        </w:tc>
      </w:tr>
      <w:tr w14:paraId="02875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EDE9B">
            <w:pPr>
              <w:jc w:val="center"/>
              <w:rPr>
                <w:rFonts w:hint="eastAsia" w:ascii="宋体" w:hAnsi="宋体" w:eastAsia="宋体" w:cs="宋体"/>
                <w:i w:val="0"/>
                <w:iCs w:val="0"/>
                <w:color w:val="000000"/>
                <w:sz w:val="22"/>
                <w:szCs w:val="22"/>
                <w:u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5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（共3个月）</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BA5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60F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60FC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E40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DCE5">
            <w:pPr>
              <w:jc w:val="center"/>
              <w:rPr>
                <w:rFonts w:hint="eastAsia" w:ascii="宋体" w:hAnsi="宋体" w:eastAsia="宋体" w:cs="宋体"/>
                <w:i w:val="0"/>
                <w:iCs w:val="0"/>
                <w:color w:val="000000"/>
                <w:sz w:val="22"/>
                <w:szCs w:val="22"/>
                <w:u w:val="none"/>
              </w:rPr>
            </w:pPr>
          </w:p>
        </w:tc>
        <w:tc>
          <w:tcPr>
            <w:tcW w:w="24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9C794">
            <w:pPr>
              <w:jc w:val="left"/>
              <w:rPr>
                <w:rFonts w:hint="eastAsia" w:ascii="宋体" w:hAnsi="宋体" w:eastAsia="宋体" w:cs="宋体"/>
                <w:i w:val="0"/>
                <w:iCs w:val="0"/>
                <w:color w:val="000000"/>
                <w:sz w:val="22"/>
                <w:szCs w:val="22"/>
                <w:u w:val="none"/>
              </w:rPr>
            </w:pPr>
          </w:p>
        </w:tc>
      </w:tr>
      <w:tr w14:paraId="4E1FA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C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5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其他费用（开学提前、放假延时产生的工天费，按10天核算）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3FBC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DF6E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9AFC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CD49B">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384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35948.92 </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D37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所有人每月工资总额107846.77元÷30天×10天核算</w:t>
            </w:r>
          </w:p>
        </w:tc>
      </w:tr>
      <w:tr w14:paraId="27871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F8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A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加班费、绩效奖励</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F98B9">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DC11A">
            <w:pPr>
              <w:jc w:val="center"/>
              <w:rPr>
                <w:rFonts w:hint="eastAsia" w:ascii="宋体" w:hAnsi="宋体" w:eastAsia="宋体" w:cs="宋体"/>
                <w:i w:val="0"/>
                <w:iCs w:val="0"/>
                <w:color w:val="000000"/>
                <w:sz w:val="22"/>
                <w:szCs w:val="22"/>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8EDAC">
            <w:pPr>
              <w:jc w:val="center"/>
              <w:rPr>
                <w:rFonts w:hint="eastAsia" w:ascii="宋体" w:hAnsi="宋体" w:eastAsia="宋体" w:cs="宋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98A13">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8F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80000.00 </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C318">
            <w:pPr>
              <w:jc w:val="left"/>
              <w:rPr>
                <w:rFonts w:hint="eastAsia" w:ascii="宋体" w:hAnsi="宋体" w:eastAsia="宋体" w:cs="宋体"/>
                <w:i w:val="0"/>
                <w:iCs w:val="0"/>
                <w:color w:val="000000"/>
                <w:sz w:val="22"/>
                <w:szCs w:val="22"/>
                <w:u w:val="none"/>
              </w:rPr>
            </w:pPr>
          </w:p>
        </w:tc>
      </w:tr>
      <w:tr w14:paraId="13209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893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64B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1-8项合计</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D2A37">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81DA0">
            <w:pPr>
              <w:jc w:val="center"/>
              <w:rPr>
                <w:rFonts w:hint="eastAsia" w:ascii="宋体" w:hAnsi="宋体" w:eastAsia="宋体" w:cs="宋体"/>
                <w:i w:val="0"/>
                <w:iCs w:val="0"/>
                <w:color w:val="000000"/>
                <w:sz w:val="22"/>
                <w:szCs w:val="22"/>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3A41C">
            <w:pPr>
              <w:jc w:val="center"/>
              <w:rPr>
                <w:rFonts w:hint="eastAsia" w:ascii="宋体" w:hAnsi="宋体" w:eastAsia="宋体" w:cs="宋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015F">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1D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1149569.85 </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80FA">
            <w:pPr>
              <w:jc w:val="left"/>
              <w:rPr>
                <w:rFonts w:hint="eastAsia" w:ascii="宋体" w:hAnsi="宋体" w:eastAsia="宋体" w:cs="宋体"/>
                <w:i w:val="0"/>
                <w:iCs w:val="0"/>
                <w:color w:val="000000"/>
                <w:sz w:val="22"/>
                <w:szCs w:val="22"/>
                <w:u w:val="none"/>
              </w:rPr>
            </w:pPr>
          </w:p>
        </w:tc>
      </w:tr>
      <w:tr w14:paraId="5CA70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B055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A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管理费</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58BC">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7A12">
            <w:pPr>
              <w:jc w:val="center"/>
              <w:rPr>
                <w:rFonts w:hint="eastAsia" w:ascii="宋体" w:hAnsi="宋体" w:eastAsia="宋体" w:cs="宋体"/>
                <w:i w:val="0"/>
                <w:iCs w:val="0"/>
                <w:color w:val="000000"/>
                <w:sz w:val="22"/>
                <w:szCs w:val="22"/>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01DC">
            <w:pPr>
              <w:jc w:val="center"/>
              <w:rPr>
                <w:rFonts w:hint="eastAsia" w:ascii="宋体" w:hAnsi="宋体" w:eastAsia="宋体" w:cs="宋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1CDA3">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E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80469.89 </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1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按第9项的7%</w:t>
            </w:r>
          </w:p>
        </w:tc>
      </w:tr>
      <w:tr w14:paraId="290B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AD1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0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税费</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4DA26">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FECC">
            <w:pPr>
              <w:jc w:val="center"/>
              <w:rPr>
                <w:rFonts w:hint="eastAsia" w:ascii="宋体" w:hAnsi="宋体" w:eastAsia="宋体" w:cs="宋体"/>
                <w:i w:val="0"/>
                <w:iCs w:val="0"/>
                <w:color w:val="000000"/>
                <w:sz w:val="22"/>
                <w:szCs w:val="22"/>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F434">
            <w:pPr>
              <w:jc w:val="center"/>
              <w:rPr>
                <w:rFonts w:hint="eastAsia" w:ascii="宋体" w:hAnsi="宋体" w:eastAsia="宋体" w:cs="宋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1D3BB">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7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73802.38 </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B56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（9+10）项的6%</w:t>
            </w:r>
          </w:p>
        </w:tc>
      </w:tr>
      <w:tr w14:paraId="11E0A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15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E03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全年总计金额（元）：</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27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1303842.13 </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B93AB">
            <w:pPr>
              <w:jc w:val="both"/>
              <w:rPr>
                <w:rFonts w:hint="eastAsia" w:ascii="宋体" w:hAnsi="宋体" w:eastAsia="宋体" w:cs="宋体"/>
                <w:b/>
                <w:bCs/>
                <w:i w:val="0"/>
                <w:iCs w:val="0"/>
                <w:color w:val="000000"/>
                <w:sz w:val="22"/>
                <w:szCs w:val="22"/>
                <w:u w:val="none"/>
              </w:rPr>
            </w:pPr>
          </w:p>
        </w:tc>
      </w:tr>
      <w:tr w14:paraId="23662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320" w:type="dxa"/>
            <w:gridSpan w:val="8"/>
            <w:tcBorders>
              <w:top w:val="nil"/>
              <w:left w:val="nil"/>
              <w:bottom w:val="nil"/>
              <w:right w:val="nil"/>
            </w:tcBorders>
            <w:shd w:val="clear" w:color="auto" w:fill="auto"/>
            <w:vAlign w:val="center"/>
          </w:tcPr>
          <w:p w14:paraId="15B40469">
            <w:pPr>
              <w:keepNext w:val="0"/>
              <w:keepLines w:val="0"/>
              <w:widowControl/>
              <w:suppressLineNumbers w:val="0"/>
              <w:jc w:val="lef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注：1、以上费用包含日常加班费、税费</w:t>
            </w:r>
          </w:p>
        </w:tc>
      </w:tr>
      <w:tr w14:paraId="00C35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320" w:type="dxa"/>
            <w:gridSpan w:val="8"/>
            <w:tcBorders>
              <w:top w:val="nil"/>
              <w:left w:val="nil"/>
              <w:bottom w:val="nil"/>
              <w:right w:val="nil"/>
            </w:tcBorders>
            <w:shd w:val="clear" w:color="auto" w:fill="auto"/>
            <w:vAlign w:val="center"/>
          </w:tcPr>
          <w:p w14:paraId="1ED169A1">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2、玉林最低基本工资2040元/月、最低缴纳社保费968.69元</w:t>
            </w:r>
          </w:p>
        </w:tc>
      </w:tr>
    </w:tbl>
    <w:p w14:paraId="2244FEAC">
      <w:pPr>
        <w:spacing w:before="120" w:after="120" w:line="288" w:lineRule="auto"/>
        <w:ind w:left="0"/>
        <w:jc w:val="left"/>
      </w:pPr>
    </w:p>
    <w:p w14:paraId="449E6D65">
      <w:pPr>
        <w:spacing w:before="120" w:after="120" w:line="288" w:lineRule="auto"/>
        <w:ind w:left="0"/>
        <w:jc w:val="left"/>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0DD8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498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179D6E9D"/>
    <w:rsid w:val="4F745140"/>
    <w:rsid w:val="58226E39"/>
    <w:rsid w:val="6DF64E4A"/>
    <w:rsid w:val="79A8548D"/>
    <w:rsid w:val="7A9946C0"/>
    <w:rsid w:val="7C48396B"/>
    <w:rsid w:val="7D7E56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21"/>
    <w:basedOn w:val="3"/>
    <w:qFormat/>
    <w:uiPriority w:val="0"/>
    <w:rPr>
      <w:rFonts w:hint="eastAsia" w:ascii="宋体" w:hAnsi="宋体" w:eastAsia="宋体" w:cs="宋体"/>
      <w:color w:val="000000"/>
      <w:sz w:val="22"/>
      <w:szCs w:val="22"/>
      <w:u w:val="none"/>
    </w:rPr>
  </w:style>
  <w:style w:type="character" w:customStyle="1" w:styleId="5">
    <w:name w:val="font31"/>
    <w:basedOn w:val="3"/>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6632</Words>
  <Characters>6882</Characters>
  <TotalTime>42</TotalTime>
  <ScaleCrop>false</ScaleCrop>
  <LinksUpToDate>false</LinksUpToDate>
  <CharactersWithSpaces>6912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2026-07-02T09:29:00Z</dcterms:created>
  <dc:creator>Apache POI</dc:creator>
  <cp:lastModifiedBy>游方神医</cp:lastModifiedBy>
  <dcterms:modified xsi:type="dcterms:W3CDTF">2026-07-25T07:59:29Z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{"Label":"1","ContentProducer":"001191110102MACQD9K64010000","ProduceID":"7657860374947597515","ReservedCode1":"","ContentPropagator":"","PropagateID":"","ReservedCode2":""}</vt:lpwstr>
  </property>
  <property fmtid="{D5CDD505-2E9C-101B-9397-08002B2CF9AE}" pid="3" name="KSOTemplateDocerSaveRecord">
    <vt:lpwstr>eyJoZGlkIjoiY2U0MDNhYzgyZjcyZTY3NDYwZGViMjM1MTUzZjc4MDciLCJ1c2VySWQiOiI2OTA2NjcyOTcifQ==</vt:lpwstr>
  </property>
  <property fmtid="{D5CDD505-2E9C-101B-9397-08002B2CF9AE}" pid="4" name="KSOProductBuildVer">
    <vt:lpwstr>2052-12.1.0.26895</vt:lpwstr>
  </property>
  <property fmtid="{D5CDD505-2E9C-101B-9397-08002B2CF9AE}" pid="5" name="ICV">
    <vt:lpwstr>EC787435CE564C889B74E1E83DCC5596_12</vt:lpwstr>
  </property>
</Properties>
</file>