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E794E">
      <w:pPr>
        <w:jc w:val="center"/>
        <w:rPr>
          <w:rFonts w:hint="eastAsia" w:eastAsia="宋体"/>
          <w:sz w:val="32"/>
          <w:szCs w:val="32"/>
          <w:lang w:eastAsia="zh-CN"/>
        </w:rPr>
      </w:pPr>
      <w:r>
        <w:rPr>
          <w:rFonts w:hint="eastAsia" w:asciiTheme="minorEastAsia" w:hAnsiTheme="minorEastAsia" w:cstheme="minorEastAsia"/>
          <w:b/>
          <w:bCs/>
          <w:sz w:val="32"/>
          <w:szCs w:val="32"/>
          <w:lang w:val="en-US" w:eastAsia="zh-CN"/>
        </w:rPr>
        <w:t>2026年兴业县中心测报点主测对象监测调查和松树钻蛀类害虫专项调查服务</w:t>
      </w:r>
      <w:r>
        <w:rPr>
          <w:rFonts w:hint="eastAsia" w:asciiTheme="minorEastAsia" w:hAnsiTheme="minorEastAsia" w:eastAsiaTheme="minorEastAsia" w:cstheme="minorEastAsia"/>
          <w:b/>
          <w:bCs/>
          <w:sz w:val="32"/>
          <w:szCs w:val="32"/>
          <w:lang w:eastAsia="zh-CN"/>
        </w:rPr>
        <w:t>采购需求</w:t>
      </w:r>
    </w:p>
    <w:p w14:paraId="1B5599EF">
      <w:pPr>
        <w:pStyle w:val="7"/>
        <w:ind w:firstLine="562" w:firstLineChars="200"/>
        <w:rPr>
          <w:rFonts w:hint="eastAsia" w:ascii="仿宋" w:hAnsi="仿宋" w:eastAsia="仿宋" w:cs="仿宋"/>
          <w:b/>
          <w:bCs w:val="0"/>
          <w:color w:val="auto"/>
          <w:sz w:val="28"/>
          <w:highlight w:val="none"/>
          <w:lang w:val="en-US" w:eastAsia="zh-CN"/>
        </w:rPr>
      </w:pPr>
    </w:p>
    <w:p w14:paraId="0CDE8F75">
      <w:pPr>
        <w:pStyle w:val="7"/>
        <w:keepNext w:val="0"/>
        <w:keepLines w:val="0"/>
        <w:pageBreakBefore w:val="0"/>
        <w:widowControl w:val="0"/>
        <w:kinsoku/>
        <w:wordWrap/>
        <w:overflowPunct/>
        <w:topLinePunct w:val="0"/>
        <w:autoSpaceDE/>
        <w:bidi w:val="0"/>
        <w:adjustRightInd/>
        <w:snapToGrid/>
        <w:spacing w:line="560" w:lineRule="exact"/>
        <w:ind w:firstLine="552" w:firstLineChars="200"/>
        <w:textAlignment w:val="auto"/>
        <w:rPr>
          <w:rFonts w:hint="default"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2026年兴业县中心测报点主测对象监测调查和松树钻蛀类害虫专项调查服务主要是在全县范围内按技术要求开展松树钻蛀类害虫专项调查和40个中心测报点固定标准地开展监测调查，采购金额控制在肆拾贰万元（</w:t>
      </w:r>
      <w:r>
        <w:rPr>
          <w:rFonts w:hint="default" w:asciiTheme="minorEastAsia" w:hAnsiTheme="minorEastAsia" w:eastAsiaTheme="minorEastAsia" w:cstheme="minorEastAsia"/>
          <w:spacing w:val="-2"/>
          <w:kern w:val="2"/>
          <w:sz w:val="28"/>
          <w:szCs w:val="28"/>
          <w:lang w:val="en-US" w:eastAsia="zh-CN" w:bidi="ar-SA"/>
        </w:rPr>
        <w:t>¥</w:t>
      </w:r>
      <w:r>
        <w:rPr>
          <w:rFonts w:hint="eastAsia" w:asciiTheme="minorEastAsia" w:hAnsiTheme="minorEastAsia" w:eastAsiaTheme="minorEastAsia" w:cstheme="minorEastAsia"/>
          <w:spacing w:val="-2"/>
          <w:kern w:val="2"/>
          <w:sz w:val="28"/>
          <w:szCs w:val="28"/>
          <w:lang w:val="en-US" w:eastAsia="zh-CN" w:bidi="ar-SA"/>
        </w:rPr>
        <w:t>420000元）以内。</w:t>
      </w:r>
    </w:p>
    <w:p w14:paraId="71AC5C12">
      <w:pPr>
        <w:pStyle w:val="2"/>
        <w:keepNext w:val="0"/>
        <w:keepLines w:val="0"/>
        <w:pageBreakBefore w:val="0"/>
        <w:widowControl w:val="0"/>
        <w:kinsoku/>
        <w:wordWrap/>
        <w:overflowPunct/>
        <w:topLinePunct w:val="0"/>
        <w:autoSpaceDE/>
        <w:autoSpaceDN/>
        <w:bidi w:val="0"/>
        <w:adjustRightInd/>
        <w:snapToGrid/>
        <w:spacing w:line="560" w:lineRule="exact"/>
        <w:ind w:firstLine="546" w:firstLineChars="200"/>
        <w:textAlignment w:val="auto"/>
        <w:rPr>
          <w:rFonts w:hint="eastAsia" w:asciiTheme="minorEastAsia" w:hAnsiTheme="minorEastAsia" w:eastAsiaTheme="minorEastAsia" w:cstheme="minorEastAsia"/>
          <w:b/>
          <w:bCs/>
          <w:spacing w:val="-4"/>
          <w:sz w:val="28"/>
          <w:szCs w:val="28"/>
        </w:rPr>
      </w:pPr>
      <w:r>
        <w:rPr>
          <w:rFonts w:hint="eastAsia" w:asciiTheme="minorEastAsia" w:hAnsiTheme="minorEastAsia" w:eastAsiaTheme="minorEastAsia" w:cstheme="minorEastAsia"/>
          <w:b/>
          <w:bCs/>
          <w:spacing w:val="-4"/>
          <w:sz w:val="28"/>
          <w:szCs w:val="28"/>
        </w:rPr>
        <w:t>一 、实施时间</w:t>
      </w:r>
    </w:p>
    <w:p w14:paraId="7DC21360">
      <w:pPr>
        <w:pStyle w:val="2"/>
        <w:keepNext w:val="0"/>
        <w:keepLines w:val="0"/>
        <w:pageBreakBefore w:val="0"/>
        <w:widowControl w:val="0"/>
        <w:kinsoku/>
        <w:wordWrap/>
        <w:overflowPunct/>
        <w:topLinePunct w:val="0"/>
        <w:autoSpaceDE/>
        <w:autoSpaceDN/>
        <w:bidi w:val="0"/>
        <w:adjustRightInd/>
        <w:snapToGrid/>
        <w:spacing w:line="560" w:lineRule="exact"/>
        <w:ind w:firstLine="544" w:firstLineChars="200"/>
        <w:textAlignment w:val="auto"/>
        <w:rPr>
          <w:rFonts w:hint="eastAsia" w:asciiTheme="minorEastAsia" w:hAnsiTheme="minorEastAsia" w:eastAsiaTheme="minorEastAsia" w:cstheme="minorEastAsia"/>
          <w:spacing w:val="-4"/>
          <w:sz w:val="28"/>
          <w:szCs w:val="28"/>
          <w:lang w:val="en-US" w:eastAsia="zh-CN"/>
        </w:rPr>
      </w:pPr>
      <w:r>
        <w:rPr>
          <w:rFonts w:hint="eastAsia" w:asciiTheme="minorEastAsia" w:hAnsiTheme="minorEastAsia" w:eastAsiaTheme="minorEastAsia" w:cstheme="minorEastAsia"/>
          <w:spacing w:val="-4"/>
          <w:sz w:val="28"/>
          <w:szCs w:val="28"/>
        </w:rPr>
        <w:t>实施时间：签订合同</w:t>
      </w:r>
      <w:r>
        <w:rPr>
          <w:rFonts w:hint="eastAsia" w:asciiTheme="minorEastAsia" w:hAnsiTheme="minorEastAsia" w:eastAsiaTheme="minorEastAsia" w:cstheme="minorEastAsia"/>
          <w:spacing w:val="-4"/>
          <w:sz w:val="28"/>
          <w:szCs w:val="28"/>
          <w:lang w:val="en-US" w:eastAsia="zh-CN"/>
        </w:rPr>
        <w:t>6个月内完成</w:t>
      </w:r>
      <w:r>
        <w:rPr>
          <w:rFonts w:hint="eastAsia" w:asciiTheme="minorEastAsia" w:hAnsiTheme="minorEastAsia" w:eastAsiaTheme="minorEastAsia" w:cstheme="minorEastAsia"/>
          <w:spacing w:val="-4"/>
          <w:sz w:val="28"/>
          <w:szCs w:val="28"/>
          <w:lang w:eastAsia="zh-CN"/>
        </w:rPr>
        <w:t>。</w:t>
      </w:r>
    </w:p>
    <w:p w14:paraId="0E585996">
      <w:pPr>
        <w:pStyle w:val="2"/>
        <w:keepNext w:val="0"/>
        <w:keepLines w:val="0"/>
        <w:pageBreakBefore w:val="0"/>
        <w:widowControl w:val="0"/>
        <w:kinsoku/>
        <w:wordWrap/>
        <w:overflowPunct/>
        <w:topLinePunct w:val="0"/>
        <w:autoSpaceDE/>
        <w:autoSpaceDN/>
        <w:bidi w:val="0"/>
        <w:adjustRightInd/>
        <w:snapToGrid/>
        <w:spacing w:line="560" w:lineRule="exact"/>
        <w:ind w:firstLine="546" w:firstLineChars="200"/>
        <w:textAlignment w:val="auto"/>
        <w:rPr>
          <w:rFonts w:hint="eastAsia" w:asciiTheme="minorEastAsia" w:hAnsiTheme="minorEastAsia" w:eastAsiaTheme="minorEastAsia" w:cstheme="minorEastAsia"/>
          <w:b/>
          <w:bCs/>
          <w:spacing w:val="-4"/>
          <w:sz w:val="28"/>
          <w:szCs w:val="28"/>
        </w:rPr>
      </w:pPr>
      <w:r>
        <w:rPr>
          <w:rFonts w:hint="eastAsia" w:asciiTheme="minorEastAsia" w:hAnsiTheme="minorEastAsia" w:eastAsiaTheme="minorEastAsia" w:cstheme="minorEastAsia"/>
          <w:b/>
          <w:bCs/>
          <w:spacing w:val="-4"/>
          <w:sz w:val="28"/>
          <w:szCs w:val="28"/>
        </w:rPr>
        <w:t>二 、服务</w:t>
      </w:r>
      <w:r>
        <w:rPr>
          <w:rFonts w:hint="eastAsia" w:asciiTheme="minorEastAsia" w:hAnsiTheme="minorEastAsia" w:eastAsiaTheme="minorEastAsia" w:cstheme="minorEastAsia"/>
          <w:b/>
          <w:bCs/>
          <w:spacing w:val="-4"/>
          <w:sz w:val="28"/>
          <w:szCs w:val="28"/>
          <w:lang w:eastAsia="zh-CN"/>
        </w:rPr>
        <w:t>内容</w:t>
      </w:r>
      <w:bookmarkStart w:id="0" w:name="_GoBack"/>
      <w:bookmarkEnd w:id="0"/>
      <w:r>
        <w:rPr>
          <w:rFonts w:hint="eastAsia" w:asciiTheme="minorEastAsia" w:hAnsiTheme="minorEastAsia" w:eastAsiaTheme="minorEastAsia" w:cstheme="minorEastAsia"/>
          <w:b/>
          <w:bCs/>
          <w:spacing w:val="-4"/>
          <w:sz w:val="28"/>
          <w:szCs w:val="28"/>
        </w:rPr>
        <w:t>及目标要求</w:t>
      </w:r>
    </w:p>
    <w:p w14:paraId="17B193D0">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52" w:firstLineChars="200"/>
        <w:textAlignment w:val="auto"/>
        <w:rPr>
          <w:rFonts w:hint="eastAsia"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1、松树钻蛀类害虫专项调查</w:t>
      </w:r>
    </w:p>
    <w:p w14:paraId="5044E69A">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52" w:firstLineChars="200"/>
        <w:textAlignment w:val="auto"/>
        <w:rPr>
          <w:rFonts w:hint="default"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按照全国调查技术方案要求组织对全县31万多亩松林开展外业调查和内业整理工作，完成钻蛀类害虫的标本制作、种类鉴定和外业的补充调查，整理完善系统调查信息，建立专项调查档案。完成主要松树钻蛀类害虫名录及其发生分布情况、灾害损失及危害风险评估、发生趋势分析及预防与治理策略等综合报告。费用不超过25万元。</w:t>
      </w:r>
    </w:p>
    <w:p w14:paraId="20E5996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52" w:firstLineChars="200"/>
        <w:textAlignment w:val="auto"/>
        <w:rPr>
          <w:rFonts w:hint="eastAsia"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2、中心测报点主测对象监测调查</w:t>
      </w:r>
    </w:p>
    <w:p w14:paraId="0F0427E0">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52" w:firstLineChars="200"/>
        <w:textAlignment w:val="auto"/>
        <w:rPr>
          <w:rFonts w:hint="default"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对全县设置的40个中心测报点按照主测对象监测调查次数、时间和调查内容及时开展监测调查，及时掌握主测对象和当地重大林业有害生物动态，并在第一时间发现重大危险性林业有害生物。对其它突发性新的林业有害生物也要及时进行监测。并根据当地主要测报对象调查数据、历年病虫情资料、防治情况及林分状况、立地条件、气象资料等相关资料综合分析，对主测对象的发生期、发生量、发生范围（面积）进行短期精细化预测预报，监测调查结果和短期精细化预报信息及时发布到乡镇村屯。推广应用PDA野外数据采集系统、GIS信息管理系统、智能虫情测报、无人机监测等信息化监测技术，及时做好监测设备的维护更新。费用不超过17万元。</w:t>
      </w:r>
    </w:p>
    <w:p w14:paraId="24EF8C14">
      <w:pPr>
        <w:keepNext w:val="0"/>
        <w:keepLines w:val="0"/>
        <w:pageBreakBefore w:val="0"/>
        <w:widowControl w:val="0"/>
        <w:kinsoku/>
        <w:wordWrap/>
        <w:overflowPunct/>
        <w:topLinePunct w:val="0"/>
        <w:autoSpaceDE/>
        <w:autoSpaceDN w:val="0"/>
        <w:bidi w:val="0"/>
        <w:adjustRightInd/>
        <w:snapToGrid/>
        <w:spacing w:line="560" w:lineRule="exact"/>
        <w:ind w:firstLine="551" w:firstLineChars="196"/>
        <w:textAlignment w:val="auto"/>
        <w:rPr>
          <w:rFonts w:hint="eastAsia" w:ascii="仿宋_GB2312" w:hAnsi="仿宋_GB2312" w:eastAsia="仿宋_GB2312"/>
          <w:b/>
          <w:bCs/>
          <w:color w:val="000000"/>
          <w:sz w:val="28"/>
        </w:rPr>
      </w:pPr>
      <w:r>
        <w:rPr>
          <w:rFonts w:hint="eastAsia" w:ascii="仿宋_GB2312" w:hAnsi="仿宋_GB2312" w:eastAsia="仿宋_GB2312"/>
          <w:b/>
          <w:bCs/>
          <w:color w:val="000000"/>
          <w:sz w:val="28"/>
          <w:lang w:eastAsia="zh-CN"/>
        </w:rPr>
        <w:t>三</w:t>
      </w:r>
      <w:r>
        <w:rPr>
          <w:rFonts w:hint="eastAsia" w:ascii="仿宋_GB2312" w:hAnsi="仿宋_GB2312" w:eastAsia="仿宋_GB2312"/>
          <w:b/>
          <w:bCs/>
          <w:color w:val="000000"/>
          <w:sz w:val="28"/>
        </w:rPr>
        <w:t>、验收要求：</w:t>
      </w:r>
    </w:p>
    <w:p w14:paraId="4D2FE5B4">
      <w:pPr>
        <w:keepNext w:val="0"/>
        <w:keepLines w:val="0"/>
        <w:pageBreakBefore w:val="0"/>
        <w:widowControl w:val="0"/>
        <w:kinsoku/>
        <w:wordWrap/>
        <w:overflowPunct/>
        <w:topLinePunct w:val="0"/>
        <w:autoSpaceDE/>
        <w:bidi w:val="0"/>
        <w:adjustRightInd/>
        <w:snapToGrid/>
        <w:spacing w:line="560" w:lineRule="exact"/>
        <w:textAlignment w:val="auto"/>
        <w:rPr>
          <w:rFonts w:hint="eastAsia" w:asciiTheme="minorEastAsia" w:hAnsiTheme="minorEastAsia" w:eastAsiaTheme="minorEastAsia" w:cstheme="minorEastAsia"/>
          <w:spacing w:val="-2"/>
          <w:kern w:val="2"/>
          <w:sz w:val="28"/>
          <w:szCs w:val="28"/>
          <w:lang w:val="en-US" w:eastAsia="en-US" w:bidi="ar-SA"/>
        </w:rPr>
      </w:pPr>
      <w:r>
        <w:rPr>
          <w:rFonts w:hint="eastAsia" w:ascii="仿宋_GB2312" w:hAnsi="仿宋_GB2312" w:eastAsia="仿宋_GB2312"/>
          <w:sz w:val="28"/>
        </w:rPr>
        <w:t xml:space="preserve">  </w:t>
      </w:r>
      <w:r>
        <w:rPr>
          <w:rFonts w:hint="eastAsia" w:asciiTheme="minorEastAsia" w:hAnsiTheme="minorEastAsia" w:eastAsiaTheme="minorEastAsia" w:cstheme="minorEastAsia"/>
          <w:spacing w:val="-2"/>
          <w:kern w:val="2"/>
          <w:sz w:val="28"/>
          <w:szCs w:val="28"/>
          <w:lang w:val="en-US" w:eastAsia="en-US" w:bidi="ar-SA"/>
        </w:rPr>
        <w:t xml:space="preserve"> </w:t>
      </w:r>
      <w:r>
        <w:rPr>
          <w:rFonts w:hint="eastAsia" w:asciiTheme="minorEastAsia" w:hAnsiTheme="minorEastAsia" w:eastAsiaTheme="minorEastAsia" w:cstheme="minorEastAsia"/>
          <w:spacing w:val="-2"/>
          <w:kern w:val="2"/>
          <w:sz w:val="28"/>
          <w:szCs w:val="28"/>
          <w:lang w:val="en-US" w:eastAsia="zh-CN" w:bidi="ar-SA"/>
        </w:rPr>
        <w:t>防治项目完成后，在11月底前，</w:t>
      </w:r>
      <w:r>
        <w:rPr>
          <w:rFonts w:hint="eastAsia" w:asciiTheme="minorEastAsia" w:hAnsiTheme="minorEastAsia" w:eastAsiaTheme="minorEastAsia" w:cstheme="minorEastAsia"/>
          <w:spacing w:val="-2"/>
          <w:kern w:val="2"/>
          <w:sz w:val="28"/>
          <w:szCs w:val="28"/>
          <w:lang w:val="en-US" w:eastAsia="en-US" w:bidi="ar-SA"/>
        </w:rPr>
        <w:t>由</w:t>
      </w:r>
      <w:r>
        <w:rPr>
          <w:rFonts w:hint="eastAsia" w:asciiTheme="minorEastAsia" w:hAnsiTheme="minorEastAsia" w:eastAsiaTheme="minorEastAsia" w:cstheme="minorEastAsia"/>
          <w:spacing w:val="-2"/>
          <w:kern w:val="2"/>
          <w:sz w:val="28"/>
          <w:szCs w:val="28"/>
          <w:lang w:val="en-US" w:eastAsia="zh-CN" w:bidi="ar-SA"/>
        </w:rPr>
        <w:t>业主同</w:t>
      </w:r>
      <w:r>
        <w:rPr>
          <w:rFonts w:hint="eastAsia" w:asciiTheme="minorEastAsia" w:hAnsiTheme="minorEastAsia" w:eastAsiaTheme="minorEastAsia" w:cstheme="minorEastAsia"/>
          <w:spacing w:val="-2"/>
          <w:kern w:val="2"/>
          <w:sz w:val="28"/>
          <w:szCs w:val="28"/>
          <w:lang w:val="en-US" w:eastAsia="en-US" w:bidi="ar-SA"/>
        </w:rPr>
        <w:t>聘请</w:t>
      </w:r>
      <w:r>
        <w:rPr>
          <w:rFonts w:hint="eastAsia" w:asciiTheme="minorEastAsia" w:hAnsiTheme="minorEastAsia" w:eastAsiaTheme="minorEastAsia" w:cstheme="minorEastAsia"/>
          <w:spacing w:val="-2"/>
          <w:kern w:val="2"/>
          <w:sz w:val="28"/>
          <w:szCs w:val="28"/>
          <w:lang w:val="en-US" w:eastAsia="zh-CN" w:bidi="ar-SA"/>
        </w:rPr>
        <w:t>的</w:t>
      </w:r>
      <w:r>
        <w:rPr>
          <w:rFonts w:hint="eastAsia" w:asciiTheme="minorEastAsia" w:hAnsiTheme="minorEastAsia" w:eastAsiaTheme="minorEastAsia" w:cstheme="minorEastAsia"/>
          <w:spacing w:val="-2"/>
          <w:kern w:val="2"/>
          <w:sz w:val="28"/>
          <w:szCs w:val="28"/>
          <w:lang w:val="en-US" w:eastAsia="en-US" w:bidi="ar-SA"/>
        </w:rPr>
        <w:t>第三方机构按照</w:t>
      </w:r>
      <w:r>
        <w:rPr>
          <w:rFonts w:hint="eastAsia" w:asciiTheme="minorEastAsia" w:hAnsiTheme="minorEastAsia" w:eastAsiaTheme="minorEastAsia" w:cstheme="minorEastAsia"/>
          <w:spacing w:val="-2"/>
          <w:kern w:val="2"/>
          <w:sz w:val="28"/>
          <w:szCs w:val="28"/>
          <w:lang w:val="en-US" w:eastAsia="zh-CN" w:bidi="ar-SA"/>
        </w:rPr>
        <w:t>承包合同的</w:t>
      </w:r>
      <w:r>
        <w:rPr>
          <w:rFonts w:hint="eastAsia" w:asciiTheme="minorEastAsia" w:hAnsiTheme="minorEastAsia" w:eastAsiaTheme="minorEastAsia" w:cstheme="minorEastAsia"/>
          <w:spacing w:val="-2"/>
          <w:kern w:val="2"/>
          <w:sz w:val="28"/>
          <w:szCs w:val="28"/>
          <w:lang w:val="en-US" w:eastAsia="en-US" w:bidi="ar-SA"/>
        </w:rPr>
        <w:t>规定标准进行验收</w:t>
      </w:r>
      <w:r>
        <w:rPr>
          <w:rFonts w:hint="eastAsia" w:asciiTheme="minorEastAsia" w:hAnsiTheme="minorEastAsia" w:eastAsiaTheme="minorEastAsia" w:cstheme="minorEastAsia"/>
          <w:spacing w:val="-2"/>
          <w:kern w:val="2"/>
          <w:sz w:val="28"/>
          <w:szCs w:val="28"/>
          <w:lang w:val="en-US" w:eastAsia="zh-CN" w:bidi="ar-SA"/>
        </w:rPr>
        <w:t>，</w:t>
      </w:r>
      <w:r>
        <w:rPr>
          <w:rFonts w:hint="eastAsia" w:asciiTheme="minorEastAsia" w:hAnsiTheme="minorEastAsia" w:eastAsiaTheme="minorEastAsia" w:cstheme="minorEastAsia"/>
          <w:spacing w:val="-2"/>
          <w:kern w:val="2"/>
          <w:sz w:val="28"/>
          <w:szCs w:val="28"/>
          <w:lang w:val="en-US" w:eastAsia="en-US" w:bidi="ar-SA"/>
        </w:rPr>
        <w:t>并出具验收报告。</w:t>
      </w:r>
    </w:p>
    <w:p w14:paraId="35C14DE6">
      <w:pPr>
        <w:keepNext w:val="0"/>
        <w:keepLines w:val="0"/>
        <w:pageBreakBefore w:val="0"/>
        <w:widowControl w:val="0"/>
        <w:kinsoku/>
        <w:wordWrap/>
        <w:overflowPunct/>
        <w:topLinePunct w:val="0"/>
        <w:autoSpaceDE/>
        <w:bidi w:val="0"/>
        <w:adjustRightInd/>
        <w:snapToGrid/>
        <w:spacing w:line="560" w:lineRule="exact"/>
        <w:ind w:firstLine="551" w:firstLineChars="196"/>
        <w:textAlignment w:val="auto"/>
        <w:rPr>
          <w:rFonts w:hint="eastAsia" w:ascii="仿宋_GB2312" w:hAnsi="仿宋_GB2312" w:eastAsia="仿宋_GB2312"/>
          <w:b/>
          <w:bCs/>
          <w:color w:val="000000"/>
          <w:sz w:val="28"/>
        </w:rPr>
      </w:pPr>
      <w:r>
        <w:rPr>
          <w:rFonts w:hint="eastAsia" w:ascii="仿宋_GB2312" w:hAnsi="仿宋_GB2312" w:eastAsia="仿宋_GB2312"/>
          <w:b/>
          <w:bCs/>
          <w:color w:val="000000"/>
          <w:sz w:val="28"/>
          <w:lang w:eastAsia="zh-CN"/>
        </w:rPr>
        <w:t>四</w:t>
      </w:r>
      <w:r>
        <w:rPr>
          <w:rFonts w:hint="eastAsia" w:ascii="仿宋_GB2312" w:hAnsi="仿宋_GB2312" w:eastAsia="仿宋_GB2312"/>
          <w:b/>
          <w:bCs/>
          <w:color w:val="000000"/>
          <w:sz w:val="28"/>
        </w:rPr>
        <w:t>、付款要求：</w:t>
      </w:r>
    </w:p>
    <w:p w14:paraId="5D408A2F">
      <w:pPr>
        <w:keepNext w:val="0"/>
        <w:keepLines w:val="0"/>
        <w:pageBreakBefore w:val="0"/>
        <w:widowControl w:val="0"/>
        <w:kinsoku/>
        <w:wordWrap/>
        <w:overflowPunct/>
        <w:topLinePunct w:val="0"/>
        <w:autoSpaceDE/>
        <w:bidi w:val="0"/>
        <w:adjustRightInd/>
        <w:snapToGrid/>
        <w:spacing w:line="560" w:lineRule="exact"/>
        <w:textAlignment w:val="auto"/>
        <w:rPr>
          <w:rFonts w:hint="eastAsia" w:ascii="仿宋_GB2312" w:hAnsi="仿宋_GB2312" w:eastAsia="仿宋_GB2312"/>
          <w:color w:val="000000"/>
          <w:sz w:val="28"/>
        </w:rPr>
      </w:pPr>
      <w:r>
        <w:rPr>
          <w:rFonts w:hint="eastAsia" w:ascii="仿宋_GB2312" w:hAnsi="仿宋_GB2312" w:eastAsia="仿宋_GB2312"/>
          <w:b/>
          <w:bCs/>
          <w:color w:val="000000"/>
          <w:sz w:val="28"/>
        </w:rPr>
        <w:t xml:space="preserve">  </w:t>
      </w:r>
      <w:r>
        <w:rPr>
          <w:rFonts w:hint="eastAsia" w:ascii="仿宋_GB2312" w:hAnsi="仿宋_GB2312" w:eastAsia="仿宋_GB2312"/>
          <w:color w:val="000000"/>
          <w:sz w:val="28"/>
        </w:rPr>
        <w:t xml:space="preserve">  </w:t>
      </w:r>
      <w:r>
        <w:rPr>
          <w:rFonts w:hint="eastAsia" w:asciiTheme="minorEastAsia" w:hAnsiTheme="minorEastAsia" w:eastAsiaTheme="minorEastAsia" w:cstheme="minorEastAsia"/>
          <w:spacing w:val="2"/>
          <w:kern w:val="2"/>
          <w:sz w:val="28"/>
          <w:szCs w:val="28"/>
          <w:lang w:val="en-US" w:eastAsia="en-US" w:bidi="ar-SA"/>
        </w:rPr>
        <w:t>项目费用分</w:t>
      </w:r>
      <w:r>
        <w:rPr>
          <w:rFonts w:hint="eastAsia" w:asciiTheme="minorEastAsia" w:hAnsiTheme="minorEastAsia" w:eastAsiaTheme="minorEastAsia" w:cstheme="minorEastAsia"/>
          <w:spacing w:val="2"/>
          <w:kern w:val="2"/>
          <w:sz w:val="28"/>
          <w:szCs w:val="28"/>
          <w:lang w:val="en-US" w:eastAsia="zh-CN" w:bidi="ar-SA"/>
        </w:rPr>
        <w:t>2</w:t>
      </w:r>
      <w:r>
        <w:rPr>
          <w:rFonts w:hint="eastAsia" w:asciiTheme="minorEastAsia" w:hAnsiTheme="minorEastAsia" w:eastAsiaTheme="minorEastAsia" w:cstheme="minorEastAsia"/>
          <w:spacing w:val="2"/>
          <w:kern w:val="2"/>
          <w:sz w:val="28"/>
          <w:szCs w:val="28"/>
          <w:lang w:val="en-US" w:eastAsia="en-US" w:bidi="ar-SA"/>
        </w:rPr>
        <w:t>次支付：首次为</w:t>
      </w:r>
      <w:r>
        <w:rPr>
          <w:rFonts w:hint="eastAsia" w:asciiTheme="minorEastAsia" w:hAnsiTheme="minorEastAsia" w:eastAsiaTheme="minorEastAsia" w:cstheme="minorEastAsia"/>
          <w:spacing w:val="2"/>
          <w:kern w:val="2"/>
          <w:sz w:val="28"/>
          <w:szCs w:val="28"/>
          <w:lang w:val="en-US" w:eastAsia="zh-CN" w:bidi="ar-SA"/>
        </w:rPr>
        <w:t>调查任务</w:t>
      </w:r>
      <w:r>
        <w:rPr>
          <w:rFonts w:hint="eastAsia" w:asciiTheme="minorEastAsia" w:hAnsiTheme="minorEastAsia" w:eastAsiaTheme="minorEastAsia" w:cstheme="minorEastAsia"/>
          <w:spacing w:val="2"/>
          <w:kern w:val="2"/>
          <w:sz w:val="28"/>
          <w:szCs w:val="28"/>
          <w:lang w:val="en-US" w:eastAsia="en-US" w:bidi="ar-SA"/>
        </w:rPr>
        <w:t>完成</w:t>
      </w:r>
      <w:r>
        <w:rPr>
          <w:rFonts w:hint="eastAsia" w:asciiTheme="minorEastAsia" w:hAnsiTheme="minorEastAsia" w:eastAsiaTheme="minorEastAsia" w:cstheme="minorEastAsia"/>
          <w:spacing w:val="2"/>
          <w:kern w:val="2"/>
          <w:sz w:val="28"/>
          <w:szCs w:val="28"/>
          <w:lang w:val="en-US" w:eastAsia="zh-CN" w:bidi="ar-SA"/>
        </w:rPr>
        <w:t>过半</w:t>
      </w:r>
      <w:r>
        <w:rPr>
          <w:rFonts w:hint="eastAsia" w:asciiTheme="minorEastAsia" w:hAnsiTheme="minorEastAsia" w:eastAsiaTheme="minorEastAsia" w:cstheme="minorEastAsia"/>
          <w:spacing w:val="2"/>
          <w:kern w:val="2"/>
          <w:sz w:val="28"/>
          <w:szCs w:val="28"/>
          <w:lang w:val="en-US" w:eastAsia="en-US" w:bidi="ar-SA"/>
        </w:rPr>
        <w:t>后，在</w:t>
      </w:r>
      <w:r>
        <w:rPr>
          <w:rFonts w:hint="eastAsia" w:asciiTheme="minorEastAsia" w:hAnsiTheme="minorEastAsia" w:eastAsiaTheme="minorEastAsia" w:cstheme="minorEastAsia"/>
          <w:spacing w:val="2"/>
          <w:kern w:val="2"/>
          <w:sz w:val="28"/>
          <w:szCs w:val="28"/>
          <w:lang w:val="en-US" w:eastAsia="zh-CN" w:bidi="ar-SA"/>
        </w:rPr>
        <w:t>10</w:t>
      </w:r>
      <w:r>
        <w:rPr>
          <w:rFonts w:hint="eastAsia" w:asciiTheme="minorEastAsia" w:hAnsiTheme="minorEastAsia" w:eastAsiaTheme="minorEastAsia" w:cstheme="minorEastAsia"/>
          <w:spacing w:val="2"/>
          <w:kern w:val="2"/>
          <w:sz w:val="28"/>
          <w:szCs w:val="28"/>
          <w:lang w:val="en-US" w:eastAsia="en-US" w:bidi="ar-SA"/>
        </w:rPr>
        <w:t>月15日前</w:t>
      </w:r>
      <w:r>
        <w:rPr>
          <w:rFonts w:hint="eastAsia" w:asciiTheme="minorEastAsia" w:hAnsiTheme="minorEastAsia" w:eastAsiaTheme="minorEastAsia" w:cstheme="minorEastAsia"/>
          <w:spacing w:val="2"/>
          <w:kern w:val="2"/>
          <w:sz w:val="28"/>
          <w:szCs w:val="28"/>
          <w:lang w:val="en-US" w:eastAsia="zh-CN" w:bidi="ar-SA"/>
        </w:rPr>
        <w:t>支付合同</w:t>
      </w:r>
      <w:r>
        <w:rPr>
          <w:rFonts w:hint="eastAsia" w:asciiTheme="minorEastAsia" w:hAnsiTheme="minorEastAsia" w:eastAsiaTheme="minorEastAsia" w:cstheme="minorEastAsia"/>
          <w:spacing w:val="2"/>
          <w:kern w:val="2"/>
          <w:sz w:val="28"/>
          <w:szCs w:val="28"/>
          <w:lang w:val="en-US" w:eastAsia="en-US" w:bidi="ar-SA"/>
        </w:rPr>
        <w:t>费用总额的</w:t>
      </w:r>
      <w:r>
        <w:rPr>
          <w:rFonts w:hint="eastAsia" w:asciiTheme="minorEastAsia" w:hAnsiTheme="minorEastAsia" w:eastAsiaTheme="minorEastAsia" w:cstheme="minorEastAsia"/>
          <w:spacing w:val="2"/>
          <w:kern w:val="2"/>
          <w:sz w:val="28"/>
          <w:szCs w:val="28"/>
          <w:lang w:val="en-US" w:eastAsia="zh-CN" w:bidi="ar-SA"/>
        </w:rPr>
        <w:t>4</w:t>
      </w:r>
      <w:r>
        <w:rPr>
          <w:rFonts w:hint="eastAsia" w:asciiTheme="minorEastAsia" w:hAnsiTheme="minorEastAsia" w:eastAsiaTheme="minorEastAsia" w:cstheme="minorEastAsia"/>
          <w:spacing w:val="2"/>
          <w:kern w:val="2"/>
          <w:sz w:val="28"/>
          <w:szCs w:val="28"/>
          <w:lang w:val="en-US" w:eastAsia="en-US" w:bidi="ar-SA"/>
        </w:rPr>
        <w:t>0%；第</w:t>
      </w:r>
      <w:r>
        <w:rPr>
          <w:rFonts w:hint="eastAsia" w:asciiTheme="minorEastAsia" w:hAnsiTheme="minorEastAsia" w:eastAsiaTheme="minorEastAsia" w:cstheme="minorEastAsia"/>
          <w:spacing w:val="2"/>
          <w:kern w:val="2"/>
          <w:sz w:val="28"/>
          <w:szCs w:val="28"/>
          <w:lang w:val="en-US" w:eastAsia="zh-CN" w:bidi="ar-SA"/>
        </w:rPr>
        <w:t>二</w:t>
      </w:r>
      <w:r>
        <w:rPr>
          <w:rFonts w:hint="eastAsia" w:asciiTheme="minorEastAsia" w:hAnsiTheme="minorEastAsia" w:eastAsiaTheme="minorEastAsia" w:cstheme="minorEastAsia"/>
          <w:spacing w:val="2"/>
          <w:kern w:val="2"/>
          <w:sz w:val="28"/>
          <w:szCs w:val="28"/>
          <w:lang w:val="en-US" w:eastAsia="en-US" w:bidi="ar-SA"/>
        </w:rPr>
        <w:t>次为验收合格后支付合同剩余</w:t>
      </w:r>
      <w:r>
        <w:rPr>
          <w:rFonts w:hint="eastAsia" w:asciiTheme="minorEastAsia" w:hAnsiTheme="minorEastAsia" w:eastAsiaTheme="minorEastAsia" w:cstheme="minorEastAsia"/>
          <w:spacing w:val="2"/>
          <w:kern w:val="2"/>
          <w:sz w:val="28"/>
          <w:szCs w:val="28"/>
          <w:lang w:val="en-US" w:eastAsia="zh-CN" w:bidi="ar-SA"/>
        </w:rPr>
        <w:t>6</w:t>
      </w:r>
      <w:r>
        <w:rPr>
          <w:rFonts w:hint="eastAsia" w:asciiTheme="minorEastAsia" w:hAnsiTheme="minorEastAsia" w:eastAsiaTheme="minorEastAsia" w:cstheme="minorEastAsia"/>
          <w:spacing w:val="2"/>
          <w:kern w:val="2"/>
          <w:sz w:val="28"/>
          <w:szCs w:val="28"/>
          <w:lang w:val="en-US" w:eastAsia="en-US" w:bidi="ar-SA"/>
        </w:rPr>
        <w:t>0%部分。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kNDkwNDU5ZGZjOTljYmJjOTIwOWIzMjM0OTIxMzgifQ=="/>
  </w:docVars>
  <w:rsids>
    <w:rsidRoot w:val="319B70F0"/>
    <w:rsid w:val="10C06F1D"/>
    <w:rsid w:val="171D70D4"/>
    <w:rsid w:val="1BB55E3F"/>
    <w:rsid w:val="2028495D"/>
    <w:rsid w:val="2B233818"/>
    <w:rsid w:val="304D777D"/>
    <w:rsid w:val="319B70F0"/>
    <w:rsid w:val="361E1B63"/>
    <w:rsid w:val="371D6835"/>
    <w:rsid w:val="427C68BC"/>
    <w:rsid w:val="43A25BCA"/>
    <w:rsid w:val="4BF0432D"/>
    <w:rsid w:val="4CA7209E"/>
    <w:rsid w:val="6045177F"/>
    <w:rsid w:val="613F3F30"/>
    <w:rsid w:val="63725AE4"/>
    <w:rsid w:val="69D167CE"/>
    <w:rsid w:val="6D746202"/>
    <w:rsid w:val="772B760F"/>
    <w:rsid w:val="77710841"/>
    <w:rsid w:val="79422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footer"/>
    <w:basedOn w:val="1"/>
    <w:qFormat/>
    <w:uiPriority w:val="0"/>
    <w:pPr>
      <w:tabs>
        <w:tab w:val="center" w:pos="4153"/>
        <w:tab w:val="right" w:pos="8306"/>
      </w:tabs>
      <w:snapToGrid w:val="0"/>
      <w:jc w:val="left"/>
    </w:pPr>
    <w:rPr>
      <w:rFonts w:ascii="Tahoma" w:hAnsi="Tahoma"/>
      <w:kern w:val="2"/>
      <w:sz w:val="18"/>
      <w:szCs w:val="18"/>
    </w:rPr>
  </w:style>
  <w:style w:type="character" w:styleId="6">
    <w:name w:val="page number"/>
    <w:basedOn w:val="5"/>
    <w:qFormat/>
    <w:uiPriority w:val="0"/>
  </w:style>
  <w:style w:type="paragraph" w:customStyle="1" w:styleId="7">
    <w:name w:val="Plain Text"/>
    <w:basedOn w:val="1"/>
    <w:qFormat/>
    <w:uiPriority w:val="0"/>
    <w:rPr>
      <w:rFonts w:ascii="宋体" w:hAnsi="Courier New" w:eastAsia="楷体_GB2312"/>
    </w:rPr>
  </w:style>
  <w:style w:type="paragraph" w:customStyle="1" w:styleId="8">
    <w:name w:val="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xyxsfz</Company>
  <Pages>2</Pages>
  <Words>753</Words>
  <Characters>786</Characters>
  <Lines>0</Lines>
  <Paragraphs>0</Paragraphs>
  <TotalTime>13</TotalTime>
  <ScaleCrop>false</ScaleCrop>
  <LinksUpToDate>false</LinksUpToDate>
  <CharactersWithSpaces>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2023-02-13T08:48:00Z</dcterms:created>
  <dc:creator>自由骑士</dc:creator>
  <cp:lastModifiedBy>自由骑士</cp:lastModifiedBy>
  <dcterms:modified xsi:type="dcterms:W3CDTF">2026-07-02T00:50:10Z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FBB5865F4E014523B25AB09EFB644754_13</vt:lpwstr>
  </property>
  <property fmtid="{D5CDD505-2E9C-101B-9397-08002B2CF9AE}" pid="4" name="KSOTemplateDocerSaveRecord">
    <vt:lpwstr>eyJoZGlkIjoiZGJhYmNjYjEzZDY4YzkyMmY1MDdkNzA1NmY5NTA2OWYiLCJ1c2VySWQiOiI0NDcyMzU0ODAifQ==</vt:lpwstr>
  </property>
</Properties>
</file>