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76AF06">
      <w:pPr>
        <w:jc w:val="center"/>
        <w:rPr>
          <w:rFonts w:hint="eastAsia" w:asciiTheme="minorEastAsia" w:hAnsiTheme="minorEastAsia" w:cstheme="minorEastAsia"/>
          <w:b/>
          <w:bCs/>
          <w:sz w:val="36"/>
          <w:szCs w:val="36"/>
          <w:lang w:val="en-US" w:eastAsia="zh-CN"/>
        </w:rPr>
      </w:pPr>
      <w:r>
        <w:rPr>
          <w:rFonts w:hint="eastAsia" w:asciiTheme="minorEastAsia" w:hAnsiTheme="minorEastAsia" w:cstheme="minorEastAsia"/>
          <w:b/>
          <w:bCs/>
          <w:sz w:val="36"/>
          <w:szCs w:val="36"/>
          <w:lang w:val="en-US" w:eastAsia="zh-CN"/>
        </w:rPr>
        <w:t>2026年兴业县巩固松材线虫病拔区成果</w:t>
      </w:r>
    </w:p>
    <w:p w14:paraId="307E794E">
      <w:pPr>
        <w:jc w:val="center"/>
        <w:rPr>
          <w:rFonts w:hint="default" w:eastAsia="宋体"/>
          <w:lang w:val="en-US" w:eastAsia="zh-CN"/>
        </w:rPr>
      </w:pPr>
      <w:r>
        <w:rPr>
          <w:rFonts w:hint="eastAsia" w:asciiTheme="minorEastAsia" w:hAnsiTheme="minorEastAsia" w:cstheme="minorEastAsia"/>
          <w:b/>
          <w:bCs/>
          <w:sz w:val="36"/>
          <w:szCs w:val="36"/>
          <w:lang w:val="en-US" w:eastAsia="zh-CN"/>
        </w:rPr>
        <w:t>枯死松树清理服务</w:t>
      </w:r>
      <w:r>
        <w:rPr>
          <w:rFonts w:hint="eastAsia" w:asciiTheme="minorEastAsia" w:hAnsiTheme="minorEastAsia" w:eastAsiaTheme="minorEastAsia" w:cstheme="minorEastAsia"/>
          <w:b/>
          <w:bCs/>
          <w:sz w:val="36"/>
          <w:szCs w:val="36"/>
          <w:lang w:eastAsia="zh-CN"/>
        </w:rPr>
        <w:t>采购需求</w:t>
      </w:r>
    </w:p>
    <w:p w14:paraId="1B5599EF">
      <w:pPr>
        <w:pStyle w:val="7"/>
        <w:ind w:firstLine="562" w:firstLineChars="200"/>
        <w:rPr>
          <w:rFonts w:hint="eastAsia" w:ascii="仿宋" w:hAnsi="仿宋" w:eastAsia="仿宋" w:cs="仿宋"/>
          <w:b/>
          <w:bCs w:val="0"/>
          <w:color w:val="auto"/>
          <w:sz w:val="28"/>
          <w:highlight w:val="none"/>
          <w:lang w:val="en-US" w:eastAsia="zh-CN"/>
        </w:rPr>
      </w:pPr>
    </w:p>
    <w:p w14:paraId="0CDE8F75">
      <w:pPr>
        <w:pStyle w:val="7"/>
        <w:keepNext w:val="0"/>
        <w:keepLines w:val="0"/>
        <w:pageBreakBefore w:val="0"/>
        <w:widowControl w:val="0"/>
        <w:kinsoku/>
        <w:wordWrap/>
        <w:overflowPunct/>
        <w:topLinePunct w:val="0"/>
        <w:autoSpaceDE/>
        <w:bidi w:val="0"/>
        <w:adjustRightInd/>
        <w:snapToGrid/>
        <w:spacing w:line="560" w:lineRule="exact"/>
        <w:ind w:firstLine="552" w:firstLineChars="200"/>
        <w:textAlignment w:val="auto"/>
        <w:rPr>
          <w:rFonts w:hint="default"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2026年兴业县巩固松材线虫病拔区成果枯死松树清理服务主要是清理全县范围内枯死松树，采购金额控制在壹佰柒拾万元（</w:t>
      </w:r>
      <w:r>
        <w:rPr>
          <w:rFonts w:hint="default" w:asciiTheme="minorEastAsia" w:hAnsiTheme="minorEastAsia" w:eastAsiaTheme="minorEastAsia" w:cstheme="minorEastAsia"/>
          <w:spacing w:val="-2"/>
          <w:kern w:val="2"/>
          <w:sz w:val="28"/>
          <w:szCs w:val="28"/>
          <w:lang w:val="en-US" w:eastAsia="zh-CN" w:bidi="ar-SA"/>
        </w:rPr>
        <w:t>¥</w:t>
      </w:r>
      <w:r>
        <w:rPr>
          <w:rFonts w:hint="eastAsia" w:asciiTheme="minorEastAsia" w:hAnsiTheme="minorEastAsia" w:eastAsiaTheme="minorEastAsia" w:cstheme="minorEastAsia"/>
          <w:spacing w:val="-2"/>
          <w:kern w:val="2"/>
          <w:sz w:val="28"/>
          <w:szCs w:val="28"/>
          <w:lang w:val="en-US" w:eastAsia="zh-CN" w:bidi="ar-SA"/>
        </w:rPr>
        <w:t>1700000元）以内。</w:t>
      </w:r>
    </w:p>
    <w:p w14:paraId="71AC5C12">
      <w:pPr>
        <w:pStyle w:val="2"/>
        <w:keepNext w:val="0"/>
        <w:keepLines w:val="0"/>
        <w:pageBreakBefore w:val="0"/>
        <w:widowControl w:val="0"/>
        <w:kinsoku/>
        <w:wordWrap/>
        <w:overflowPunct/>
        <w:topLinePunct w:val="0"/>
        <w:autoSpaceDE/>
        <w:autoSpaceDN/>
        <w:bidi w:val="0"/>
        <w:adjustRightInd/>
        <w:snapToGrid/>
        <w:spacing w:line="560" w:lineRule="exact"/>
        <w:ind w:firstLine="546" w:firstLineChars="200"/>
        <w:textAlignment w:val="auto"/>
        <w:rPr>
          <w:rFonts w:hint="eastAsia" w:asciiTheme="minorEastAsia" w:hAnsiTheme="minorEastAsia" w:eastAsiaTheme="minorEastAsia" w:cstheme="minorEastAsia"/>
          <w:b/>
          <w:bCs/>
          <w:spacing w:val="-4"/>
          <w:sz w:val="28"/>
          <w:szCs w:val="28"/>
        </w:rPr>
      </w:pPr>
      <w:r>
        <w:rPr>
          <w:rFonts w:hint="eastAsia" w:asciiTheme="minorEastAsia" w:hAnsiTheme="minorEastAsia" w:eastAsiaTheme="minorEastAsia" w:cstheme="minorEastAsia"/>
          <w:b/>
          <w:bCs/>
          <w:spacing w:val="-4"/>
          <w:sz w:val="28"/>
          <w:szCs w:val="28"/>
        </w:rPr>
        <w:t>一 、实施时间</w:t>
      </w:r>
    </w:p>
    <w:p w14:paraId="7DC21360">
      <w:pPr>
        <w:pStyle w:val="2"/>
        <w:keepNext w:val="0"/>
        <w:keepLines w:val="0"/>
        <w:pageBreakBefore w:val="0"/>
        <w:widowControl w:val="0"/>
        <w:kinsoku/>
        <w:wordWrap/>
        <w:overflowPunct/>
        <w:topLinePunct w:val="0"/>
        <w:autoSpaceDE/>
        <w:autoSpaceDN/>
        <w:bidi w:val="0"/>
        <w:adjustRightInd/>
        <w:snapToGrid/>
        <w:spacing w:line="560" w:lineRule="exact"/>
        <w:ind w:firstLine="544" w:firstLineChars="200"/>
        <w:textAlignment w:val="auto"/>
        <w:rPr>
          <w:rFonts w:hint="eastAsia" w:asciiTheme="minorEastAsia" w:hAnsiTheme="minorEastAsia" w:eastAsiaTheme="minorEastAsia" w:cstheme="minorEastAsia"/>
          <w:spacing w:val="-4"/>
          <w:sz w:val="28"/>
          <w:szCs w:val="28"/>
          <w:lang w:val="en-US" w:eastAsia="zh-CN"/>
        </w:rPr>
      </w:pPr>
      <w:r>
        <w:rPr>
          <w:rFonts w:hint="eastAsia" w:asciiTheme="minorEastAsia" w:hAnsiTheme="minorEastAsia" w:eastAsiaTheme="minorEastAsia" w:cstheme="minorEastAsia"/>
          <w:spacing w:val="-4"/>
          <w:sz w:val="28"/>
          <w:szCs w:val="28"/>
        </w:rPr>
        <w:t>实施时间：签订合同</w:t>
      </w:r>
      <w:r>
        <w:rPr>
          <w:rFonts w:hint="eastAsia" w:asciiTheme="minorEastAsia" w:hAnsiTheme="minorEastAsia" w:eastAsiaTheme="minorEastAsia" w:cstheme="minorEastAsia"/>
          <w:spacing w:val="-4"/>
          <w:sz w:val="28"/>
          <w:szCs w:val="28"/>
          <w:lang w:val="en-US" w:eastAsia="zh-CN"/>
        </w:rPr>
        <w:t>6个月内完成</w:t>
      </w:r>
      <w:r>
        <w:rPr>
          <w:rFonts w:hint="eastAsia" w:asciiTheme="minorEastAsia" w:hAnsiTheme="minorEastAsia" w:eastAsiaTheme="minorEastAsia" w:cstheme="minorEastAsia"/>
          <w:spacing w:val="-4"/>
          <w:sz w:val="28"/>
          <w:szCs w:val="28"/>
          <w:lang w:eastAsia="zh-CN"/>
        </w:rPr>
        <w:t>。</w:t>
      </w:r>
    </w:p>
    <w:p w14:paraId="0E585996">
      <w:pPr>
        <w:pStyle w:val="2"/>
        <w:keepNext w:val="0"/>
        <w:keepLines w:val="0"/>
        <w:pageBreakBefore w:val="0"/>
        <w:widowControl w:val="0"/>
        <w:kinsoku/>
        <w:wordWrap/>
        <w:overflowPunct/>
        <w:topLinePunct w:val="0"/>
        <w:autoSpaceDE/>
        <w:autoSpaceDN/>
        <w:bidi w:val="0"/>
        <w:adjustRightInd/>
        <w:snapToGrid/>
        <w:spacing w:line="560" w:lineRule="exact"/>
        <w:ind w:firstLine="546" w:firstLineChars="200"/>
        <w:textAlignment w:val="auto"/>
        <w:rPr>
          <w:rFonts w:hint="eastAsia" w:asciiTheme="minorEastAsia" w:hAnsiTheme="minorEastAsia" w:eastAsiaTheme="minorEastAsia" w:cstheme="minorEastAsia"/>
          <w:b/>
          <w:bCs/>
          <w:spacing w:val="-4"/>
          <w:sz w:val="28"/>
          <w:szCs w:val="28"/>
        </w:rPr>
      </w:pPr>
      <w:r>
        <w:rPr>
          <w:rFonts w:hint="eastAsia" w:asciiTheme="minorEastAsia" w:hAnsiTheme="minorEastAsia" w:eastAsiaTheme="minorEastAsia" w:cstheme="minorEastAsia"/>
          <w:b/>
          <w:bCs/>
          <w:spacing w:val="-4"/>
          <w:sz w:val="28"/>
          <w:szCs w:val="28"/>
        </w:rPr>
        <w:t>二 、服务</w:t>
      </w:r>
      <w:r>
        <w:rPr>
          <w:rFonts w:hint="eastAsia" w:asciiTheme="minorEastAsia" w:hAnsiTheme="minorEastAsia" w:eastAsiaTheme="minorEastAsia" w:cstheme="minorEastAsia"/>
          <w:b/>
          <w:bCs/>
          <w:spacing w:val="-4"/>
          <w:sz w:val="28"/>
          <w:szCs w:val="28"/>
          <w:lang w:eastAsia="zh-CN"/>
        </w:rPr>
        <w:t>内容</w:t>
      </w:r>
      <w:bookmarkStart w:id="5" w:name="_GoBack"/>
      <w:bookmarkEnd w:id="5"/>
      <w:r>
        <w:rPr>
          <w:rFonts w:hint="eastAsia" w:asciiTheme="minorEastAsia" w:hAnsiTheme="minorEastAsia" w:eastAsiaTheme="minorEastAsia" w:cstheme="minorEastAsia"/>
          <w:b/>
          <w:bCs/>
          <w:spacing w:val="-4"/>
          <w:sz w:val="28"/>
          <w:szCs w:val="28"/>
        </w:rPr>
        <w:t>及目标要求</w:t>
      </w:r>
    </w:p>
    <w:p w14:paraId="345CCC28">
      <w:pPr>
        <w:pStyle w:val="2"/>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52" w:firstLineChars="200"/>
        <w:textAlignment w:val="auto"/>
        <w:rPr>
          <w:rFonts w:hint="eastAsia"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清理范围</w:t>
      </w:r>
    </w:p>
    <w:p w14:paraId="05F81CB5">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52" w:firstLineChars="200"/>
        <w:textAlignment w:val="auto"/>
        <w:rPr>
          <w:rFonts w:hint="default"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择伐清理</w:t>
      </w:r>
      <w:bookmarkStart w:id="0" w:name="OLE_LINK6"/>
      <w:r>
        <w:rPr>
          <w:rFonts w:hint="eastAsia" w:asciiTheme="minorEastAsia" w:hAnsiTheme="minorEastAsia" w:eastAsiaTheme="minorEastAsia" w:cstheme="minorEastAsia"/>
          <w:spacing w:val="-2"/>
          <w:kern w:val="2"/>
          <w:sz w:val="28"/>
          <w:szCs w:val="28"/>
          <w:lang w:val="en-US" w:eastAsia="zh-CN" w:bidi="ar-SA"/>
        </w:rPr>
        <w:t>兴业县重点区域</w:t>
      </w:r>
      <w:bookmarkStart w:id="1" w:name="OLE_LINK3"/>
      <w:r>
        <w:rPr>
          <w:rFonts w:hint="eastAsia" w:asciiTheme="minorEastAsia" w:hAnsiTheme="minorEastAsia" w:eastAsiaTheme="minorEastAsia" w:cstheme="minorEastAsia"/>
          <w:spacing w:val="-2"/>
          <w:kern w:val="2"/>
          <w:sz w:val="28"/>
          <w:szCs w:val="28"/>
          <w:lang w:val="en-US" w:eastAsia="zh-CN" w:bidi="ar-SA"/>
        </w:rPr>
        <w:t>枯(濒)死松树及异常枯死松树</w:t>
      </w:r>
      <w:bookmarkEnd w:id="1"/>
      <w:r>
        <w:rPr>
          <w:rFonts w:hint="eastAsia" w:asciiTheme="minorEastAsia" w:hAnsiTheme="minorEastAsia" w:eastAsiaTheme="minorEastAsia" w:cstheme="minorEastAsia"/>
          <w:spacing w:val="-2"/>
          <w:kern w:val="2"/>
          <w:sz w:val="28"/>
          <w:szCs w:val="28"/>
          <w:lang w:val="en-US" w:eastAsia="zh-CN" w:bidi="ar-SA"/>
        </w:rPr>
        <w:t>，重点是</w:t>
      </w:r>
      <w:bookmarkStart w:id="2" w:name="OLE_LINK2"/>
      <w:r>
        <w:rPr>
          <w:rFonts w:hint="eastAsia" w:asciiTheme="minorEastAsia" w:hAnsiTheme="minorEastAsia" w:eastAsiaTheme="minorEastAsia" w:cstheme="minorEastAsia"/>
          <w:spacing w:val="-2"/>
          <w:kern w:val="2"/>
          <w:sz w:val="28"/>
          <w:szCs w:val="28"/>
          <w:lang w:val="en-US" w:eastAsia="zh-CN" w:bidi="ar-SA"/>
        </w:rPr>
        <w:t>清理北市镇、城隍镇、高峰镇、洛阳镇、卖酒镇、山心镇、蒲塘镇、石南镇、葵阳镇</w:t>
      </w:r>
      <w:bookmarkEnd w:id="2"/>
      <w:r>
        <w:rPr>
          <w:rFonts w:hint="eastAsia" w:asciiTheme="minorEastAsia" w:hAnsiTheme="minorEastAsia" w:eastAsiaTheme="minorEastAsia" w:cstheme="minorEastAsia"/>
          <w:spacing w:val="-2"/>
          <w:kern w:val="2"/>
          <w:sz w:val="28"/>
          <w:szCs w:val="28"/>
          <w:lang w:val="en-US" w:eastAsia="zh-CN" w:bidi="ar-SA"/>
        </w:rPr>
        <w:t>）和交通要道（</w:t>
      </w:r>
      <w:bookmarkStart w:id="3" w:name="OLE_LINK9"/>
      <w:r>
        <w:rPr>
          <w:rFonts w:hint="eastAsia" w:asciiTheme="minorEastAsia" w:hAnsiTheme="minorEastAsia" w:eastAsiaTheme="minorEastAsia" w:cstheme="minorEastAsia"/>
          <w:spacing w:val="-2"/>
          <w:kern w:val="2"/>
          <w:sz w:val="28"/>
          <w:szCs w:val="28"/>
          <w:lang w:val="en-US" w:eastAsia="zh-CN" w:bidi="ar-SA"/>
        </w:rPr>
        <w:t>高速公路、国道和城镇公路出入口）</w:t>
      </w:r>
      <w:bookmarkEnd w:id="3"/>
      <w:r>
        <w:rPr>
          <w:rFonts w:hint="eastAsia" w:asciiTheme="minorEastAsia" w:hAnsiTheme="minorEastAsia" w:eastAsiaTheme="minorEastAsia" w:cstheme="minorEastAsia"/>
          <w:spacing w:val="-2"/>
          <w:kern w:val="2"/>
          <w:sz w:val="28"/>
          <w:szCs w:val="28"/>
          <w:lang w:val="en-US" w:eastAsia="zh-CN" w:bidi="ar-SA"/>
        </w:rPr>
        <w:t>的林地。清理数量不少于9500株。</w:t>
      </w:r>
    </w:p>
    <w:bookmarkEnd w:id="0"/>
    <w:p w14:paraId="6512837A">
      <w:pPr>
        <w:pStyle w:val="2"/>
        <w:keepNext w:val="0"/>
        <w:keepLines w:val="0"/>
        <w:pageBreakBefore w:val="0"/>
        <w:widowControl w:val="0"/>
        <w:kinsoku/>
        <w:wordWrap/>
        <w:overflowPunct/>
        <w:topLinePunct w:val="0"/>
        <w:autoSpaceDE/>
        <w:autoSpaceDN/>
        <w:bidi w:val="0"/>
        <w:adjustRightInd/>
        <w:snapToGrid/>
        <w:spacing w:line="560" w:lineRule="exact"/>
        <w:ind w:firstLine="552" w:firstLineChars="200"/>
        <w:textAlignment w:val="auto"/>
        <w:rPr>
          <w:rFonts w:hint="eastAsia"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通过及时清理枯死松树、适当挂放诱捕器防治媒介昆虫等综合防治措施，达到巩固兴业县疫区拔除成果、防止疫情反弹的目标。</w:t>
      </w:r>
    </w:p>
    <w:p w14:paraId="5044E69A">
      <w:pPr>
        <w:pStyle w:val="2"/>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52" w:firstLineChars="200"/>
        <w:textAlignment w:val="auto"/>
        <w:rPr>
          <w:rFonts w:hint="eastAsia"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清理技术要求：</w:t>
      </w:r>
    </w:p>
    <w:p w14:paraId="3DE2C04B">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52" w:firstLineChars="200"/>
        <w:textAlignment w:val="auto"/>
        <w:rPr>
          <w:rFonts w:hint="eastAsia"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清理松树枯死木及作业标准按照国家林业和草原局《松材线虫病防治技术方案(2024年版)》(林生发[2024]78号)和《广西松材线虫病防治技术方案》（桂林生发〔2025〕19 号）规定执行，主要包括：枯死、濒死松树(连片火灾原因枯死、人为原因致死或枯死超过2年的枯死松树除外)。</w:t>
      </w:r>
    </w:p>
    <w:p w14:paraId="7CFC65FE">
      <w:pPr>
        <w:pStyle w:val="2"/>
        <w:keepNext w:val="0"/>
        <w:keepLines w:val="0"/>
        <w:pageBreakBefore w:val="0"/>
        <w:widowControl w:val="0"/>
        <w:kinsoku/>
        <w:wordWrap/>
        <w:overflowPunct/>
        <w:topLinePunct w:val="0"/>
        <w:autoSpaceDE/>
        <w:autoSpaceDN/>
        <w:bidi w:val="0"/>
        <w:adjustRightInd/>
        <w:snapToGrid/>
        <w:spacing w:line="560" w:lineRule="exact"/>
        <w:ind w:right="0" w:firstLine="552" w:firstLineChars="200"/>
        <w:textAlignment w:val="auto"/>
        <w:rPr>
          <w:rFonts w:hint="eastAsia"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所有砍伐的枯死木按技术规范要求进行除害处理，伐除的松树枯死木树干及直径超过 1 cm以上的枝条实行就地焚烧除害处理或薄膜套袋熏蒸处理；在可操作条件下</w:t>
      </w:r>
      <w:bookmarkStart w:id="4" w:name="OLE_LINK4"/>
      <w:r>
        <w:rPr>
          <w:rFonts w:hint="eastAsia" w:asciiTheme="minorEastAsia" w:hAnsiTheme="minorEastAsia" w:eastAsiaTheme="minorEastAsia" w:cstheme="minorEastAsia"/>
          <w:spacing w:val="-2"/>
          <w:kern w:val="2"/>
          <w:sz w:val="28"/>
          <w:szCs w:val="28"/>
          <w:lang w:val="en-US" w:eastAsia="zh-CN" w:bidi="ar-SA"/>
        </w:rPr>
        <w:t>，</w:t>
      </w:r>
      <w:bookmarkEnd w:id="4"/>
      <w:r>
        <w:rPr>
          <w:rFonts w:hint="eastAsia" w:asciiTheme="minorEastAsia" w:hAnsiTheme="minorEastAsia" w:eastAsiaTheme="minorEastAsia" w:cstheme="minorEastAsia"/>
          <w:spacing w:val="-2"/>
          <w:kern w:val="2"/>
          <w:sz w:val="28"/>
          <w:szCs w:val="28"/>
          <w:lang w:val="en-US" w:eastAsia="zh-CN" w:bidi="ar-SA"/>
        </w:rPr>
        <w:t>伐桩不能高于5cm，除害处理效果达到相关技术要求。</w:t>
      </w:r>
    </w:p>
    <w:p w14:paraId="684318CA">
      <w:pPr>
        <w:pStyle w:val="2"/>
        <w:keepNext w:val="0"/>
        <w:keepLines w:val="0"/>
        <w:pageBreakBefore w:val="0"/>
        <w:widowControl w:val="0"/>
        <w:kinsoku/>
        <w:wordWrap/>
        <w:overflowPunct/>
        <w:topLinePunct w:val="0"/>
        <w:autoSpaceDE/>
        <w:autoSpaceDN/>
        <w:bidi w:val="0"/>
        <w:adjustRightInd/>
        <w:snapToGrid/>
        <w:spacing w:line="560" w:lineRule="exact"/>
        <w:ind w:right="0" w:firstLine="552" w:firstLineChars="200"/>
        <w:jc w:val="left"/>
        <w:textAlignment w:val="auto"/>
        <w:rPr>
          <w:rFonts w:hint="default"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3、数据收集</w:t>
      </w:r>
    </w:p>
    <w:p w14:paraId="4DCF5D7F">
      <w:pPr>
        <w:pStyle w:val="2"/>
        <w:keepNext w:val="0"/>
        <w:keepLines w:val="0"/>
        <w:pageBreakBefore w:val="0"/>
        <w:widowControl w:val="0"/>
        <w:kinsoku/>
        <w:wordWrap/>
        <w:overflowPunct/>
        <w:topLinePunct w:val="0"/>
        <w:autoSpaceDE/>
        <w:autoSpaceDN/>
        <w:bidi w:val="0"/>
        <w:adjustRightInd/>
        <w:snapToGrid/>
        <w:spacing w:line="560" w:lineRule="exact"/>
        <w:ind w:right="0" w:firstLine="552" w:firstLineChars="200"/>
        <w:textAlignment w:val="auto"/>
        <w:rPr>
          <w:rFonts w:hint="eastAsia"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清理过程中需记录清楚每一株松树枯死木的信息，将信息落实到镇、村、林班、小班、经纬度、地径、清理人员和摄像存档等。</w:t>
      </w:r>
    </w:p>
    <w:p w14:paraId="10A995D6">
      <w:pPr>
        <w:pStyle w:val="2"/>
        <w:keepNext w:val="0"/>
        <w:keepLines w:val="0"/>
        <w:pageBreakBefore w:val="0"/>
        <w:widowControl w:val="0"/>
        <w:kinsoku/>
        <w:wordWrap/>
        <w:overflowPunct/>
        <w:topLinePunct w:val="0"/>
        <w:autoSpaceDE/>
        <w:autoSpaceDN/>
        <w:bidi w:val="0"/>
        <w:adjustRightInd/>
        <w:snapToGrid/>
        <w:spacing w:line="560" w:lineRule="exact"/>
        <w:ind w:left="0" w:right="0" w:firstLine="552" w:firstLineChars="200"/>
        <w:textAlignment w:val="auto"/>
        <w:rPr>
          <w:rFonts w:hint="eastAsia"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4、工作总结和数据上报</w:t>
      </w:r>
    </w:p>
    <w:p w14:paraId="4D62D384">
      <w:pPr>
        <w:pStyle w:val="2"/>
        <w:keepNext w:val="0"/>
        <w:keepLines w:val="0"/>
        <w:pageBreakBefore w:val="0"/>
        <w:widowControl w:val="0"/>
        <w:kinsoku/>
        <w:wordWrap/>
        <w:overflowPunct/>
        <w:topLinePunct w:val="0"/>
        <w:autoSpaceDE/>
        <w:autoSpaceDN/>
        <w:bidi w:val="0"/>
        <w:adjustRightInd/>
        <w:snapToGrid/>
        <w:spacing w:line="560" w:lineRule="exact"/>
        <w:ind w:left="0" w:right="0" w:firstLine="552" w:firstLineChars="200"/>
        <w:textAlignment w:val="auto"/>
        <w:rPr>
          <w:rFonts w:hint="eastAsia" w:asciiTheme="minorEastAsia" w:hAnsiTheme="minorEastAsia" w:eastAsiaTheme="minorEastAsia" w:cstheme="minorEastAsia"/>
          <w:spacing w:val="-2"/>
          <w:kern w:val="2"/>
          <w:sz w:val="28"/>
          <w:szCs w:val="28"/>
          <w:lang w:val="en-US" w:eastAsia="zh-CN" w:bidi="ar-SA"/>
        </w:rPr>
      </w:pPr>
      <w:r>
        <w:rPr>
          <w:rFonts w:hint="eastAsia" w:asciiTheme="minorEastAsia" w:hAnsiTheme="minorEastAsia" w:eastAsiaTheme="minorEastAsia" w:cstheme="minorEastAsia"/>
          <w:spacing w:val="-2"/>
          <w:kern w:val="2"/>
          <w:sz w:val="28"/>
          <w:szCs w:val="28"/>
          <w:lang w:val="en-US" w:eastAsia="zh-CN" w:bidi="ar-SA"/>
        </w:rPr>
        <w:t>竣工后编写总结报告，年底前做好总结工作，将本年度清理枯死松树、项目成果报告、主要工作经验、存在问题进行总结和分析，并将调查记录的原始数据输入EXCEL电子表，于项目完成后将总结和电子表格上报至林业主管部门。</w:t>
      </w:r>
    </w:p>
    <w:p w14:paraId="24EF8C14">
      <w:pPr>
        <w:keepNext w:val="0"/>
        <w:keepLines w:val="0"/>
        <w:pageBreakBefore w:val="0"/>
        <w:widowControl w:val="0"/>
        <w:kinsoku/>
        <w:wordWrap/>
        <w:overflowPunct/>
        <w:topLinePunct w:val="0"/>
        <w:autoSpaceDE/>
        <w:autoSpaceDN w:val="0"/>
        <w:bidi w:val="0"/>
        <w:adjustRightInd/>
        <w:snapToGrid/>
        <w:spacing w:line="560" w:lineRule="exact"/>
        <w:ind w:firstLine="551" w:firstLineChars="196"/>
        <w:textAlignment w:val="auto"/>
        <w:rPr>
          <w:rFonts w:hint="eastAsia" w:ascii="仿宋_GB2312" w:hAnsi="仿宋_GB2312" w:eastAsia="仿宋_GB2312"/>
          <w:b/>
          <w:bCs/>
          <w:color w:val="000000"/>
          <w:sz w:val="28"/>
        </w:rPr>
      </w:pPr>
      <w:r>
        <w:rPr>
          <w:rFonts w:hint="eastAsia" w:ascii="仿宋_GB2312" w:hAnsi="仿宋_GB2312" w:eastAsia="仿宋_GB2312"/>
          <w:b/>
          <w:bCs/>
          <w:color w:val="000000"/>
          <w:sz w:val="28"/>
          <w:lang w:eastAsia="zh-CN"/>
        </w:rPr>
        <w:t>三</w:t>
      </w:r>
      <w:r>
        <w:rPr>
          <w:rFonts w:hint="eastAsia" w:ascii="仿宋_GB2312" w:hAnsi="仿宋_GB2312" w:eastAsia="仿宋_GB2312"/>
          <w:b/>
          <w:bCs/>
          <w:color w:val="000000"/>
          <w:sz w:val="28"/>
        </w:rPr>
        <w:t>、验收要求：</w:t>
      </w:r>
    </w:p>
    <w:p w14:paraId="4D2FE5B4">
      <w:pPr>
        <w:keepNext w:val="0"/>
        <w:keepLines w:val="0"/>
        <w:pageBreakBefore w:val="0"/>
        <w:widowControl w:val="0"/>
        <w:kinsoku/>
        <w:wordWrap/>
        <w:overflowPunct/>
        <w:topLinePunct w:val="0"/>
        <w:autoSpaceDE/>
        <w:bidi w:val="0"/>
        <w:adjustRightInd/>
        <w:snapToGrid/>
        <w:spacing w:line="560" w:lineRule="exact"/>
        <w:textAlignment w:val="auto"/>
        <w:rPr>
          <w:rFonts w:hint="eastAsia" w:asciiTheme="minorEastAsia" w:hAnsiTheme="minorEastAsia" w:eastAsiaTheme="minorEastAsia" w:cstheme="minorEastAsia"/>
          <w:spacing w:val="-2"/>
          <w:kern w:val="2"/>
          <w:sz w:val="28"/>
          <w:szCs w:val="28"/>
          <w:lang w:val="en-US" w:eastAsia="en-US" w:bidi="ar-SA"/>
        </w:rPr>
      </w:pPr>
      <w:r>
        <w:rPr>
          <w:rFonts w:hint="eastAsia" w:ascii="仿宋_GB2312" w:hAnsi="仿宋_GB2312" w:eastAsia="仿宋_GB2312"/>
          <w:sz w:val="28"/>
        </w:rPr>
        <w:t xml:space="preserve">  </w:t>
      </w:r>
      <w:r>
        <w:rPr>
          <w:rFonts w:hint="eastAsia" w:asciiTheme="minorEastAsia" w:hAnsiTheme="minorEastAsia" w:eastAsiaTheme="minorEastAsia" w:cstheme="minorEastAsia"/>
          <w:spacing w:val="-2"/>
          <w:kern w:val="2"/>
          <w:sz w:val="28"/>
          <w:szCs w:val="28"/>
          <w:lang w:val="en-US" w:eastAsia="en-US" w:bidi="ar-SA"/>
        </w:rPr>
        <w:t xml:space="preserve"> </w:t>
      </w:r>
      <w:r>
        <w:rPr>
          <w:rFonts w:hint="eastAsia" w:asciiTheme="minorEastAsia" w:hAnsiTheme="minorEastAsia" w:eastAsiaTheme="minorEastAsia" w:cstheme="minorEastAsia"/>
          <w:spacing w:val="-2"/>
          <w:kern w:val="2"/>
          <w:sz w:val="28"/>
          <w:szCs w:val="28"/>
          <w:lang w:val="en-US" w:eastAsia="zh-CN" w:bidi="ar-SA"/>
        </w:rPr>
        <w:t>要施工过程中，由业主委托的第三方不定期对清理质量进行抽查，发现有问题的要及时进行整改。清理枯死松树达9500株后，在11月底前，</w:t>
      </w:r>
      <w:r>
        <w:rPr>
          <w:rFonts w:hint="eastAsia" w:asciiTheme="minorEastAsia" w:hAnsiTheme="minorEastAsia" w:eastAsiaTheme="minorEastAsia" w:cstheme="minorEastAsia"/>
          <w:spacing w:val="-2"/>
          <w:kern w:val="2"/>
          <w:sz w:val="28"/>
          <w:szCs w:val="28"/>
          <w:lang w:val="en-US" w:eastAsia="en-US" w:bidi="ar-SA"/>
        </w:rPr>
        <w:t>由</w:t>
      </w:r>
      <w:r>
        <w:rPr>
          <w:rFonts w:hint="eastAsia" w:asciiTheme="minorEastAsia" w:hAnsiTheme="minorEastAsia" w:eastAsiaTheme="minorEastAsia" w:cstheme="minorEastAsia"/>
          <w:spacing w:val="-2"/>
          <w:kern w:val="2"/>
          <w:sz w:val="28"/>
          <w:szCs w:val="28"/>
          <w:lang w:val="en-US" w:eastAsia="zh-CN" w:bidi="ar-SA"/>
        </w:rPr>
        <w:t>业主同</w:t>
      </w:r>
      <w:r>
        <w:rPr>
          <w:rFonts w:hint="eastAsia" w:asciiTheme="minorEastAsia" w:hAnsiTheme="minorEastAsia" w:eastAsiaTheme="minorEastAsia" w:cstheme="minorEastAsia"/>
          <w:spacing w:val="-2"/>
          <w:kern w:val="2"/>
          <w:sz w:val="28"/>
          <w:szCs w:val="28"/>
          <w:lang w:val="en-US" w:eastAsia="en-US" w:bidi="ar-SA"/>
        </w:rPr>
        <w:t>聘请</w:t>
      </w:r>
      <w:r>
        <w:rPr>
          <w:rFonts w:hint="eastAsia" w:asciiTheme="minorEastAsia" w:hAnsiTheme="minorEastAsia" w:eastAsiaTheme="minorEastAsia" w:cstheme="minorEastAsia"/>
          <w:spacing w:val="-2"/>
          <w:kern w:val="2"/>
          <w:sz w:val="28"/>
          <w:szCs w:val="28"/>
          <w:lang w:val="en-US" w:eastAsia="zh-CN" w:bidi="ar-SA"/>
        </w:rPr>
        <w:t>的</w:t>
      </w:r>
      <w:r>
        <w:rPr>
          <w:rFonts w:hint="eastAsia" w:asciiTheme="minorEastAsia" w:hAnsiTheme="minorEastAsia" w:eastAsiaTheme="minorEastAsia" w:cstheme="minorEastAsia"/>
          <w:spacing w:val="-2"/>
          <w:kern w:val="2"/>
          <w:sz w:val="28"/>
          <w:szCs w:val="28"/>
          <w:lang w:val="en-US" w:eastAsia="en-US" w:bidi="ar-SA"/>
        </w:rPr>
        <w:t>第三方机构按照202</w:t>
      </w:r>
      <w:r>
        <w:rPr>
          <w:rFonts w:hint="eastAsia" w:asciiTheme="minorEastAsia" w:hAnsiTheme="minorEastAsia" w:eastAsiaTheme="minorEastAsia" w:cstheme="minorEastAsia"/>
          <w:spacing w:val="-2"/>
          <w:kern w:val="2"/>
          <w:sz w:val="28"/>
          <w:szCs w:val="28"/>
          <w:lang w:val="en-US" w:eastAsia="zh-CN" w:bidi="ar-SA"/>
        </w:rPr>
        <w:t>6</w:t>
      </w:r>
      <w:r>
        <w:rPr>
          <w:rFonts w:hint="eastAsia" w:asciiTheme="minorEastAsia" w:hAnsiTheme="minorEastAsia" w:eastAsiaTheme="minorEastAsia" w:cstheme="minorEastAsia"/>
          <w:spacing w:val="-2"/>
          <w:kern w:val="2"/>
          <w:sz w:val="28"/>
          <w:szCs w:val="28"/>
          <w:lang w:val="en-US" w:eastAsia="en-US" w:bidi="ar-SA"/>
        </w:rPr>
        <w:t>年兴业县巩固松材线虫病拔区成果</w:t>
      </w:r>
      <w:r>
        <w:rPr>
          <w:rFonts w:hint="eastAsia" w:asciiTheme="minorEastAsia" w:hAnsiTheme="minorEastAsia" w:eastAsiaTheme="minorEastAsia" w:cstheme="minorEastAsia"/>
          <w:spacing w:val="-2"/>
          <w:kern w:val="2"/>
          <w:sz w:val="28"/>
          <w:szCs w:val="28"/>
          <w:lang w:val="en-US" w:eastAsia="zh-CN" w:bidi="ar-SA"/>
        </w:rPr>
        <w:t>清理枯死松树</w:t>
      </w:r>
      <w:r>
        <w:rPr>
          <w:rFonts w:hint="eastAsia" w:asciiTheme="minorEastAsia" w:hAnsiTheme="minorEastAsia" w:eastAsiaTheme="minorEastAsia" w:cstheme="minorEastAsia"/>
          <w:spacing w:val="-2"/>
          <w:kern w:val="2"/>
          <w:sz w:val="28"/>
          <w:szCs w:val="28"/>
          <w:lang w:val="en-US" w:eastAsia="en-US" w:bidi="ar-SA"/>
        </w:rPr>
        <w:t>服务项目承包合同规定和国家林业和草原局关于印发新修订的《松材线虫病防治技术方案（202</w:t>
      </w:r>
      <w:r>
        <w:rPr>
          <w:rFonts w:hint="eastAsia" w:asciiTheme="minorEastAsia" w:hAnsiTheme="minorEastAsia" w:eastAsiaTheme="minorEastAsia" w:cstheme="minorEastAsia"/>
          <w:spacing w:val="-2"/>
          <w:kern w:val="2"/>
          <w:sz w:val="28"/>
          <w:szCs w:val="28"/>
          <w:lang w:val="en-US" w:eastAsia="zh-CN" w:bidi="ar-SA"/>
        </w:rPr>
        <w:t>4</w:t>
      </w:r>
      <w:r>
        <w:rPr>
          <w:rFonts w:hint="eastAsia" w:asciiTheme="minorEastAsia" w:hAnsiTheme="minorEastAsia" w:eastAsiaTheme="minorEastAsia" w:cstheme="minorEastAsia"/>
          <w:spacing w:val="-2"/>
          <w:kern w:val="2"/>
          <w:sz w:val="28"/>
          <w:szCs w:val="28"/>
          <w:lang w:val="en-US" w:eastAsia="en-US" w:bidi="ar-SA"/>
        </w:rPr>
        <w:t>年版）》（林生发〔202</w:t>
      </w:r>
      <w:r>
        <w:rPr>
          <w:rFonts w:hint="eastAsia" w:asciiTheme="minorEastAsia" w:hAnsiTheme="minorEastAsia" w:eastAsiaTheme="minorEastAsia" w:cstheme="minorEastAsia"/>
          <w:spacing w:val="-2"/>
          <w:kern w:val="2"/>
          <w:sz w:val="28"/>
          <w:szCs w:val="28"/>
          <w:lang w:val="en-US" w:eastAsia="zh-CN" w:bidi="ar-SA"/>
        </w:rPr>
        <w:t>4</w:t>
      </w:r>
      <w:r>
        <w:rPr>
          <w:rFonts w:hint="eastAsia" w:asciiTheme="minorEastAsia" w:hAnsiTheme="minorEastAsia" w:eastAsiaTheme="minorEastAsia" w:cstheme="minorEastAsia"/>
          <w:spacing w:val="-2"/>
          <w:kern w:val="2"/>
          <w:sz w:val="28"/>
          <w:szCs w:val="28"/>
          <w:lang w:val="en-US" w:eastAsia="en-US" w:bidi="ar-SA"/>
        </w:rPr>
        <w:t>〕</w:t>
      </w:r>
      <w:r>
        <w:rPr>
          <w:rFonts w:hint="eastAsia" w:asciiTheme="minorEastAsia" w:hAnsiTheme="minorEastAsia" w:eastAsiaTheme="minorEastAsia" w:cstheme="minorEastAsia"/>
          <w:spacing w:val="-2"/>
          <w:kern w:val="2"/>
          <w:sz w:val="28"/>
          <w:szCs w:val="28"/>
          <w:lang w:val="en-US" w:eastAsia="zh-CN" w:bidi="ar-SA"/>
        </w:rPr>
        <w:t>78</w:t>
      </w:r>
      <w:r>
        <w:rPr>
          <w:rFonts w:hint="eastAsia" w:asciiTheme="minorEastAsia" w:hAnsiTheme="minorEastAsia" w:eastAsiaTheme="minorEastAsia" w:cstheme="minorEastAsia"/>
          <w:spacing w:val="-2"/>
          <w:kern w:val="2"/>
          <w:sz w:val="28"/>
          <w:szCs w:val="28"/>
          <w:lang w:val="en-US" w:eastAsia="en-US" w:bidi="ar-SA"/>
        </w:rPr>
        <w:t>号）</w:t>
      </w:r>
      <w:r>
        <w:rPr>
          <w:rFonts w:hint="eastAsia" w:asciiTheme="minorEastAsia" w:hAnsiTheme="minorEastAsia" w:eastAsiaTheme="minorEastAsia" w:cstheme="minorEastAsia"/>
          <w:spacing w:val="-2"/>
          <w:kern w:val="2"/>
          <w:sz w:val="28"/>
          <w:szCs w:val="28"/>
          <w:lang w:val="en-US" w:eastAsia="zh-CN" w:bidi="ar-SA"/>
        </w:rPr>
        <w:t>和《广西松材线虫病防治技术方案》（桂林生发〔2025〕19 号）</w:t>
      </w:r>
      <w:r>
        <w:rPr>
          <w:rFonts w:hint="eastAsia" w:asciiTheme="minorEastAsia" w:hAnsiTheme="minorEastAsia" w:eastAsiaTheme="minorEastAsia" w:cstheme="minorEastAsia"/>
          <w:spacing w:val="-2"/>
          <w:kern w:val="2"/>
          <w:sz w:val="28"/>
          <w:szCs w:val="28"/>
          <w:lang w:val="en-US" w:eastAsia="en-US" w:bidi="ar-SA"/>
        </w:rPr>
        <w:t>的通知所规定的标准逐项进行验收</w:t>
      </w:r>
      <w:r>
        <w:rPr>
          <w:rFonts w:hint="eastAsia" w:asciiTheme="minorEastAsia" w:hAnsiTheme="minorEastAsia" w:eastAsiaTheme="minorEastAsia" w:cstheme="minorEastAsia"/>
          <w:spacing w:val="-2"/>
          <w:kern w:val="2"/>
          <w:sz w:val="28"/>
          <w:szCs w:val="28"/>
          <w:lang w:val="en-US" w:eastAsia="zh-CN" w:bidi="ar-SA"/>
        </w:rPr>
        <w:t>，</w:t>
      </w:r>
      <w:r>
        <w:rPr>
          <w:rFonts w:hint="eastAsia" w:asciiTheme="minorEastAsia" w:hAnsiTheme="minorEastAsia" w:eastAsiaTheme="minorEastAsia" w:cstheme="minorEastAsia"/>
          <w:spacing w:val="-2"/>
          <w:kern w:val="2"/>
          <w:sz w:val="28"/>
          <w:szCs w:val="28"/>
          <w:lang w:val="en-US" w:eastAsia="en-US" w:bidi="ar-SA"/>
        </w:rPr>
        <w:t>并出具验收报告。</w:t>
      </w:r>
      <w:r>
        <w:rPr>
          <w:rFonts w:hint="eastAsia" w:asciiTheme="minorEastAsia" w:hAnsiTheme="minorEastAsia" w:eastAsiaTheme="minorEastAsia" w:cstheme="minorEastAsia"/>
          <w:spacing w:val="-2"/>
          <w:kern w:val="2"/>
          <w:sz w:val="28"/>
          <w:szCs w:val="28"/>
          <w:lang w:val="en-US" w:eastAsia="zh-CN" w:bidi="ar-SA"/>
        </w:rPr>
        <w:t>验收后除治方还要对新出现的枯死树进行及时清理维护到次年3月31日。</w:t>
      </w:r>
    </w:p>
    <w:p w14:paraId="35C14DE6">
      <w:pPr>
        <w:keepNext w:val="0"/>
        <w:keepLines w:val="0"/>
        <w:pageBreakBefore w:val="0"/>
        <w:widowControl w:val="0"/>
        <w:kinsoku/>
        <w:wordWrap/>
        <w:overflowPunct/>
        <w:topLinePunct w:val="0"/>
        <w:autoSpaceDE/>
        <w:bidi w:val="0"/>
        <w:adjustRightInd/>
        <w:snapToGrid/>
        <w:spacing w:line="560" w:lineRule="exact"/>
        <w:ind w:firstLine="551" w:firstLineChars="196"/>
        <w:textAlignment w:val="auto"/>
        <w:rPr>
          <w:rFonts w:hint="eastAsia" w:ascii="仿宋_GB2312" w:hAnsi="仿宋_GB2312" w:eastAsia="仿宋_GB2312"/>
          <w:b/>
          <w:bCs/>
          <w:color w:val="000000"/>
          <w:sz w:val="28"/>
        </w:rPr>
      </w:pPr>
      <w:r>
        <w:rPr>
          <w:rFonts w:hint="eastAsia" w:ascii="仿宋_GB2312" w:hAnsi="仿宋_GB2312" w:eastAsia="仿宋_GB2312"/>
          <w:b/>
          <w:bCs/>
          <w:color w:val="000000"/>
          <w:sz w:val="28"/>
          <w:lang w:eastAsia="zh-CN"/>
        </w:rPr>
        <w:t>四</w:t>
      </w:r>
      <w:r>
        <w:rPr>
          <w:rFonts w:hint="eastAsia" w:ascii="仿宋_GB2312" w:hAnsi="仿宋_GB2312" w:eastAsia="仿宋_GB2312"/>
          <w:b/>
          <w:bCs/>
          <w:color w:val="000000"/>
          <w:sz w:val="28"/>
        </w:rPr>
        <w:t>、付款要求：</w:t>
      </w:r>
    </w:p>
    <w:p w14:paraId="5D408A2F">
      <w:pPr>
        <w:keepNext w:val="0"/>
        <w:keepLines w:val="0"/>
        <w:pageBreakBefore w:val="0"/>
        <w:widowControl w:val="0"/>
        <w:kinsoku/>
        <w:wordWrap/>
        <w:overflowPunct/>
        <w:topLinePunct w:val="0"/>
        <w:autoSpaceDE/>
        <w:bidi w:val="0"/>
        <w:adjustRightInd/>
        <w:snapToGrid/>
        <w:spacing w:line="560" w:lineRule="exact"/>
        <w:textAlignment w:val="auto"/>
        <w:rPr>
          <w:rFonts w:hint="eastAsia" w:ascii="仿宋_GB2312" w:hAnsi="仿宋_GB2312" w:eastAsia="仿宋_GB2312"/>
          <w:color w:val="000000"/>
          <w:sz w:val="28"/>
        </w:rPr>
      </w:pPr>
      <w:r>
        <w:rPr>
          <w:rFonts w:hint="eastAsia" w:ascii="仿宋_GB2312" w:hAnsi="仿宋_GB2312" w:eastAsia="仿宋_GB2312"/>
          <w:b/>
          <w:bCs/>
          <w:color w:val="000000"/>
          <w:sz w:val="28"/>
        </w:rPr>
        <w:t xml:space="preserve">  </w:t>
      </w:r>
      <w:r>
        <w:rPr>
          <w:rFonts w:hint="eastAsia" w:ascii="仿宋_GB2312" w:hAnsi="仿宋_GB2312" w:eastAsia="仿宋_GB2312"/>
          <w:color w:val="000000"/>
          <w:sz w:val="28"/>
        </w:rPr>
        <w:t xml:space="preserve">  </w:t>
      </w:r>
      <w:r>
        <w:rPr>
          <w:rFonts w:hint="eastAsia" w:asciiTheme="minorEastAsia" w:hAnsiTheme="minorEastAsia" w:eastAsiaTheme="minorEastAsia" w:cstheme="minorEastAsia"/>
          <w:spacing w:val="2"/>
          <w:kern w:val="2"/>
          <w:sz w:val="28"/>
          <w:szCs w:val="28"/>
          <w:lang w:val="en-US" w:eastAsia="en-US" w:bidi="ar-SA"/>
        </w:rPr>
        <w:t>项目费用分</w:t>
      </w:r>
      <w:r>
        <w:rPr>
          <w:rFonts w:hint="eastAsia" w:asciiTheme="minorEastAsia" w:hAnsiTheme="minorEastAsia" w:eastAsiaTheme="minorEastAsia" w:cstheme="minorEastAsia"/>
          <w:spacing w:val="2"/>
          <w:kern w:val="2"/>
          <w:sz w:val="28"/>
          <w:szCs w:val="28"/>
          <w:lang w:val="en-US" w:eastAsia="zh-CN" w:bidi="ar-SA"/>
        </w:rPr>
        <w:t>2</w:t>
      </w:r>
      <w:r>
        <w:rPr>
          <w:rFonts w:hint="eastAsia" w:asciiTheme="minorEastAsia" w:hAnsiTheme="minorEastAsia" w:eastAsiaTheme="minorEastAsia" w:cstheme="minorEastAsia"/>
          <w:spacing w:val="2"/>
          <w:kern w:val="2"/>
          <w:sz w:val="28"/>
          <w:szCs w:val="28"/>
          <w:lang w:val="en-US" w:eastAsia="en-US" w:bidi="ar-SA"/>
        </w:rPr>
        <w:t>次支付：首次为第一轮枯死木除治完成后，在</w:t>
      </w:r>
      <w:r>
        <w:rPr>
          <w:rFonts w:hint="eastAsia" w:asciiTheme="minorEastAsia" w:hAnsiTheme="minorEastAsia" w:eastAsiaTheme="minorEastAsia" w:cstheme="minorEastAsia"/>
          <w:spacing w:val="2"/>
          <w:kern w:val="2"/>
          <w:sz w:val="28"/>
          <w:szCs w:val="28"/>
          <w:lang w:val="en-US" w:eastAsia="zh-CN" w:bidi="ar-SA"/>
        </w:rPr>
        <w:t>10</w:t>
      </w:r>
      <w:r>
        <w:rPr>
          <w:rFonts w:hint="eastAsia" w:asciiTheme="minorEastAsia" w:hAnsiTheme="minorEastAsia" w:eastAsiaTheme="minorEastAsia" w:cstheme="minorEastAsia"/>
          <w:spacing w:val="2"/>
          <w:kern w:val="2"/>
          <w:sz w:val="28"/>
          <w:szCs w:val="28"/>
          <w:lang w:val="en-US" w:eastAsia="en-US" w:bidi="ar-SA"/>
        </w:rPr>
        <w:t>月15日前</w:t>
      </w:r>
      <w:r>
        <w:rPr>
          <w:rFonts w:hint="eastAsia" w:asciiTheme="minorEastAsia" w:hAnsiTheme="minorEastAsia" w:eastAsiaTheme="minorEastAsia" w:cstheme="minorEastAsia"/>
          <w:spacing w:val="2"/>
          <w:kern w:val="2"/>
          <w:sz w:val="28"/>
          <w:szCs w:val="28"/>
          <w:lang w:val="en-US" w:eastAsia="zh-CN" w:bidi="ar-SA"/>
        </w:rPr>
        <w:t>支付合同</w:t>
      </w:r>
      <w:r>
        <w:rPr>
          <w:rFonts w:hint="eastAsia" w:asciiTheme="minorEastAsia" w:hAnsiTheme="minorEastAsia" w:eastAsiaTheme="minorEastAsia" w:cstheme="minorEastAsia"/>
          <w:spacing w:val="2"/>
          <w:kern w:val="2"/>
          <w:sz w:val="28"/>
          <w:szCs w:val="28"/>
          <w:lang w:val="en-US" w:eastAsia="en-US" w:bidi="ar-SA"/>
        </w:rPr>
        <w:t>费用总额的</w:t>
      </w:r>
      <w:r>
        <w:rPr>
          <w:rFonts w:hint="eastAsia" w:asciiTheme="minorEastAsia" w:hAnsiTheme="minorEastAsia" w:eastAsiaTheme="minorEastAsia" w:cstheme="minorEastAsia"/>
          <w:spacing w:val="2"/>
          <w:kern w:val="2"/>
          <w:sz w:val="28"/>
          <w:szCs w:val="28"/>
          <w:lang w:val="en-US" w:eastAsia="zh-CN" w:bidi="ar-SA"/>
        </w:rPr>
        <w:t>4</w:t>
      </w:r>
      <w:r>
        <w:rPr>
          <w:rFonts w:hint="eastAsia" w:asciiTheme="minorEastAsia" w:hAnsiTheme="minorEastAsia" w:eastAsiaTheme="minorEastAsia" w:cstheme="minorEastAsia"/>
          <w:spacing w:val="2"/>
          <w:kern w:val="2"/>
          <w:sz w:val="28"/>
          <w:szCs w:val="28"/>
          <w:lang w:val="en-US" w:eastAsia="en-US" w:bidi="ar-SA"/>
        </w:rPr>
        <w:t>0%；第</w:t>
      </w:r>
      <w:r>
        <w:rPr>
          <w:rFonts w:hint="eastAsia" w:asciiTheme="minorEastAsia" w:hAnsiTheme="minorEastAsia" w:eastAsiaTheme="minorEastAsia" w:cstheme="minorEastAsia"/>
          <w:spacing w:val="2"/>
          <w:kern w:val="2"/>
          <w:sz w:val="28"/>
          <w:szCs w:val="28"/>
          <w:lang w:val="en-US" w:eastAsia="zh-CN" w:bidi="ar-SA"/>
        </w:rPr>
        <w:t>二</w:t>
      </w:r>
      <w:r>
        <w:rPr>
          <w:rFonts w:hint="eastAsia" w:asciiTheme="minorEastAsia" w:hAnsiTheme="minorEastAsia" w:eastAsiaTheme="minorEastAsia" w:cstheme="minorEastAsia"/>
          <w:spacing w:val="2"/>
          <w:kern w:val="2"/>
          <w:sz w:val="28"/>
          <w:szCs w:val="28"/>
          <w:lang w:val="en-US" w:eastAsia="en-US" w:bidi="ar-SA"/>
        </w:rPr>
        <w:t>次为验收合格后支付合同剩余</w:t>
      </w:r>
      <w:r>
        <w:rPr>
          <w:rFonts w:hint="eastAsia" w:asciiTheme="minorEastAsia" w:hAnsiTheme="minorEastAsia" w:eastAsiaTheme="minorEastAsia" w:cstheme="minorEastAsia"/>
          <w:spacing w:val="2"/>
          <w:kern w:val="2"/>
          <w:sz w:val="28"/>
          <w:szCs w:val="28"/>
          <w:lang w:val="en-US" w:eastAsia="zh-CN" w:bidi="ar-SA"/>
        </w:rPr>
        <w:t>6</w:t>
      </w:r>
      <w:r>
        <w:rPr>
          <w:rFonts w:hint="eastAsia" w:asciiTheme="minorEastAsia" w:hAnsiTheme="minorEastAsia" w:eastAsiaTheme="minorEastAsia" w:cstheme="minorEastAsia"/>
          <w:spacing w:val="2"/>
          <w:kern w:val="2"/>
          <w:sz w:val="28"/>
          <w:szCs w:val="28"/>
          <w:lang w:val="en-US" w:eastAsia="en-US" w:bidi="ar-SA"/>
        </w:rPr>
        <w:t>0%部分。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1970E"/>
    <w:multiLevelType w:val="singleLevel"/>
    <w:tmpl w:val="8EC1970E"/>
    <w:lvl w:ilvl="0" w:tentative="0">
      <w:start w:val="2"/>
      <w:numFmt w:val="decimal"/>
      <w:suff w:val="nothing"/>
      <w:lvlText w:val="%1、"/>
      <w:lvlJc w:val="left"/>
    </w:lvl>
  </w:abstractNum>
  <w:abstractNum w:abstractNumId="1">
    <w:nsid w:val="0C031E15"/>
    <w:multiLevelType w:val="singleLevel"/>
    <w:tmpl w:val="0C031E1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kNDkwNDU5ZGZjOTljYmJjOTIwOWIzMjM0OTIxMzgifQ=="/>
  </w:docVars>
  <w:rsids>
    <w:rsidRoot w:val="319B70F0"/>
    <w:rsid w:val="042E1CB0"/>
    <w:rsid w:val="10C06F1D"/>
    <w:rsid w:val="2028495D"/>
    <w:rsid w:val="248C39CE"/>
    <w:rsid w:val="2B233818"/>
    <w:rsid w:val="304D777D"/>
    <w:rsid w:val="319B70F0"/>
    <w:rsid w:val="361E1B63"/>
    <w:rsid w:val="371D6835"/>
    <w:rsid w:val="43A25BCA"/>
    <w:rsid w:val="4BF0432D"/>
    <w:rsid w:val="63725AE4"/>
    <w:rsid w:val="69D167CE"/>
    <w:rsid w:val="6D746202"/>
    <w:rsid w:val="77710841"/>
    <w:rsid w:val="794228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footer"/>
    <w:basedOn w:val="1"/>
    <w:qFormat/>
    <w:uiPriority w:val="0"/>
    <w:pPr>
      <w:tabs>
        <w:tab w:val="center" w:pos="4153"/>
        <w:tab w:val="right" w:pos="8306"/>
      </w:tabs>
      <w:snapToGrid w:val="0"/>
      <w:jc w:val="left"/>
    </w:pPr>
    <w:rPr>
      <w:rFonts w:ascii="Tahoma" w:hAnsi="Tahoma"/>
      <w:kern w:val="2"/>
      <w:sz w:val="18"/>
      <w:szCs w:val="18"/>
    </w:rPr>
  </w:style>
  <w:style w:type="character" w:styleId="6">
    <w:name w:val="page number"/>
    <w:basedOn w:val="5"/>
    <w:qFormat/>
    <w:uiPriority w:val="0"/>
  </w:style>
  <w:style w:type="paragraph" w:customStyle="1" w:styleId="7">
    <w:name w:val="Plain Text"/>
    <w:basedOn w:val="1"/>
    <w:qFormat/>
    <w:uiPriority w:val="0"/>
    <w:rPr>
      <w:rFonts w:ascii="宋体" w:hAnsi="Courier New" w:eastAsia="楷体_GB2312"/>
    </w:rPr>
  </w:style>
  <w:style w:type="paragraph" w:customStyle="1" w:styleId="8">
    <w:name w:val=" Char Char Char"/>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xyxsfz</Company>
  <Pages>2</Pages>
  <Words>991</Words>
  <Characters>1058</Characters>
  <Lines>0</Lines>
  <Paragraphs>0</Paragraphs>
  <TotalTime>5</TotalTime>
  <ScaleCrop>false</ScaleCrop>
  <LinksUpToDate>false</LinksUpToDate>
  <CharactersWithSpaces>1071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2023-02-13T08:48:00Z</dcterms:created>
  <dc:creator>自由骑士</dc:creator>
  <cp:lastModifiedBy>自由骑士</cp:lastModifiedBy>
  <dcterms:modified xsi:type="dcterms:W3CDTF">2026-07-02T00:49:10Z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A7F92B73530D4AED9EE002FC0C4FD5B1</vt:lpwstr>
  </property>
  <property fmtid="{D5CDD505-2E9C-101B-9397-08002B2CF9AE}" pid="4" name="KSOTemplateDocerSaveRecord">
    <vt:lpwstr>eyJoZGlkIjoiZGJhYmNjYjEzZDY4YzkyMmY1MDdkNzA1NmY5NTA2OWYiLCJ1c2VySWQiOiI0NDcyMzU0ODAifQ==</vt:lpwstr>
  </property>
</Properties>
</file>