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F4379">
      <w:pPr>
        <w:keepNext/>
        <w:keepLines w:val="0"/>
        <w:pageBreakBefore w:val="0"/>
        <w:widowControl/>
        <w:tabs>
          <w:tab w:val="left" w:pos="426"/>
        </w:tabs>
        <w:kinsoku/>
        <w:wordWrap/>
        <w:overflowPunct/>
        <w:topLinePunct w:val="0"/>
        <w:autoSpaceDE/>
        <w:autoSpaceDN/>
        <w:bidi w:val="0"/>
        <w:adjustRightInd/>
        <w:snapToGrid/>
        <w:spacing w:line="360" w:lineRule="auto"/>
        <w:ind w:firstLine="321" w:firstLineChars="100"/>
        <w:jc w:val="center"/>
        <w:textAlignment w:val="baseline"/>
        <w:rPr>
          <w:rFonts w:hint="eastAsia"/>
          <w:b/>
          <w:bCs/>
          <w:sz w:val="32"/>
          <w:szCs w:val="32"/>
          <w:lang w:val="en-US" w:eastAsia="zh-CN"/>
        </w:rPr>
      </w:pPr>
      <w:r>
        <w:rPr>
          <w:rFonts w:hint="eastAsia"/>
          <w:b/>
          <w:bCs/>
          <w:sz w:val="32"/>
          <w:szCs w:val="32"/>
          <w:lang w:val="en-US" w:eastAsia="zh-CN"/>
        </w:rPr>
        <w:t>兴业县2026年松材线虫病疫情监测巡查</w:t>
      </w:r>
    </w:p>
    <w:p w14:paraId="14BFA3E1">
      <w:pPr>
        <w:keepNext/>
        <w:keepLines w:val="0"/>
        <w:pageBreakBefore w:val="0"/>
        <w:widowControl/>
        <w:tabs>
          <w:tab w:val="left" w:pos="426"/>
        </w:tabs>
        <w:kinsoku/>
        <w:wordWrap/>
        <w:overflowPunct/>
        <w:topLinePunct w:val="0"/>
        <w:autoSpaceDE/>
        <w:autoSpaceDN/>
        <w:bidi w:val="0"/>
        <w:adjustRightInd/>
        <w:snapToGrid/>
        <w:spacing w:line="360" w:lineRule="auto"/>
        <w:ind w:firstLine="321" w:firstLineChars="100"/>
        <w:jc w:val="center"/>
        <w:textAlignment w:val="baseline"/>
        <w:rPr>
          <w:rFonts w:hint="eastAsia"/>
          <w:sz w:val="32"/>
          <w:szCs w:val="32"/>
          <w:lang w:val="en-US" w:eastAsia="zh-CN"/>
        </w:rPr>
      </w:pPr>
      <w:r>
        <w:rPr>
          <w:rFonts w:hint="eastAsia"/>
          <w:b/>
          <w:bCs/>
          <w:sz w:val="32"/>
          <w:szCs w:val="32"/>
          <w:lang w:val="en-US" w:eastAsia="zh-CN"/>
        </w:rPr>
        <w:t>和枯死松树清理质量抽查验收服务采购需求</w:t>
      </w:r>
    </w:p>
    <w:p w14:paraId="09563C8E">
      <w:pPr>
        <w:pStyle w:val="5"/>
        <w:numPr>
          <w:ilvl w:val="0"/>
          <w:numId w:val="0"/>
        </w:numPr>
        <w:ind w:firstLine="560" w:firstLineChars="200"/>
        <w:rPr>
          <w:rFonts w:hint="eastAsia" w:ascii="Times New Roman" w:hAnsi="Times New Roman" w:eastAsia="宋体" w:cs="Times New Roman"/>
          <w:b w:val="0"/>
          <w:bCs/>
          <w:color w:val="auto"/>
          <w:sz w:val="28"/>
          <w:highlight w:val="none"/>
          <w:lang w:val="en-US" w:eastAsia="zh-CN"/>
        </w:rPr>
      </w:pPr>
    </w:p>
    <w:p w14:paraId="25996CE2">
      <w:pPr>
        <w:pStyle w:val="5"/>
        <w:numPr>
          <w:ilvl w:val="0"/>
          <w:numId w:val="0"/>
        </w:numPr>
        <w:ind w:firstLine="560" w:firstLineChars="200"/>
        <w:rPr>
          <w:rFonts w:hint="eastAsia" w:ascii="Times New Roman" w:hAnsi="Times New Roman" w:eastAsia="宋体" w:cs="Times New Roman"/>
          <w:b w:val="0"/>
          <w:bCs/>
          <w:color w:val="auto"/>
          <w:sz w:val="28"/>
          <w:highlight w:val="none"/>
          <w:lang w:val="en-US" w:eastAsia="zh-CN"/>
        </w:rPr>
      </w:pPr>
      <w:r>
        <w:rPr>
          <w:rFonts w:hint="eastAsia" w:ascii="Times New Roman" w:hAnsi="Times New Roman" w:eastAsia="宋体" w:cs="Times New Roman"/>
          <w:b w:val="0"/>
          <w:bCs/>
          <w:color w:val="auto"/>
          <w:sz w:val="28"/>
          <w:highlight w:val="none"/>
          <w:lang w:val="en-US" w:eastAsia="zh-CN"/>
        </w:rPr>
        <w:t>2026年在全县范围内开展松材线虫病日常监测巡查，每2个月对全县的松林进行监测巡查一次，总巡查面积不少于40万亩，对发现异常原因死亡的松树取样，取样数量不少于500份，样本要送到有资质的单位出具鉴定报告，并把巡查的结果上传到国家精细化系统。按照国家和自治区的有关清理技术要求不定期</w:t>
      </w:r>
      <w:r>
        <w:rPr>
          <w:rFonts w:hint="default" w:ascii="Times New Roman" w:hAnsi="Times New Roman" w:eastAsia="宋体" w:cs="Times New Roman"/>
          <w:b w:val="0"/>
          <w:bCs/>
          <w:color w:val="auto"/>
          <w:sz w:val="28"/>
          <w:highlight w:val="none"/>
          <w:lang w:val="en-US" w:eastAsia="zh-CN"/>
        </w:rPr>
        <w:t>对兴业县各镇枯死树清理的质量（树桩处理、枝丫树干处理、焚烧点等）进行抽查，</w:t>
      </w:r>
      <w:r>
        <w:rPr>
          <w:rFonts w:hint="eastAsia" w:ascii="Times New Roman" w:hAnsi="Times New Roman" w:eastAsia="宋体" w:cs="Times New Roman"/>
          <w:b w:val="0"/>
          <w:bCs/>
          <w:color w:val="auto"/>
          <w:sz w:val="28"/>
          <w:highlight w:val="none"/>
          <w:lang w:val="en-US" w:eastAsia="zh-CN"/>
        </w:rPr>
        <w:t>同时对兴业县2026年各项林业有害生物防治项目在完成后组织开展项目验收，并出具验收报告。采购金额控制在叁拾捌万元（¥380000元）以内。</w:t>
      </w:r>
    </w:p>
    <w:p w14:paraId="71AC5C12">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pacing w:val="-4"/>
          <w:sz w:val="28"/>
          <w:szCs w:val="28"/>
        </w:rPr>
      </w:pPr>
      <w:r>
        <w:rPr>
          <w:rFonts w:hint="eastAsia" w:ascii="Times New Roman" w:hAnsi="Times New Roman" w:eastAsia="宋体" w:cs="Times New Roman"/>
          <w:b w:val="0"/>
          <w:bCs/>
          <w:color w:val="auto"/>
          <w:sz w:val="28"/>
          <w:highlight w:val="none"/>
          <w:lang w:val="en-US" w:eastAsia="zh-CN"/>
        </w:rPr>
        <w:t xml:space="preserve"> </w:t>
      </w:r>
      <w:r>
        <w:rPr>
          <w:rFonts w:hint="eastAsia" w:asciiTheme="minorEastAsia" w:hAnsiTheme="minorEastAsia" w:eastAsiaTheme="minorEastAsia" w:cstheme="minorEastAsia"/>
          <w:b/>
          <w:bCs/>
          <w:spacing w:val="-4"/>
          <w:sz w:val="28"/>
          <w:szCs w:val="28"/>
        </w:rPr>
        <w:t>一 、实施时间</w:t>
      </w:r>
    </w:p>
    <w:p w14:paraId="7DC21360">
      <w:pPr>
        <w:pStyle w:val="2"/>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Theme="minorEastAsia" w:hAnsiTheme="minorEastAsia" w:eastAsiaTheme="minorEastAsia" w:cstheme="minorEastAsia"/>
          <w:spacing w:val="-4"/>
          <w:sz w:val="28"/>
          <w:szCs w:val="28"/>
          <w:lang w:val="en-US" w:eastAsia="zh-CN"/>
        </w:rPr>
      </w:pPr>
      <w:r>
        <w:rPr>
          <w:rFonts w:hint="eastAsia" w:asciiTheme="minorEastAsia" w:hAnsiTheme="minorEastAsia" w:eastAsiaTheme="minorEastAsia" w:cstheme="minorEastAsia"/>
          <w:spacing w:val="-4"/>
          <w:sz w:val="28"/>
          <w:szCs w:val="28"/>
        </w:rPr>
        <w:t>实施时间：签订合同</w:t>
      </w:r>
      <w:r>
        <w:rPr>
          <w:rFonts w:hint="eastAsia" w:asciiTheme="minorEastAsia" w:hAnsiTheme="minorEastAsia" w:eastAsiaTheme="minorEastAsia" w:cstheme="minorEastAsia"/>
          <w:spacing w:val="-4"/>
          <w:sz w:val="28"/>
          <w:szCs w:val="28"/>
          <w:lang w:eastAsia="zh-CN"/>
        </w:rPr>
        <w:t>后</w:t>
      </w:r>
      <w:r>
        <w:rPr>
          <w:rFonts w:hint="eastAsia" w:asciiTheme="minorEastAsia" w:hAnsiTheme="minorEastAsia" w:eastAsiaTheme="minorEastAsia" w:cstheme="minorEastAsia"/>
          <w:spacing w:val="-4"/>
          <w:sz w:val="28"/>
          <w:szCs w:val="28"/>
          <w:lang w:val="en-US" w:eastAsia="zh-CN"/>
        </w:rPr>
        <w:t>6个月内完成</w:t>
      </w:r>
      <w:r>
        <w:rPr>
          <w:rFonts w:hint="eastAsia" w:asciiTheme="minorEastAsia" w:hAnsiTheme="minorEastAsia" w:eastAsiaTheme="minorEastAsia" w:cstheme="minorEastAsia"/>
          <w:spacing w:val="-4"/>
          <w:sz w:val="28"/>
          <w:szCs w:val="28"/>
          <w:lang w:eastAsia="zh-CN"/>
        </w:rPr>
        <w:t>。</w:t>
      </w:r>
    </w:p>
    <w:p w14:paraId="0E585996">
      <w:pPr>
        <w:pStyle w:val="2"/>
        <w:keepNext w:val="0"/>
        <w:keepLines w:val="0"/>
        <w:pageBreakBefore w:val="0"/>
        <w:widowControl w:val="0"/>
        <w:kinsoku/>
        <w:wordWrap/>
        <w:overflowPunct/>
        <w:topLinePunct w:val="0"/>
        <w:autoSpaceDE/>
        <w:autoSpaceDN/>
        <w:bidi w:val="0"/>
        <w:adjustRightInd/>
        <w:snapToGrid/>
        <w:spacing w:line="560" w:lineRule="exact"/>
        <w:ind w:firstLine="546" w:firstLineChars="200"/>
        <w:textAlignment w:val="auto"/>
        <w:rPr>
          <w:rFonts w:hint="eastAsia" w:asciiTheme="minorEastAsia" w:hAnsiTheme="minorEastAsia" w:eastAsiaTheme="minorEastAsia" w:cstheme="minorEastAsia"/>
          <w:b/>
          <w:bCs/>
          <w:spacing w:val="-4"/>
          <w:sz w:val="28"/>
          <w:szCs w:val="28"/>
        </w:rPr>
      </w:pPr>
      <w:r>
        <w:rPr>
          <w:rFonts w:hint="eastAsia" w:asciiTheme="minorEastAsia" w:hAnsiTheme="minorEastAsia" w:eastAsiaTheme="minorEastAsia" w:cstheme="minorEastAsia"/>
          <w:b/>
          <w:bCs/>
          <w:spacing w:val="-4"/>
          <w:sz w:val="28"/>
          <w:szCs w:val="28"/>
        </w:rPr>
        <w:t>二 、服务</w:t>
      </w:r>
      <w:r>
        <w:rPr>
          <w:rFonts w:hint="eastAsia" w:asciiTheme="minorEastAsia" w:hAnsiTheme="minorEastAsia" w:eastAsiaTheme="minorEastAsia" w:cstheme="minorEastAsia"/>
          <w:b/>
          <w:bCs/>
          <w:spacing w:val="-4"/>
          <w:sz w:val="28"/>
          <w:szCs w:val="28"/>
          <w:lang w:eastAsia="zh-CN"/>
        </w:rPr>
        <w:t>内容</w:t>
      </w:r>
      <w:bookmarkStart w:id="2" w:name="_GoBack"/>
      <w:bookmarkEnd w:id="2"/>
      <w:r>
        <w:rPr>
          <w:rFonts w:hint="eastAsia" w:asciiTheme="minorEastAsia" w:hAnsiTheme="minorEastAsia" w:eastAsiaTheme="minorEastAsia" w:cstheme="minorEastAsia"/>
          <w:b/>
          <w:bCs/>
          <w:spacing w:val="-4"/>
          <w:sz w:val="28"/>
          <w:szCs w:val="28"/>
        </w:rPr>
        <w:t>及目标要求</w:t>
      </w:r>
    </w:p>
    <w:p w14:paraId="68E09AF2">
      <w:pPr>
        <w:pStyle w:val="5"/>
        <w:numPr>
          <w:ilvl w:val="0"/>
          <w:numId w:val="1"/>
        </w:numPr>
        <w:ind w:left="420" w:leftChars="0" w:firstLine="0" w:firstLineChars="0"/>
        <w:rPr>
          <w:rFonts w:hint="eastAsia" w:ascii="Times New Roman" w:hAnsi="Times New Roman" w:eastAsia="宋体" w:cs="Times New Roman"/>
          <w:b w:val="0"/>
          <w:bCs/>
          <w:color w:val="auto"/>
          <w:sz w:val="28"/>
          <w:highlight w:val="none"/>
          <w:lang w:val="en-US" w:eastAsia="zh-CN"/>
        </w:rPr>
      </w:pPr>
      <w:r>
        <w:rPr>
          <w:rFonts w:hint="eastAsia" w:ascii="Times New Roman" w:hAnsi="Times New Roman" w:eastAsia="宋体" w:cs="Times New Roman"/>
          <w:b w:val="0"/>
          <w:bCs/>
          <w:color w:val="auto"/>
          <w:sz w:val="28"/>
          <w:highlight w:val="none"/>
          <w:lang w:val="en-US" w:eastAsia="zh-CN"/>
        </w:rPr>
        <w:t>松材线虫病日常监测巡查</w:t>
      </w:r>
    </w:p>
    <w:p w14:paraId="2536AE5C">
      <w:pPr>
        <w:pStyle w:val="5"/>
        <w:numPr>
          <w:ilvl w:val="0"/>
          <w:numId w:val="0"/>
        </w:numPr>
        <w:ind w:firstLine="560" w:firstLineChars="200"/>
        <w:rPr>
          <w:rFonts w:hint="default" w:ascii="Times New Roman" w:hAnsi="Times New Roman" w:eastAsia="宋体" w:cs="Times New Roman"/>
          <w:b w:val="0"/>
          <w:bCs/>
          <w:color w:val="auto"/>
          <w:sz w:val="28"/>
          <w:highlight w:val="none"/>
          <w:lang w:val="en-US" w:eastAsia="zh-CN"/>
        </w:rPr>
      </w:pPr>
      <w:r>
        <w:rPr>
          <w:rFonts w:hint="eastAsia" w:ascii="Times New Roman" w:hAnsi="Times New Roman" w:eastAsia="宋体" w:cs="Times New Roman"/>
          <w:b w:val="0"/>
          <w:bCs/>
          <w:color w:val="auto"/>
          <w:sz w:val="28"/>
          <w:highlight w:val="none"/>
          <w:lang w:val="en-US" w:eastAsia="zh-CN"/>
        </w:rPr>
        <w:t>2026年在全县范围开展松材线虫病日常监测巡查，以乡镇、林场为单位，利用无人机结合人工踏查，对兴业县13个乡镇31多万亩松林进行全面地野外调查查找枯死松树，</w:t>
      </w:r>
      <w:r>
        <w:rPr>
          <w:rFonts w:hint="eastAsia" w:asciiTheme="minorEastAsia" w:hAnsiTheme="minorEastAsia" w:eastAsiaTheme="minorEastAsia" w:cstheme="minorEastAsia"/>
          <w:spacing w:val="-2"/>
          <w:kern w:val="2"/>
          <w:sz w:val="28"/>
          <w:szCs w:val="28"/>
          <w:lang w:val="en-US" w:eastAsia="zh-CN" w:bidi="ar-SA"/>
        </w:rPr>
        <w:t>重点是</w:t>
      </w:r>
      <w:bookmarkStart w:id="0" w:name="OLE_LINK2"/>
      <w:r>
        <w:rPr>
          <w:rFonts w:hint="eastAsia" w:asciiTheme="minorEastAsia" w:hAnsiTheme="minorEastAsia" w:eastAsiaTheme="minorEastAsia" w:cstheme="minorEastAsia"/>
          <w:spacing w:val="-2"/>
          <w:kern w:val="2"/>
          <w:sz w:val="28"/>
          <w:szCs w:val="28"/>
          <w:lang w:val="en-US" w:eastAsia="zh-CN" w:bidi="ar-SA"/>
        </w:rPr>
        <w:t>巡查北市镇、城隍镇、高峰镇、洛阳镇、卖酒镇、山心镇、蒲塘镇、石南镇、葵阳镇</w:t>
      </w:r>
      <w:bookmarkEnd w:id="0"/>
      <w:r>
        <w:rPr>
          <w:rFonts w:hint="eastAsia" w:asciiTheme="minorEastAsia" w:hAnsiTheme="minorEastAsia" w:eastAsiaTheme="minorEastAsia" w:cstheme="minorEastAsia"/>
          <w:spacing w:val="-2"/>
          <w:kern w:val="2"/>
          <w:sz w:val="28"/>
          <w:szCs w:val="28"/>
          <w:lang w:val="en-US" w:eastAsia="zh-CN" w:bidi="ar-SA"/>
        </w:rPr>
        <w:t>）和交通要道（</w:t>
      </w:r>
      <w:bookmarkStart w:id="1" w:name="OLE_LINK9"/>
      <w:r>
        <w:rPr>
          <w:rFonts w:hint="eastAsia" w:asciiTheme="minorEastAsia" w:hAnsiTheme="minorEastAsia" w:eastAsiaTheme="minorEastAsia" w:cstheme="minorEastAsia"/>
          <w:spacing w:val="-2"/>
          <w:kern w:val="2"/>
          <w:sz w:val="28"/>
          <w:szCs w:val="28"/>
          <w:lang w:val="en-US" w:eastAsia="zh-CN" w:bidi="ar-SA"/>
        </w:rPr>
        <w:t>高速公路、国道和城镇公路出入口）</w:t>
      </w:r>
      <w:bookmarkEnd w:id="1"/>
      <w:r>
        <w:rPr>
          <w:rFonts w:hint="eastAsia" w:asciiTheme="minorEastAsia" w:hAnsiTheme="minorEastAsia" w:eastAsiaTheme="minorEastAsia" w:cstheme="minorEastAsia"/>
          <w:spacing w:val="-2"/>
          <w:kern w:val="2"/>
          <w:sz w:val="28"/>
          <w:szCs w:val="28"/>
          <w:lang w:val="en-US" w:eastAsia="zh-CN" w:bidi="ar-SA"/>
        </w:rPr>
        <w:t>的林地。</w:t>
      </w:r>
      <w:r>
        <w:rPr>
          <w:rFonts w:hint="eastAsia" w:ascii="Times New Roman" w:hAnsi="Times New Roman" w:eastAsia="宋体" w:cs="Times New Roman"/>
          <w:b w:val="0"/>
          <w:bCs/>
          <w:color w:val="auto"/>
          <w:sz w:val="28"/>
          <w:highlight w:val="none"/>
          <w:lang w:val="en-US" w:eastAsia="zh-CN"/>
        </w:rPr>
        <w:t>使用国家精细化管理平台系统对发现的枯死松树进行定位采集，对发现异常原因死亡的松树取样，并送自治区林业局认可具有松材线虫病检验资质的专业机构进行检验，以全面了解兴业县枯死松树的分布情况和松材线虫病的发生情况。巡查面积不少于6次或40万亩，取样数量不少于500份，样本要送到有资质的单位出具鉴定报告。费用不超过26万元。</w:t>
      </w:r>
    </w:p>
    <w:p w14:paraId="14BF8BE5">
      <w:pPr>
        <w:keepNext/>
        <w:keepLines w:val="0"/>
        <w:pageBreakBefore w:val="0"/>
        <w:widowControl/>
        <w:numPr>
          <w:ilvl w:val="0"/>
          <w:numId w:val="0"/>
        </w:numPr>
        <w:tabs>
          <w:tab w:val="left" w:pos="426"/>
        </w:tabs>
        <w:kinsoku/>
        <w:wordWrap/>
        <w:overflowPunct/>
        <w:topLinePunct w:val="0"/>
        <w:autoSpaceDE/>
        <w:autoSpaceDN/>
        <w:bidi w:val="0"/>
        <w:adjustRightInd/>
        <w:snapToGrid/>
        <w:spacing w:line="360" w:lineRule="auto"/>
        <w:ind w:left="420" w:leftChars="0"/>
        <w:jc w:val="both"/>
        <w:textAlignment w:val="baseline"/>
        <w:rPr>
          <w:rFonts w:hint="eastAsia" w:ascii="Times New Roman" w:hAnsi="Times New Roman" w:cs="Times New Roman"/>
          <w:b w:val="0"/>
          <w:bCs/>
          <w:color w:val="auto"/>
          <w:sz w:val="28"/>
          <w:highlight w:val="none"/>
          <w:lang w:val="en-US" w:eastAsia="zh-CN"/>
        </w:rPr>
      </w:pPr>
      <w:r>
        <w:rPr>
          <w:rFonts w:hint="eastAsia" w:ascii="Times New Roman" w:hAnsi="Times New Roman" w:cs="Times New Roman"/>
          <w:b w:val="0"/>
          <w:bCs/>
          <w:color w:val="auto"/>
          <w:sz w:val="28"/>
          <w:highlight w:val="none"/>
          <w:lang w:val="en-US" w:eastAsia="zh-CN"/>
        </w:rPr>
        <w:t>2、枯死松树清理质量抽查</w:t>
      </w:r>
    </w:p>
    <w:p w14:paraId="5C64A868">
      <w:pPr>
        <w:keepNext/>
        <w:keepLines w:val="0"/>
        <w:pageBreakBefore w:val="0"/>
        <w:widowControl/>
        <w:numPr>
          <w:ilvl w:val="0"/>
          <w:numId w:val="0"/>
        </w:numPr>
        <w:tabs>
          <w:tab w:val="left" w:pos="426"/>
        </w:tabs>
        <w:kinsoku/>
        <w:wordWrap/>
        <w:overflowPunct/>
        <w:topLinePunct w:val="0"/>
        <w:autoSpaceDE/>
        <w:autoSpaceDN/>
        <w:bidi w:val="0"/>
        <w:adjustRightInd/>
        <w:snapToGrid/>
        <w:spacing w:line="360" w:lineRule="auto"/>
        <w:ind w:firstLine="560" w:firstLineChars="200"/>
        <w:jc w:val="both"/>
        <w:textAlignment w:val="baseline"/>
        <w:rPr>
          <w:rFonts w:hint="default" w:ascii="Times New Roman" w:hAnsi="Times New Roman" w:eastAsia="宋体" w:cs="Times New Roman"/>
          <w:b w:val="0"/>
          <w:bCs/>
          <w:color w:val="auto"/>
          <w:sz w:val="28"/>
          <w:highlight w:val="none"/>
          <w:lang w:val="en-US" w:eastAsia="zh-CN"/>
        </w:rPr>
      </w:pPr>
      <w:r>
        <w:rPr>
          <w:rFonts w:hint="eastAsia" w:ascii="Times New Roman" w:hAnsi="Times New Roman" w:cs="Times New Roman"/>
          <w:b w:val="0"/>
          <w:bCs/>
          <w:color w:val="auto"/>
          <w:sz w:val="28"/>
          <w:highlight w:val="none"/>
          <w:lang w:val="en-US" w:eastAsia="zh-CN"/>
        </w:rPr>
        <w:t>按照国家和自治区的有关清理技术要求不定期</w:t>
      </w:r>
      <w:r>
        <w:rPr>
          <w:rFonts w:hint="default" w:ascii="Times New Roman" w:hAnsi="Times New Roman" w:eastAsia="宋体" w:cs="Times New Roman"/>
          <w:b w:val="0"/>
          <w:bCs/>
          <w:color w:val="auto"/>
          <w:sz w:val="28"/>
          <w:highlight w:val="none"/>
          <w:lang w:val="en-US" w:eastAsia="zh-CN"/>
        </w:rPr>
        <w:t>对兴业县各镇枯死树清理的质量（树桩处理、枝丫树干处理、焚烧点等）进行抽查，记录发现的问题并反馈和跟进整改情况。</w:t>
      </w:r>
      <w:r>
        <w:rPr>
          <w:rFonts w:hint="eastAsia" w:ascii="Times New Roman" w:hAnsi="Times New Roman" w:cs="Times New Roman"/>
          <w:b w:val="0"/>
          <w:bCs/>
          <w:color w:val="auto"/>
          <w:sz w:val="28"/>
          <w:highlight w:val="none"/>
          <w:lang w:val="en-US" w:eastAsia="zh-CN"/>
        </w:rPr>
        <w:t>同时对兴业县2026年各项林业有害生物防治项目在完成后组织开展项目验收，并出具验收报告。费用不超过12万元。</w:t>
      </w:r>
    </w:p>
    <w:p w14:paraId="35C14DE6">
      <w:pPr>
        <w:keepNext w:val="0"/>
        <w:keepLines w:val="0"/>
        <w:pageBreakBefore w:val="0"/>
        <w:widowControl w:val="0"/>
        <w:kinsoku/>
        <w:wordWrap/>
        <w:overflowPunct/>
        <w:topLinePunct w:val="0"/>
        <w:autoSpaceDE/>
        <w:bidi w:val="0"/>
        <w:adjustRightInd/>
        <w:snapToGrid/>
        <w:spacing w:line="560" w:lineRule="exact"/>
        <w:ind w:firstLine="562" w:firstLineChars="200"/>
        <w:textAlignment w:val="auto"/>
        <w:rPr>
          <w:rFonts w:hint="eastAsia" w:ascii="仿宋_GB2312" w:hAnsi="仿宋_GB2312" w:eastAsia="仿宋_GB2312"/>
          <w:b/>
          <w:bCs/>
          <w:color w:val="000000"/>
          <w:sz w:val="28"/>
        </w:rPr>
      </w:pPr>
      <w:r>
        <w:rPr>
          <w:rFonts w:hint="eastAsia" w:ascii="仿宋_GB2312" w:hAnsi="仿宋_GB2312" w:eastAsia="仿宋_GB2312"/>
          <w:b/>
          <w:bCs/>
          <w:color w:val="000000"/>
          <w:sz w:val="28"/>
          <w:lang w:eastAsia="zh-CN"/>
        </w:rPr>
        <w:t>三</w:t>
      </w:r>
      <w:r>
        <w:rPr>
          <w:rFonts w:hint="eastAsia" w:ascii="仿宋_GB2312" w:hAnsi="仿宋_GB2312" w:eastAsia="仿宋_GB2312"/>
          <w:b/>
          <w:bCs/>
          <w:color w:val="000000"/>
          <w:sz w:val="28"/>
        </w:rPr>
        <w:t>、付款要求：</w:t>
      </w:r>
    </w:p>
    <w:p w14:paraId="5D408A2F">
      <w:pPr>
        <w:keepNext w:val="0"/>
        <w:keepLines w:val="0"/>
        <w:pageBreakBefore w:val="0"/>
        <w:widowControl w:val="0"/>
        <w:kinsoku/>
        <w:wordWrap/>
        <w:overflowPunct/>
        <w:topLinePunct w:val="0"/>
        <w:autoSpaceDE/>
        <w:bidi w:val="0"/>
        <w:adjustRightInd/>
        <w:snapToGrid/>
        <w:spacing w:line="560" w:lineRule="exact"/>
        <w:textAlignment w:val="auto"/>
        <w:rPr>
          <w:rFonts w:hint="eastAsia" w:ascii="仿宋_GB2312" w:hAnsi="仿宋_GB2312" w:eastAsia="仿宋_GB2312"/>
          <w:color w:val="000000"/>
          <w:sz w:val="28"/>
        </w:rPr>
      </w:pPr>
      <w:r>
        <w:rPr>
          <w:rFonts w:hint="eastAsia" w:ascii="仿宋_GB2312" w:hAnsi="仿宋_GB2312" w:eastAsia="仿宋_GB2312"/>
          <w:b/>
          <w:bCs/>
          <w:color w:val="000000"/>
          <w:sz w:val="28"/>
        </w:rPr>
        <w:t xml:space="preserve">  </w:t>
      </w:r>
      <w:r>
        <w:rPr>
          <w:rFonts w:hint="eastAsia" w:ascii="仿宋_GB2312" w:hAnsi="仿宋_GB2312" w:eastAsia="仿宋_GB2312"/>
          <w:color w:val="000000"/>
          <w:sz w:val="28"/>
        </w:rPr>
        <w:t xml:space="preserve">  </w:t>
      </w:r>
      <w:r>
        <w:rPr>
          <w:rFonts w:hint="eastAsia" w:asciiTheme="minorEastAsia" w:hAnsiTheme="minorEastAsia" w:eastAsiaTheme="minorEastAsia" w:cstheme="minorEastAsia"/>
          <w:spacing w:val="2"/>
          <w:kern w:val="2"/>
          <w:sz w:val="28"/>
          <w:szCs w:val="28"/>
          <w:lang w:val="en-US" w:eastAsia="en-US" w:bidi="ar-SA"/>
        </w:rPr>
        <w:t>项目费用分</w:t>
      </w:r>
      <w:r>
        <w:rPr>
          <w:rFonts w:hint="eastAsia" w:asciiTheme="minorEastAsia" w:hAnsiTheme="minorEastAsia" w:eastAsiaTheme="minorEastAsia" w:cstheme="minorEastAsia"/>
          <w:spacing w:val="2"/>
          <w:kern w:val="2"/>
          <w:sz w:val="28"/>
          <w:szCs w:val="28"/>
          <w:lang w:val="en-US" w:eastAsia="zh-CN" w:bidi="ar-SA"/>
        </w:rPr>
        <w:t>2</w:t>
      </w:r>
      <w:r>
        <w:rPr>
          <w:rFonts w:hint="eastAsia" w:asciiTheme="minorEastAsia" w:hAnsiTheme="minorEastAsia" w:eastAsiaTheme="minorEastAsia" w:cstheme="minorEastAsia"/>
          <w:spacing w:val="2"/>
          <w:kern w:val="2"/>
          <w:sz w:val="28"/>
          <w:szCs w:val="28"/>
          <w:lang w:val="en-US" w:eastAsia="en-US" w:bidi="ar-SA"/>
        </w:rPr>
        <w:t>次支付：首次</w:t>
      </w:r>
      <w:r>
        <w:rPr>
          <w:rFonts w:hint="eastAsia" w:asciiTheme="minorEastAsia" w:hAnsiTheme="minorEastAsia" w:eastAsiaTheme="minorEastAsia" w:cstheme="minorEastAsia"/>
          <w:spacing w:val="2"/>
          <w:kern w:val="2"/>
          <w:sz w:val="28"/>
          <w:szCs w:val="28"/>
          <w:lang w:val="en-US" w:eastAsia="zh-CN" w:bidi="ar-SA"/>
        </w:rPr>
        <w:t>支付</w:t>
      </w:r>
      <w:r>
        <w:rPr>
          <w:rFonts w:hint="eastAsia" w:asciiTheme="minorEastAsia" w:hAnsiTheme="minorEastAsia" w:eastAsiaTheme="minorEastAsia" w:cstheme="minorEastAsia"/>
          <w:spacing w:val="2"/>
          <w:kern w:val="2"/>
          <w:sz w:val="28"/>
          <w:szCs w:val="28"/>
          <w:lang w:val="en-US" w:eastAsia="en-US" w:bidi="ar-SA"/>
        </w:rPr>
        <w:t>在</w:t>
      </w:r>
      <w:r>
        <w:rPr>
          <w:rFonts w:hint="eastAsia" w:asciiTheme="minorEastAsia" w:hAnsiTheme="minorEastAsia" w:eastAsiaTheme="minorEastAsia" w:cstheme="minorEastAsia"/>
          <w:spacing w:val="2"/>
          <w:kern w:val="2"/>
          <w:sz w:val="28"/>
          <w:szCs w:val="28"/>
          <w:lang w:val="en-US" w:eastAsia="zh-CN" w:bidi="ar-SA"/>
        </w:rPr>
        <w:t>10</w:t>
      </w:r>
      <w:r>
        <w:rPr>
          <w:rFonts w:hint="eastAsia" w:asciiTheme="minorEastAsia" w:hAnsiTheme="minorEastAsia" w:eastAsiaTheme="minorEastAsia" w:cstheme="minorEastAsia"/>
          <w:spacing w:val="2"/>
          <w:kern w:val="2"/>
          <w:sz w:val="28"/>
          <w:szCs w:val="28"/>
          <w:lang w:val="en-US" w:eastAsia="en-US" w:bidi="ar-SA"/>
        </w:rPr>
        <w:t>月15日前</w:t>
      </w:r>
      <w:r>
        <w:rPr>
          <w:rFonts w:hint="eastAsia" w:asciiTheme="minorEastAsia" w:hAnsiTheme="minorEastAsia" w:eastAsiaTheme="minorEastAsia" w:cstheme="minorEastAsia"/>
          <w:spacing w:val="2"/>
          <w:kern w:val="2"/>
          <w:sz w:val="28"/>
          <w:szCs w:val="28"/>
          <w:lang w:val="en-US" w:eastAsia="zh-CN" w:bidi="ar-SA"/>
        </w:rPr>
        <w:t>支付合同</w:t>
      </w:r>
      <w:r>
        <w:rPr>
          <w:rFonts w:hint="eastAsia" w:asciiTheme="minorEastAsia" w:hAnsiTheme="minorEastAsia" w:eastAsiaTheme="minorEastAsia" w:cstheme="minorEastAsia"/>
          <w:spacing w:val="2"/>
          <w:kern w:val="2"/>
          <w:sz w:val="28"/>
          <w:szCs w:val="28"/>
          <w:lang w:val="en-US" w:eastAsia="en-US" w:bidi="ar-SA"/>
        </w:rPr>
        <w:t>费用总额的</w:t>
      </w:r>
      <w:r>
        <w:rPr>
          <w:rFonts w:hint="eastAsia" w:asciiTheme="minorEastAsia" w:hAnsiTheme="minorEastAsia" w:eastAsiaTheme="minorEastAsia" w:cstheme="minorEastAsia"/>
          <w:spacing w:val="2"/>
          <w:kern w:val="2"/>
          <w:sz w:val="28"/>
          <w:szCs w:val="28"/>
          <w:lang w:val="en-US" w:eastAsia="zh-CN" w:bidi="ar-SA"/>
        </w:rPr>
        <w:t>4</w:t>
      </w:r>
      <w:r>
        <w:rPr>
          <w:rFonts w:hint="eastAsia" w:asciiTheme="minorEastAsia" w:hAnsiTheme="minorEastAsia" w:eastAsiaTheme="minorEastAsia" w:cstheme="minorEastAsia"/>
          <w:spacing w:val="2"/>
          <w:kern w:val="2"/>
          <w:sz w:val="28"/>
          <w:szCs w:val="28"/>
          <w:lang w:val="en-US" w:eastAsia="en-US" w:bidi="ar-SA"/>
        </w:rPr>
        <w:t>0%；第</w:t>
      </w:r>
      <w:r>
        <w:rPr>
          <w:rFonts w:hint="eastAsia" w:asciiTheme="minorEastAsia" w:hAnsiTheme="minorEastAsia" w:eastAsiaTheme="minorEastAsia" w:cstheme="minorEastAsia"/>
          <w:spacing w:val="2"/>
          <w:kern w:val="2"/>
          <w:sz w:val="28"/>
          <w:szCs w:val="28"/>
          <w:lang w:val="en-US" w:eastAsia="zh-CN" w:bidi="ar-SA"/>
        </w:rPr>
        <w:t>二</w:t>
      </w:r>
      <w:r>
        <w:rPr>
          <w:rFonts w:hint="eastAsia" w:asciiTheme="minorEastAsia" w:hAnsiTheme="minorEastAsia" w:eastAsiaTheme="minorEastAsia" w:cstheme="minorEastAsia"/>
          <w:spacing w:val="2"/>
          <w:kern w:val="2"/>
          <w:sz w:val="28"/>
          <w:szCs w:val="28"/>
          <w:lang w:val="en-US" w:eastAsia="en-US" w:bidi="ar-SA"/>
        </w:rPr>
        <w:t>次为</w:t>
      </w:r>
      <w:r>
        <w:rPr>
          <w:rFonts w:hint="eastAsia" w:asciiTheme="minorEastAsia" w:hAnsiTheme="minorEastAsia" w:eastAsiaTheme="minorEastAsia" w:cstheme="minorEastAsia"/>
          <w:spacing w:val="2"/>
          <w:kern w:val="2"/>
          <w:sz w:val="28"/>
          <w:szCs w:val="28"/>
          <w:lang w:val="en-US" w:eastAsia="zh-CN" w:bidi="ar-SA"/>
        </w:rPr>
        <w:t>项目完成提供材料</w:t>
      </w:r>
      <w:r>
        <w:rPr>
          <w:rFonts w:hint="eastAsia" w:asciiTheme="minorEastAsia" w:hAnsiTheme="minorEastAsia" w:eastAsiaTheme="minorEastAsia" w:cstheme="minorEastAsia"/>
          <w:spacing w:val="2"/>
          <w:kern w:val="2"/>
          <w:sz w:val="28"/>
          <w:szCs w:val="28"/>
          <w:lang w:val="en-US" w:eastAsia="en-US" w:bidi="ar-SA"/>
        </w:rPr>
        <w:t>后支付合同剩余</w:t>
      </w:r>
      <w:r>
        <w:rPr>
          <w:rFonts w:hint="eastAsia" w:asciiTheme="minorEastAsia" w:hAnsiTheme="minorEastAsia" w:eastAsiaTheme="minorEastAsia" w:cstheme="minorEastAsia"/>
          <w:spacing w:val="2"/>
          <w:kern w:val="2"/>
          <w:sz w:val="28"/>
          <w:szCs w:val="28"/>
          <w:lang w:val="en-US" w:eastAsia="zh-CN" w:bidi="ar-SA"/>
        </w:rPr>
        <w:t>6</w:t>
      </w:r>
      <w:r>
        <w:rPr>
          <w:rFonts w:hint="eastAsia" w:asciiTheme="minorEastAsia" w:hAnsiTheme="minorEastAsia" w:eastAsiaTheme="minorEastAsia" w:cstheme="minorEastAsia"/>
          <w:spacing w:val="2"/>
          <w:kern w:val="2"/>
          <w:sz w:val="28"/>
          <w:szCs w:val="28"/>
          <w:lang w:val="en-US" w:eastAsia="en-US" w:bidi="ar-SA"/>
        </w:rPr>
        <w:t>0%部分。</w:t>
      </w:r>
    </w:p>
    <w:p w14:paraId="5A8306C1">
      <w:pPr>
        <w:ind w:firstLine="220" w:firstLineChars="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E0DA0"/>
    <w:multiLevelType w:val="singleLevel"/>
    <w:tmpl w:val="E0BE0DA0"/>
    <w:lvl w:ilvl="0" w:tentative="0">
      <w:start w:val="1"/>
      <w:numFmt w:val="decimal"/>
      <w:suff w:val="nothing"/>
      <w:lvlText w:val="%1、"/>
      <w:lvlJc w:val="left"/>
      <w:pPr>
        <w:ind w:left="4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NDkwNDU5ZGZjOTljYmJjOTIwOWIzMjM0OTIxMzgifQ=="/>
  </w:docVars>
  <w:rsids>
    <w:rsidRoot w:val="295D0FA5"/>
    <w:rsid w:val="01CD140E"/>
    <w:rsid w:val="0EE873EF"/>
    <w:rsid w:val="15EE7261"/>
    <w:rsid w:val="268B68A9"/>
    <w:rsid w:val="295D0FA5"/>
    <w:rsid w:val="2C273700"/>
    <w:rsid w:val="2C890E39"/>
    <w:rsid w:val="2E0F27BF"/>
    <w:rsid w:val="362531B3"/>
    <w:rsid w:val="4B031273"/>
    <w:rsid w:val="4CF97D3E"/>
    <w:rsid w:val="4D00051D"/>
    <w:rsid w:val="5A680AAB"/>
    <w:rsid w:val="5D3B4BEB"/>
    <w:rsid w:val="611A2DA3"/>
    <w:rsid w:val="748B2A70"/>
    <w:rsid w:val="79366CF1"/>
    <w:rsid w:val="7C630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宋体" w:hAnsi="宋体" w:eastAsia="宋体" w:cs="Times New Roman"/>
      <w:kern w:val="0"/>
      <w:sz w:val="22"/>
      <w:szCs w:val="22"/>
      <w:lang w:val="en-US" w:eastAsia="en-US"/>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customStyle="1" w:styleId="5">
    <w:name w:val="Plain Text"/>
    <w:basedOn w:val="1"/>
    <w:qFormat/>
    <w:uiPriority w:val="0"/>
    <w:rPr>
      <w:rFonts w:ascii="宋体" w:hAnsi="Courier New" w:eastAsia="楷体_GB2312"/>
    </w:rPr>
  </w:style>
  <w:style w:type="paragraph" w:customStyle="1" w:styleId="6">
    <w:name w:val="Normal Indent"/>
    <w:basedOn w:val="1"/>
    <w:next w:val="1"/>
    <w:qFormat/>
    <w:uiPriority w:val="0"/>
    <w:pPr>
      <w:spacing w:line="360" w:lineRule="atLeast"/>
      <w:ind w:firstLine="420"/>
      <w:textAlignment w:val="baseline"/>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xyxsfz</Company>
  <Pages>2</Pages>
  <Words>803</Words>
  <Characters>845</Characters>
  <Lines>0</Lines>
  <Paragraphs>0</Paragraphs>
  <TotalTime>8</TotalTime>
  <ScaleCrop>false</ScaleCrop>
  <LinksUpToDate>false</LinksUpToDate>
  <CharactersWithSpaces>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2023-02-13T08:41:00Z</dcterms:created>
  <dc:creator>自由骑士</dc:creator>
  <cp:lastModifiedBy>自由骑士</cp:lastModifiedBy>
  <dcterms:modified xsi:type="dcterms:W3CDTF">2026-07-02T00:51:16Z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7156C248F43040D7B04705CFA3D4FC43</vt:lpwstr>
  </property>
  <property fmtid="{D5CDD505-2E9C-101B-9397-08002B2CF9AE}" pid="4" name="KSOTemplateDocerSaveRecord">
    <vt:lpwstr>eyJoZGlkIjoiZGJhYmNjYjEzZDY4YzkyMmY1MDdkNzA1NmY5NTA2OWYiLCJ1c2VySWQiOiI0NDcyMzU0ODAifQ==</vt:lpwstr>
  </property>
</Properties>
</file>